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9" w:lineRule="exact"/>
        <w:rPr>
          <w:sz w:val="24"/>
          <w:szCs w:val="24"/>
          <w:color w:val="auto"/>
        </w:rPr>
      </w:pPr>
    </w:p>
    <w:p>
      <w:pPr>
        <w:ind w:left="2320"/>
        <w:spacing w:after="0"/>
        <w:rPr>
          <w:sz w:val="20"/>
          <w:szCs w:val="20"/>
          <w:color w:val="auto"/>
        </w:rPr>
      </w:pPr>
      <w:r>
        <w:rPr>
          <w:rFonts w:ascii="Arial" w:cs="Arial" w:eastAsia="Arial" w:hAnsi="Arial"/>
          <w:sz w:val="18"/>
          <w:szCs w:val="18"/>
          <w:b w:val="1"/>
          <w:bCs w:val="1"/>
          <w:color w:val="auto"/>
        </w:rPr>
        <w:t>As filed with the Securities and Exchange Commission on September 1, 2022</w:t>
      </w:r>
    </w:p>
    <w:p>
      <w:pPr>
        <w:spacing w:after="0" w:line="14"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109220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3" w:lineRule="exact"/>
        <w:rPr>
          <w:sz w:val="24"/>
          <w:szCs w:val="24"/>
          <w:color w:val="auto"/>
        </w:rPr>
      </w:pPr>
    </w:p>
    <w:p>
      <w:pPr>
        <w:jc w:val="center"/>
        <w:ind w:right="-719"/>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ind w:right="-719"/>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220345</wp:posOffset>
            </wp:positionV>
            <wp:extent cx="22459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719"/>
        <w:spacing w:after="0"/>
        <w:rPr>
          <w:sz w:val="20"/>
          <w:szCs w:val="20"/>
          <w:color w:val="auto"/>
        </w:rPr>
      </w:pPr>
      <w:r>
        <w:rPr>
          <w:rFonts w:ascii="Arial" w:cs="Arial" w:eastAsia="Arial" w:hAnsi="Arial"/>
          <w:sz w:val="32"/>
          <w:szCs w:val="32"/>
          <w:b w:val="1"/>
          <w:bCs w:val="1"/>
          <w:color w:val="auto"/>
        </w:rPr>
        <w:t>FORM S-3</w:t>
      </w:r>
    </w:p>
    <w:p>
      <w:pPr>
        <w:spacing w:after="0" w:line="44" w:lineRule="exact"/>
        <w:rPr>
          <w:sz w:val="24"/>
          <w:szCs w:val="24"/>
          <w:color w:val="auto"/>
        </w:rPr>
      </w:pPr>
    </w:p>
    <w:p>
      <w:pPr>
        <w:jc w:val="center"/>
        <w:ind w:right="-719"/>
        <w:spacing w:after="0"/>
        <w:rPr>
          <w:sz w:val="20"/>
          <w:szCs w:val="20"/>
          <w:color w:val="auto"/>
        </w:rPr>
      </w:pPr>
      <w:r>
        <w:rPr>
          <w:rFonts w:ascii="Arial" w:cs="Arial" w:eastAsia="Arial" w:hAnsi="Arial"/>
          <w:sz w:val="32"/>
          <w:szCs w:val="32"/>
          <w:b w:val="1"/>
          <w:bCs w:val="1"/>
          <w:color w:val="auto"/>
        </w:rPr>
        <w:t>REGISTRATION STATEMENT</w:t>
      </w:r>
    </w:p>
    <w:p>
      <w:pPr>
        <w:jc w:val="center"/>
        <w:ind w:right="-71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71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220980</wp:posOffset>
            </wp:positionV>
            <wp:extent cx="22459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719"/>
        <w:spacing w:after="0"/>
        <w:rPr>
          <w:sz w:val="20"/>
          <w:szCs w:val="20"/>
          <w:color w:val="auto"/>
        </w:rPr>
      </w:pPr>
      <w:r>
        <w:rPr>
          <w:rFonts w:ascii="Arial" w:cs="Arial" w:eastAsia="Arial" w:hAnsi="Arial"/>
          <w:sz w:val="43"/>
          <w:szCs w:val="43"/>
          <w:b w:val="1"/>
          <w:bCs w:val="1"/>
          <w:color w:val="auto"/>
        </w:rPr>
        <w:t>TANGO THERAPEUTICS, INC.</w:t>
      </w:r>
    </w:p>
    <w:p>
      <w:pPr>
        <w:spacing w:after="0" w:line="48"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220345</wp:posOffset>
            </wp:positionV>
            <wp:extent cx="22459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719"/>
        <w:spacing w:after="0"/>
        <w:rPr>
          <w:sz w:val="20"/>
          <w:szCs w:val="20"/>
          <w:color w:val="auto"/>
        </w:rPr>
      </w:pPr>
      <w:r>
        <w:rPr>
          <w:rFonts w:ascii="Arial" w:cs="Arial" w:eastAsia="Arial" w:hAnsi="Arial"/>
          <w:sz w:val="18"/>
          <w:szCs w:val="18"/>
          <w:b w:val="1"/>
          <w:bCs w:val="1"/>
          <w:color w:val="auto"/>
        </w:rPr>
        <w:t>Delaware</w:t>
      </w:r>
    </w:p>
    <w:p>
      <w:pPr>
        <w:spacing w:after="0" w:line="19" w:lineRule="exact"/>
        <w:rPr>
          <w:sz w:val="24"/>
          <w:szCs w:val="24"/>
          <w:color w:val="auto"/>
        </w:rPr>
      </w:pPr>
    </w:p>
    <w:p>
      <w:pPr>
        <w:ind w:left="4640"/>
        <w:spacing w:after="0"/>
        <w:rPr>
          <w:sz w:val="20"/>
          <w:szCs w:val="20"/>
          <w:color w:val="auto"/>
        </w:rPr>
      </w:pPr>
      <w:r>
        <w:rPr>
          <w:rFonts w:ascii="Arial" w:cs="Arial" w:eastAsia="Arial" w:hAnsi="Arial"/>
          <w:sz w:val="14"/>
          <w:szCs w:val="14"/>
          <w:b w:val="1"/>
          <w:bCs w:val="1"/>
          <w:color w:val="auto"/>
        </w:rPr>
        <w:t>(State or other jurisdiction of</w:t>
      </w:r>
    </w:p>
    <w:p>
      <w:pPr>
        <w:spacing w:after="0" w:line="1" w:lineRule="exact"/>
        <w:rPr>
          <w:sz w:val="24"/>
          <w:szCs w:val="24"/>
          <w:color w:val="auto"/>
        </w:rPr>
      </w:pPr>
    </w:p>
    <w:p>
      <w:pPr>
        <w:ind w:left="4600"/>
        <w:spacing w:after="0"/>
        <w:rPr>
          <w:sz w:val="20"/>
          <w:szCs w:val="20"/>
          <w:color w:val="auto"/>
        </w:rPr>
      </w:pPr>
      <w:r>
        <w:rPr>
          <w:rFonts w:ascii="Arial" w:cs="Arial" w:eastAsia="Arial" w:hAnsi="Arial"/>
          <w:sz w:val="14"/>
          <w:szCs w:val="14"/>
          <w:b w:val="1"/>
          <w:bCs w:val="1"/>
          <w:color w:val="auto"/>
        </w:rPr>
        <w:t>incorporation or organization)</w:t>
      </w:r>
    </w:p>
    <w:p>
      <w:pPr>
        <w:spacing w:after="0" w:line="193" w:lineRule="exact"/>
        <w:rPr>
          <w:sz w:val="24"/>
          <w:szCs w:val="24"/>
          <w:color w:val="auto"/>
        </w:rPr>
      </w:pPr>
    </w:p>
    <w:p>
      <w:pPr>
        <w:jc w:val="center"/>
        <w:ind w:right="-719"/>
        <w:spacing w:after="0"/>
        <w:rPr>
          <w:sz w:val="20"/>
          <w:szCs w:val="20"/>
          <w:color w:val="auto"/>
        </w:rPr>
      </w:pPr>
      <w:r>
        <w:rPr>
          <w:rFonts w:ascii="Arial" w:cs="Arial" w:eastAsia="Arial" w:hAnsi="Arial"/>
          <w:sz w:val="18"/>
          <w:szCs w:val="18"/>
          <w:b w:val="1"/>
          <w:bCs w:val="1"/>
          <w:color w:val="auto"/>
        </w:rPr>
        <w:t>85-1195036</w:t>
      </w:r>
    </w:p>
    <w:p>
      <w:pPr>
        <w:spacing w:after="0" w:line="19" w:lineRule="exact"/>
        <w:rPr>
          <w:sz w:val="24"/>
          <w:szCs w:val="24"/>
          <w:color w:val="auto"/>
        </w:rPr>
      </w:pPr>
    </w:p>
    <w:p>
      <w:pPr>
        <w:jc w:val="center"/>
        <w:ind w:right="-719"/>
        <w:spacing w:after="0"/>
        <w:rPr>
          <w:sz w:val="20"/>
          <w:szCs w:val="20"/>
          <w:color w:val="auto"/>
        </w:rPr>
      </w:pPr>
      <w:r>
        <w:rPr>
          <w:rFonts w:ascii="Arial" w:cs="Arial" w:eastAsia="Arial" w:hAnsi="Arial"/>
          <w:sz w:val="14"/>
          <w:szCs w:val="14"/>
          <w:b w:val="1"/>
          <w:bCs w:val="1"/>
          <w:color w:val="auto"/>
        </w:rPr>
        <w:t>(I.R.S. Employer</w:t>
      </w:r>
    </w:p>
    <w:p>
      <w:pPr>
        <w:spacing w:after="0" w:line="1" w:lineRule="exact"/>
        <w:rPr>
          <w:sz w:val="24"/>
          <w:szCs w:val="24"/>
          <w:color w:val="auto"/>
        </w:rPr>
      </w:pPr>
    </w:p>
    <w:p>
      <w:pPr>
        <w:jc w:val="center"/>
        <w:ind w:right="-719"/>
        <w:spacing w:after="0"/>
        <w:rPr>
          <w:sz w:val="20"/>
          <w:szCs w:val="20"/>
          <w:color w:val="auto"/>
        </w:rPr>
      </w:pPr>
      <w:r>
        <w:rPr>
          <w:rFonts w:ascii="Arial" w:cs="Arial" w:eastAsia="Arial" w:hAnsi="Arial"/>
          <w:sz w:val="14"/>
          <w:szCs w:val="14"/>
          <w:b w:val="1"/>
          <w:bCs w:val="1"/>
          <w:color w:val="auto"/>
        </w:rPr>
        <w:t>Identification Number)</w:t>
      </w:r>
    </w:p>
    <w:p>
      <w:pPr>
        <w:spacing w:after="0" w:line="193" w:lineRule="exact"/>
        <w:rPr>
          <w:sz w:val="24"/>
          <w:szCs w:val="24"/>
          <w:color w:val="auto"/>
        </w:rPr>
      </w:pPr>
    </w:p>
    <w:p>
      <w:pPr>
        <w:jc w:val="center"/>
        <w:ind w:right="-719"/>
        <w:spacing w:after="0"/>
        <w:rPr>
          <w:sz w:val="20"/>
          <w:szCs w:val="20"/>
          <w:color w:val="auto"/>
        </w:rPr>
      </w:pPr>
      <w:r>
        <w:rPr>
          <w:rFonts w:ascii="Arial" w:cs="Arial" w:eastAsia="Arial" w:hAnsi="Arial"/>
          <w:sz w:val="18"/>
          <w:szCs w:val="18"/>
          <w:b w:val="1"/>
          <w:bCs w:val="1"/>
          <w:color w:val="auto"/>
        </w:rPr>
        <w:t>201 Brookline Avenue, Suite 901</w:t>
      </w:r>
    </w:p>
    <w:p>
      <w:pPr>
        <w:spacing w:after="0" w:line="9" w:lineRule="exact"/>
        <w:rPr>
          <w:sz w:val="24"/>
          <w:szCs w:val="24"/>
          <w:color w:val="auto"/>
        </w:rPr>
      </w:pPr>
    </w:p>
    <w:p>
      <w:pPr>
        <w:jc w:val="center"/>
        <w:ind w:right="-719"/>
        <w:spacing w:after="0"/>
        <w:rPr>
          <w:sz w:val="20"/>
          <w:szCs w:val="20"/>
          <w:color w:val="auto"/>
        </w:rPr>
      </w:pPr>
      <w:r>
        <w:rPr>
          <w:rFonts w:ascii="Arial" w:cs="Arial" w:eastAsia="Arial" w:hAnsi="Arial"/>
          <w:sz w:val="18"/>
          <w:szCs w:val="18"/>
          <w:b w:val="1"/>
          <w:bCs w:val="1"/>
          <w:color w:val="auto"/>
        </w:rPr>
        <w:t>Boston, MA 02215</w:t>
      </w:r>
    </w:p>
    <w:p>
      <w:pPr>
        <w:jc w:val="center"/>
        <w:ind w:right="-719"/>
        <w:spacing w:after="0"/>
        <w:rPr>
          <w:sz w:val="20"/>
          <w:szCs w:val="20"/>
          <w:color w:val="auto"/>
        </w:rPr>
      </w:pPr>
      <w:r>
        <w:rPr>
          <w:rFonts w:ascii="Arial" w:cs="Arial" w:eastAsia="Arial" w:hAnsi="Arial"/>
          <w:sz w:val="18"/>
          <w:szCs w:val="18"/>
          <w:b w:val="1"/>
          <w:bCs w:val="1"/>
          <w:color w:val="auto"/>
        </w:rPr>
        <w:t>(857) 320-4900</w:t>
      </w:r>
    </w:p>
    <w:p>
      <w:pPr>
        <w:spacing w:after="0" w:line="1" w:lineRule="exact"/>
        <w:rPr>
          <w:sz w:val="24"/>
          <w:szCs w:val="24"/>
          <w:color w:val="auto"/>
        </w:rPr>
      </w:pPr>
    </w:p>
    <w:p>
      <w:pPr>
        <w:ind w:left="166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220345</wp:posOffset>
            </wp:positionV>
            <wp:extent cx="22459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719"/>
        <w:spacing w:after="0"/>
        <w:rPr>
          <w:sz w:val="20"/>
          <w:szCs w:val="20"/>
          <w:color w:val="auto"/>
        </w:rPr>
      </w:pPr>
      <w:r>
        <w:rPr>
          <w:rFonts w:ascii="Arial" w:cs="Arial" w:eastAsia="Arial" w:hAnsi="Arial"/>
          <w:sz w:val="18"/>
          <w:szCs w:val="18"/>
          <w:b w:val="1"/>
          <w:bCs w:val="1"/>
          <w:color w:val="auto"/>
        </w:rPr>
        <w:t>Barbara Weber, M.D.</w:t>
      </w:r>
    </w:p>
    <w:p>
      <w:pPr>
        <w:spacing w:after="0" w:line="9" w:lineRule="exact"/>
        <w:rPr>
          <w:sz w:val="24"/>
          <w:szCs w:val="24"/>
          <w:color w:val="auto"/>
        </w:rPr>
      </w:pPr>
    </w:p>
    <w:p>
      <w:pPr>
        <w:jc w:val="center"/>
        <w:ind w:right="-719"/>
        <w:spacing w:after="0"/>
        <w:rPr>
          <w:sz w:val="20"/>
          <w:szCs w:val="20"/>
          <w:color w:val="auto"/>
        </w:rPr>
      </w:pPr>
      <w:r>
        <w:rPr>
          <w:rFonts w:ascii="Arial" w:cs="Arial" w:eastAsia="Arial" w:hAnsi="Arial"/>
          <w:sz w:val="18"/>
          <w:szCs w:val="18"/>
          <w:b w:val="1"/>
          <w:bCs w:val="1"/>
          <w:color w:val="auto"/>
        </w:rPr>
        <w:t>President and Chief Executive Officer</w:t>
      </w:r>
    </w:p>
    <w:p>
      <w:pPr>
        <w:jc w:val="center"/>
        <w:ind w:right="-719"/>
        <w:spacing w:after="0" w:line="234" w:lineRule="auto"/>
        <w:rPr>
          <w:sz w:val="20"/>
          <w:szCs w:val="20"/>
          <w:color w:val="auto"/>
        </w:rPr>
      </w:pPr>
      <w:r>
        <w:rPr>
          <w:rFonts w:ascii="Arial" w:cs="Arial" w:eastAsia="Arial" w:hAnsi="Arial"/>
          <w:sz w:val="18"/>
          <w:szCs w:val="18"/>
          <w:b w:val="1"/>
          <w:bCs w:val="1"/>
          <w:color w:val="auto"/>
        </w:rPr>
        <w:t>201 Brookline Avenue, Suite 901</w:t>
      </w:r>
    </w:p>
    <w:p>
      <w:pPr>
        <w:jc w:val="center"/>
        <w:ind w:right="-719"/>
        <w:spacing w:after="0" w:line="235" w:lineRule="auto"/>
        <w:rPr>
          <w:sz w:val="20"/>
          <w:szCs w:val="20"/>
          <w:color w:val="auto"/>
        </w:rPr>
      </w:pPr>
      <w:r>
        <w:rPr>
          <w:rFonts w:ascii="Arial" w:cs="Arial" w:eastAsia="Arial" w:hAnsi="Arial"/>
          <w:sz w:val="18"/>
          <w:szCs w:val="18"/>
          <w:b w:val="1"/>
          <w:bCs w:val="1"/>
          <w:color w:val="auto"/>
        </w:rPr>
        <w:t>Boston, MA 02215</w:t>
      </w:r>
    </w:p>
    <w:p>
      <w:pPr>
        <w:spacing w:after="0" w:line="1" w:lineRule="exact"/>
        <w:rPr>
          <w:sz w:val="24"/>
          <w:szCs w:val="24"/>
          <w:color w:val="auto"/>
        </w:rPr>
      </w:pPr>
    </w:p>
    <w:p>
      <w:pPr>
        <w:jc w:val="center"/>
        <w:ind w:right="-719"/>
        <w:spacing w:after="0"/>
        <w:rPr>
          <w:sz w:val="20"/>
          <w:szCs w:val="20"/>
          <w:color w:val="auto"/>
        </w:rPr>
      </w:pPr>
      <w:r>
        <w:rPr>
          <w:rFonts w:ascii="Arial" w:cs="Arial" w:eastAsia="Arial" w:hAnsi="Arial"/>
          <w:sz w:val="18"/>
          <w:szCs w:val="18"/>
          <w:b w:val="1"/>
          <w:bCs w:val="1"/>
          <w:color w:val="auto"/>
        </w:rPr>
        <w:t>(857) 320-4900</w:t>
      </w:r>
    </w:p>
    <w:p>
      <w:pPr>
        <w:spacing w:after="0" w:line="1" w:lineRule="exact"/>
        <w:rPr>
          <w:sz w:val="24"/>
          <w:szCs w:val="24"/>
          <w:color w:val="auto"/>
        </w:rPr>
      </w:pPr>
    </w:p>
    <w:p>
      <w:pPr>
        <w:ind w:left="2180"/>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220345</wp:posOffset>
            </wp:positionV>
            <wp:extent cx="22459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tbl>
      <w:tblPr>
        <w:tblLayout w:type="fixed"/>
        <w:tblInd w:w="1900" w:type="dxa"/>
        <w:tblCellMar>
          <w:top w:w="0" w:type="dxa"/>
          <w:left w:w="0" w:type="dxa"/>
          <w:bottom w:w="0" w:type="dxa"/>
          <w:right w:w="0" w:type="dxa"/>
        </w:tblCellMar>
      </w:tblPr>
      <w:tr>
        <w:trPr>
          <w:trHeight w:val="235"/>
        </w:trPr>
        <w:tc>
          <w:tcPr>
            <w:tcW w:w="2640" w:type="dxa"/>
            <w:vAlign w:val="bottom"/>
          </w:tcPr>
          <w:p>
            <w:pPr>
              <w:spacing w:after="0"/>
              <w:rPr>
                <w:sz w:val="20"/>
                <w:szCs w:val="20"/>
                <w:color w:val="auto"/>
              </w:rPr>
            </w:pPr>
          </w:p>
        </w:tc>
        <w:tc>
          <w:tcPr>
            <w:tcW w:w="5300" w:type="dxa"/>
            <w:vAlign w:val="bottom"/>
          </w:tcPr>
          <w:p>
            <w:pPr>
              <w:ind w:left="660"/>
              <w:spacing w:after="0"/>
              <w:rPr>
                <w:sz w:val="20"/>
                <w:szCs w:val="20"/>
                <w:color w:val="auto"/>
              </w:rPr>
            </w:pPr>
            <w:r>
              <w:rPr>
                <w:rFonts w:ascii="Arial" w:cs="Arial" w:eastAsia="Arial" w:hAnsi="Arial"/>
                <w:sz w:val="17"/>
                <w:szCs w:val="17"/>
                <w:b w:val="1"/>
                <w:bCs w:val="1"/>
                <w:i w:val="1"/>
                <w:iCs w:val="1"/>
                <w:color w:val="auto"/>
              </w:rPr>
              <w:t>Copies to:</w:t>
            </w:r>
          </w:p>
        </w:tc>
      </w:tr>
      <w:tr>
        <w:trPr>
          <w:trHeight w:val="403"/>
        </w:trPr>
        <w:tc>
          <w:tcPr>
            <w:tcW w:w="2640" w:type="dxa"/>
            <w:vAlign w:val="bottom"/>
          </w:tcPr>
          <w:p>
            <w:pPr>
              <w:jc w:val="center"/>
              <w:ind w:right="570"/>
              <w:spacing w:after="0"/>
              <w:rPr>
                <w:sz w:val="20"/>
                <w:szCs w:val="20"/>
                <w:color w:val="auto"/>
              </w:rPr>
            </w:pPr>
            <w:r>
              <w:rPr>
                <w:rFonts w:ascii="Arial" w:cs="Arial" w:eastAsia="Arial" w:hAnsi="Arial"/>
                <w:sz w:val="18"/>
                <w:szCs w:val="18"/>
                <w:b w:val="1"/>
                <w:bCs w:val="1"/>
                <w:color w:val="auto"/>
                <w:w w:val="99"/>
              </w:rPr>
              <w:t>Mitchell S. Bloom, Esq.</w:t>
            </w:r>
          </w:p>
        </w:tc>
        <w:tc>
          <w:tcPr>
            <w:tcW w:w="5300" w:type="dxa"/>
            <w:vAlign w:val="bottom"/>
          </w:tcPr>
          <w:p>
            <w:pPr>
              <w:jc w:val="center"/>
              <w:ind w:left="2451"/>
              <w:spacing w:after="0"/>
              <w:rPr>
                <w:sz w:val="20"/>
                <w:szCs w:val="20"/>
                <w:color w:val="auto"/>
              </w:rPr>
            </w:pPr>
            <w:r>
              <w:rPr>
                <w:rFonts w:ascii="Arial" w:cs="Arial" w:eastAsia="Arial" w:hAnsi="Arial"/>
                <w:sz w:val="18"/>
                <w:szCs w:val="18"/>
                <w:b w:val="1"/>
                <w:bCs w:val="1"/>
                <w:color w:val="auto"/>
                <w:w w:val="98"/>
              </w:rPr>
              <w:t>Douglas Barry, Esq.</w:t>
            </w:r>
          </w:p>
        </w:tc>
      </w:tr>
      <w:tr>
        <w:trPr>
          <w:trHeight w:val="203"/>
        </w:trPr>
        <w:tc>
          <w:tcPr>
            <w:tcW w:w="2640" w:type="dxa"/>
            <w:vAlign w:val="bottom"/>
          </w:tcPr>
          <w:p>
            <w:pPr>
              <w:jc w:val="center"/>
              <w:ind w:right="550"/>
              <w:spacing w:after="0" w:line="202" w:lineRule="exact"/>
              <w:rPr>
                <w:sz w:val="20"/>
                <w:szCs w:val="20"/>
                <w:color w:val="auto"/>
              </w:rPr>
            </w:pPr>
            <w:r>
              <w:rPr>
                <w:rFonts w:ascii="Arial" w:cs="Arial" w:eastAsia="Arial" w:hAnsi="Arial"/>
                <w:sz w:val="18"/>
                <w:szCs w:val="18"/>
                <w:b w:val="1"/>
                <w:bCs w:val="1"/>
                <w:color w:val="auto"/>
              </w:rPr>
              <w:t>William D. Collins, Esq.</w:t>
            </w:r>
          </w:p>
        </w:tc>
        <w:tc>
          <w:tcPr>
            <w:tcW w:w="5300" w:type="dxa"/>
            <w:vAlign w:val="bottom"/>
          </w:tcPr>
          <w:p>
            <w:pPr>
              <w:jc w:val="center"/>
              <w:ind w:left="2451"/>
              <w:spacing w:after="0" w:line="202" w:lineRule="exact"/>
              <w:rPr>
                <w:sz w:val="20"/>
                <w:szCs w:val="20"/>
                <w:color w:val="auto"/>
              </w:rPr>
            </w:pPr>
            <w:r>
              <w:rPr>
                <w:rFonts w:ascii="Arial" w:cs="Arial" w:eastAsia="Arial" w:hAnsi="Arial"/>
                <w:sz w:val="18"/>
                <w:szCs w:val="18"/>
                <w:b w:val="1"/>
                <w:bCs w:val="1"/>
                <w:color w:val="auto"/>
              </w:rPr>
              <w:t>General Counsel</w:t>
            </w:r>
          </w:p>
        </w:tc>
      </w:tr>
      <w:tr>
        <w:trPr>
          <w:trHeight w:val="202"/>
        </w:trPr>
        <w:tc>
          <w:tcPr>
            <w:tcW w:w="2640" w:type="dxa"/>
            <w:vAlign w:val="bottom"/>
          </w:tcPr>
          <w:p>
            <w:pPr>
              <w:jc w:val="center"/>
              <w:ind w:right="550"/>
              <w:spacing w:after="0" w:line="202" w:lineRule="exact"/>
              <w:rPr>
                <w:sz w:val="20"/>
                <w:szCs w:val="20"/>
                <w:color w:val="auto"/>
              </w:rPr>
            </w:pPr>
            <w:r>
              <w:rPr>
                <w:rFonts w:ascii="Arial" w:cs="Arial" w:eastAsia="Arial" w:hAnsi="Arial"/>
                <w:sz w:val="18"/>
                <w:szCs w:val="18"/>
                <w:b w:val="1"/>
                <w:bCs w:val="1"/>
                <w:color w:val="auto"/>
                <w:w w:val="99"/>
              </w:rPr>
              <w:t>Goodwin Procter LLP</w:t>
            </w:r>
          </w:p>
        </w:tc>
        <w:tc>
          <w:tcPr>
            <w:tcW w:w="5300" w:type="dxa"/>
            <w:vAlign w:val="bottom"/>
          </w:tcPr>
          <w:p>
            <w:pPr>
              <w:jc w:val="center"/>
              <w:ind w:left="2451"/>
              <w:spacing w:after="0" w:line="202" w:lineRule="exact"/>
              <w:rPr>
                <w:sz w:val="20"/>
                <w:szCs w:val="20"/>
                <w:color w:val="auto"/>
              </w:rPr>
            </w:pPr>
            <w:r>
              <w:rPr>
                <w:rFonts w:ascii="Arial" w:cs="Arial" w:eastAsia="Arial" w:hAnsi="Arial"/>
                <w:sz w:val="18"/>
                <w:szCs w:val="18"/>
                <w:b w:val="1"/>
                <w:bCs w:val="1"/>
                <w:color w:val="auto"/>
                <w:w w:val="99"/>
              </w:rPr>
              <w:t>Tango Therapeutics, Inc.</w:t>
            </w:r>
          </w:p>
        </w:tc>
      </w:tr>
      <w:tr>
        <w:trPr>
          <w:trHeight w:val="203"/>
        </w:trPr>
        <w:tc>
          <w:tcPr>
            <w:tcW w:w="2640" w:type="dxa"/>
            <w:vAlign w:val="bottom"/>
          </w:tcPr>
          <w:p>
            <w:pPr>
              <w:jc w:val="center"/>
              <w:ind w:right="550"/>
              <w:spacing w:after="0" w:line="202" w:lineRule="exact"/>
              <w:rPr>
                <w:sz w:val="20"/>
                <w:szCs w:val="20"/>
                <w:color w:val="auto"/>
              </w:rPr>
            </w:pPr>
            <w:r>
              <w:rPr>
                <w:rFonts w:ascii="Arial" w:cs="Arial" w:eastAsia="Arial" w:hAnsi="Arial"/>
                <w:sz w:val="18"/>
                <w:szCs w:val="18"/>
                <w:b w:val="1"/>
                <w:bCs w:val="1"/>
                <w:color w:val="auto"/>
                <w:w w:val="99"/>
              </w:rPr>
              <w:t>100 Northern Avenue</w:t>
            </w:r>
          </w:p>
        </w:tc>
        <w:tc>
          <w:tcPr>
            <w:tcW w:w="5300" w:type="dxa"/>
            <w:vAlign w:val="bottom"/>
          </w:tcPr>
          <w:p>
            <w:pPr>
              <w:jc w:val="center"/>
              <w:ind w:left="2451"/>
              <w:spacing w:after="0" w:line="202" w:lineRule="exact"/>
              <w:rPr>
                <w:sz w:val="20"/>
                <w:szCs w:val="20"/>
                <w:color w:val="auto"/>
              </w:rPr>
            </w:pPr>
            <w:r>
              <w:rPr>
                <w:rFonts w:ascii="Arial" w:cs="Arial" w:eastAsia="Arial" w:hAnsi="Arial"/>
                <w:sz w:val="18"/>
                <w:szCs w:val="18"/>
                <w:b w:val="1"/>
                <w:bCs w:val="1"/>
                <w:color w:val="auto"/>
                <w:w w:val="99"/>
              </w:rPr>
              <w:t>201 Brookline Avenue, Suite 901</w:t>
            </w:r>
          </w:p>
        </w:tc>
      </w:tr>
      <w:tr>
        <w:trPr>
          <w:trHeight w:val="203"/>
        </w:trPr>
        <w:tc>
          <w:tcPr>
            <w:tcW w:w="2640" w:type="dxa"/>
            <w:vAlign w:val="bottom"/>
          </w:tcPr>
          <w:p>
            <w:pPr>
              <w:jc w:val="center"/>
              <w:ind w:right="550"/>
              <w:spacing w:after="0" w:line="202" w:lineRule="exact"/>
              <w:rPr>
                <w:sz w:val="20"/>
                <w:szCs w:val="20"/>
                <w:color w:val="auto"/>
              </w:rPr>
            </w:pPr>
            <w:r>
              <w:rPr>
                <w:rFonts w:ascii="Arial" w:cs="Arial" w:eastAsia="Arial" w:hAnsi="Arial"/>
                <w:sz w:val="18"/>
                <w:szCs w:val="18"/>
                <w:b w:val="1"/>
                <w:bCs w:val="1"/>
                <w:color w:val="auto"/>
              </w:rPr>
              <w:t>Boston, MA 02210</w:t>
            </w:r>
          </w:p>
        </w:tc>
        <w:tc>
          <w:tcPr>
            <w:tcW w:w="5300" w:type="dxa"/>
            <w:vAlign w:val="bottom"/>
          </w:tcPr>
          <w:p>
            <w:pPr>
              <w:jc w:val="center"/>
              <w:ind w:left="2451"/>
              <w:spacing w:after="0" w:line="202" w:lineRule="exact"/>
              <w:rPr>
                <w:sz w:val="20"/>
                <w:szCs w:val="20"/>
                <w:color w:val="auto"/>
              </w:rPr>
            </w:pPr>
            <w:r>
              <w:rPr>
                <w:rFonts w:ascii="Arial" w:cs="Arial" w:eastAsia="Arial" w:hAnsi="Arial"/>
                <w:sz w:val="18"/>
                <w:szCs w:val="18"/>
                <w:b w:val="1"/>
                <w:bCs w:val="1"/>
                <w:color w:val="auto"/>
              </w:rPr>
              <w:t>Boston, MA 02215</w:t>
            </w:r>
          </w:p>
        </w:tc>
      </w:tr>
      <w:tr>
        <w:trPr>
          <w:trHeight w:val="247"/>
        </w:trPr>
        <w:tc>
          <w:tcPr>
            <w:tcW w:w="2640" w:type="dxa"/>
            <w:vAlign w:val="bottom"/>
          </w:tcPr>
          <w:p>
            <w:pPr>
              <w:jc w:val="center"/>
              <w:ind w:right="550"/>
              <w:spacing w:after="0"/>
              <w:rPr>
                <w:sz w:val="20"/>
                <w:szCs w:val="20"/>
                <w:color w:val="auto"/>
              </w:rPr>
            </w:pPr>
            <w:r>
              <w:rPr>
                <w:rFonts w:ascii="Arial" w:cs="Arial" w:eastAsia="Arial" w:hAnsi="Arial"/>
                <w:sz w:val="18"/>
                <w:szCs w:val="18"/>
                <w:b w:val="1"/>
                <w:bCs w:val="1"/>
                <w:color w:val="auto"/>
              </w:rPr>
              <w:t>(617) 570-1000</w:t>
            </w:r>
          </w:p>
        </w:tc>
        <w:tc>
          <w:tcPr>
            <w:tcW w:w="5300" w:type="dxa"/>
            <w:vAlign w:val="bottom"/>
          </w:tcPr>
          <w:p>
            <w:pPr>
              <w:jc w:val="center"/>
              <w:ind w:left="2451"/>
              <w:spacing w:after="0"/>
              <w:rPr>
                <w:sz w:val="20"/>
                <w:szCs w:val="20"/>
                <w:color w:val="auto"/>
              </w:rPr>
            </w:pPr>
            <w:r>
              <w:rPr>
                <w:rFonts w:ascii="Arial" w:cs="Arial" w:eastAsia="Arial" w:hAnsi="Arial"/>
                <w:sz w:val="18"/>
                <w:szCs w:val="18"/>
                <w:b w:val="1"/>
                <w:bCs w:val="1"/>
                <w:color w:val="auto"/>
              </w:rPr>
              <w:t>(857) 320-4900</w:t>
            </w:r>
          </w:p>
        </w:tc>
      </w:tr>
    </w:tbl>
    <w:p>
      <w:pPr>
        <w:sectPr>
          <w:pgSz w:w="11900" w:h="16838" w:orient="portrait"/>
          <w:cols w:equalWidth="0" w:num="1">
            <w:col w:w="10540"/>
          </w:cols>
          <w:pgMar w:left="320" w:top="226" w:right="10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276860</wp:posOffset>
            </wp:positionV>
            <wp:extent cx="22459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 xml:space="preserve">Approximate date of commencement of proposed sale to the public: </w:t>
      </w:r>
      <w:r>
        <w:rPr>
          <w:rFonts w:ascii="Arial" w:cs="Arial" w:eastAsia="Arial" w:hAnsi="Arial"/>
          <w:sz w:val="17"/>
          <w:szCs w:val="17"/>
          <w:color w:val="auto"/>
        </w:rPr>
        <w:t>From time to time after this registration statement becomes effective.</w:t>
      </w:r>
    </w:p>
    <w:p>
      <w:pPr>
        <w:spacing w:after="0" w:line="210" w:lineRule="exact"/>
        <w:rPr>
          <w:sz w:val="20"/>
          <w:szCs w:val="20"/>
          <w:color w:val="auto"/>
        </w:rPr>
      </w:pPr>
    </w:p>
    <w:p>
      <w:pPr>
        <w:ind w:left="120" w:right="640"/>
        <w:spacing w:after="0" w:line="222" w:lineRule="exact"/>
        <w:rPr>
          <w:sz w:val="20"/>
          <w:szCs w:val="20"/>
          <w:color w:val="auto"/>
        </w:rPr>
      </w:pPr>
      <w:r>
        <w:rPr>
          <w:rFonts w:ascii="Arial" w:cs="Arial" w:eastAsia="Arial" w:hAnsi="Arial"/>
          <w:sz w:val="17"/>
          <w:szCs w:val="17"/>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7"/>
          <w:szCs w:val="17"/>
          <w:color w:val="auto"/>
        </w:rPr>
        <w:t>☐</w:t>
      </w:r>
    </w:p>
    <w:p>
      <w:pPr>
        <w:spacing w:after="0" w:line="178" w:lineRule="exact"/>
        <w:rPr>
          <w:sz w:val="20"/>
          <w:szCs w:val="20"/>
          <w:color w:val="auto"/>
        </w:rPr>
      </w:pPr>
    </w:p>
    <w:p>
      <w:pPr>
        <w:ind w:left="120" w:right="20"/>
        <w:spacing w:after="0" w:line="222"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178" w:lineRule="exact"/>
        <w:rPr>
          <w:sz w:val="20"/>
          <w:szCs w:val="20"/>
          <w:color w:val="auto"/>
        </w:rPr>
      </w:pPr>
    </w:p>
    <w:p>
      <w:pPr>
        <w:ind w:left="120" w:right="40"/>
        <w:spacing w:after="0" w:line="222"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78" w:lineRule="exact"/>
        <w:rPr>
          <w:sz w:val="20"/>
          <w:szCs w:val="20"/>
          <w:color w:val="auto"/>
        </w:rPr>
      </w:pPr>
    </w:p>
    <w:p>
      <w:pPr>
        <w:ind w:left="120" w:right="240"/>
        <w:spacing w:after="0" w:line="222" w:lineRule="exact"/>
        <w:rPr>
          <w:sz w:val="20"/>
          <w:szCs w:val="20"/>
          <w:color w:val="auto"/>
        </w:rPr>
      </w:pPr>
      <w:r>
        <w:rPr>
          <w:rFonts w:ascii="Arial" w:cs="Arial" w:eastAsia="Arial" w:hAnsi="Arial"/>
          <w:sz w:val="17"/>
          <w:szCs w:val="17"/>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78" w:lineRule="exact"/>
        <w:rPr>
          <w:sz w:val="20"/>
          <w:szCs w:val="20"/>
          <w:color w:val="auto"/>
        </w:rPr>
      </w:pPr>
    </w:p>
    <w:p>
      <w:pPr>
        <w:ind w:left="120" w:right="60"/>
        <w:spacing w:after="0" w:line="222" w:lineRule="exact"/>
        <w:rPr>
          <w:sz w:val="20"/>
          <w:szCs w:val="20"/>
          <w:color w:val="auto"/>
        </w:rPr>
      </w:pPr>
      <w:r>
        <w:rPr>
          <w:rFonts w:ascii="Arial" w:cs="Arial" w:eastAsia="Arial" w:hAnsi="Arial"/>
          <w:sz w:val="17"/>
          <w:szCs w:val="17"/>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7"/>
          <w:szCs w:val="17"/>
          <w:color w:val="auto"/>
        </w:rPr>
        <w:t>☐</w:t>
      </w:r>
    </w:p>
    <w:p>
      <w:pPr>
        <w:spacing w:after="0" w:line="178" w:lineRule="exact"/>
        <w:rPr>
          <w:sz w:val="20"/>
          <w:szCs w:val="20"/>
          <w:color w:val="auto"/>
        </w:rPr>
      </w:pPr>
    </w:p>
    <w:p>
      <w:pPr>
        <w:ind w:left="120" w:right="60"/>
        <w:spacing w:after="0" w:line="222" w:lineRule="exact"/>
        <w:rPr>
          <w:sz w:val="20"/>
          <w:szCs w:val="20"/>
          <w:color w:val="auto"/>
        </w:rPr>
      </w:pPr>
      <w:r>
        <w:rPr>
          <w:rFonts w:ascii="Arial" w:cs="Arial" w:eastAsia="Arial" w:hAnsi="Arial"/>
          <w:sz w:val="17"/>
          <w:szCs w:val="17"/>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7"/>
          <w:szCs w:val="17"/>
          <w:color w:val="auto"/>
        </w:rPr>
        <w:t>☐</w:t>
      </w:r>
    </w:p>
    <w:p>
      <w:pPr>
        <w:spacing w:after="0" w:line="178" w:lineRule="exact"/>
        <w:rPr>
          <w:sz w:val="20"/>
          <w:szCs w:val="20"/>
          <w:color w:val="auto"/>
        </w:rPr>
      </w:pPr>
    </w:p>
    <w:p>
      <w:pPr>
        <w:ind w:left="120" w:right="360"/>
        <w:spacing w:after="0" w:line="24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269"/>
        </w:trPr>
        <w:tc>
          <w:tcPr>
            <w:tcW w:w="196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320" w:type="dxa"/>
            <w:vAlign w:val="bottom"/>
          </w:tcPr>
          <w:p>
            <w:pPr>
              <w:ind w:left="260"/>
              <w:spacing w:after="0" w:line="171" w:lineRule="exact"/>
              <w:rPr>
                <w:sz w:val="20"/>
                <w:szCs w:val="20"/>
                <w:color w:val="auto"/>
              </w:rPr>
            </w:pPr>
            <w:r>
              <w:rPr>
                <w:rFonts w:ascii="MS PGothic" w:cs="MS PGothic" w:eastAsia="MS PGothic" w:hAnsi="MS PGothic"/>
                <w:sz w:val="17"/>
                <w:szCs w:val="17"/>
                <w:color w:val="auto"/>
              </w:rPr>
              <w:t>☐</w:t>
            </w:r>
          </w:p>
        </w:tc>
        <w:tc>
          <w:tcPr>
            <w:tcW w:w="5220" w:type="dxa"/>
            <w:vAlign w:val="bottom"/>
          </w:tcPr>
          <w:p>
            <w:pPr>
              <w:ind w:left="2880"/>
              <w:spacing w:after="0"/>
              <w:rPr>
                <w:sz w:val="20"/>
                <w:szCs w:val="20"/>
                <w:color w:val="auto"/>
              </w:rPr>
            </w:pPr>
            <w:r>
              <w:rPr>
                <w:rFonts w:ascii="Arial" w:cs="Arial" w:eastAsia="Arial" w:hAnsi="Arial"/>
                <w:sz w:val="17"/>
                <w:szCs w:val="17"/>
                <w:color w:val="auto"/>
              </w:rPr>
              <w:t>Accelerated filer</w:t>
            </w:r>
          </w:p>
        </w:tc>
        <w:tc>
          <w:tcPr>
            <w:tcW w:w="440" w:type="dxa"/>
            <w:vAlign w:val="bottom"/>
          </w:tcPr>
          <w:p>
            <w:pPr>
              <w:ind w:left="30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324"/>
        </w:trPr>
        <w:tc>
          <w:tcPr>
            <w:tcW w:w="1960" w:type="dxa"/>
            <w:vAlign w:val="bottom"/>
          </w:tcPr>
          <w:p>
            <w:pPr>
              <w:spacing w:after="0"/>
              <w:rPr>
                <w:sz w:val="20"/>
                <w:szCs w:val="20"/>
                <w:color w:val="auto"/>
              </w:rPr>
            </w:pPr>
            <w:r>
              <w:rPr>
                <w:rFonts w:ascii="Arial" w:cs="Arial" w:eastAsia="Arial" w:hAnsi="Arial"/>
                <w:sz w:val="17"/>
                <w:szCs w:val="17"/>
                <w:color w:val="auto"/>
              </w:rPr>
              <w:t>Non-accelerated filer</w:t>
            </w:r>
          </w:p>
        </w:tc>
        <w:tc>
          <w:tcPr>
            <w:tcW w:w="3320" w:type="dxa"/>
            <w:vAlign w:val="bottom"/>
          </w:tcPr>
          <w:p>
            <w:pPr>
              <w:ind w:left="260"/>
              <w:spacing w:after="0" w:line="171" w:lineRule="exact"/>
              <w:rPr>
                <w:sz w:val="20"/>
                <w:szCs w:val="20"/>
                <w:color w:val="auto"/>
              </w:rPr>
            </w:pPr>
            <w:r>
              <w:rPr>
                <w:rFonts w:ascii="MS PGothic" w:cs="MS PGothic" w:eastAsia="MS PGothic" w:hAnsi="MS PGothic"/>
                <w:sz w:val="17"/>
                <w:szCs w:val="17"/>
                <w:color w:val="auto"/>
              </w:rPr>
              <w:t>☒</w:t>
            </w:r>
          </w:p>
        </w:tc>
        <w:tc>
          <w:tcPr>
            <w:tcW w:w="5220" w:type="dxa"/>
            <w:vAlign w:val="bottom"/>
          </w:tcPr>
          <w:p>
            <w:pPr>
              <w:ind w:left="2880"/>
              <w:spacing w:after="0"/>
              <w:rPr>
                <w:sz w:val="20"/>
                <w:szCs w:val="20"/>
                <w:color w:val="auto"/>
              </w:rPr>
            </w:pPr>
            <w:r>
              <w:rPr>
                <w:rFonts w:ascii="Arial" w:cs="Arial" w:eastAsia="Arial" w:hAnsi="Arial"/>
                <w:sz w:val="17"/>
                <w:szCs w:val="17"/>
                <w:color w:val="auto"/>
              </w:rPr>
              <w:t>Smaller reporting company</w:t>
            </w:r>
          </w:p>
        </w:tc>
        <w:tc>
          <w:tcPr>
            <w:tcW w:w="440" w:type="dxa"/>
            <w:vAlign w:val="bottom"/>
          </w:tcPr>
          <w:p>
            <w:pPr>
              <w:ind w:left="30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324"/>
        </w:trPr>
        <w:tc>
          <w:tcPr>
            <w:tcW w:w="19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5220" w:type="dxa"/>
            <w:vAlign w:val="bottom"/>
          </w:tcPr>
          <w:p>
            <w:pPr>
              <w:ind w:left="2880"/>
              <w:spacing w:after="0"/>
              <w:rPr>
                <w:sz w:val="20"/>
                <w:szCs w:val="20"/>
                <w:color w:val="auto"/>
              </w:rPr>
            </w:pPr>
            <w:r>
              <w:rPr>
                <w:rFonts w:ascii="Arial" w:cs="Arial" w:eastAsia="Arial" w:hAnsi="Arial"/>
                <w:sz w:val="17"/>
                <w:szCs w:val="17"/>
                <w:color w:val="auto"/>
              </w:rPr>
              <w:t>Emerging growth company</w:t>
            </w:r>
          </w:p>
        </w:tc>
        <w:tc>
          <w:tcPr>
            <w:tcW w:w="440" w:type="dxa"/>
            <w:vAlign w:val="bottom"/>
          </w:tcPr>
          <w:p>
            <w:pPr>
              <w:ind w:left="30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178" w:lineRule="exact"/>
        <w:rPr>
          <w:sz w:val="20"/>
          <w:szCs w:val="20"/>
          <w:color w:val="auto"/>
        </w:rPr>
      </w:pPr>
    </w:p>
    <w:p>
      <w:pPr>
        <w:ind w:left="120" w:right="180"/>
        <w:spacing w:after="0" w:line="222"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286" w:lineRule="exact"/>
        <w:rPr>
          <w:sz w:val="20"/>
          <w:szCs w:val="20"/>
          <w:color w:val="auto"/>
        </w:rPr>
      </w:pPr>
    </w:p>
    <w:p>
      <w:pPr>
        <w:ind w:left="120"/>
        <w:spacing w:after="0" w:line="248"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75565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118110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EXPLANATORY NOTE</w:t>
      </w:r>
    </w:p>
    <w:p>
      <w:pPr>
        <w:spacing w:after="0" w:line="316" w:lineRule="exact"/>
        <w:rPr>
          <w:sz w:val="20"/>
          <w:szCs w:val="20"/>
          <w:color w:val="auto"/>
        </w:rPr>
      </w:pPr>
    </w:p>
    <w:p>
      <w:pPr>
        <w:jc w:val="both"/>
        <w:ind w:left="120" w:right="40"/>
        <w:spacing w:after="0" w:line="249" w:lineRule="auto"/>
        <w:rPr>
          <w:sz w:val="20"/>
          <w:szCs w:val="20"/>
          <w:color w:val="auto"/>
        </w:rPr>
      </w:pPr>
      <w:r>
        <w:rPr>
          <w:rFonts w:ascii="Arial" w:cs="Arial" w:eastAsia="Arial" w:hAnsi="Arial"/>
          <w:sz w:val="17"/>
          <w:szCs w:val="17"/>
          <w:color w:val="auto"/>
        </w:rPr>
        <w:t>We are filing this registration statement with the Securities and Exchange Commission (the “SEC”) using a “shelf” registration process. Under this registered “shelf,” in the future, we may, from time to time, sell any combination of the securities described herein, in one or more offerings, up to a maximum aggregate offering price of $400,000,000.</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This registration statement contains two prospectuses:</w:t>
      </w:r>
    </w:p>
    <w:p>
      <w:pPr>
        <w:spacing w:after="0" w:line="196" w:lineRule="exact"/>
        <w:rPr>
          <w:sz w:val="20"/>
          <w:szCs w:val="20"/>
          <w:color w:val="auto"/>
        </w:rPr>
      </w:pPr>
    </w:p>
    <w:p>
      <w:pPr>
        <w:jc w:val="both"/>
        <w:ind w:left="980" w:right="160" w:hanging="432"/>
        <w:spacing w:after="0" w:line="247" w:lineRule="auto"/>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a base prospectus, which covers the offering, issuance and sale by us of up to a maximum aggregate offering price of $400,000,000 of our common stock, preferred stock, debt securities, warrants to purchase our common stock, and/or units from time to time in one or more offerings; and</w:t>
      </w:r>
    </w:p>
    <w:p>
      <w:pPr>
        <w:spacing w:after="0" w:line="3" w:lineRule="exact"/>
        <w:rPr>
          <w:rFonts w:ascii="MS PGothic" w:cs="MS PGothic" w:eastAsia="MS PGothic" w:hAnsi="MS PGothic"/>
          <w:sz w:val="13"/>
          <w:szCs w:val="13"/>
          <w:color w:val="auto"/>
        </w:rPr>
      </w:pPr>
    </w:p>
    <w:p>
      <w:pPr>
        <w:jc w:val="both"/>
        <w:ind w:left="980" w:right="80" w:hanging="432"/>
        <w:spacing w:after="0" w:line="249" w:lineRule="auto"/>
        <w:tabs>
          <w:tab w:leader="none" w:pos="980" w:val="left"/>
        </w:tabs>
        <w:numPr>
          <w:ilvl w:val="0"/>
          <w:numId w:val="1"/>
        </w:numPr>
        <w:rPr>
          <w:rFonts w:ascii="MS PGothic" w:cs="MS PGothic" w:eastAsia="MS PGothic" w:hAnsi="MS PGothic"/>
          <w:sz w:val="13"/>
          <w:szCs w:val="13"/>
          <w:color w:val="auto"/>
        </w:rPr>
      </w:pPr>
      <w:r>
        <w:rPr>
          <w:rFonts w:ascii="Arial" w:cs="Arial" w:eastAsia="Arial" w:hAnsi="Arial"/>
          <w:sz w:val="17"/>
          <w:szCs w:val="17"/>
          <w:color w:val="auto"/>
        </w:rPr>
        <w:t>a sale agreement prospectus supplement covering the offering, issuance and sale by us of up to a maximum aggregate offering price of up to $100,000,000 of our common stock that may be issued and sold from time to time under an Open Market Sale Agreement</w:t>
      </w:r>
      <w:r>
        <w:rPr>
          <w:rFonts w:ascii="Arial" w:cs="Arial" w:eastAsia="Arial" w:hAnsi="Arial"/>
          <w:sz w:val="12"/>
          <w:szCs w:val="12"/>
          <w:color w:val="auto"/>
        </w:rPr>
        <w:t>SM</w:t>
      </w:r>
      <w:r>
        <w:rPr>
          <w:rFonts w:ascii="Arial" w:cs="Arial" w:eastAsia="Arial" w:hAnsi="Arial"/>
          <w:sz w:val="17"/>
          <w:szCs w:val="17"/>
          <w:color w:val="auto"/>
        </w:rPr>
        <w:t>, or the Sale Agreement, with Jefferies LLC, as sales agent.</w:t>
      </w:r>
    </w:p>
    <w:p>
      <w:pPr>
        <w:spacing w:after="0" w:line="121"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The base prospectus immediately follows this explanatory note. The specific terms of any securities to be offered pursuant to the base prospectus will be specified in a prospectus to the base prospectus. The sale agreement prospectus supplement immediately follows the base prospectus. The $100,000,000 of common stock that may be offered, issued and sold under the sale agreement prospectus supplement is included in the $400,000,000 of securities that may be offered, issued and sold by us under the base prospectus. Upon termination of the Sale Agreement, any portion of the $100,000,000 included in the sale agreement prospectus supplement that is not sold pursuant to the Sale Agreement will be available for sale in other offerings pursuant to the base prospectus, and if no shares of common stock are sold under the Sale Agreement, the full $400,000,000 of securities may be sold in other offerings pursuant to the base prospectus and a corresponding prospectus supplement.</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b w:val="1"/>
          <w:bCs w:val="1"/>
          <w:color w:val="C21128"/>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p>
    <w:p>
      <w:pPr>
        <w:spacing w:after="0" w:line="91" w:lineRule="exact"/>
        <w:rPr>
          <w:sz w:val="20"/>
          <w:szCs w:val="20"/>
          <w:color w:val="auto"/>
        </w:rPr>
      </w:pPr>
    </w:p>
    <w:p>
      <w:pPr>
        <w:jc w:val="right"/>
        <w:spacing w:after="0"/>
        <w:rPr>
          <w:sz w:val="20"/>
          <w:szCs w:val="20"/>
          <w:color w:val="auto"/>
        </w:rPr>
      </w:pPr>
      <w:r>
        <w:rPr>
          <w:rFonts w:ascii="Arial" w:cs="Arial" w:eastAsia="Arial" w:hAnsi="Arial"/>
          <w:sz w:val="18"/>
          <w:szCs w:val="18"/>
          <w:color w:val="C21128"/>
        </w:rPr>
        <w:t>Subject to completion, dated September 1, 2022</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auto"/>
        </w:rPr>
        <w:t>$400,000,000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178435</wp:posOffset>
            </wp:positionV>
            <wp:extent cx="2314575" cy="668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1457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36"/>
          <w:szCs w:val="36"/>
          <w:b w:val="1"/>
          <w:bCs w:val="1"/>
          <w:color w:val="auto"/>
        </w:rPr>
        <w:t>Tango Therapeutics, Inc.</w:t>
      </w: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auto"/>
        </w:rPr>
        <w:t>Common Stock</w:t>
      </w:r>
    </w:p>
    <w:p>
      <w:pPr>
        <w:spacing w:after="0" w:line="34"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auto"/>
        </w:rPr>
        <w:t>Preferred Stock</w:t>
      </w:r>
    </w:p>
    <w:p>
      <w:pPr>
        <w:spacing w:after="0" w:line="4"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auto"/>
        </w:rPr>
        <w:t>Debt Securities</w:t>
      </w:r>
    </w:p>
    <w:p>
      <w:pPr>
        <w:spacing w:after="0" w:line="4"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auto"/>
        </w:rPr>
        <w:t>Warrants</w:t>
      </w:r>
    </w:p>
    <w:p>
      <w:pPr>
        <w:spacing w:after="0" w:line="4"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auto"/>
        </w:rPr>
        <w:t>Units</w:t>
      </w:r>
    </w:p>
    <w:p>
      <w:pPr>
        <w:spacing w:after="0" w:line="205"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color w:val="auto"/>
        </w:rPr>
        <w:t>We may offer and sell, from time to time issue, in one or more series or classes, up to $400,000,000 in aggregate principal amount of our common stock, preferred stock, debt securities, warrants and/or units, in any combination, together or separately, in one or more offerings in amounts, at prices and on the terms that we will determine at the time of the offering and which will be set forth in a prospectus supplement to this prospectus and any related free writing prospectus.</w:t>
      </w:r>
    </w:p>
    <w:p>
      <w:pPr>
        <w:spacing w:after="0" w:line="174"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color w:val="auto"/>
        </w:rPr>
        <w:t>We may offer these securities separately or together in units. Each time we sell securities described herein, we will provide prospective investors with a supplement to this prospectus that will specify the terms of the securities being offered. See “Plan of Distribution” in this prospectus. We may sell these securities to or through underwriters or dealers and also to other purchasers or through agents. We will set forth the names of any underwriters or agents, and any fees, conversions, or discount arrangements, in the applicable prospectus supplement. We may not sell any securities under this prospectus without delivery of the applicable prospectus supplement. You should read this document and any prospectus supplement or amendment carefully before you invest in our securities.</w:t>
      </w:r>
    </w:p>
    <w:p>
      <w:pPr>
        <w:spacing w:after="0" w:line="179" w:lineRule="exact"/>
        <w:rPr>
          <w:sz w:val="20"/>
          <w:szCs w:val="20"/>
          <w:color w:val="auto"/>
        </w:rPr>
      </w:pPr>
    </w:p>
    <w:p>
      <w:pPr>
        <w:ind w:left="120" w:right="640"/>
        <w:spacing w:after="0" w:line="271" w:lineRule="auto"/>
        <w:rPr>
          <w:sz w:val="20"/>
          <w:szCs w:val="20"/>
          <w:color w:val="auto"/>
        </w:rPr>
      </w:pPr>
      <w:r>
        <w:rPr>
          <w:rFonts w:ascii="Arial" w:cs="Arial" w:eastAsia="Arial" w:hAnsi="Arial"/>
          <w:sz w:val="18"/>
          <w:szCs w:val="18"/>
          <w:color w:val="auto"/>
        </w:rPr>
        <w:t>Our common stock is listed on The Nasdaq Global Market under the symbol “TNGX.” On August 31, 2022, the closing price for our common stock, as reported on The Nasdaq Global Market, was $4.10 per share.</w:t>
      </w:r>
    </w:p>
    <w:p>
      <w:pPr>
        <w:spacing w:after="0" w:line="154" w:lineRule="exact"/>
        <w:rPr>
          <w:sz w:val="20"/>
          <w:szCs w:val="20"/>
          <w:color w:val="auto"/>
        </w:rPr>
      </w:pPr>
    </w:p>
    <w:p>
      <w:pPr>
        <w:jc w:val="both"/>
        <w:ind w:left="120" w:right="80"/>
        <w:spacing w:after="0" w:line="257" w:lineRule="auto"/>
        <w:rPr>
          <w:sz w:val="20"/>
          <w:szCs w:val="20"/>
          <w:color w:val="auto"/>
        </w:rPr>
      </w:pPr>
      <w:r>
        <w:rPr>
          <w:rFonts w:ascii="Arial" w:cs="Arial" w:eastAsia="Arial" w:hAnsi="Arial"/>
          <w:sz w:val="18"/>
          <w:szCs w:val="18"/>
          <w:b w:val="1"/>
          <w:bCs w:val="1"/>
          <w:color w:val="auto"/>
        </w:rPr>
        <w:t>Investing in these securities involves certain risks. See “</w:t>
      </w:r>
      <w:r>
        <w:rPr>
          <w:rFonts w:ascii="Arial" w:cs="Arial" w:eastAsia="Arial" w:hAnsi="Arial"/>
          <w:sz w:val="18"/>
          <w:szCs w:val="18"/>
          <w:b w:val="1"/>
          <w:bCs w:val="1"/>
          <w:u w:val="single" w:color="auto"/>
          <w:color w:val="0000EE"/>
        </w:rPr>
        <w:t>Risk Factors</w:t>
      </w:r>
      <w:r>
        <w:rPr>
          <w:rFonts w:ascii="Arial" w:cs="Arial" w:eastAsia="Arial" w:hAnsi="Arial"/>
          <w:sz w:val="18"/>
          <w:szCs w:val="18"/>
          <w:b w:val="1"/>
          <w:bCs w:val="1"/>
          <w:color w:val="auto"/>
        </w:rPr>
        <w:t>” on page 2 of this prospectus as well as those included in any accompanying prospectus supplement and in the documents incorporated by reference in this prospectus for a discussion of the factors you should carefully consider before deciding to purchase these securities.</w:t>
      </w:r>
    </w:p>
    <w:p>
      <w:pPr>
        <w:spacing w:after="0" w:line="159" w:lineRule="exact"/>
        <w:rPr>
          <w:sz w:val="20"/>
          <w:szCs w:val="20"/>
          <w:color w:val="auto"/>
        </w:rPr>
      </w:pPr>
    </w:p>
    <w:p>
      <w:pPr>
        <w:ind w:left="120" w:right="40"/>
        <w:spacing w:after="0" w:line="311"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0" w:lineRule="exact"/>
        <w:rPr>
          <w:sz w:val="20"/>
          <w:szCs w:val="20"/>
          <w:color w:val="auto"/>
        </w:rPr>
      </w:pPr>
    </w:p>
    <w:p>
      <w:pPr>
        <w:spacing w:after="0" w:line="346" w:lineRule="exact"/>
        <w:rPr>
          <w:sz w:val="20"/>
          <w:szCs w:val="20"/>
          <w:color w:val="auto"/>
        </w:rPr>
      </w:pPr>
    </w:p>
    <w:tbl>
      <w:tblPr>
        <w:tblLayout w:type="fixed"/>
        <w:tblInd w:w="3680" w:type="dxa"/>
        <w:tblCellMar>
          <w:top w:w="0" w:type="dxa"/>
          <w:left w:w="0" w:type="dxa"/>
          <w:bottom w:w="0" w:type="dxa"/>
          <w:right w:w="0" w:type="dxa"/>
        </w:tblCellMar>
      </w:tblPr>
      <w:tr>
        <w:trPr>
          <w:trHeight w:val="239"/>
        </w:trPr>
        <w:tc>
          <w:tcPr>
            <w:tcW w:w="2840" w:type="dxa"/>
            <w:vAlign w:val="bottom"/>
          </w:tcPr>
          <w:p>
            <w:pPr>
              <w:spacing w:after="0"/>
              <w:rPr>
                <w:sz w:val="20"/>
                <w:szCs w:val="20"/>
                <w:color w:val="auto"/>
              </w:rPr>
            </w:pPr>
            <w:r>
              <w:rPr>
                <w:rFonts w:ascii="Arial" w:cs="Arial" w:eastAsia="Arial" w:hAnsi="Arial"/>
                <w:sz w:val="18"/>
                <w:szCs w:val="18"/>
                <w:color w:val="auto"/>
              </w:rPr>
              <w:t>The date of this prospectus is</w:t>
            </w:r>
          </w:p>
        </w:tc>
        <w:tc>
          <w:tcPr>
            <w:tcW w:w="1060" w:type="dxa"/>
            <w:vAlign w:val="bottom"/>
          </w:tcPr>
          <w:p>
            <w:pPr>
              <w:jc w:val="right"/>
              <w:spacing w:after="0"/>
              <w:rPr>
                <w:sz w:val="20"/>
                <w:szCs w:val="20"/>
                <w:color w:val="auto"/>
              </w:rPr>
            </w:pPr>
            <w:r>
              <w:rPr>
                <w:rFonts w:ascii="Arial" w:cs="Arial" w:eastAsia="Arial" w:hAnsi="Arial"/>
                <w:sz w:val="18"/>
                <w:szCs w:val="18"/>
                <w:color w:val="auto"/>
              </w:rPr>
              <w:t>, 2022.</w:t>
            </w:r>
          </w:p>
        </w:tc>
      </w:tr>
    </w:tbl>
    <w:p>
      <w:pPr>
        <w:sectPr>
          <w:pgSz w:w="11900" w:h="16838" w:orient="portrait"/>
          <w:cols w:equalWidth="0" w:num="1">
            <w:col w:w="11140"/>
          </w:cols>
          <w:pgMar w:left="320" w:top="455"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257810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8000" w:type="dxa"/>
            <w:vAlign w:val="bottom"/>
            <w:gridSpan w:val="15"/>
          </w:tcPr>
          <w:p>
            <w:pPr>
              <w:spacing w:after="0"/>
              <w:rPr>
                <w:sz w:val="20"/>
                <w:szCs w:val="20"/>
                <w:color w:val="auto"/>
              </w:rPr>
            </w:pPr>
            <w:r>
              <w:rPr>
                <w:rFonts w:ascii="Arial" w:cs="Arial" w:eastAsia="Arial" w:hAnsi="Arial"/>
                <w:sz w:val="17"/>
                <w:szCs w:val="17"/>
                <w:color w:val="0000EE"/>
              </w:rPr>
              <w:t>ABOUT THIS PROSPECTUS</w:t>
            </w:r>
          </w:p>
        </w:tc>
        <w:tc>
          <w:tcPr>
            <w:tcW w:w="30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385"/>
        </w:trPr>
        <w:tc>
          <w:tcPr>
            <w:tcW w:w="2240" w:type="dxa"/>
            <w:vAlign w:val="bottom"/>
            <w:tcBorders>
              <w:top w:val="single" w:sz="8" w:color="0000EE"/>
            </w:tcBorders>
            <w:gridSpan w:val="8"/>
          </w:tcPr>
          <w:p>
            <w:pPr>
              <w:spacing w:after="0"/>
              <w:rPr>
                <w:sz w:val="20"/>
                <w:szCs w:val="20"/>
                <w:color w:val="auto"/>
              </w:rPr>
            </w:pPr>
            <w:r>
              <w:rPr>
                <w:rFonts w:ascii="Arial" w:cs="Arial" w:eastAsia="Arial" w:hAnsi="Arial"/>
                <w:sz w:val="17"/>
                <w:szCs w:val="17"/>
                <w:color w:val="0000EE"/>
              </w:rPr>
              <w:t>RISK FACTORS</w:t>
            </w:r>
          </w:p>
        </w:tc>
        <w:tc>
          <w:tcPr>
            <w:tcW w:w="5760" w:type="dxa"/>
            <w:vAlign w:val="bottom"/>
            <w:gridSpan w:val="7"/>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0"/>
        </w:trPr>
        <w:tc>
          <w:tcPr>
            <w:tcW w:w="8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385"/>
        </w:trPr>
        <w:tc>
          <w:tcPr>
            <w:tcW w:w="8000" w:type="dxa"/>
            <w:vAlign w:val="bottom"/>
            <w:gridSpan w:val="15"/>
          </w:tcPr>
          <w:p>
            <w:pPr>
              <w:spacing w:after="0"/>
              <w:rPr>
                <w:sz w:val="20"/>
                <w:szCs w:val="20"/>
                <w:color w:val="auto"/>
              </w:rPr>
            </w:pPr>
            <w:r>
              <w:rPr>
                <w:rFonts w:ascii="Arial" w:cs="Arial" w:eastAsia="Arial" w:hAnsi="Arial"/>
                <w:sz w:val="17"/>
                <w:szCs w:val="17"/>
                <w:color w:val="0000EE"/>
              </w:rPr>
              <w:t>SPECIAL NOTE REGARDING FORWARD-LOOKING STATEMENTS</w:t>
            </w:r>
          </w:p>
        </w:tc>
        <w:tc>
          <w:tcPr>
            <w:tcW w:w="30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385"/>
        </w:trPr>
        <w:tc>
          <w:tcPr>
            <w:tcW w:w="128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7"/>
                <w:szCs w:val="17"/>
                <w:color w:val="0000EE"/>
                <w:w w:val="98"/>
              </w:rPr>
              <w:t>OUR COMPANY</w:t>
            </w:r>
          </w:p>
        </w:tc>
        <w:tc>
          <w:tcPr>
            <w:tcW w:w="3960" w:type="dxa"/>
            <w:vAlign w:val="bottom"/>
            <w:tcBorders>
              <w:top w:val="single" w:sz="8" w:color="0000EE"/>
            </w:tcBorders>
            <w:gridSpan w:val="11"/>
          </w:tcPr>
          <w:p>
            <w:pPr>
              <w:spacing w:after="0"/>
              <w:rPr>
                <w:sz w:val="24"/>
                <w:szCs w:val="24"/>
                <w:color w:val="auto"/>
              </w:rPr>
            </w:pPr>
          </w:p>
        </w:tc>
        <w:tc>
          <w:tcPr>
            <w:tcW w:w="2760" w:type="dxa"/>
            <w:vAlign w:val="bottom"/>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385"/>
        </w:trPr>
        <w:tc>
          <w:tcPr>
            <w:tcW w:w="1640" w:type="dxa"/>
            <w:vAlign w:val="bottom"/>
            <w:tcBorders>
              <w:bottom w:val="single" w:sz="8" w:color="0000EE"/>
            </w:tcBorders>
            <w:gridSpan w:val="5"/>
          </w:tcPr>
          <w:p>
            <w:pPr>
              <w:spacing w:after="0"/>
              <w:rPr>
                <w:sz w:val="20"/>
                <w:szCs w:val="20"/>
                <w:color w:val="auto"/>
              </w:rPr>
            </w:pPr>
            <w:r>
              <w:rPr>
                <w:rFonts w:ascii="Arial" w:cs="Arial" w:eastAsia="Arial" w:hAnsi="Arial"/>
                <w:sz w:val="17"/>
                <w:szCs w:val="17"/>
                <w:color w:val="0000EE"/>
                <w:w w:val="99"/>
              </w:rPr>
              <w:t>USE OF PROCEEDS</w:t>
            </w:r>
          </w:p>
        </w:tc>
        <w:tc>
          <w:tcPr>
            <w:tcW w:w="6360" w:type="dxa"/>
            <w:vAlign w:val="bottom"/>
            <w:gridSpan w:val="10"/>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385"/>
        </w:trPr>
        <w:tc>
          <w:tcPr>
            <w:tcW w:w="8000" w:type="dxa"/>
            <w:vAlign w:val="bottom"/>
            <w:gridSpan w:val="15"/>
          </w:tcPr>
          <w:p>
            <w:pPr>
              <w:spacing w:after="0"/>
              <w:rPr>
                <w:sz w:val="20"/>
                <w:szCs w:val="20"/>
                <w:color w:val="auto"/>
              </w:rPr>
            </w:pPr>
            <w:r>
              <w:rPr>
                <w:rFonts w:ascii="Arial" w:cs="Arial" w:eastAsia="Arial" w:hAnsi="Arial"/>
                <w:sz w:val="17"/>
                <w:szCs w:val="17"/>
                <w:color w:val="0000EE"/>
              </w:rPr>
              <w:t>SECURITIES THAT MAY BE OFFERED</w:t>
            </w:r>
          </w:p>
        </w:tc>
        <w:tc>
          <w:tcPr>
            <w:tcW w:w="302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385"/>
        </w:trPr>
        <w:tc>
          <w:tcPr>
            <w:tcW w:w="3040" w:type="dxa"/>
            <w:vAlign w:val="bottom"/>
            <w:tcBorders>
              <w:top w:val="single" w:sz="8" w:color="0000EE"/>
            </w:tcBorders>
            <w:gridSpan w:val="12"/>
          </w:tcPr>
          <w:p>
            <w:pPr>
              <w:spacing w:after="0"/>
              <w:rPr>
                <w:sz w:val="20"/>
                <w:szCs w:val="20"/>
                <w:color w:val="auto"/>
              </w:rPr>
            </w:pPr>
            <w:r>
              <w:rPr>
                <w:rFonts w:ascii="Arial" w:cs="Arial" w:eastAsia="Arial" w:hAnsi="Arial"/>
                <w:sz w:val="17"/>
                <w:szCs w:val="17"/>
                <w:color w:val="0000EE"/>
              </w:rPr>
              <w:t>DESCRIPTION OF CAPITAL STOCK</w:t>
            </w:r>
          </w:p>
        </w:tc>
        <w:tc>
          <w:tcPr>
            <w:tcW w:w="4960" w:type="dxa"/>
            <w:vAlign w:val="bottom"/>
            <w:gridSpan w:val="3"/>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0"/>
        </w:trPr>
        <w:tc>
          <w:tcPr>
            <w:tcW w:w="80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385"/>
        </w:trPr>
        <w:tc>
          <w:tcPr>
            <w:tcW w:w="8000" w:type="dxa"/>
            <w:vAlign w:val="bottom"/>
            <w:gridSpan w:val="15"/>
          </w:tcPr>
          <w:p>
            <w:pPr>
              <w:spacing w:after="0"/>
              <w:rPr>
                <w:sz w:val="20"/>
                <w:szCs w:val="20"/>
                <w:color w:val="auto"/>
              </w:rPr>
            </w:pPr>
            <w:r>
              <w:rPr>
                <w:rFonts w:ascii="Arial" w:cs="Arial" w:eastAsia="Arial" w:hAnsi="Arial"/>
                <w:sz w:val="17"/>
                <w:szCs w:val="17"/>
                <w:color w:val="0000EE"/>
              </w:rPr>
              <w:t>DESCRIPTION OF DEBT SECURITIES</w:t>
            </w:r>
          </w:p>
        </w:tc>
        <w:tc>
          <w:tcPr>
            <w:tcW w:w="302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385"/>
        </w:trPr>
        <w:tc>
          <w:tcPr>
            <w:tcW w:w="3020" w:type="dxa"/>
            <w:vAlign w:val="bottom"/>
            <w:tcBorders>
              <w:top w:val="single" w:sz="8" w:color="0000EE"/>
            </w:tcBorders>
            <w:gridSpan w:val="11"/>
          </w:tcPr>
          <w:p>
            <w:pPr>
              <w:spacing w:after="0"/>
              <w:rPr>
                <w:sz w:val="20"/>
                <w:szCs w:val="20"/>
                <w:color w:val="auto"/>
              </w:rPr>
            </w:pPr>
            <w:r>
              <w:rPr>
                <w:rFonts w:ascii="Arial" w:cs="Arial" w:eastAsia="Arial" w:hAnsi="Arial"/>
                <w:sz w:val="17"/>
                <w:szCs w:val="17"/>
                <w:color w:val="0000EE"/>
              </w:rPr>
              <w:t>DESCRIPTION OF WARRANTS</w:t>
            </w:r>
          </w:p>
        </w:tc>
        <w:tc>
          <w:tcPr>
            <w:tcW w:w="4980" w:type="dxa"/>
            <w:vAlign w:val="bottom"/>
            <w:gridSpan w:val="4"/>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385"/>
        </w:trPr>
        <w:tc>
          <w:tcPr>
            <w:tcW w:w="2460" w:type="dxa"/>
            <w:vAlign w:val="bottom"/>
            <w:tcBorders>
              <w:top w:val="single" w:sz="8" w:color="0000EE"/>
            </w:tcBorders>
            <w:gridSpan w:val="9"/>
          </w:tcPr>
          <w:p>
            <w:pPr>
              <w:spacing w:after="0"/>
              <w:rPr>
                <w:sz w:val="20"/>
                <w:szCs w:val="20"/>
                <w:color w:val="auto"/>
              </w:rPr>
            </w:pPr>
            <w:r>
              <w:rPr>
                <w:rFonts w:ascii="Arial" w:cs="Arial" w:eastAsia="Arial" w:hAnsi="Arial"/>
                <w:sz w:val="17"/>
                <w:szCs w:val="17"/>
                <w:color w:val="0000EE"/>
              </w:rPr>
              <w:t>DESCRIPTION OF UNITS</w:t>
            </w:r>
          </w:p>
        </w:tc>
        <w:tc>
          <w:tcPr>
            <w:tcW w:w="5540" w:type="dxa"/>
            <w:vAlign w:val="bottom"/>
            <w:gridSpan w:val="6"/>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385"/>
        </w:trPr>
        <w:tc>
          <w:tcPr>
            <w:tcW w:w="198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7"/>
                <w:szCs w:val="17"/>
                <w:color w:val="0000EE"/>
                <w:w w:val="99"/>
              </w:rPr>
              <w:t>PLAN OF DISTRIBUTION</w:t>
            </w:r>
          </w:p>
        </w:tc>
        <w:tc>
          <w:tcPr>
            <w:tcW w:w="20" w:type="dxa"/>
            <w:vAlign w:val="bottom"/>
            <w:tcBorders>
              <w:top w:val="single" w:sz="8" w:color="0000EE"/>
            </w:tcBorders>
          </w:tcPr>
          <w:p>
            <w:pPr>
              <w:spacing w:after="0"/>
              <w:rPr>
                <w:sz w:val="24"/>
                <w:szCs w:val="24"/>
                <w:color w:val="auto"/>
              </w:rPr>
            </w:pPr>
          </w:p>
        </w:tc>
        <w:tc>
          <w:tcPr>
            <w:tcW w:w="6000" w:type="dxa"/>
            <w:vAlign w:val="bottom"/>
            <w:gridSpan w:val="8"/>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385"/>
        </w:trPr>
        <w:tc>
          <w:tcPr>
            <w:tcW w:w="1400" w:type="dxa"/>
            <w:vAlign w:val="bottom"/>
            <w:tcBorders>
              <w:bottom w:val="single" w:sz="8" w:color="0000EE"/>
            </w:tcBorders>
            <w:gridSpan w:val="4"/>
          </w:tcPr>
          <w:p>
            <w:pPr>
              <w:spacing w:after="0"/>
              <w:rPr>
                <w:sz w:val="20"/>
                <w:szCs w:val="20"/>
                <w:color w:val="auto"/>
              </w:rPr>
            </w:pPr>
            <w:r>
              <w:rPr>
                <w:rFonts w:ascii="Arial" w:cs="Arial" w:eastAsia="Arial" w:hAnsi="Arial"/>
                <w:sz w:val="17"/>
                <w:szCs w:val="17"/>
                <w:color w:val="0000EE"/>
                <w:w w:val="98"/>
              </w:rPr>
              <w:t>LEGAL MATTERS</w:t>
            </w:r>
          </w:p>
        </w:tc>
        <w:tc>
          <w:tcPr>
            <w:tcW w:w="6600" w:type="dxa"/>
            <w:vAlign w:val="bottom"/>
            <w:gridSpan w:val="11"/>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385"/>
        </w:trPr>
        <w:tc>
          <w:tcPr>
            <w:tcW w:w="800" w:type="dxa"/>
            <w:vAlign w:val="bottom"/>
            <w:tcBorders>
              <w:bottom w:val="single" w:sz="8" w:color="0000EE"/>
            </w:tcBorders>
          </w:tcPr>
          <w:p>
            <w:pPr>
              <w:spacing w:after="0"/>
              <w:rPr>
                <w:sz w:val="20"/>
                <w:szCs w:val="20"/>
                <w:color w:val="auto"/>
              </w:rPr>
            </w:pPr>
            <w:r>
              <w:rPr>
                <w:rFonts w:ascii="Arial" w:cs="Arial" w:eastAsia="Arial" w:hAnsi="Arial"/>
                <w:sz w:val="17"/>
                <w:szCs w:val="17"/>
                <w:color w:val="0000EE"/>
                <w:w w:val="98"/>
              </w:rPr>
              <w:t>EXPERTS</w:t>
            </w:r>
          </w:p>
        </w:tc>
        <w:tc>
          <w:tcPr>
            <w:tcW w:w="7200" w:type="dxa"/>
            <w:vAlign w:val="bottom"/>
            <w:gridSpan w:val="14"/>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385"/>
        </w:trPr>
        <w:tc>
          <w:tcPr>
            <w:tcW w:w="3700" w:type="dxa"/>
            <w:vAlign w:val="bottom"/>
            <w:tcBorders>
              <w:bottom w:val="single" w:sz="8" w:color="0000EE"/>
            </w:tcBorders>
            <w:gridSpan w:val="13"/>
          </w:tcPr>
          <w:p>
            <w:pPr>
              <w:spacing w:after="0"/>
              <w:rPr>
                <w:sz w:val="20"/>
                <w:szCs w:val="20"/>
                <w:color w:val="auto"/>
              </w:rPr>
            </w:pPr>
            <w:r>
              <w:rPr>
                <w:rFonts w:ascii="Arial" w:cs="Arial" w:eastAsia="Arial" w:hAnsi="Arial"/>
                <w:sz w:val="17"/>
                <w:szCs w:val="17"/>
                <w:color w:val="0000EE"/>
                <w:w w:val="99"/>
              </w:rPr>
              <w:t>WHERE YOU CAN FIND MORE INFORMATION</w:t>
            </w:r>
          </w:p>
        </w:tc>
        <w:tc>
          <w:tcPr>
            <w:tcW w:w="4300" w:type="dxa"/>
            <w:vAlign w:val="bottom"/>
            <w:gridSpan w:val="2"/>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385"/>
        </w:trPr>
        <w:tc>
          <w:tcPr>
            <w:tcW w:w="8000" w:type="dxa"/>
            <w:vAlign w:val="bottom"/>
            <w:gridSpan w:val="15"/>
          </w:tcPr>
          <w:p>
            <w:pPr>
              <w:spacing w:after="0"/>
              <w:rPr>
                <w:sz w:val="20"/>
                <w:szCs w:val="20"/>
                <w:color w:val="auto"/>
              </w:rPr>
            </w:pPr>
            <w:r>
              <w:rPr>
                <w:rFonts w:ascii="Arial" w:cs="Arial" w:eastAsia="Arial" w:hAnsi="Arial"/>
                <w:sz w:val="17"/>
                <w:szCs w:val="17"/>
                <w:color w:val="0000EE"/>
              </w:rPr>
              <w:t>INCORPORATION BY REFERENCE</w:t>
            </w:r>
          </w:p>
        </w:tc>
        <w:tc>
          <w:tcPr>
            <w:tcW w:w="302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37"/>
        </w:trPr>
        <w:tc>
          <w:tcPr>
            <w:tcW w:w="800" w:type="dxa"/>
            <w:vAlign w:val="bottom"/>
            <w:tcBorders>
              <w:top w:val="single" w:sz="8" w:color="0000EE"/>
              <w:bottom w:val="single" w:sz="8" w:color="auto"/>
            </w:tcBorders>
          </w:tcPr>
          <w:p>
            <w:pPr>
              <w:spacing w:after="0"/>
              <w:rPr>
                <w:sz w:val="20"/>
                <w:szCs w:val="20"/>
                <w:color w:val="auto"/>
              </w:rPr>
            </w:pPr>
          </w:p>
        </w:tc>
        <w:tc>
          <w:tcPr>
            <w:tcW w:w="440" w:type="dxa"/>
            <w:vAlign w:val="bottom"/>
            <w:tcBorders>
              <w:top w:val="single" w:sz="8" w:color="0000EE"/>
              <w:bottom w:val="single" w:sz="8" w:color="auto"/>
            </w:tcBorders>
          </w:tcPr>
          <w:p>
            <w:pPr>
              <w:spacing w:after="0"/>
              <w:rPr>
                <w:sz w:val="20"/>
                <w:szCs w:val="20"/>
                <w:color w:val="auto"/>
              </w:rPr>
            </w:pPr>
          </w:p>
        </w:tc>
        <w:tc>
          <w:tcPr>
            <w:tcW w:w="40" w:type="dxa"/>
            <w:vAlign w:val="bottom"/>
            <w:tcBorders>
              <w:top w:val="single" w:sz="8" w:color="0000EE"/>
              <w:bottom w:val="single" w:sz="8" w:color="auto"/>
            </w:tcBorders>
          </w:tcPr>
          <w:p>
            <w:pPr>
              <w:spacing w:after="0"/>
              <w:rPr>
                <w:sz w:val="20"/>
                <w:szCs w:val="20"/>
                <w:color w:val="auto"/>
              </w:rPr>
            </w:pPr>
          </w:p>
        </w:tc>
        <w:tc>
          <w:tcPr>
            <w:tcW w:w="120" w:type="dxa"/>
            <w:vAlign w:val="bottom"/>
            <w:tcBorders>
              <w:top w:val="single" w:sz="8" w:color="0000EE"/>
              <w:bottom w:val="single" w:sz="8" w:color="auto"/>
            </w:tcBorders>
          </w:tcPr>
          <w:p>
            <w:pPr>
              <w:spacing w:after="0"/>
              <w:rPr>
                <w:sz w:val="20"/>
                <w:szCs w:val="20"/>
                <w:color w:val="auto"/>
              </w:rPr>
            </w:pPr>
          </w:p>
        </w:tc>
        <w:tc>
          <w:tcPr>
            <w:tcW w:w="240" w:type="dxa"/>
            <w:vAlign w:val="bottom"/>
            <w:tcBorders>
              <w:top w:val="single" w:sz="8" w:color="0000EE"/>
              <w:bottom w:val="single" w:sz="8" w:color="auto"/>
            </w:tcBorders>
          </w:tcPr>
          <w:p>
            <w:pPr>
              <w:spacing w:after="0"/>
              <w:rPr>
                <w:sz w:val="20"/>
                <w:szCs w:val="20"/>
                <w:color w:val="auto"/>
              </w:rPr>
            </w:pPr>
          </w:p>
        </w:tc>
        <w:tc>
          <w:tcPr>
            <w:tcW w:w="340" w:type="dxa"/>
            <w:vAlign w:val="bottom"/>
            <w:tcBorders>
              <w:top w:val="single" w:sz="8" w:color="0000EE"/>
              <w:bottom w:val="single" w:sz="8" w:color="auto"/>
            </w:tcBorders>
          </w:tcPr>
          <w:p>
            <w:pPr>
              <w:spacing w:after="0"/>
              <w:rPr>
                <w:sz w:val="20"/>
                <w:szCs w:val="20"/>
                <w:color w:val="auto"/>
              </w:rPr>
            </w:pPr>
          </w:p>
        </w:tc>
        <w:tc>
          <w:tcPr>
            <w:tcW w:w="20" w:type="dxa"/>
            <w:vAlign w:val="bottom"/>
            <w:tcBorders>
              <w:top w:val="single" w:sz="8" w:color="0000EE"/>
              <w:bottom w:val="single" w:sz="8" w:color="auto"/>
            </w:tcBorders>
          </w:tcPr>
          <w:p>
            <w:pPr>
              <w:spacing w:after="0"/>
              <w:rPr>
                <w:sz w:val="20"/>
                <w:szCs w:val="20"/>
                <w:color w:val="auto"/>
              </w:rPr>
            </w:pPr>
          </w:p>
        </w:tc>
        <w:tc>
          <w:tcPr>
            <w:tcW w:w="240" w:type="dxa"/>
            <w:vAlign w:val="bottom"/>
            <w:tcBorders>
              <w:top w:val="single" w:sz="8" w:color="0000EE"/>
              <w:bottom w:val="single" w:sz="8" w:color="auto"/>
            </w:tcBorders>
          </w:tcPr>
          <w:p>
            <w:pPr>
              <w:spacing w:after="0"/>
              <w:rPr>
                <w:sz w:val="20"/>
                <w:szCs w:val="20"/>
                <w:color w:val="auto"/>
              </w:rPr>
            </w:pPr>
          </w:p>
        </w:tc>
        <w:tc>
          <w:tcPr>
            <w:tcW w:w="220" w:type="dxa"/>
            <w:vAlign w:val="bottom"/>
            <w:tcBorders>
              <w:top w:val="single" w:sz="8" w:color="0000EE"/>
              <w:bottom w:val="single" w:sz="8" w:color="auto"/>
            </w:tcBorders>
          </w:tcPr>
          <w:p>
            <w:pPr>
              <w:spacing w:after="0"/>
              <w:rPr>
                <w:sz w:val="20"/>
                <w:szCs w:val="20"/>
                <w:color w:val="auto"/>
              </w:rPr>
            </w:pPr>
          </w:p>
        </w:tc>
        <w:tc>
          <w:tcPr>
            <w:tcW w:w="360" w:type="dxa"/>
            <w:vAlign w:val="bottom"/>
            <w:tcBorders>
              <w:top w:val="single" w:sz="8" w:color="0000EE"/>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tcPr>
          <w:p>
            <w:pPr>
              <w:spacing w:after="0"/>
              <w:rPr>
                <w:sz w:val="20"/>
                <w:szCs w:val="20"/>
                <w:color w:val="auto"/>
              </w:rPr>
            </w:pPr>
          </w:p>
        </w:tc>
      </w:tr>
    </w:tbl>
    <w:p>
      <w:pPr>
        <w:sectPr>
          <w:pgSz w:w="11900" w:h="16838" w:orient="portrait"/>
          <w:cols w:equalWidth="0" w:num="1">
            <w:col w:w="11140"/>
          </w:cols>
          <w:pgMar w:left="320" w:top="455"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316" w:lineRule="exact"/>
        <w:rPr>
          <w:sz w:val="20"/>
          <w:szCs w:val="20"/>
          <w:color w:val="auto"/>
        </w:rPr>
      </w:pPr>
    </w:p>
    <w:p>
      <w:pPr>
        <w:ind w:left="120" w:right="140"/>
        <w:spacing w:after="0" w:line="249" w:lineRule="auto"/>
        <w:rPr>
          <w:sz w:val="20"/>
          <w:szCs w:val="20"/>
          <w:color w:val="auto"/>
        </w:rPr>
      </w:pPr>
      <w:r>
        <w:rPr>
          <w:rFonts w:ascii="Arial" w:cs="Arial" w:eastAsia="Arial" w:hAnsi="Arial"/>
          <w:sz w:val="17"/>
          <w:szCs w:val="17"/>
          <w:color w:val="auto"/>
        </w:rPr>
        <w:t>This prospectus is part of a registration statement on Form S-3 that we filed with the Securities and Exchange Commission, which we refer to as the “SEC,” utilizing a “shelf” registration process. Under this shelf registration process, we may from time to time sell any combination of the securities described in this prospectus in one or more offerings for an aggregate offering price of up to $400,000,000.</w:t>
      </w:r>
    </w:p>
    <w:p>
      <w:pPr>
        <w:spacing w:after="0" w:line="121" w:lineRule="exact"/>
        <w:rPr>
          <w:sz w:val="20"/>
          <w:szCs w:val="20"/>
          <w:color w:val="auto"/>
        </w:rPr>
      </w:pPr>
    </w:p>
    <w:p>
      <w:pPr>
        <w:ind w:left="120" w:right="20"/>
        <w:spacing w:after="0" w:line="239" w:lineRule="auto"/>
        <w:rPr>
          <w:sz w:val="20"/>
          <w:szCs w:val="20"/>
          <w:color w:val="auto"/>
        </w:rPr>
      </w:pPr>
      <w:r>
        <w:rPr>
          <w:rFonts w:ascii="Arial" w:cs="Arial" w:eastAsia="Arial" w:hAnsi="Arial"/>
          <w:sz w:val="17"/>
          <w:szCs w:val="17"/>
          <w:color w:val="auto"/>
        </w:rPr>
        <w:t>This prospectus provides you with a general description of the securities we may offer. Each time we sell securities, we will provide one or more prospectus supplements that will contain specific information about the terms of the offering. The prospectus supplement may also add, update or change information contained in this prospectus. This prospectus, together with any accompanying prospectus supplement, contains important information you should know before investing in our securities, including important information about us and the securities being offered. You should read both this prospectus and the accompanying prospectus supplement together with the additional information described under the headings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 and “</w:t>
      </w:r>
      <w:r>
        <w:rPr>
          <w:rFonts w:ascii="Arial" w:cs="Arial" w:eastAsia="Arial" w:hAnsi="Arial"/>
          <w:sz w:val="17"/>
          <w:szCs w:val="17"/>
          <w:i w:val="1"/>
          <w:iCs w:val="1"/>
          <w:color w:val="auto"/>
        </w:rPr>
        <w:t>Incorporation by Reference</w:t>
      </w:r>
      <w:r>
        <w:rPr>
          <w:rFonts w:ascii="Arial" w:cs="Arial" w:eastAsia="Arial" w:hAnsi="Arial"/>
          <w:sz w:val="17"/>
          <w:szCs w:val="17"/>
          <w:color w:val="auto"/>
        </w:rPr>
        <w:t>” beginning on page 27 of this prospectus.</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or additional information. If anyone provides you with different, additional or inconsistent information, you should not rely on it. We do not take responsibility for, and can provide no assurance as to the reliability of, any information that others may give you. This prospectus and the accompanying prospectus supplement do not constitute an offer to sell or the solicitation of an offer to buy any securities other than the securities described in the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regardless of the time of delivery of this prospectus, any applicable prospectus supplement or any sale of securities. Our business, financial condition, results of operations and prospects may have changed materially since those dates. This prospectus, any applicable prospectus supplement and the information incorporated herein or therein by reference contains market data, industry statistics and other data that have been obtained or compiled from information made available by independent third parties. We have not independently verified the accuracy and completeness of such data.</w:t>
      </w:r>
    </w:p>
    <w:p>
      <w:pPr>
        <w:spacing w:after="0" w:line="273" w:lineRule="exact"/>
        <w:rPr>
          <w:sz w:val="20"/>
          <w:szCs w:val="20"/>
          <w:color w:val="auto"/>
        </w:rPr>
      </w:pPr>
    </w:p>
    <w:p>
      <w:pPr>
        <w:ind w:left="120" w:right="720"/>
        <w:spacing w:after="0" w:line="280" w:lineRule="auto"/>
        <w:rPr>
          <w:sz w:val="20"/>
          <w:szCs w:val="20"/>
          <w:color w:val="auto"/>
        </w:rPr>
      </w:pPr>
      <w:r>
        <w:rPr>
          <w:rFonts w:ascii="Arial" w:cs="Arial" w:eastAsia="Arial" w:hAnsi="Arial"/>
          <w:sz w:val="17"/>
          <w:szCs w:val="17"/>
          <w:b w:val="1"/>
          <w:bCs w:val="1"/>
          <w:color w:val="auto"/>
        </w:rPr>
        <w:t>THIS PROSPECTUS MAY NOT BE USED TO OFFER AND SELL SECURITIES UNLESS IT IS ACCOMPANIED BY AN ADDITIONAL PROSPECTUS OR A PROSPECTUS SUPPLEMENT.</w:t>
      </w:r>
    </w:p>
    <w:p>
      <w:pPr>
        <w:spacing w:after="0" w:line="84" w:lineRule="exact"/>
        <w:rPr>
          <w:sz w:val="20"/>
          <w:szCs w:val="20"/>
          <w:color w:val="auto"/>
        </w:rPr>
      </w:pPr>
    </w:p>
    <w:p>
      <w:pPr>
        <w:ind w:left="120" w:right="820"/>
        <w:spacing w:after="0" w:line="267" w:lineRule="auto"/>
        <w:rPr>
          <w:sz w:val="20"/>
          <w:szCs w:val="20"/>
          <w:color w:val="auto"/>
        </w:rPr>
      </w:pPr>
      <w:r>
        <w:rPr>
          <w:rFonts w:ascii="Arial" w:cs="Arial" w:eastAsia="Arial" w:hAnsi="Arial"/>
          <w:sz w:val="17"/>
          <w:szCs w:val="17"/>
          <w:color w:val="auto"/>
        </w:rPr>
        <w:t>As used in this prospectus, unless the context otherwise requires, references to “Tango,” “company,” “we,” “us” and “our” refer to Tango Therapeutics, Inc. and, where appropriate, our subsidiaries.</w:t>
      </w:r>
    </w:p>
    <w:p>
      <w:pPr>
        <w:spacing w:after="0" w:line="105" w:lineRule="exact"/>
        <w:rPr>
          <w:sz w:val="20"/>
          <w:szCs w:val="20"/>
          <w:color w:val="auto"/>
        </w:rPr>
      </w:pPr>
    </w:p>
    <w:p>
      <w:pPr>
        <w:ind w:left="120" w:right="20"/>
        <w:spacing w:after="0" w:line="237" w:lineRule="auto"/>
        <w:rPr>
          <w:sz w:val="20"/>
          <w:szCs w:val="20"/>
          <w:color w:val="auto"/>
        </w:rPr>
      </w:pPr>
      <w:r>
        <w:rPr>
          <w:rFonts w:ascii="Arial" w:cs="Arial" w:eastAsia="Arial" w:hAnsi="Arial"/>
          <w:sz w:val="17"/>
          <w:szCs w:val="17"/>
          <w:color w:val="auto"/>
        </w:rPr>
        <w:t xml:space="preserve">We were formerly known as BCTG Acquisition Corp. (“BCTG”) and were incorporated in Delaware in May 2020 as a special purpose acquisition company, formed for the purpose of effecting a merger, capital stock exchange, asset acquisition, stock purchase, reorganization or other similar business. On August 10, 2021, we consummated the merger pursuant to the Agreement and Plan of Merger, dated as of April 13, 2021, by and among BCTG, BCTG Merger Sub Inc. and Tango Therapeutics Sub, Inc. Upon the consummation of the merger, we changed our name to “Tango Therapeutics, Inc.” We own various U.S. federal trademark applications and unregistered trademarks, including our company name. All other trademarks or trade names referred to in this prospectus are the property of their respective owners. Solely for convenience, the trademarks and trade names in this prospectus are referred to without the symbols </w:t>
      </w:r>
      <w:r>
        <w:rPr>
          <w:rFonts w:ascii="Arial" w:cs="Arial" w:eastAsia="Arial" w:hAnsi="Arial"/>
          <w:sz w:val="12"/>
          <w:szCs w:val="12"/>
          <w:color w:val="auto"/>
        </w:rPr>
        <w:t>®</w:t>
      </w:r>
      <w:r>
        <w:rPr>
          <w:rFonts w:ascii="Arial" w:cs="Arial" w:eastAsia="Arial" w:hAnsi="Arial"/>
          <w:sz w:val="17"/>
          <w:szCs w:val="17"/>
          <w:color w:val="auto"/>
        </w:rPr>
        <w:t xml:space="preserve"> and </w:t>
      </w:r>
      <w:r>
        <w:rPr>
          <w:rFonts w:ascii="Arial" w:cs="Arial" w:eastAsia="Arial" w:hAnsi="Arial"/>
          <w:sz w:val="12"/>
          <w:szCs w:val="12"/>
          <w:color w:val="auto"/>
        </w:rPr>
        <w:t>™</w:t>
      </w:r>
      <w:r>
        <w:rPr>
          <w:rFonts w:ascii="Arial" w:cs="Arial" w:eastAsia="Arial" w:hAnsi="Arial"/>
          <w:sz w:val="17"/>
          <w:szCs w:val="17"/>
          <w:color w:val="auto"/>
        </w:rPr>
        <w:t>, but such references should not be construed as any indicator that their respective owners will not assert, to the fullest extent under applicable law, their rights thereto.</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 FACTORS</w:t>
      </w:r>
    </w:p>
    <w:p>
      <w:pPr>
        <w:spacing w:after="0" w:line="316"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Investing in our securities involves a high degree of risk. You should carefully consider the risks set forth in our filings with the SEC that are incorporated by reference herein and any prospectus supplement, as well as other information we include or incorporate by reference into this prospectus and any applicable prospectus supplement, before making an investment decision. Our business, financial condition or results of operations could be materially adversely affected by the materialization of any of these risks. The trading price of our securities could decline due to the materialization of any of these risks, and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in the documents incorporated herein by reference, including our most recent Annual Report on Form 10-K, our Quarterly Reports on Form 10-Q and our Current Reports on Form 8-K and the other documents we file with the SEC that are deemed incorporated by reference into this prospectus.</w:t>
      </w:r>
    </w:p>
    <w:p>
      <w:pPr>
        <w:spacing w:after="0" w:line="128"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060"/>
          </w:cols>
          <w:pgMar w:left="320" w:top="455" w:right="5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16"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This prospectus, including the documents that we incorporate by reference, includes forward-looking statements within the meaning of Section 27A of the Securities Act of 1933, as amended (the “Securities Act”), and Section 21E of the Securities Exchange Act of 1934, as amended (the “Exchange Act”). Forward-looking statements relate to, among others, our plans, objectives and expectations for our business, operations and financial performance and condition, and can be identified by terminology such as “may,” “will,” “could,” “should,” “expect,” “intend,” “plan,” “anticipate,” “believe,” “estimate,” “predict,” “potential,” “project,” “seek,” “endeavor,” “target,” “continue” and similar expressions that do not relate solely to historical matters. Forward-looking statements are based on management’s belief and assumptions and on information currently available to management. Although we believe that the expectations reflected in forward-looking statements are reasonable, such statements involve known and unknown risks, uncertainties and other factors that may cause our actual results, performance or achievements to be materially different from any future results, performance or achievements expressed or implied by forward-looking statements.</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Forward-looking statements include, but are not limited to, statements about:</w:t>
      </w:r>
    </w:p>
    <w:p>
      <w:pPr>
        <w:spacing w:after="0" w:line="196" w:lineRule="exact"/>
        <w:rPr>
          <w:sz w:val="20"/>
          <w:szCs w:val="20"/>
          <w:color w:val="auto"/>
        </w:rPr>
      </w:pPr>
    </w:p>
    <w:p>
      <w:pPr>
        <w:ind w:left="980" w:right="80" w:hanging="432"/>
        <w:spacing w:after="0" w:line="243" w:lineRule="auto"/>
        <w:tabs>
          <w:tab w:leader="none" w:pos="98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initiation, timing, progress, results, and cost of our research and development programs and our current and future preclinical studies and clinical trials, including statements regarding the timing of IND filings, active enrollment in clinical trials, and initiation and completion of studies or clinical trials and related preparatory work, and the period during which the results of the clinical trials (including initial and final trial results) will become available;</w:t>
      </w:r>
    </w:p>
    <w:p>
      <w:pPr>
        <w:spacing w:after="0" w:line="4" w:lineRule="exact"/>
        <w:rPr>
          <w:rFonts w:ascii="MS PGothic" w:cs="MS PGothic" w:eastAsia="MS PGothic" w:hAnsi="MS PGothic"/>
          <w:sz w:val="13"/>
          <w:szCs w:val="13"/>
          <w:color w:val="auto"/>
        </w:rPr>
      </w:pPr>
    </w:p>
    <w:p>
      <w:pPr>
        <w:ind w:left="980" w:right="520" w:hanging="432"/>
        <w:spacing w:after="0" w:line="254" w:lineRule="auto"/>
        <w:tabs>
          <w:tab w:leader="none" w:pos="98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our ability to discover and develop product candidates efficiently (including the advancement of development candidates on the timelines identified);</w:t>
      </w:r>
    </w:p>
    <w:p>
      <w:pPr>
        <w:spacing w:after="0" w:line="4" w:lineRule="exact"/>
        <w:rPr>
          <w:rFonts w:ascii="MS PGothic" w:cs="MS PGothic" w:eastAsia="MS PGothic" w:hAnsi="MS PGothic"/>
          <w:sz w:val="13"/>
          <w:szCs w:val="13"/>
          <w:color w:val="auto"/>
        </w:rPr>
      </w:pPr>
    </w:p>
    <w:p>
      <w:pPr>
        <w:ind w:left="980" w:right="260" w:hanging="432"/>
        <w:spacing w:after="0" w:line="254" w:lineRule="auto"/>
        <w:tabs>
          <w:tab w:leader="none" w:pos="98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our ability and the potential to manufacture our drug substances and product candidates successfully for preclinical use, for clinical trials and on a larger scale for commercial use, if approved;</w:t>
      </w:r>
    </w:p>
    <w:p>
      <w:pPr>
        <w:spacing w:after="0" w:line="4" w:lineRule="exact"/>
        <w:rPr>
          <w:rFonts w:ascii="MS PGothic" w:cs="MS PGothic" w:eastAsia="MS PGothic" w:hAnsi="MS PGothic"/>
          <w:sz w:val="13"/>
          <w:szCs w:val="13"/>
          <w:color w:val="auto"/>
        </w:rPr>
      </w:pPr>
    </w:p>
    <w:p>
      <w:pPr>
        <w:ind w:left="980" w:right="400" w:hanging="432"/>
        <w:spacing w:after="0" w:line="254" w:lineRule="auto"/>
        <w:tabs>
          <w:tab w:leader="none" w:pos="98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the ability and willingness of our third-party strategic collaborators to license and to continue research and development activities relating to our development candidates and product candidates;</w:t>
      </w:r>
    </w:p>
    <w:p>
      <w:pPr>
        <w:spacing w:after="0" w:line="4" w:lineRule="exact"/>
        <w:rPr>
          <w:rFonts w:ascii="MS PGothic" w:cs="MS PGothic" w:eastAsia="MS PGothic" w:hAnsi="MS PGothic"/>
          <w:sz w:val="13"/>
          <w:szCs w:val="13"/>
          <w:color w:val="auto"/>
        </w:rPr>
      </w:pPr>
    </w:p>
    <w:p>
      <w:pPr>
        <w:ind w:left="980" w:right="60" w:hanging="432"/>
        <w:spacing w:after="0" w:line="247" w:lineRule="auto"/>
        <w:tabs>
          <w:tab w:leader="none" w:pos="98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our ability to obtain funding for our operations necessary to complete further research, development and commercialization of our product candidates (and that existing cash, cash equivalents and marketable securities will enable us to fund our operating expenses and capital expenditure requirements at least into the second half of 2024);</w:t>
      </w:r>
    </w:p>
    <w:p>
      <w:pPr>
        <w:spacing w:after="0" w:line="3" w:lineRule="exact"/>
        <w:rPr>
          <w:rFonts w:ascii="MS PGothic" w:cs="MS PGothic" w:eastAsia="MS PGothic" w:hAnsi="MS PGothic"/>
          <w:sz w:val="13"/>
          <w:szCs w:val="13"/>
          <w:color w:val="auto"/>
        </w:rPr>
      </w:pPr>
    </w:p>
    <w:p>
      <w:pPr>
        <w:ind w:left="980" w:hanging="432"/>
        <w:spacing w:after="0"/>
        <w:tabs>
          <w:tab w:leader="none" w:pos="98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our ability to obtain and, if approved, maintain regulatory approval of our product candidates;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our ability to commercialize our products, if approved;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the pricing and reimbursement of our product candidates, if approved;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the implementation of our business model, and strategic plans for our business and product candidates;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the scope of protection we are able to establish and maintain for intellectual property rights covering our product candidates;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estimates of our future expenses, capital requirements, and our need for additional financing;</w:t>
      </w:r>
    </w:p>
    <w:p>
      <w:pPr>
        <w:spacing w:after="0" w:line="34" w:lineRule="exact"/>
        <w:rPr>
          <w:rFonts w:ascii="MS PGothic" w:cs="MS PGothic" w:eastAsia="MS PGothic" w:hAnsi="MS PGothic"/>
          <w:sz w:val="13"/>
          <w:szCs w:val="13"/>
          <w:color w:val="auto"/>
        </w:rPr>
      </w:pPr>
    </w:p>
    <w:p>
      <w:pPr>
        <w:ind w:left="980" w:right="120" w:hanging="432"/>
        <w:spacing w:after="0" w:line="254" w:lineRule="auto"/>
        <w:tabs>
          <w:tab w:leader="none" w:pos="98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4" w:lineRule="exact"/>
        <w:rPr>
          <w:rFonts w:ascii="MS PGothic" w:cs="MS PGothic" w:eastAsia="MS PGothic" w:hAnsi="MS PGothic"/>
          <w:sz w:val="13"/>
          <w:szCs w:val="13"/>
          <w:color w:val="auto"/>
        </w:rPr>
      </w:pPr>
    </w:p>
    <w:p>
      <w:pPr>
        <w:ind w:left="980" w:right="540" w:hanging="432"/>
        <w:spacing w:after="0" w:line="254" w:lineRule="auto"/>
        <w:tabs>
          <w:tab w:leader="none" w:pos="98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future agreements with third parties in connection with the commercialization of product candidates (if approved) and any other approved products;</w:t>
      </w:r>
    </w:p>
    <w:p>
      <w:pPr>
        <w:spacing w:after="0" w:line="4" w:lineRule="exact"/>
        <w:rPr>
          <w:rFonts w:ascii="MS PGothic" w:cs="MS PGothic" w:eastAsia="MS PGothic" w:hAnsi="MS PGothic"/>
          <w:sz w:val="13"/>
          <w:szCs w:val="13"/>
          <w:color w:val="auto"/>
        </w:rPr>
      </w:pPr>
    </w:p>
    <w:p>
      <w:pPr>
        <w:ind w:left="980" w:hanging="432"/>
        <w:spacing w:after="0"/>
        <w:tabs>
          <w:tab w:leader="none" w:pos="98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the size and growth potential of the markets for our product candidates, and our ability to serve those markets;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our financial performance, including the expectation that we will continue to incur operating losses and negative cash flow;</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the rate and degree of market acceptance of our product candidates;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regulatory developments in the United States and foreign countries;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
        </w:numPr>
        <w:rPr>
          <w:rFonts w:ascii="MS PGothic" w:cs="MS PGothic" w:eastAsia="MS PGothic" w:hAnsi="MS PGothic"/>
          <w:sz w:val="13"/>
          <w:szCs w:val="13"/>
          <w:color w:val="auto"/>
        </w:rPr>
      </w:pPr>
      <w:r>
        <w:rPr>
          <w:rFonts w:ascii="Arial" w:cs="Arial" w:eastAsia="Arial" w:hAnsi="Arial"/>
          <w:sz w:val="17"/>
          <w:szCs w:val="17"/>
          <w:color w:val="auto"/>
        </w:rPr>
        <w:t>our ability to contract with third-party suppliers and manufacturers and their ability to perform adequately;</w:t>
      </w:r>
    </w:p>
    <w:p>
      <w:pPr>
        <w:spacing w:after="0" w:line="15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080"/>
          </w:cols>
          <w:pgMar w:left="320" w:top="455"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6" w:lineRule="exact"/>
        <w:rPr>
          <w:sz w:val="20"/>
          <w:szCs w:val="20"/>
          <w:color w:val="auto"/>
        </w:rPr>
      </w:pPr>
    </w:p>
    <w:p>
      <w:pPr>
        <w:ind w:left="980" w:hanging="432"/>
        <w:spacing w:after="0"/>
        <w:tabs>
          <w:tab w:leader="none" w:pos="98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our ability to produce our products or product candidates with advantages in turnaround times or manufacturing cost;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the success of competing therapies that are or may become available;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our ability to attract and retain key scientific or management personnel;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the impact of laws and regulations;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developments relating to our competitors and industry;</w:t>
      </w:r>
    </w:p>
    <w:p>
      <w:pPr>
        <w:spacing w:after="0" w:line="34" w:lineRule="exact"/>
        <w:rPr>
          <w:rFonts w:ascii="MS PGothic" w:cs="MS PGothic" w:eastAsia="MS PGothic" w:hAnsi="MS PGothic"/>
          <w:sz w:val="13"/>
          <w:szCs w:val="13"/>
          <w:color w:val="auto"/>
        </w:rPr>
      </w:pPr>
    </w:p>
    <w:p>
      <w:pPr>
        <w:ind w:left="980" w:right="40" w:hanging="432"/>
        <w:spacing w:after="0" w:line="247" w:lineRule="auto"/>
        <w:tabs>
          <w:tab w:leader="none" w:pos="98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the effect of the on-going COVID-19 pandemic, including mitigation efforts and economic effects, on any of the foregoing or other aspects of our business operations, including but not limited to our preclinical studies and clinical trials and any future studies or trials; and</w:t>
      </w:r>
    </w:p>
    <w:p>
      <w:pPr>
        <w:spacing w:after="0" w:line="3" w:lineRule="exact"/>
        <w:rPr>
          <w:rFonts w:ascii="MS PGothic" w:cs="MS PGothic" w:eastAsia="MS PGothic" w:hAnsi="MS PGothic"/>
          <w:sz w:val="13"/>
          <w:szCs w:val="13"/>
          <w:color w:val="auto"/>
        </w:rPr>
      </w:pPr>
    </w:p>
    <w:p>
      <w:pPr>
        <w:ind w:left="980" w:hanging="432"/>
        <w:spacing w:after="0"/>
        <w:tabs>
          <w:tab w:leader="none" w:pos="98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other risks and uncertainties, including those under the caption “</w:t>
      </w:r>
      <w:r>
        <w:rPr>
          <w:rFonts w:ascii="Arial" w:cs="Arial" w:eastAsia="Arial" w:hAnsi="Arial"/>
          <w:sz w:val="17"/>
          <w:szCs w:val="17"/>
          <w:i w:val="1"/>
          <w:iCs w:val="1"/>
          <w:color w:val="auto"/>
        </w:rPr>
        <w:t>Risk Factors</w:t>
      </w:r>
      <w:r>
        <w:rPr>
          <w:rFonts w:ascii="Arial" w:cs="Arial" w:eastAsia="Arial" w:hAnsi="Arial"/>
          <w:sz w:val="17"/>
          <w:szCs w:val="17"/>
          <w:color w:val="auto"/>
        </w:rPr>
        <w:t>.”</w:t>
      </w:r>
    </w:p>
    <w:p>
      <w:pPr>
        <w:spacing w:after="0" w:line="156" w:lineRule="exact"/>
        <w:rPr>
          <w:sz w:val="20"/>
          <w:szCs w:val="20"/>
          <w:color w:val="auto"/>
        </w:rPr>
      </w:pPr>
    </w:p>
    <w:p>
      <w:pPr>
        <w:ind w:left="120" w:right="80"/>
        <w:spacing w:after="0" w:line="244" w:lineRule="auto"/>
        <w:rPr>
          <w:sz w:val="20"/>
          <w:szCs w:val="20"/>
          <w:color w:val="auto"/>
        </w:rPr>
      </w:pPr>
      <w:r>
        <w:rPr>
          <w:rFonts w:ascii="Arial" w:cs="Arial" w:eastAsia="Arial" w:hAnsi="Arial"/>
          <w:sz w:val="17"/>
          <w:szCs w:val="17"/>
          <w:color w:val="auto"/>
        </w:rPr>
        <w:t>The forward-looking statements in this prospectus represent our views as of the date of this prospectus.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w:t>
      </w:r>
    </w:p>
    <w:p>
      <w:pPr>
        <w:spacing w:after="0" w:line="123"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may from time-to-time provide estimates, projections and other information concerning our industry, our business and the markets for our programs, product candidates and collaborations.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prospectus, their estimates, in particular, as they relate to projections, involve numerous assumptions, are subject to risks and uncertainties and are subject to change based on various factors. You should read this prospectus, any applicable prospectus supplement and any related free writing prospectus and the documents that we reference therein and have filed with the SEC as exhibits thereto completely and with the understanding that our actual future results may be materially different from any future results expressed or implied by these forward-looking statements. These estimates involve numerous assumptions, are subject to risks and uncertainties and are subject to change based on various factors, including those discussed under “Item 1A: Risk Factors” and elsewhere in our most recent Annual Report on Form 10-K, our subsequent Quarterly Reports on Form 10-Q and our Current Reports on Form 8-K, and the section of any accompanying prospectus supplement entitled “</w:t>
      </w:r>
      <w:r>
        <w:rPr>
          <w:rFonts w:ascii="Arial" w:cs="Arial" w:eastAsia="Arial" w:hAnsi="Arial"/>
          <w:sz w:val="17"/>
          <w:szCs w:val="17"/>
          <w:i w:val="1"/>
          <w:iCs w:val="1"/>
          <w:color w:val="auto"/>
        </w:rPr>
        <w:t>Risk Factors</w:t>
      </w:r>
      <w:r>
        <w:rPr>
          <w:rFonts w:ascii="Arial" w:cs="Arial" w:eastAsia="Arial" w:hAnsi="Arial"/>
          <w:sz w:val="17"/>
          <w:szCs w:val="17"/>
          <w:color w:val="auto"/>
        </w:rPr>
        <w:t>.”</w:t>
      </w:r>
    </w:p>
    <w:p>
      <w:pPr>
        <w:spacing w:after="0" w:line="12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100"/>
          </w:cols>
          <w:pgMar w:left="320" w:top="455"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COMPANY</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73"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We are a precision oncology company leveraging our state-of-the-art target discovery platform to identify novel targets and develop new drugs directed at tumor suppressor gene loss in defined patient populations with high unmet medical need. Tumor suppressor gene loss remains a largely untouched target space specifically because these genetic events cannot be directly targeted. Empowered by recent advances in CRISPR technology, we are now able to employ a unique functional genomics approach and apply the principles of synthetic lethality to target the loss of specific tumor suppressor genes at scale. We believe this will result in establishing a sustainable pipeline designed to deliver meaningful clinical benefit to patients. Our novel small molecules are designed to be selectively active in cancer cells with specific tumor suppressor gene loss, killing those cancer cells while being relatively inert in normal cells. We also are extending this target space beyond the classic, cell-autonomous effects of tumor suppressor gene loss to include the discovery of novel targets that reverse the effects of tumor suppressor gene loss that prevent the immune system from recognizing and killing cancer cells (immune evasion). We believe this approach will provide the ability to deliver the deep, sustained target inhibition necessary for prolonged tumor regression and meaningful clinical benefit as a result of the unique ability of synthetic lethal targeting to spare normal cells.</w:t>
      </w:r>
    </w:p>
    <w:p>
      <w:pPr>
        <w:spacing w:after="0" w:line="127"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Our lead program, TNG908, a protein arginine methyl transferase 5, or PRMT5, inhibitor is synthetic lethal with MTAP deletion, and is being developed as a treatment for cancers with MTAP deletions. MTAP deletions occur in 10% to 15% of all human cancers. In preclinical studies, TNG908 demonstrated 15-fold greater potency in cells with MTAP deletions than those without and showed strong regressions in multiple cancer types. In the first quarter of 2022, the U.S. Food and Drug Administration (FDA) cleared the Investigational New Drug (IND) application and granted Fast Track designation to TNG908. Additionally, in the third quarter of 2022, the FDA granted Orphan Drug Designation to TNG908 for the treatment of malignant peripheral nerve sheath tumors (MPNST). We are actively enrolling, and have begun dosing, patients in the TNG908 Phase 1/2 clinical trial, which will evaluate safety and efficacy in multiple indications, with specific cohorts for non-small cell lung cancer, MPNST, mesothelioma and cholangiocarcinoma, with glioblastoma planned for the dose expansion phase. The clinical trial also includes a histology-agnostic cohort for all other MTAP-deleted solid tumors. We expect to have initial safety and efficacy data in the first half of 2023.</w:t>
      </w:r>
    </w:p>
    <w:p>
      <w:pPr>
        <w:spacing w:after="0" w:line="133" w:lineRule="exact"/>
        <w:rPr>
          <w:sz w:val="20"/>
          <w:szCs w:val="20"/>
          <w:color w:val="auto"/>
        </w:rPr>
      </w:pPr>
    </w:p>
    <w:p>
      <w:pPr>
        <w:ind w:left="120" w:right="60"/>
        <w:spacing w:after="0" w:line="239" w:lineRule="auto"/>
        <w:rPr>
          <w:sz w:val="20"/>
          <w:szCs w:val="20"/>
          <w:color w:val="auto"/>
        </w:rPr>
      </w:pPr>
      <w:r>
        <w:rPr>
          <w:rFonts w:ascii="Arial" w:cs="Arial" w:eastAsia="Arial" w:hAnsi="Arial"/>
          <w:sz w:val="17"/>
          <w:szCs w:val="17"/>
          <w:color w:val="auto"/>
        </w:rPr>
        <w:t>Given the large number of patients with MTAP-deleted cancers, we are investing in our PRMT5 franchise to develop a product candidate with increased potency, MTAP-deletion selectivity, as well as longer target coverage. TNG462, our next-generation PRMT5 inhibitor, is 45-fold more potent in cells with an MTAP deletion than those without and induces deep tumor regressions in preclinical models of multiple cancer types. We plan to file an IND for TNG462 in the first half of 2023. The clinical development path for TNG462 is expected to be similar to TNG908, evaluating safety and efficacy in multiple tumor types in a Phase 1/2 clinical trial. Glioblastoma will be excluded from the Phase 1/2 clinical trial as TNG462 does not cross the blood-brain barrier in preclinical non-human primate models.</w:t>
      </w:r>
    </w:p>
    <w:p>
      <w:pPr>
        <w:spacing w:after="0" w:line="128" w:lineRule="exact"/>
        <w:rPr>
          <w:sz w:val="20"/>
          <w:szCs w:val="20"/>
          <w:color w:val="auto"/>
        </w:rPr>
      </w:pPr>
    </w:p>
    <w:p>
      <w:pPr>
        <w:ind w:left="120" w:right="260"/>
        <w:spacing w:after="0" w:line="244" w:lineRule="auto"/>
        <w:rPr>
          <w:sz w:val="20"/>
          <w:szCs w:val="20"/>
          <w:color w:val="auto"/>
        </w:rPr>
      </w:pPr>
      <w:r>
        <w:rPr>
          <w:rFonts w:ascii="Arial" w:cs="Arial" w:eastAsia="Arial" w:hAnsi="Arial"/>
          <w:sz w:val="17"/>
          <w:szCs w:val="17"/>
          <w:color w:val="auto"/>
        </w:rPr>
        <w:t>Our development candidate, TNG260, an inhibitor of an undisclosed synthetic lethal target (Target 3), reverses the immune evasion effect of serine-threonine kinase 11 (STK11) loss-of-function mutations. In syngeneic models with an STK11 mutation and an intact immune system, the combination of TNG260 with an anti-PD1 antibody resulted in sustained complete tumor regressions and the induction of immune memory against re-implantation of tumors. We expect to file an IND for TNG260 in the first half 2023.</w:t>
      </w:r>
    </w:p>
    <w:p>
      <w:pPr>
        <w:spacing w:after="0" w:line="123" w:lineRule="exact"/>
        <w:rPr>
          <w:sz w:val="20"/>
          <w:szCs w:val="20"/>
          <w:color w:val="auto"/>
        </w:rPr>
      </w:pPr>
    </w:p>
    <w:p>
      <w:pPr>
        <w:ind w:left="120" w:right="40"/>
        <w:spacing w:after="0" w:line="244" w:lineRule="auto"/>
        <w:rPr>
          <w:sz w:val="20"/>
          <w:szCs w:val="20"/>
          <w:color w:val="auto"/>
        </w:rPr>
      </w:pPr>
      <w:r>
        <w:rPr>
          <w:rFonts w:ascii="Arial" w:cs="Arial" w:eastAsia="Arial" w:hAnsi="Arial"/>
          <w:sz w:val="17"/>
          <w:szCs w:val="17"/>
          <w:color w:val="auto"/>
        </w:rPr>
        <w:t>We are also developing a ubiquitin-specific protease 1, or USP1, inhibitor that is synthetic lethal with BRCA1 and BRCA2-mutant tumors. In vitro and in vivo preclinical data for USP1 demonstrated potent anti-tumor activity. We expect this molecule to have both single agent activity in PARPi-naïve and PARPi-resistant BRCA1/2 mutant cancers and to synergize with PARP inhibitors. We anticipate declaring a development candidate in the second half of 2022 and filing an IND for this program in 2023.</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History and Information</w:t>
      </w:r>
    </w:p>
    <w:p>
      <w:pPr>
        <w:spacing w:after="0" w:line="73"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Tango Therapeutics, Inc. was incorporated in Delaware on May 21, 2020 under the name BCTG Acquisition Corp. On April 13, 2021, BCTG Acquisition Corp., BCTG Merger Sub Inc. and Tango Therapeutics, Inc. (now known as Tango Therapeutics Sub, Inc.) signed a definitive merger agreement (the “Merger Agreement”). Tango Therapeutics, Inc., prior to August 10, 2021, is referred to herein as Old Tango. Pursuant to the Merger Agreement, the business combination (“Business Combination”) was approved on August 9, 2021 by shareholders of BCTG Acquisition Corp. (“BCTG”), resulting in BCTG acquiring 100% of Old Tango’s issued and outstanding equity securities on August 10, 2021. As a result of the Business Combination, Tango Therapeutics, Inc. was renamed Tango Therapeutics Sub, Inc. (and is sometimes referred to as Old Tango) and BCTG was renamed “Tango Therapeutics, Inc.”</w:t>
      </w:r>
    </w:p>
    <w:p>
      <w:pPr>
        <w:spacing w:after="0" w:line="128" w:lineRule="exact"/>
        <w:rPr>
          <w:sz w:val="20"/>
          <w:szCs w:val="20"/>
          <w:color w:val="auto"/>
        </w:rPr>
      </w:pPr>
    </w:p>
    <w:p>
      <w:pPr>
        <w:jc w:val="both"/>
        <w:ind w:left="120" w:right="60"/>
        <w:spacing w:after="0" w:line="249" w:lineRule="auto"/>
        <w:rPr>
          <w:sz w:val="20"/>
          <w:szCs w:val="20"/>
          <w:color w:val="auto"/>
        </w:rPr>
      </w:pPr>
      <w:r>
        <w:rPr>
          <w:rFonts w:ascii="Arial" w:cs="Arial" w:eastAsia="Arial" w:hAnsi="Arial"/>
          <w:sz w:val="17"/>
          <w:szCs w:val="17"/>
          <w:color w:val="auto"/>
        </w:rPr>
        <w:t>Our principal corporate office is located at 201 Brookline Avenue, Suite 900, Boston, MA 02215, and our telephone number is 857-320-4900. Our website address is https://tangotx.com. We do not incorporate the information on or accessible through our website into this prospectus, and you should not consider any information on, or that can be accessed through, our website as part of this prospectus.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Implications of Being an Emerging Growth Company and a Smaller Reporting Company</w:t>
      </w:r>
    </w:p>
    <w:p>
      <w:pPr>
        <w:spacing w:after="0" w:line="60" w:lineRule="exact"/>
        <w:rPr>
          <w:sz w:val="20"/>
          <w:szCs w:val="20"/>
          <w:color w:val="auto"/>
        </w:rPr>
      </w:pPr>
    </w:p>
    <w:p>
      <w:pPr>
        <w:ind w:left="120" w:right="180"/>
        <w:spacing w:after="0" w:line="238" w:lineRule="auto"/>
        <w:rPr>
          <w:sz w:val="20"/>
          <w:szCs w:val="20"/>
          <w:color w:val="auto"/>
        </w:rPr>
      </w:pPr>
      <w:r>
        <w:rPr>
          <w:rFonts w:ascii="Arial" w:cs="Arial" w:eastAsia="Arial" w:hAnsi="Arial"/>
          <w:sz w:val="17"/>
          <w:szCs w:val="17"/>
          <w:color w:val="auto"/>
        </w:rPr>
        <w:t>We are an “emerging growth company,” under the JOBS Act.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avail ourselves of delayed adoption of new or revised accounting standards and, therefore, we will be subject to the same requirements to adopt new or revised accounting standards as private entities. As an emerging growth company, we may take advantage of certain exemptions and reduced reporting requirements under the JOBS Act. Subject to certain conditions, as an emerging growth company:</w:t>
      </w:r>
    </w:p>
    <w:p>
      <w:pPr>
        <w:spacing w:after="0" w:line="169" w:lineRule="exact"/>
        <w:rPr>
          <w:sz w:val="20"/>
          <w:szCs w:val="20"/>
          <w:color w:val="auto"/>
        </w:rPr>
      </w:pPr>
    </w:p>
    <w:p>
      <w:pPr>
        <w:ind w:left="980" w:right="160" w:hanging="432"/>
        <w:spacing w:after="0" w:line="254" w:lineRule="auto"/>
        <w:tabs>
          <w:tab w:leader="none" w:pos="98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we may present only two years of audited financial statements and only two years of related Management’s Discussion and Analysis of Financial Condition and Results of Operations in our periodic reports and registration statements;</w:t>
      </w:r>
    </w:p>
    <w:p>
      <w:pPr>
        <w:spacing w:after="0" w:line="4" w:lineRule="exact"/>
        <w:rPr>
          <w:rFonts w:ascii="MS PGothic" w:cs="MS PGothic" w:eastAsia="MS PGothic" w:hAnsi="MS PGothic"/>
          <w:sz w:val="13"/>
          <w:szCs w:val="13"/>
          <w:color w:val="auto"/>
        </w:rPr>
      </w:pPr>
    </w:p>
    <w:p>
      <w:pPr>
        <w:ind w:left="980" w:right="60" w:hanging="432"/>
        <w:spacing w:after="0" w:line="254" w:lineRule="auto"/>
        <w:tabs>
          <w:tab w:leader="none" w:pos="98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we may avail ourselves of the exemption from providing an auditor’s attestation report on our system of internal controls over financial reporting pursuant to Section 404(b) of the Sarbanes-Oxley Act;</w:t>
      </w:r>
    </w:p>
    <w:p>
      <w:pPr>
        <w:spacing w:after="0" w:line="4" w:lineRule="exact"/>
        <w:rPr>
          <w:rFonts w:ascii="MS PGothic" w:cs="MS PGothic" w:eastAsia="MS PGothic" w:hAnsi="MS PGothic"/>
          <w:sz w:val="13"/>
          <w:szCs w:val="13"/>
          <w:color w:val="auto"/>
        </w:rPr>
      </w:pPr>
    </w:p>
    <w:p>
      <w:pPr>
        <w:ind w:left="980" w:hanging="432"/>
        <w:spacing w:after="0"/>
        <w:tabs>
          <w:tab w:leader="none" w:pos="98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we may provide reduced disclosure about our executive compensation arrangements;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we may not require nonbinding advisory votes on executive compensation or stockholder approval of any golden parachute payments.</w:t>
      </w:r>
    </w:p>
    <w:p>
      <w:pPr>
        <w:spacing w:after="0" w:line="156" w:lineRule="exact"/>
        <w:rPr>
          <w:sz w:val="20"/>
          <w:szCs w:val="20"/>
          <w:color w:val="auto"/>
        </w:rPr>
      </w:pPr>
    </w:p>
    <w:p>
      <w:pPr>
        <w:ind w:left="120" w:right="180"/>
        <w:spacing w:after="0" w:line="238" w:lineRule="auto"/>
        <w:rPr>
          <w:sz w:val="20"/>
          <w:szCs w:val="20"/>
          <w:color w:val="auto"/>
        </w:rPr>
      </w:pPr>
      <w:r>
        <w:rPr>
          <w:rFonts w:ascii="Arial" w:cs="Arial" w:eastAsia="Arial" w:hAnsi="Arial"/>
          <w:sz w:val="17"/>
          <w:szCs w:val="17"/>
          <w:color w:val="auto"/>
        </w:rPr>
        <w:t>We will remain an emerging growth company until the earliest of (i) December 31, 2025, (ii) the last day of the fiscal year in which we have total annual gross revenues of $1.07 billion or more,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provided we have been subject to the Exchange Act for at least 12 calendar months and have filed at least one annual report pursuant to the Exchange Act or (iv) the date on which we have issued more than $1.0 billion in non-convertible debt securities during the prior three-year period. We may choose to take advantage of some but not all of these exemptions.</w:t>
      </w:r>
    </w:p>
    <w:p>
      <w:pPr>
        <w:spacing w:after="0" w:line="128"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We are also a “smaller reporting company,” meaning that the market value of our stock held by non-affiliates is less than $700 million and our annual revenue was less than $100.0 million during the most recently completed fiscal year. We may continue to be a smaller reporting company if either (i) the market value of our stock held by non-affiliates is less than $250 million or (ii) our annual revenue was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316"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We currently intend to use the net proceeds from the sale of any security under this prospectus primarily for general corporate purposes, including funding working capital, operating expenses and to fund the research and development of our product candidates, including manufacturing and clinical trial expenses. We may also use the proceeds to make acquisitions or investments in businesses, products or technologies that are complementary to our own, although we have no current plans, commitments or agreements with respect to any acquisitions as of the date of this prospectus. Pending these uses, we may invest the net proceeds from this offering in short-term U.S. Treasury securities or other securities in accordance with our investment policy, or may hold such proceeds as cash, until they are used for their stated purpose. We have not determined the amount of net proceeds to be used specifically for such purposes. As a result, management will retain broad discretion over the allocation of net proceeds.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THAT MAY BE OFFERED</w:t>
      </w:r>
    </w:p>
    <w:p>
      <w:pPr>
        <w:spacing w:after="0" w:line="316"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This prospectus contains summary descriptions of the securities we may offer from time to time. These summary descriptions are not meant to be complete descriptions of each security. The particular terms of any security will be described in the applicable prospectus supplement. This prospectus provides you with a general description of the securities we may offer. Each time we sell securities described herein, we will provide prospective investors with a supplement to this prospectus that will contain specific information about the terms of that offering, including the specific amounts, prices and terms of the securities offered. We may sell the securities to or through underwriters, dealers or agents, directly to purchasers or through a combination of any of these methods of sale or as otherwise set forth below under “</w:t>
      </w:r>
      <w:r>
        <w:rPr>
          <w:rFonts w:ascii="Arial" w:cs="Arial" w:eastAsia="Arial" w:hAnsi="Arial"/>
          <w:sz w:val="17"/>
          <w:szCs w:val="17"/>
          <w:i w:val="1"/>
          <w:iCs w:val="1"/>
          <w:color w:val="auto"/>
        </w:rPr>
        <w:t>Plan of Distribution</w:t>
      </w:r>
      <w:r>
        <w:rPr>
          <w:rFonts w:ascii="Arial" w:cs="Arial" w:eastAsia="Arial" w:hAnsi="Arial"/>
          <w:sz w:val="17"/>
          <w:szCs w:val="17"/>
          <w:color w:val="auto"/>
        </w:rPr>
        <w:t>.” We, as well as any agents acting on our behalf, reserve the sole right to accept and to reject in whole or in part any proposed purchase of securities. Any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12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100"/>
          </w:cols>
          <w:pgMar w:left="320" w:top="455"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318"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i w:val="1"/>
          <w:iCs w:val="1"/>
          <w:color w:val="auto"/>
        </w:rPr>
        <w:t>The following description of our capital stock is intended as a summary only and therefore is not a complete description of our capital stock. This description is based upon, and is qualified by reference to, our certificate of incorporation, our bylaws, and applicable provisions of Delaware corporate law. You should read our certificate of incorporation and our bylaws, in each case, as amended and supplemented, which are filed as exhibits to the registration statement of which this prospectus forms a part, for the provisions that are important to you.</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Authorized and Outstanding Stock</w:t>
      </w:r>
    </w:p>
    <w:p>
      <w:pPr>
        <w:spacing w:after="0" w:line="61" w:lineRule="exact"/>
        <w:rPr>
          <w:sz w:val="20"/>
          <w:szCs w:val="20"/>
          <w:color w:val="auto"/>
        </w:rPr>
      </w:pPr>
    </w:p>
    <w:p>
      <w:pPr>
        <w:ind w:left="120" w:right="280"/>
        <w:spacing w:after="0" w:line="267" w:lineRule="auto"/>
        <w:rPr>
          <w:sz w:val="20"/>
          <w:szCs w:val="20"/>
          <w:color w:val="auto"/>
        </w:rPr>
      </w:pPr>
      <w:r>
        <w:rPr>
          <w:rFonts w:ascii="Arial" w:cs="Arial" w:eastAsia="Arial" w:hAnsi="Arial"/>
          <w:sz w:val="17"/>
          <w:szCs w:val="17"/>
          <w:color w:val="auto"/>
        </w:rPr>
        <w:t>Our certificate of incorporation authorizes the issuance of 210,000,000 shares, consisting of 200,000,000 shares of common stock, $0.001 par value per share, and 10,000,000 shares of preferred stock, $0.001 par value, all of which shares of preferred stock are undesignated.</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Common Stock</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certificate of incorporation provides the following with respect to the rights, powers, preferences and privileges of the common stock.</w:t>
      </w:r>
    </w:p>
    <w:p>
      <w:pPr>
        <w:spacing w:after="0" w:line="150" w:lineRule="exact"/>
        <w:rPr>
          <w:sz w:val="20"/>
          <w:szCs w:val="20"/>
          <w:color w:val="auto"/>
        </w:rPr>
      </w:pPr>
    </w:p>
    <w:p>
      <w:pPr>
        <w:jc w:val="both"/>
        <w:ind w:left="120" w:right="80"/>
        <w:spacing w:after="0" w:line="249" w:lineRule="auto"/>
        <w:rPr>
          <w:sz w:val="20"/>
          <w:szCs w:val="20"/>
          <w:color w:val="auto"/>
        </w:rPr>
      </w:pPr>
      <w:r>
        <w:rPr>
          <w:rFonts w:ascii="Arial" w:cs="Arial" w:eastAsia="Arial" w:hAnsi="Arial"/>
          <w:sz w:val="17"/>
          <w:szCs w:val="17"/>
          <w:i w:val="1"/>
          <w:iCs w:val="1"/>
          <w:color w:val="auto"/>
        </w:rPr>
        <w:t xml:space="preserve">Voting Power. </w:t>
      </w:r>
      <w:r>
        <w:rPr>
          <w:rFonts w:ascii="Arial" w:cs="Arial" w:eastAsia="Arial" w:hAnsi="Arial"/>
          <w:sz w:val="17"/>
          <w:szCs w:val="17"/>
          <w:color w:val="auto"/>
        </w:rPr>
        <w:t>Except as otherwise required by law or as otherwise provided in any certificate of designation for any series of preferred stock, the</w:t>
      </w:r>
      <w:r>
        <w:rPr>
          <w:rFonts w:ascii="Arial" w:cs="Arial" w:eastAsia="Arial" w:hAnsi="Arial"/>
          <w:sz w:val="17"/>
          <w:szCs w:val="17"/>
          <w:i w:val="1"/>
          <w:iCs w:val="1"/>
          <w:color w:val="auto"/>
        </w:rPr>
        <w:t xml:space="preserve"> </w:t>
      </w:r>
      <w:r>
        <w:rPr>
          <w:rFonts w:ascii="Arial" w:cs="Arial" w:eastAsia="Arial" w:hAnsi="Arial"/>
          <w:sz w:val="17"/>
          <w:szCs w:val="17"/>
          <w:color w:val="auto"/>
        </w:rPr>
        <w:t>holders of common stock possess all voting power for the election of Tango’s directors and all other matters requiring stockholder action. Holders of common stock are entitled to one vote per share on matters to be voted on by stockholders.</w:t>
      </w:r>
    </w:p>
    <w:p>
      <w:pPr>
        <w:spacing w:after="0" w:line="121" w:lineRule="exact"/>
        <w:rPr>
          <w:sz w:val="20"/>
          <w:szCs w:val="20"/>
          <w:color w:val="auto"/>
        </w:rPr>
      </w:pPr>
    </w:p>
    <w:p>
      <w:pPr>
        <w:ind w:left="120" w:right="380"/>
        <w:spacing w:after="0" w:line="249" w:lineRule="auto"/>
        <w:rPr>
          <w:sz w:val="20"/>
          <w:szCs w:val="20"/>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Holders of common stock will be entitled to receive such dividends, if any, as may be declared from time to time by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in its discretion out of funds legally available therefor. In no event will any stock dividends or stock splits or combinations of stock be declared or made on common stock unless the shares of common stock at the time outstanding are treated equally and identically.</w:t>
      </w:r>
    </w:p>
    <w:p>
      <w:pPr>
        <w:spacing w:after="0" w:line="121" w:lineRule="exact"/>
        <w:rPr>
          <w:sz w:val="20"/>
          <w:szCs w:val="20"/>
          <w:color w:val="auto"/>
        </w:rPr>
      </w:pPr>
    </w:p>
    <w:p>
      <w:pPr>
        <w:ind w:left="120" w:right="560"/>
        <w:spacing w:after="0" w:line="249" w:lineRule="auto"/>
        <w:rPr>
          <w:sz w:val="20"/>
          <w:szCs w:val="20"/>
          <w:color w:val="auto"/>
        </w:rPr>
      </w:pPr>
      <w:r>
        <w:rPr>
          <w:rFonts w:ascii="Arial" w:cs="Arial" w:eastAsia="Arial" w:hAnsi="Arial"/>
          <w:sz w:val="17"/>
          <w:szCs w:val="17"/>
          <w:i w:val="1"/>
          <w:iCs w:val="1"/>
          <w:color w:val="auto"/>
        </w:rPr>
        <w:t xml:space="preserve">Liquidation, Dissolution and Winding Up. </w:t>
      </w:r>
      <w:r>
        <w:rPr>
          <w:rFonts w:ascii="Arial" w:cs="Arial" w:eastAsia="Arial" w:hAnsi="Arial"/>
          <w:sz w:val="17"/>
          <w:szCs w:val="17"/>
          <w:color w:val="auto"/>
        </w:rPr>
        <w:t>In the event of Tango’s voluntary or involuntary liquidation, dissolution, distribution of assets or</w:t>
      </w:r>
      <w:r>
        <w:rPr>
          <w:rFonts w:ascii="Arial" w:cs="Arial" w:eastAsia="Arial" w:hAnsi="Arial"/>
          <w:sz w:val="17"/>
          <w:szCs w:val="17"/>
          <w:i w:val="1"/>
          <w:iCs w:val="1"/>
          <w:color w:val="auto"/>
        </w:rPr>
        <w:t xml:space="preserve"> </w:t>
      </w:r>
      <w:r>
        <w:rPr>
          <w:rFonts w:ascii="Arial" w:cs="Arial" w:eastAsia="Arial" w:hAnsi="Arial"/>
          <w:sz w:val="17"/>
          <w:szCs w:val="17"/>
          <w:color w:val="auto"/>
        </w:rPr>
        <w:t>winding-up, the holders of the common stock will be entitled to receive an equal amount per share of all of Tango’s assets of whatever kind available for distribution to stockholders, after the rights of the holders of the preferred stock have been satisfied.</w:t>
      </w:r>
    </w:p>
    <w:p>
      <w:pPr>
        <w:spacing w:after="0" w:line="121" w:lineRule="exact"/>
        <w:rPr>
          <w:sz w:val="20"/>
          <w:szCs w:val="20"/>
          <w:color w:val="auto"/>
        </w:rPr>
      </w:pPr>
    </w:p>
    <w:p>
      <w:pPr>
        <w:ind w:left="120" w:right="160"/>
        <w:spacing w:after="0" w:line="267" w:lineRule="auto"/>
        <w:rPr>
          <w:sz w:val="20"/>
          <w:szCs w:val="20"/>
          <w:color w:val="auto"/>
        </w:rPr>
      </w:pPr>
      <w:r>
        <w:rPr>
          <w:rFonts w:ascii="Arial" w:cs="Arial" w:eastAsia="Arial" w:hAnsi="Arial"/>
          <w:sz w:val="17"/>
          <w:szCs w:val="17"/>
          <w:i w:val="1"/>
          <w:iCs w:val="1"/>
          <w:color w:val="auto"/>
        </w:rPr>
        <w:t xml:space="preserve">Preemptive or Other Rights. </w:t>
      </w:r>
      <w:r>
        <w:rPr>
          <w:rFonts w:ascii="Arial" w:cs="Arial" w:eastAsia="Arial" w:hAnsi="Arial"/>
          <w:sz w:val="17"/>
          <w:szCs w:val="17"/>
          <w:color w:val="auto"/>
        </w:rPr>
        <w:t>Our common stock has no preemptive rights, conversion rights or other subscription rights or redemption or sinking</w:t>
      </w:r>
      <w:r>
        <w:rPr>
          <w:rFonts w:ascii="Arial" w:cs="Arial" w:eastAsia="Arial" w:hAnsi="Arial"/>
          <w:sz w:val="17"/>
          <w:szCs w:val="17"/>
          <w:i w:val="1"/>
          <w:iCs w:val="1"/>
          <w:color w:val="auto"/>
        </w:rPr>
        <w:t xml:space="preserve"> </w:t>
      </w:r>
      <w:r>
        <w:rPr>
          <w:rFonts w:ascii="Arial" w:cs="Arial" w:eastAsia="Arial" w:hAnsi="Arial"/>
          <w:sz w:val="17"/>
          <w:szCs w:val="17"/>
          <w:color w:val="auto"/>
        </w:rPr>
        <w:t>fund provisions.</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Listing of Securities</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common stock is listed on the Nasdaq Global Market under the symbol “TNGX”.</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Transfer Agent</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transfer agent for our common stock is Computershare Trust Company, N.A.</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Preferred stock</w:t>
      </w:r>
    </w:p>
    <w:p>
      <w:pPr>
        <w:spacing w:after="0" w:line="39"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Our board of directors will have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No shares of convertible preferred stock are outstanding, and we have no present plan to issue any shares of convertible preferred stock</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73" w:lineRule="exact"/>
        <w:rPr>
          <w:sz w:val="20"/>
          <w:szCs w:val="20"/>
          <w:color w:val="auto"/>
        </w:rPr>
      </w:pPr>
    </w:p>
    <w:p>
      <w:pPr>
        <w:ind w:left="120"/>
        <w:spacing w:after="0" w:line="244" w:lineRule="auto"/>
        <w:rPr>
          <w:sz w:val="20"/>
          <w:szCs w:val="20"/>
          <w:color w:val="auto"/>
        </w:rPr>
      </w:pPr>
      <w:r>
        <w:rPr>
          <w:rFonts w:ascii="Arial" w:cs="Arial" w:eastAsia="Arial" w:hAnsi="Arial"/>
          <w:sz w:val="17"/>
          <w:szCs w:val="17"/>
          <w:color w:val="auto"/>
        </w:rPr>
        <w:t>Certain of our stockholders (“Holders”) hold registration rights pursuant to an amended and restated registration and stockholder rights agreement (the “Amended and Restated Registration and Stockholder Rights Agreement”). Stockholders holding a majority-in-interest of such registrable securities are entitled to make a written demand for registration under the Securities Act of 1933, as amended (the “Securities Act”), of all or part of their registrable securities.</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particular, the Amended and Restated Registration and Stockholder Rights Agreement provides for the following registration rights:</w:t>
      </w:r>
    </w:p>
    <w:p>
      <w:pPr>
        <w:spacing w:after="0" w:line="196" w:lineRule="exact"/>
        <w:rPr>
          <w:sz w:val="20"/>
          <w:szCs w:val="20"/>
          <w:color w:val="auto"/>
        </w:rPr>
      </w:pPr>
    </w:p>
    <w:p>
      <w:pPr>
        <w:ind w:left="980" w:right="80" w:hanging="432"/>
        <w:spacing w:after="0" w:line="239" w:lineRule="auto"/>
        <w:tabs>
          <w:tab w:leader="none" w:pos="980" w:val="left"/>
        </w:tabs>
        <w:numPr>
          <w:ilvl w:val="0"/>
          <w:numId w:val="5"/>
        </w:numPr>
        <w:rPr>
          <w:rFonts w:ascii="MS PGothic" w:cs="MS PGothic" w:eastAsia="MS PGothic" w:hAnsi="MS PGothic"/>
          <w:sz w:val="13"/>
          <w:szCs w:val="13"/>
          <w:color w:val="auto"/>
        </w:rPr>
      </w:pPr>
      <w:r>
        <w:rPr>
          <w:rFonts w:ascii="Arial" w:cs="Arial" w:eastAsia="Arial" w:hAnsi="Arial"/>
          <w:sz w:val="17"/>
          <w:szCs w:val="17"/>
          <w:i w:val="1"/>
          <w:iCs w:val="1"/>
          <w:color w:val="auto"/>
        </w:rPr>
        <w:t>Shelf registration/demand registration rights</w:t>
      </w:r>
      <w:r>
        <w:rPr>
          <w:rFonts w:ascii="Arial" w:cs="Arial" w:eastAsia="Arial" w:hAnsi="Arial"/>
          <w:sz w:val="17"/>
          <w:szCs w:val="17"/>
          <w:color w:val="auto"/>
        </w:rPr>
        <w:t>. At any time and from time to time when an effective shelf registration statement is on file</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SEC, a Holder may request to sell all or any portion of such Holder’s registrable securities by means of an underwritten takedown off of the shelf registration statement, except that we are only obligated to effect such underwritten shelf takedown if such offering will include registrable securities proposed to be sold by the requesting Holder, either individually or together with other requesting Holders, with a total offering price reasonably expected to exceed, in the aggregate, $20.0 million. Additionally, we are not required to effect more than one underwritten shelf takedown in any six-month period.</w:t>
      </w:r>
    </w:p>
    <w:p>
      <w:pPr>
        <w:spacing w:after="0" w:line="6" w:lineRule="exact"/>
        <w:rPr>
          <w:rFonts w:ascii="MS PGothic" w:cs="MS PGothic" w:eastAsia="MS PGothic" w:hAnsi="MS PGothic"/>
          <w:sz w:val="13"/>
          <w:szCs w:val="13"/>
          <w:color w:val="auto"/>
        </w:rPr>
      </w:pPr>
    </w:p>
    <w:p>
      <w:pPr>
        <w:ind w:left="980" w:right="20" w:hanging="432"/>
        <w:spacing w:after="0" w:line="243" w:lineRule="auto"/>
        <w:tabs>
          <w:tab w:leader="none" w:pos="980" w:val="left"/>
        </w:tabs>
        <w:numPr>
          <w:ilvl w:val="0"/>
          <w:numId w:val="5"/>
        </w:numPr>
        <w:rPr>
          <w:rFonts w:ascii="MS PGothic" w:cs="MS PGothic" w:eastAsia="MS PGothic" w:hAnsi="MS PGothic"/>
          <w:sz w:val="13"/>
          <w:szCs w:val="13"/>
          <w:color w:val="auto"/>
        </w:rPr>
      </w:pPr>
      <w:r>
        <w:rPr>
          <w:rFonts w:ascii="Arial" w:cs="Arial" w:eastAsia="Arial" w:hAnsi="Arial"/>
          <w:sz w:val="17"/>
          <w:szCs w:val="17"/>
          <w:i w:val="1"/>
          <w:iCs w:val="1"/>
          <w:color w:val="auto"/>
        </w:rPr>
        <w:t>Piggyback registration rights</w:t>
      </w:r>
      <w:r>
        <w:rPr>
          <w:rFonts w:ascii="Arial" w:cs="Arial" w:eastAsia="Arial" w:hAnsi="Arial"/>
          <w:sz w:val="17"/>
          <w:szCs w:val="17"/>
          <w:color w:val="auto"/>
        </w:rPr>
        <w:t>. Subject to exceptions for certain offerings and registration statements, if at any time, we propose to file a</w:t>
      </w:r>
      <w:r>
        <w:rPr>
          <w:rFonts w:ascii="Arial" w:cs="Arial" w:eastAsia="Arial" w:hAnsi="Arial"/>
          <w:sz w:val="17"/>
          <w:szCs w:val="17"/>
          <w:i w:val="1"/>
          <w:iCs w:val="1"/>
          <w:color w:val="auto"/>
        </w:rPr>
        <w:t xml:space="preserve"> </w:t>
      </w:r>
      <w:r>
        <w:rPr>
          <w:rFonts w:ascii="Arial" w:cs="Arial" w:eastAsia="Arial" w:hAnsi="Arial"/>
          <w:sz w:val="17"/>
          <w:szCs w:val="17"/>
          <w:color w:val="auto"/>
        </w:rPr>
        <w:t>registration statement under the Securities Act, in connection with an offering of our equity securities or securities or other obligations exercisable or exchangeable for, or convertible into, our equity securities, either for our own account or for the account of other stockholders, the Holders are entitled to include their registrable securities in such registration statement.</w:t>
      </w:r>
    </w:p>
    <w:p>
      <w:pPr>
        <w:spacing w:after="0" w:line="4" w:lineRule="exact"/>
        <w:rPr>
          <w:rFonts w:ascii="MS PGothic" w:cs="MS PGothic" w:eastAsia="MS PGothic" w:hAnsi="MS PGothic"/>
          <w:sz w:val="13"/>
          <w:szCs w:val="13"/>
          <w:color w:val="auto"/>
        </w:rPr>
      </w:pPr>
    </w:p>
    <w:p>
      <w:pPr>
        <w:ind w:left="980" w:right="520" w:hanging="432"/>
        <w:spacing w:after="0" w:line="244" w:lineRule="auto"/>
        <w:tabs>
          <w:tab w:leader="none" w:pos="980" w:val="left"/>
        </w:tabs>
        <w:numPr>
          <w:ilvl w:val="0"/>
          <w:numId w:val="5"/>
        </w:numPr>
        <w:rPr>
          <w:rFonts w:ascii="MS PGothic" w:cs="MS PGothic" w:eastAsia="MS PGothic" w:hAnsi="MS PGothic"/>
          <w:sz w:val="13"/>
          <w:szCs w:val="13"/>
          <w:color w:val="auto"/>
        </w:rPr>
      </w:pPr>
      <w:r>
        <w:rPr>
          <w:rFonts w:ascii="Arial" w:cs="Arial" w:eastAsia="Arial" w:hAnsi="Arial"/>
          <w:sz w:val="17"/>
          <w:szCs w:val="17"/>
          <w:i w:val="1"/>
          <w:iCs w:val="1"/>
          <w:color w:val="auto"/>
        </w:rPr>
        <w:t>Indemnification</w:t>
      </w:r>
      <w:r>
        <w:rPr>
          <w:rFonts w:ascii="Arial" w:cs="Arial" w:eastAsia="Arial" w:hAnsi="Arial"/>
          <w:sz w:val="17"/>
          <w:szCs w:val="17"/>
          <w:color w:val="auto"/>
        </w:rPr>
        <w:t>. The Amended and Restated Registration and Stockholder Rights Agreement contains customary cross-indemnification provisions, under which we are obligated to indemnify Holders of registrable securities in the event of material misstatements or omissions in the registration statement attributable to us, and Holders of registrable securities are obligated to indemnify us for material misstatements or omissions attributable to them.</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Expiration of Registration Rights</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registration rights granted under the Amended and Restated Registration and Stockholder Rights Agreement will terminate on the earlier of</w:t>
      </w:r>
    </w:p>
    <w:p>
      <w:pPr>
        <w:spacing w:after="0" w:line="10" w:lineRule="exact"/>
        <w:rPr>
          <w:sz w:val="20"/>
          <w:szCs w:val="20"/>
          <w:color w:val="auto"/>
        </w:rPr>
      </w:pPr>
    </w:p>
    <w:p>
      <w:pPr>
        <w:ind w:left="120" w:right="700" w:hanging="4"/>
        <w:spacing w:after="0" w:line="248" w:lineRule="auto"/>
        <w:tabs>
          <w:tab w:leader="none" w:pos="319"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10th anniversary of the date of the agreement and (ii) with respect to any Holder, on the date that such Holder no longer holds any Registrable Securities.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Effects of our Certificate of Incorporation and Bylaws and Delaware Law</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Certificate of Incorporation and Bylaws</w:t>
      </w:r>
    </w:p>
    <w:p>
      <w:pPr>
        <w:spacing w:after="0" w:line="39" w:lineRule="exact"/>
        <w:rPr>
          <w:sz w:val="20"/>
          <w:szCs w:val="20"/>
          <w:color w:val="auto"/>
        </w:rPr>
      </w:pPr>
    </w:p>
    <w:p>
      <w:pPr>
        <w:ind w:left="120" w:right="200"/>
        <w:spacing w:after="0" w:line="246" w:lineRule="auto"/>
        <w:rPr>
          <w:sz w:val="20"/>
          <w:szCs w:val="20"/>
          <w:color w:val="auto"/>
        </w:rPr>
      </w:pPr>
      <w:r>
        <w:rPr>
          <w:rFonts w:ascii="Arial" w:cs="Arial" w:eastAsia="Arial" w:hAnsi="Arial"/>
          <w:sz w:val="17"/>
          <w:szCs w:val="17"/>
          <w:color w:val="auto"/>
        </w:rPr>
        <w:t>Our certificate of incorporation and bylaws include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spacing w:after="0" w:line="163" w:lineRule="exact"/>
        <w:rPr>
          <w:sz w:val="20"/>
          <w:szCs w:val="20"/>
          <w:color w:val="auto"/>
        </w:rPr>
      </w:pPr>
    </w:p>
    <w:p>
      <w:pPr>
        <w:ind w:left="980" w:right="200" w:hanging="432"/>
        <w:spacing w:after="0" w:line="254" w:lineRule="auto"/>
        <w:tabs>
          <w:tab w:leader="none" w:pos="98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permit our board of directors to issue up to 10,000,000 shares of preferred stock, with any rights, preferences and privileges as they may designate, including the right to approve an acquisition or other change of control;</w:t>
      </w:r>
    </w:p>
    <w:p>
      <w:pPr>
        <w:spacing w:after="0" w:line="4" w:lineRule="exact"/>
        <w:rPr>
          <w:rFonts w:ascii="MS PGothic" w:cs="MS PGothic" w:eastAsia="MS PGothic" w:hAnsi="MS PGothic"/>
          <w:sz w:val="13"/>
          <w:szCs w:val="13"/>
          <w:color w:val="auto"/>
        </w:rPr>
      </w:pPr>
    </w:p>
    <w:p>
      <w:pPr>
        <w:ind w:left="980" w:hanging="432"/>
        <w:spacing w:after="0"/>
        <w:tabs>
          <w:tab w:leader="none" w:pos="98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provide that the authorized number of directors may be changed only by resolution of our board of directors;</w:t>
      </w:r>
    </w:p>
    <w:p>
      <w:pPr>
        <w:spacing w:after="0" w:line="34" w:lineRule="exact"/>
        <w:rPr>
          <w:rFonts w:ascii="MS PGothic" w:cs="MS PGothic" w:eastAsia="MS PGothic" w:hAnsi="MS PGothic"/>
          <w:sz w:val="13"/>
          <w:szCs w:val="13"/>
          <w:color w:val="auto"/>
        </w:rPr>
      </w:pPr>
    </w:p>
    <w:p>
      <w:pPr>
        <w:jc w:val="both"/>
        <w:ind w:left="980" w:right="180" w:hanging="432"/>
        <w:spacing w:after="0" w:line="247" w:lineRule="auto"/>
        <w:tabs>
          <w:tab w:leader="none" w:pos="98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provide that, subject to the rights of any series of preferred stock to elect directors, directors may be removed only with cause by the holders of at least two thirds (2/3) of all of our then-outstanding shares of the capital stock entitled to vote generally at an election of directors;</w:t>
      </w:r>
    </w:p>
    <w:p>
      <w:pPr>
        <w:spacing w:after="0" w:line="3" w:lineRule="exact"/>
        <w:rPr>
          <w:rFonts w:ascii="MS PGothic" w:cs="MS PGothic" w:eastAsia="MS PGothic" w:hAnsi="MS PGothic"/>
          <w:sz w:val="13"/>
          <w:szCs w:val="13"/>
          <w:color w:val="auto"/>
        </w:rPr>
      </w:pPr>
    </w:p>
    <w:p>
      <w:pPr>
        <w:ind w:left="980" w:right="20" w:hanging="432"/>
        <w:spacing w:after="0" w:line="244" w:lineRule="auto"/>
        <w:tabs>
          <w:tab w:leader="none" w:pos="98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provide that, subject to the rights of any series of preferred stock to fill director vacancies, all director vacancies, including newly created directorships, may, except as otherwise required by law, be filled by the affirmative vote of a majority of directors then in office, even if less than a quorum; provide that stockholders seeking to present proposals before a meeting of stockholders or to nominate candidates for</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6" w:lineRule="exact"/>
        <w:rPr>
          <w:sz w:val="20"/>
          <w:szCs w:val="20"/>
          <w:color w:val="auto"/>
        </w:rPr>
      </w:pPr>
    </w:p>
    <w:p>
      <w:pPr>
        <w:ind w:left="1000" w:right="20"/>
        <w:spacing w:after="0" w:line="254" w:lineRule="auto"/>
        <w:rPr>
          <w:sz w:val="20"/>
          <w:szCs w:val="20"/>
          <w:color w:val="auto"/>
        </w:rPr>
      </w:pPr>
      <w:r>
        <w:rPr>
          <w:rFonts w:ascii="Arial" w:cs="Arial" w:eastAsia="Arial" w:hAnsi="Arial"/>
          <w:sz w:val="17"/>
          <w:szCs w:val="17"/>
          <w:color w:val="auto"/>
        </w:rPr>
        <w:t>election as directors at a meeting of stockholders must provide advance notice in writing, and also specify requirements as to the form and content of a stockholder’s notice;</w:t>
      </w:r>
    </w:p>
    <w:p>
      <w:pPr>
        <w:spacing w:after="0" w:line="5" w:lineRule="exact"/>
        <w:rPr>
          <w:sz w:val="20"/>
          <w:szCs w:val="20"/>
          <w:color w:val="auto"/>
        </w:rPr>
      </w:pPr>
    </w:p>
    <w:p>
      <w:pPr>
        <w:ind w:left="980" w:right="560" w:hanging="432"/>
        <w:spacing w:after="0" w:line="254" w:lineRule="auto"/>
        <w:tabs>
          <w:tab w:leader="none" w:pos="980" w:val="left"/>
        </w:tabs>
        <w:numPr>
          <w:ilvl w:val="0"/>
          <w:numId w:val="8"/>
        </w:numPr>
        <w:rPr>
          <w:rFonts w:ascii="MS PGothic" w:cs="MS PGothic" w:eastAsia="MS PGothic" w:hAnsi="MS PGothic"/>
          <w:sz w:val="13"/>
          <w:szCs w:val="13"/>
          <w:color w:val="auto"/>
        </w:rPr>
      </w:pPr>
      <w:r>
        <w:rPr>
          <w:rFonts w:ascii="Arial" w:cs="Arial" w:eastAsia="Arial" w:hAnsi="Arial"/>
          <w:sz w:val="17"/>
          <w:szCs w:val="17"/>
          <w:color w:val="auto"/>
        </w:rPr>
        <w:t>provide that special meetings of our stockholders may be called by our board of directors pursuant to a resolution adopted by a majority of the total number of authorized directors;</w:t>
      </w:r>
    </w:p>
    <w:p>
      <w:pPr>
        <w:spacing w:after="0" w:line="4" w:lineRule="exact"/>
        <w:rPr>
          <w:rFonts w:ascii="MS PGothic" w:cs="MS PGothic" w:eastAsia="MS PGothic" w:hAnsi="MS PGothic"/>
          <w:sz w:val="13"/>
          <w:szCs w:val="13"/>
          <w:color w:val="auto"/>
        </w:rPr>
      </w:pPr>
    </w:p>
    <w:p>
      <w:pPr>
        <w:jc w:val="both"/>
        <w:ind w:left="980" w:right="320" w:hanging="432"/>
        <w:spacing w:after="0" w:line="247" w:lineRule="auto"/>
        <w:tabs>
          <w:tab w:leader="none" w:pos="980" w:val="left"/>
        </w:tabs>
        <w:numPr>
          <w:ilvl w:val="0"/>
          <w:numId w:val="8"/>
        </w:numPr>
        <w:rPr>
          <w:rFonts w:ascii="MS PGothic" w:cs="MS PGothic" w:eastAsia="MS PGothic" w:hAnsi="MS PGothic"/>
          <w:sz w:val="13"/>
          <w:szCs w:val="13"/>
          <w:color w:val="auto"/>
        </w:rPr>
      </w:pPr>
      <w:r>
        <w:rPr>
          <w:rFonts w:ascii="Arial" w:cs="Arial" w:eastAsia="Arial" w:hAnsi="Arial"/>
          <w:sz w:val="17"/>
          <w:szCs w:val="17"/>
          <w:color w:val="auto"/>
        </w:rPr>
        <w:t>provide that our board of directors will be divided into three classes of directors, with the classes to be as nearly equal as possible, and with the directors serving three-year terms, therefore making it more difficult for stockholders to change the composition of our board of directors;</w:t>
      </w:r>
    </w:p>
    <w:p>
      <w:pPr>
        <w:spacing w:after="0" w:line="3" w:lineRule="exact"/>
        <w:rPr>
          <w:rFonts w:ascii="MS PGothic" w:cs="MS PGothic" w:eastAsia="MS PGothic" w:hAnsi="MS PGothic"/>
          <w:sz w:val="13"/>
          <w:szCs w:val="13"/>
          <w:color w:val="auto"/>
        </w:rPr>
      </w:pPr>
    </w:p>
    <w:p>
      <w:pPr>
        <w:ind w:left="980" w:right="100" w:hanging="432"/>
        <w:spacing w:after="0" w:line="237" w:lineRule="auto"/>
        <w:tabs>
          <w:tab w:leader="none" w:pos="980" w:val="left"/>
        </w:tabs>
        <w:numPr>
          <w:ilvl w:val="0"/>
          <w:numId w:val="8"/>
        </w:numPr>
        <w:rPr>
          <w:rFonts w:ascii="MS PGothic" w:cs="MS PGothic" w:eastAsia="MS PGothic" w:hAnsi="MS PGothic"/>
          <w:sz w:val="13"/>
          <w:szCs w:val="13"/>
          <w:color w:val="auto"/>
        </w:rPr>
      </w:pPr>
      <w:r>
        <w:rPr>
          <w:rFonts w:ascii="Arial" w:cs="Arial" w:eastAsia="Arial" w:hAnsi="Arial"/>
          <w:sz w:val="17"/>
          <w:szCs w:val="17"/>
          <w:color w:val="auto"/>
        </w:rPr>
        <w:t>provide that any amendment of our certificate of incorporation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certificate of incorporation must be approved by not less than two-thirds of the outstanding shares entitled to vote on the amendment, and not less than two-thirds of the outstanding shares of each class entitled to vote thereon as a class. Our Bylaws may be amended by the affirmative vote of a majority of the directors then in office, subject to any limitations set forth in the bylaws; and may also be amended by the affirmative vote of a majority of the outstanding shares entitled to vote on the amendment; and</w:t>
      </w:r>
    </w:p>
    <w:p>
      <w:pPr>
        <w:spacing w:after="0" w:line="8" w:lineRule="exact"/>
        <w:rPr>
          <w:rFonts w:ascii="MS PGothic" w:cs="MS PGothic" w:eastAsia="MS PGothic" w:hAnsi="MS PGothic"/>
          <w:sz w:val="13"/>
          <w:szCs w:val="13"/>
          <w:color w:val="auto"/>
        </w:rPr>
      </w:pPr>
    </w:p>
    <w:p>
      <w:pPr>
        <w:ind w:left="980" w:right="180" w:hanging="432"/>
        <w:spacing w:after="0" w:line="267" w:lineRule="auto"/>
        <w:tabs>
          <w:tab w:leader="none" w:pos="980" w:val="left"/>
        </w:tabs>
        <w:numPr>
          <w:ilvl w:val="0"/>
          <w:numId w:val="8"/>
        </w:numPr>
        <w:rPr>
          <w:rFonts w:ascii="MS PGothic" w:cs="MS PGothic" w:eastAsia="MS PGothic" w:hAnsi="MS PGothic"/>
          <w:sz w:val="13"/>
          <w:szCs w:val="13"/>
          <w:color w:val="auto"/>
        </w:rPr>
      </w:pPr>
      <w:r>
        <w:rPr>
          <w:rFonts w:ascii="Arial" w:cs="Arial" w:eastAsia="Arial" w:hAnsi="Arial"/>
          <w:sz w:val="17"/>
          <w:szCs w:val="17"/>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Delaware Anti-Takeover Law</w:t>
      </w:r>
    </w:p>
    <w:p>
      <w:pPr>
        <w:spacing w:after="0" w:line="37" w:lineRule="exact"/>
        <w:rPr>
          <w:sz w:val="20"/>
          <w:szCs w:val="20"/>
          <w:color w:val="auto"/>
        </w:rPr>
      </w:pPr>
    </w:p>
    <w:p>
      <w:pPr>
        <w:jc w:val="both"/>
        <w:ind w:left="120" w:right="400"/>
        <w:spacing w:after="0"/>
        <w:rPr>
          <w:sz w:val="20"/>
          <w:szCs w:val="20"/>
          <w:color w:val="auto"/>
        </w:rPr>
      </w:pPr>
      <w:r>
        <w:rPr>
          <w:rFonts w:ascii="Arial" w:cs="Arial" w:eastAsia="Arial" w:hAnsi="Arial"/>
          <w:sz w:val="17"/>
          <w:szCs w:val="17"/>
          <w:color w:val="auto"/>
        </w:rPr>
        <w:t>Tango has opted out of Section 203 of the Delaware General Corporation Law (the “DGCL”). Section 203 of the DGCL prohibits a Delaware corporation from engaging in a “business combination” with an “interested stockholder” (i.e. a stockholder owning 15% or more of company’s voting stock) for three years following the time that the “interested stockholder” becomes such, subject to certain exceptions.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Exclusive Jurisdiction of Certain Actions</w:t>
      </w:r>
    </w:p>
    <w:p>
      <w:pPr>
        <w:spacing w:after="0" w:line="37"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Our bylaws require, to the fullest extent permitted by law, unless we consent in writing to the selection of an alternative forum, that derivative actions brought in the name of Tango, actions against any current or former directors, officers and employees for breach of fiduciary duty, actions asserting a claim arising pursuant to any provision of the DGCL or our certificate of incorporation or our bylaws, actions to interpret, apply, enforce or determine the validity of our certificate of incorporation or our bylaws and actions asserting a claim governed by the internal affairs doctrine may be brought only in the Court of Chancery in the State of Delaware (the “Delaware Forum Provision”). The Delaware Forum Provision will not apply to any causes of action arising under the Securities Act and the Securities Exchange Act of 1934. Our bylaws further provide that unless we consent in writing to the selection of an alternative forum, the federal district courts of the United States shall be the sole and exclusive forum for resolving any complaint asserting a cause of action arising under the Securities Act. We refer to such provision as the Federal Forum Provision. Our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 Any person or entity purchasing or otherwise acquiring any interest in shares of capital stock of Tango shall be deemed to have notice of and consented to this choice of forum provision.</w:t>
      </w:r>
    </w:p>
    <w:p>
      <w:pPr>
        <w:spacing w:after="0" w:line="13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DEBT SECURITIES</w:t>
      </w:r>
    </w:p>
    <w:p>
      <w:pPr>
        <w:spacing w:after="0" w:line="316" w:lineRule="exact"/>
        <w:rPr>
          <w:sz w:val="20"/>
          <w:szCs w:val="20"/>
          <w:color w:val="auto"/>
        </w:rPr>
      </w:pPr>
    </w:p>
    <w:p>
      <w:pPr>
        <w:ind w:left="120" w:right="60"/>
        <w:spacing w:after="0" w:line="239" w:lineRule="auto"/>
        <w:rPr>
          <w:sz w:val="20"/>
          <w:szCs w:val="20"/>
          <w:color w:val="auto"/>
        </w:rPr>
      </w:pPr>
      <w:r>
        <w:rPr>
          <w:rFonts w:ascii="Arial" w:cs="Arial" w:eastAsia="Arial" w:hAnsi="Arial"/>
          <w:sz w:val="17"/>
          <w:szCs w:val="17"/>
          <w:color w:val="auto"/>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spacing w:after="0" w:line="128" w:lineRule="exact"/>
        <w:rPr>
          <w:sz w:val="20"/>
          <w:szCs w:val="20"/>
          <w:color w:val="auto"/>
        </w:rPr>
      </w:pPr>
    </w:p>
    <w:p>
      <w:pPr>
        <w:ind w:left="120"/>
        <w:spacing w:after="0" w:line="241" w:lineRule="auto"/>
        <w:rPr>
          <w:sz w:val="20"/>
          <w:szCs w:val="20"/>
          <w:color w:val="auto"/>
        </w:rPr>
      </w:pPr>
      <w:r>
        <w:rPr>
          <w:rFonts w:ascii="Arial" w:cs="Arial" w:eastAsia="Arial" w:hAnsi="Arial"/>
          <w:sz w:val="17"/>
          <w:szCs w:val="17"/>
          <w:color w:val="auto"/>
        </w:rPr>
        <w:t>We will issue the debt securities under the indenture that we will enter into with the trustee named in the indenture. The indenture will be qualified under the Trust Indenture Act of 1939, as amended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26" w:lineRule="exact"/>
        <w:rPr>
          <w:sz w:val="20"/>
          <w:szCs w:val="20"/>
          <w:color w:val="auto"/>
        </w:rPr>
      </w:pPr>
    </w:p>
    <w:p>
      <w:pPr>
        <w:ind w:left="120" w:right="20"/>
        <w:spacing w:after="0" w:line="244" w:lineRule="auto"/>
        <w:rPr>
          <w:sz w:val="20"/>
          <w:szCs w:val="20"/>
          <w:color w:val="auto"/>
        </w:rPr>
      </w:pPr>
      <w:r>
        <w:rPr>
          <w:rFonts w:ascii="Arial" w:cs="Arial" w:eastAsia="Arial" w:hAnsi="Arial"/>
          <w:sz w:val="17"/>
          <w:szCs w:val="17"/>
          <w:color w:val="auto"/>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73" w:lineRule="exact"/>
        <w:rPr>
          <w:sz w:val="20"/>
          <w:szCs w:val="20"/>
          <w:color w:val="auto"/>
        </w:rPr>
      </w:pPr>
    </w:p>
    <w:p>
      <w:pPr>
        <w:ind w:left="120" w:right="200"/>
        <w:spacing w:after="0" w:line="241" w:lineRule="auto"/>
        <w:rPr>
          <w:sz w:val="20"/>
          <w:szCs w:val="20"/>
          <w:color w:val="auto"/>
        </w:rPr>
      </w:pPr>
      <w:r>
        <w:rPr>
          <w:rFonts w:ascii="Arial" w:cs="Arial" w:eastAsia="Arial" w:hAnsi="Arial"/>
          <w:sz w:val="17"/>
          <w:szCs w:val="17"/>
          <w:color w:val="auto"/>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spacing w:after="0" w:line="126" w:lineRule="exact"/>
        <w:rPr>
          <w:sz w:val="20"/>
          <w:szCs w:val="20"/>
          <w:color w:val="auto"/>
        </w:rPr>
      </w:pPr>
    </w:p>
    <w:p>
      <w:pPr>
        <w:ind w:left="120" w:right="20"/>
        <w:spacing w:after="0" w:line="241" w:lineRule="auto"/>
        <w:rPr>
          <w:sz w:val="20"/>
          <w:szCs w:val="20"/>
          <w:color w:val="auto"/>
        </w:rPr>
      </w:pPr>
      <w:r>
        <w:rPr>
          <w:rFonts w:ascii="Arial" w:cs="Arial" w:eastAsia="Arial" w:hAnsi="Arial"/>
          <w:sz w:val="17"/>
          <w:szCs w:val="17"/>
          <w:color w:val="auto"/>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will describe in the applicable prospectus supplement the terms of the series of debt securities being offered, including:</w:t>
      </w:r>
    </w:p>
    <w:p>
      <w:pPr>
        <w:spacing w:after="0" w:line="196" w:lineRule="exact"/>
        <w:rPr>
          <w:sz w:val="20"/>
          <w:szCs w:val="20"/>
          <w:color w:val="auto"/>
        </w:rPr>
      </w:pPr>
    </w:p>
    <w:p>
      <w:pPr>
        <w:ind w:left="980" w:hanging="432"/>
        <w:spacing w:after="0"/>
        <w:tabs>
          <w:tab w:leader="none" w:pos="98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the title of the series of debt securities;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any limit upon the aggregate principal amount that may be issued;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the maturity date or 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the form of the debt securities of the series;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the applicability of any guarantees;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whether or not the debt securities will be secured or unsecured, and the terms of any secured debt;</w:t>
      </w:r>
    </w:p>
    <w:p>
      <w:pPr>
        <w:spacing w:after="0" w:line="34" w:lineRule="exact"/>
        <w:rPr>
          <w:rFonts w:ascii="MS PGothic" w:cs="MS PGothic" w:eastAsia="MS PGothic" w:hAnsi="MS PGothic"/>
          <w:sz w:val="13"/>
          <w:szCs w:val="13"/>
          <w:color w:val="auto"/>
        </w:rPr>
      </w:pPr>
    </w:p>
    <w:p>
      <w:pPr>
        <w:ind w:left="980" w:right="420" w:hanging="432"/>
        <w:spacing w:after="0" w:line="254" w:lineRule="auto"/>
        <w:tabs>
          <w:tab w:leader="none" w:pos="98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whether the debt securities rank as senior debt, senior subordinated debt, subordinated debt or any combination thereof, and the terms of any subordination;</w:t>
      </w:r>
    </w:p>
    <w:p>
      <w:pPr>
        <w:spacing w:after="0" w:line="4" w:lineRule="exact"/>
        <w:rPr>
          <w:rFonts w:ascii="MS PGothic" w:cs="MS PGothic" w:eastAsia="MS PGothic" w:hAnsi="MS PGothic"/>
          <w:sz w:val="13"/>
          <w:szCs w:val="13"/>
          <w:color w:val="auto"/>
        </w:rPr>
      </w:pPr>
    </w:p>
    <w:p>
      <w:pPr>
        <w:ind w:left="980" w:right="80" w:hanging="432"/>
        <w:spacing w:after="0" w:line="244" w:lineRule="auto"/>
        <w:tabs>
          <w:tab w:leader="none" w:pos="98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6" w:lineRule="exact"/>
        <w:rPr>
          <w:sz w:val="20"/>
          <w:szCs w:val="20"/>
          <w:color w:val="auto"/>
        </w:rPr>
      </w:pPr>
    </w:p>
    <w:p>
      <w:pPr>
        <w:ind w:left="980" w:right="140" w:hanging="432"/>
        <w:spacing w:after="0" w:line="247" w:lineRule="auto"/>
        <w:tabs>
          <w:tab w:leader="none" w:pos="98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3" w:lineRule="exact"/>
        <w:rPr>
          <w:rFonts w:ascii="MS PGothic" w:cs="MS PGothic" w:eastAsia="MS PGothic" w:hAnsi="MS PGothic"/>
          <w:sz w:val="13"/>
          <w:szCs w:val="13"/>
          <w:color w:val="auto"/>
        </w:rPr>
      </w:pPr>
    </w:p>
    <w:p>
      <w:pPr>
        <w:ind w:left="980" w:hanging="432"/>
        <w:spacing w:after="0"/>
        <w:tabs>
          <w:tab w:leader="none" w:pos="98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our right, if any, to defer payment of interest and the maximum length of any such deferral period;</w:t>
      </w:r>
    </w:p>
    <w:p>
      <w:pPr>
        <w:spacing w:after="0" w:line="34" w:lineRule="exact"/>
        <w:rPr>
          <w:rFonts w:ascii="MS PGothic" w:cs="MS PGothic" w:eastAsia="MS PGothic" w:hAnsi="MS PGothic"/>
          <w:sz w:val="13"/>
          <w:szCs w:val="13"/>
          <w:color w:val="auto"/>
        </w:rPr>
      </w:pPr>
    </w:p>
    <w:p>
      <w:pPr>
        <w:jc w:val="both"/>
        <w:ind w:left="980" w:right="460" w:hanging="432"/>
        <w:spacing w:after="0" w:line="247" w:lineRule="auto"/>
        <w:tabs>
          <w:tab w:leader="none" w:pos="98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spacing w:after="0" w:line="3" w:lineRule="exact"/>
        <w:rPr>
          <w:rFonts w:ascii="MS PGothic" w:cs="MS PGothic" w:eastAsia="MS PGothic" w:hAnsi="MS PGothic"/>
          <w:sz w:val="13"/>
          <w:szCs w:val="13"/>
          <w:color w:val="auto"/>
        </w:rPr>
      </w:pPr>
    </w:p>
    <w:p>
      <w:pPr>
        <w:ind w:left="980" w:hanging="432"/>
        <w:spacing w:after="0" w:line="247" w:lineRule="auto"/>
        <w:tabs>
          <w:tab w:leader="none" w:pos="98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3" w:lineRule="exact"/>
        <w:rPr>
          <w:rFonts w:ascii="MS PGothic" w:cs="MS PGothic" w:eastAsia="MS PGothic" w:hAnsi="MS PGothic"/>
          <w:sz w:val="13"/>
          <w:szCs w:val="13"/>
          <w:color w:val="auto"/>
        </w:rPr>
      </w:pPr>
    </w:p>
    <w:p>
      <w:pPr>
        <w:ind w:left="980" w:right="140" w:hanging="432"/>
        <w:spacing w:after="0" w:line="254" w:lineRule="auto"/>
        <w:tabs>
          <w:tab w:leader="none" w:pos="98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the denominations in which we will issue the series of debt securities, if other than denominations of $1,000 and any integral multiple thereof;</w:t>
      </w:r>
    </w:p>
    <w:p>
      <w:pPr>
        <w:spacing w:after="0" w:line="4" w:lineRule="exact"/>
        <w:rPr>
          <w:rFonts w:ascii="MS PGothic" w:cs="MS PGothic" w:eastAsia="MS PGothic" w:hAnsi="MS PGothic"/>
          <w:sz w:val="13"/>
          <w:szCs w:val="13"/>
          <w:color w:val="auto"/>
        </w:rPr>
      </w:pPr>
    </w:p>
    <w:p>
      <w:pPr>
        <w:ind w:left="980" w:right="120" w:hanging="432"/>
        <w:spacing w:after="0" w:line="247" w:lineRule="auto"/>
        <w:tabs>
          <w:tab w:leader="none" w:pos="98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spacing w:after="0" w:line="3" w:lineRule="exact"/>
        <w:rPr>
          <w:rFonts w:ascii="MS PGothic" w:cs="MS PGothic" w:eastAsia="MS PGothic" w:hAnsi="MS PGothic"/>
          <w:sz w:val="13"/>
          <w:szCs w:val="13"/>
          <w:color w:val="auto"/>
        </w:rPr>
      </w:pPr>
    </w:p>
    <w:p>
      <w:pPr>
        <w:ind w:left="980" w:right="120" w:hanging="432"/>
        <w:spacing w:after="0" w:line="247" w:lineRule="auto"/>
        <w:tabs>
          <w:tab w:leader="none" w:pos="98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3" w:lineRule="exact"/>
        <w:rPr>
          <w:rFonts w:ascii="MS PGothic" w:cs="MS PGothic" w:eastAsia="MS PGothic" w:hAnsi="MS PGothic"/>
          <w:sz w:val="13"/>
          <w:szCs w:val="13"/>
          <w:color w:val="auto"/>
        </w:rPr>
      </w:pPr>
    </w:p>
    <w:p>
      <w:pPr>
        <w:ind w:left="980" w:right="40" w:hanging="432"/>
        <w:spacing w:after="0" w:line="243" w:lineRule="auto"/>
        <w:tabs>
          <w:tab w:leader="none" w:pos="98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spacing w:after="0" w:line="4" w:lineRule="exact"/>
        <w:rPr>
          <w:rFonts w:ascii="MS PGothic" w:cs="MS PGothic" w:eastAsia="MS PGothic" w:hAnsi="MS PGothic"/>
          <w:sz w:val="13"/>
          <w:szCs w:val="13"/>
          <w:color w:val="auto"/>
        </w:rPr>
      </w:pPr>
    </w:p>
    <w:p>
      <w:pPr>
        <w:ind w:left="980" w:right="40" w:hanging="432"/>
        <w:spacing w:after="0" w:line="254" w:lineRule="auto"/>
        <w:tabs>
          <w:tab w:leader="none" w:pos="98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if other than the full principal amount thereof, the portion of the principal amount of debt securities of the series which shall be payable upon declaration of acceleration of the maturity thereof;</w:t>
      </w:r>
    </w:p>
    <w:p>
      <w:pPr>
        <w:spacing w:after="0" w:line="4" w:lineRule="exact"/>
        <w:rPr>
          <w:rFonts w:ascii="MS PGothic" w:cs="MS PGothic" w:eastAsia="MS PGothic" w:hAnsi="MS PGothic"/>
          <w:sz w:val="13"/>
          <w:szCs w:val="13"/>
          <w:color w:val="auto"/>
        </w:rPr>
      </w:pPr>
    </w:p>
    <w:p>
      <w:pPr>
        <w:ind w:left="980" w:right="640" w:hanging="432"/>
        <w:spacing w:after="0" w:line="254" w:lineRule="auto"/>
        <w:tabs>
          <w:tab w:leader="none" w:pos="98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additions to or changes in the covenants applicable to the particular debt securities being issued, including, among others, the consolidation, merger or sale covenant;</w:t>
      </w:r>
    </w:p>
    <w:p>
      <w:pPr>
        <w:spacing w:after="0" w:line="4" w:lineRule="exact"/>
        <w:rPr>
          <w:rFonts w:ascii="MS PGothic" w:cs="MS PGothic" w:eastAsia="MS PGothic" w:hAnsi="MS PGothic"/>
          <w:sz w:val="13"/>
          <w:szCs w:val="13"/>
          <w:color w:val="auto"/>
        </w:rPr>
      </w:pPr>
    </w:p>
    <w:p>
      <w:pPr>
        <w:ind w:left="980" w:right="160" w:hanging="432"/>
        <w:spacing w:after="0" w:line="254" w:lineRule="auto"/>
        <w:tabs>
          <w:tab w:leader="none" w:pos="98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additions to or changes in the events of default with respect to the securities and any change in the right of the trustee or the holders to declare the principal, premium, if any, and interest, if any, with respect to such securities to be due and payable;</w:t>
      </w:r>
    </w:p>
    <w:p>
      <w:pPr>
        <w:spacing w:after="0" w:line="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additions to or changes in or deletions of the provisions relating to covenant defeasance and legal defeasance;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additions to or changes in the provisions relating to satisfaction and discharge of the indenture;</w:t>
      </w:r>
    </w:p>
    <w:p>
      <w:pPr>
        <w:spacing w:after="0" w:line="34" w:lineRule="exact"/>
        <w:rPr>
          <w:rFonts w:ascii="MS PGothic" w:cs="MS PGothic" w:eastAsia="MS PGothic" w:hAnsi="MS PGothic"/>
          <w:sz w:val="13"/>
          <w:szCs w:val="13"/>
          <w:color w:val="auto"/>
        </w:rPr>
      </w:pPr>
    </w:p>
    <w:p>
      <w:pPr>
        <w:ind w:left="980" w:right="240" w:hanging="432"/>
        <w:spacing w:after="0" w:line="254" w:lineRule="auto"/>
        <w:tabs>
          <w:tab w:leader="none" w:pos="98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additions to or changes in the provisions relating to the modification of the indenture both with and without the consent of holders of debt securities issued under the indenture;</w:t>
      </w:r>
    </w:p>
    <w:p>
      <w:pPr>
        <w:spacing w:after="0" w:line="4" w:lineRule="exact"/>
        <w:rPr>
          <w:rFonts w:ascii="MS PGothic" w:cs="MS PGothic" w:eastAsia="MS PGothic" w:hAnsi="MS PGothic"/>
          <w:sz w:val="13"/>
          <w:szCs w:val="13"/>
          <w:color w:val="auto"/>
        </w:rPr>
      </w:pPr>
    </w:p>
    <w:p>
      <w:pPr>
        <w:ind w:left="980" w:right="420" w:hanging="432"/>
        <w:spacing w:after="0" w:line="254" w:lineRule="auto"/>
        <w:tabs>
          <w:tab w:leader="none" w:pos="98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the currency of payment of debt securities if other than U.S. dollars and the manner of determining the equivalent amount in U.S. dollars;</w:t>
      </w:r>
    </w:p>
    <w:p>
      <w:pPr>
        <w:spacing w:after="0" w:line="4" w:lineRule="exact"/>
        <w:rPr>
          <w:rFonts w:ascii="MS PGothic" w:cs="MS PGothic" w:eastAsia="MS PGothic" w:hAnsi="MS PGothic"/>
          <w:sz w:val="13"/>
          <w:szCs w:val="13"/>
          <w:color w:val="auto"/>
        </w:rPr>
      </w:pPr>
    </w:p>
    <w:p>
      <w:pPr>
        <w:ind w:left="980" w:right="240" w:hanging="432"/>
        <w:spacing w:after="0" w:line="254" w:lineRule="auto"/>
        <w:tabs>
          <w:tab w:leader="none" w:pos="98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whether interest will be payable in cash or additional debt securities at our or the holders’ option and the terms and conditions upon which the election may be made;</w:t>
      </w:r>
    </w:p>
    <w:p>
      <w:pPr>
        <w:spacing w:after="0" w:line="4" w:lineRule="exact"/>
        <w:rPr>
          <w:rFonts w:ascii="MS PGothic" w:cs="MS PGothic" w:eastAsia="MS PGothic" w:hAnsi="MS PGothic"/>
          <w:sz w:val="13"/>
          <w:szCs w:val="13"/>
          <w:color w:val="auto"/>
        </w:rPr>
      </w:pPr>
    </w:p>
    <w:p>
      <w:pPr>
        <w:ind w:left="980" w:right="560" w:hanging="432"/>
        <w:spacing w:after="0" w:line="254" w:lineRule="auto"/>
        <w:tabs>
          <w:tab w:leader="none" w:pos="98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the terms and conditions, if any, upon which we will pay amounts in addition to the stated interest, premium, if any and principal amounts of the debt securities of the series to any holder that is not a “United States person” for federal tax purposes;</w:t>
      </w:r>
    </w:p>
    <w:p>
      <w:pPr>
        <w:spacing w:after="0" w:line="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any restrictions on transfer, sale or assignment of the debt securities of the series; and</w:t>
      </w:r>
    </w:p>
    <w:p>
      <w:pPr>
        <w:spacing w:after="0" w:line="34" w:lineRule="exact"/>
        <w:rPr>
          <w:rFonts w:ascii="MS PGothic" w:cs="MS PGothic" w:eastAsia="MS PGothic" w:hAnsi="MS PGothic"/>
          <w:sz w:val="13"/>
          <w:szCs w:val="13"/>
          <w:color w:val="auto"/>
        </w:rPr>
      </w:pPr>
    </w:p>
    <w:p>
      <w:pPr>
        <w:ind w:left="980" w:right="180" w:hanging="432"/>
        <w:spacing w:after="0" w:line="267" w:lineRule="auto"/>
        <w:tabs>
          <w:tab w:leader="none" w:pos="98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Conversion or Exchange Rights</w:t>
      </w:r>
    </w:p>
    <w:p>
      <w:pPr>
        <w:spacing w:after="0" w:line="73" w:lineRule="exact"/>
        <w:rPr>
          <w:sz w:val="20"/>
          <w:szCs w:val="20"/>
          <w:color w:val="auto"/>
        </w:rPr>
      </w:pPr>
    </w:p>
    <w:p>
      <w:pPr>
        <w:ind w:left="120" w:right="20"/>
        <w:spacing w:after="0" w:line="244" w:lineRule="auto"/>
        <w:rPr>
          <w:sz w:val="20"/>
          <w:szCs w:val="20"/>
          <w:color w:val="auto"/>
        </w:rPr>
      </w:pPr>
      <w:r>
        <w:rPr>
          <w:rFonts w:ascii="Arial" w:cs="Arial" w:eastAsia="Arial" w:hAnsi="Arial"/>
          <w:sz w:val="17"/>
          <w:szCs w:val="17"/>
          <w:color w:val="auto"/>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or Sale</w:t>
      </w:r>
    </w:p>
    <w:p>
      <w:pPr>
        <w:spacing w:after="0" w:line="60" w:lineRule="exact"/>
        <w:rPr>
          <w:sz w:val="20"/>
          <w:szCs w:val="20"/>
          <w:color w:val="auto"/>
        </w:rPr>
      </w:pPr>
    </w:p>
    <w:p>
      <w:pPr>
        <w:ind w:left="120" w:right="220"/>
        <w:spacing w:after="0" w:line="244" w:lineRule="auto"/>
        <w:rPr>
          <w:sz w:val="20"/>
          <w:szCs w:val="20"/>
          <w:color w:val="auto"/>
        </w:rPr>
      </w:pPr>
      <w:r>
        <w:rPr>
          <w:rFonts w:ascii="Arial" w:cs="Arial" w:eastAsia="Arial" w:hAnsi="Arial"/>
          <w:sz w:val="17"/>
          <w:szCs w:val="17"/>
          <w:color w:val="auto"/>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any subsidiary of ours) must assume all of our obligations under the indenture or the debt securities, as appropriate.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60" w:lineRule="exact"/>
        <w:rPr>
          <w:sz w:val="20"/>
          <w:szCs w:val="20"/>
          <w:color w:val="auto"/>
        </w:rPr>
      </w:pPr>
    </w:p>
    <w:p>
      <w:pPr>
        <w:ind w:left="120" w:right="160"/>
        <w:spacing w:after="0" w:line="267" w:lineRule="auto"/>
        <w:rPr>
          <w:sz w:val="20"/>
          <w:szCs w:val="20"/>
          <w:color w:val="auto"/>
        </w:rPr>
      </w:pPr>
      <w:r>
        <w:rPr>
          <w:rFonts w:ascii="Arial" w:cs="Arial" w:eastAsia="Arial" w:hAnsi="Arial"/>
          <w:sz w:val="17"/>
          <w:szCs w:val="17"/>
          <w:color w:val="auto"/>
        </w:rPr>
        <w:t>Unless we provide otherwise in the prospectus supplement applicable to a particular series of debt securities, the following are events of default under the indenture with respect to any series of debt securities that we may issue:</w:t>
      </w:r>
    </w:p>
    <w:p>
      <w:pPr>
        <w:spacing w:after="0" w:line="146" w:lineRule="exact"/>
        <w:rPr>
          <w:sz w:val="20"/>
          <w:szCs w:val="20"/>
          <w:color w:val="auto"/>
        </w:rPr>
      </w:pPr>
    </w:p>
    <w:p>
      <w:pPr>
        <w:ind w:left="980" w:right="60" w:hanging="432"/>
        <w:spacing w:after="0" w:line="243" w:lineRule="auto"/>
        <w:tabs>
          <w:tab w:leader="none" w:pos="980" w:val="left"/>
        </w:tabs>
        <w:numPr>
          <w:ilvl w:val="0"/>
          <w:numId w:val="11"/>
        </w:numPr>
        <w:rPr>
          <w:rFonts w:ascii="MS PGothic" w:cs="MS PGothic" w:eastAsia="MS PGothic" w:hAnsi="MS PGothic"/>
          <w:sz w:val="13"/>
          <w:szCs w:val="13"/>
          <w:color w:val="auto"/>
        </w:rPr>
      </w:pPr>
      <w:r>
        <w:rPr>
          <w:rFonts w:ascii="Arial" w:cs="Arial" w:eastAsia="Arial" w:hAnsi="Arial"/>
          <w:sz w:val="17"/>
          <w:szCs w:val="17"/>
          <w:color w:val="auto"/>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spacing w:after="0" w:line="4" w:lineRule="exact"/>
        <w:rPr>
          <w:rFonts w:ascii="MS PGothic" w:cs="MS PGothic" w:eastAsia="MS PGothic" w:hAnsi="MS PGothic"/>
          <w:sz w:val="13"/>
          <w:szCs w:val="13"/>
          <w:color w:val="auto"/>
        </w:rPr>
      </w:pPr>
    </w:p>
    <w:p>
      <w:pPr>
        <w:ind w:left="980" w:right="60" w:hanging="432"/>
        <w:spacing w:after="0" w:line="241" w:lineRule="auto"/>
        <w:tabs>
          <w:tab w:leader="none" w:pos="980" w:val="left"/>
        </w:tabs>
        <w:numPr>
          <w:ilvl w:val="0"/>
          <w:numId w:val="11"/>
        </w:numPr>
        <w:rPr>
          <w:rFonts w:ascii="MS PGothic" w:cs="MS PGothic" w:eastAsia="MS PGothic" w:hAnsi="MS PGothic"/>
          <w:sz w:val="13"/>
          <w:szCs w:val="13"/>
          <w:color w:val="auto"/>
        </w:rPr>
      </w:pPr>
      <w:r>
        <w:rPr>
          <w:rFonts w:ascii="Arial" w:cs="Arial" w:eastAsia="Arial" w:hAnsi="Arial"/>
          <w:sz w:val="17"/>
          <w:szCs w:val="17"/>
          <w:color w:val="auto"/>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spacing w:after="0" w:line="4" w:lineRule="exact"/>
        <w:rPr>
          <w:rFonts w:ascii="MS PGothic" w:cs="MS PGothic" w:eastAsia="MS PGothic" w:hAnsi="MS PGothic"/>
          <w:sz w:val="13"/>
          <w:szCs w:val="13"/>
          <w:color w:val="auto"/>
        </w:rPr>
      </w:pPr>
    </w:p>
    <w:p>
      <w:pPr>
        <w:ind w:left="980" w:right="40" w:hanging="432"/>
        <w:spacing w:after="0" w:line="243" w:lineRule="auto"/>
        <w:tabs>
          <w:tab w:leader="none" w:pos="980" w:val="left"/>
        </w:tabs>
        <w:numPr>
          <w:ilvl w:val="0"/>
          <w:numId w:val="11"/>
        </w:numPr>
        <w:rPr>
          <w:rFonts w:ascii="MS PGothic" w:cs="MS PGothic" w:eastAsia="MS PGothic" w:hAnsi="MS PGothic"/>
          <w:sz w:val="13"/>
          <w:szCs w:val="13"/>
          <w:color w:val="auto"/>
        </w:rPr>
      </w:pPr>
      <w:r>
        <w:rPr>
          <w:rFonts w:ascii="Arial" w:cs="Arial" w:eastAsia="Arial" w:hAnsi="Arial"/>
          <w:sz w:val="17"/>
          <w:szCs w:val="17"/>
          <w:color w:val="auto"/>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spacing w:after="0" w:line="4" w:lineRule="exact"/>
        <w:rPr>
          <w:rFonts w:ascii="MS PGothic" w:cs="MS PGothic" w:eastAsia="MS PGothic" w:hAnsi="MS PGothic"/>
          <w:sz w:val="13"/>
          <w:szCs w:val="13"/>
          <w:color w:val="auto"/>
        </w:rPr>
      </w:pPr>
    </w:p>
    <w:p>
      <w:pPr>
        <w:ind w:left="980" w:hanging="432"/>
        <w:spacing w:after="0"/>
        <w:tabs>
          <w:tab w:leader="none" w:pos="980" w:val="left"/>
        </w:tabs>
        <w:numPr>
          <w:ilvl w:val="0"/>
          <w:numId w:val="11"/>
        </w:numPr>
        <w:rPr>
          <w:rFonts w:ascii="MS PGothic" w:cs="MS PGothic" w:eastAsia="MS PGothic" w:hAnsi="MS PGothic"/>
          <w:sz w:val="13"/>
          <w:szCs w:val="13"/>
          <w:color w:val="auto"/>
        </w:rPr>
      </w:pPr>
      <w:r>
        <w:rPr>
          <w:rFonts w:ascii="Arial" w:cs="Arial" w:eastAsia="Arial" w:hAnsi="Arial"/>
          <w:sz w:val="17"/>
          <w:szCs w:val="17"/>
          <w:color w:val="auto"/>
        </w:rPr>
        <w:t>if specified events of bankruptcy, insolvency or reorganization occur.</w:t>
      </w:r>
    </w:p>
    <w:p>
      <w:pPr>
        <w:spacing w:after="0" w:line="156" w:lineRule="exact"/>
        <w:rPr>
          <w:sz w:val="20"/>
          <w:szCs w:val="20"/>
          <w:color w:val="auto"/>
        </w:rPr>
      </w:pPr>
    </w:p>
    <w:p>
      <w:pPr>
        <w:ind w:left="120" w:right="180"/>
        <w:spacing w:after="0" w:line="239" w:lineRule="auto"/>
        <w:rPr>
          <w:sz w:val="20"/>
          <w:szCs w:val="20"/>
          <w:color w:val="auto"/>
        </w:rPr>
      </w:pPr>
      <w:r>
        <w:rPr>
          <w:rFonts w:ascii="Arial" w:cs="Arial" w:eastAsia="Arial" w:hAnsi="Arial"/>
          <w:sz w:val="17"/>
          <w:szCs w:val="17"/>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spacing w:after="0" w:line="128" w:lineRule="exact"/>
        <w:rPr>
          <w:sz w:val="20"/>
          <w:szCs w:val="20"/>
          <w:color w:val="auto"/>
        </w:rPr>
      </w:pPr>
    </w:p>
    <w:p>
      <w:pPr>
        <w:ind w:left="120"/>
        <w:spacing w:after="0" w:line="249" w:lineRule="auto"/>
        <w:rPr>
          <w:sz w:val="20"/>
          <w:szCs w:val="20"/>
          <w:color w:val="auto"/>
        </w:rPr>
      </w:pPr>
      <w:r>
        <w:rPr>
          <w:rFonts w:ascii="Arial" w:cs="Arial" w:eastAsia="Arial" w:hAnsi="Arial"/>
          <w:sz w:val="17"/>
          <w:szCs w:val="17"/>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21" w:lineRule="exact"/>
        <w:rPr>
          <w:sz w:val="20"/>
          <w:szCs w:val="20"/>
          <w:color w:val="auto"/>
        </w:rPr>
      </w:pPr>
    </w:p>
    <w:p>
      <w:pPr>
        <w:ind w:left="120" w:right="180"/>
        <w:spacing w:after="0" w:line="241" w:lineRule="auto"/>
        <w:rPr>
          <w:sz w:val="20"/>
          <w:szCs w:val="20"/>
          <w:color w:val="auto"/>
        </w:rPr>
      </w:pPr>
      <w:r>
        <w:rPr>
          <w:rFonts w:ascii="Arial" w:cs="Arial" w:eastAsia="Arial" w:hAnsi="Arial"/>
          <w:sz w:val="17"/>
          <w:szCs w:val="17"/>
          <w:color w:val="auto"/>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 the trustee, or exercising any trust or power conferred on the trustee, with respect to the debt securities of that series, provided that:</w:t>
      </w:r>
    </w:p>
    <w:p>
      <w:pPr>
        <w:spacing w:after="0" w:line="196" w:lineRule="exact"/>
        <w:rPr>
          <w:sz w:val="20"/>
          <w:szCs w:val="20"/>
          <w:color w:val="auto"/>
        </w:rPr>
      </w:pPr>
    </w:p>
    <w:p>
      <w:pPr>
        <w:ind w:left="980" w:hanging="432"/>
        <w:spacing w:after="0"/>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the direction so given by the holder is not in conflict with any law or the applicable indenture; and</w:t>
      </w:r>
    </w:p>
    <w:p>
      <w:pPr>
        <w:spacing w:after="0" w:line="34" w:lineRule="exact"/>
        <w:rPr>
          <w:rFonts w:ascii="MS PGothic" w:cs="MS PGothic" w:eastAsia="MS PGothic" w:hAnsi="MS PGothic"/>
          <w:sz w:val="13"/>
          <w:szCs w:val="13"/>
          <w:color w:val="auto"/>
        </w:rPr>
      </w:pPr>
    </w:p>
    <w:p>
      <w:pPr>
        <w:ind w:left="980" w:hanging="432"/>
        <w:spacing w:after="0" w:line="267" w:lineRule="auto"/>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subject to its duties under the Trust Indenture Act, the trustee need not take any action that might involve it in personal liability or might be unduly prejudicial to the holders not involved in the proceeding.</w:t>
      </w:r>
    </w:p>
    <w:p>
      <w:pPr>
        <w:spacing w:after="0" w:line="105" w:lineRule="exact"/>
        <w:rPr>
          <w:sz w:val="20"/>
          <w:szCs w:val="20"/>
          <w:color w:val="auto"/>
        </w:rPr>
      </w:pPr>
    </w:p>
    <w:p>
      <w:pPr>
        <w:ind w:left="120" w:right="160"/>
        <w:spacing w:after="0" w:line="267" w:lineRule="auto"/>
        <w:rPr>
          <w:sz w:val="20"/>
          <w:szCs w:val="20"/>
          <w:color w:val="auto"/>
        </w:rPr>
      </w:pPr>
      <w:r>
        <w:rPr>
          <w:rFonts w:ascii="Arial" w:cs="Arial" w:eastAsia="Arial" w:hAnsi="Arial"/>
          <w:sz w:val="17"/>
          <w:szCs w:val="17"/>
          <w:color w:val="auto"/>
        </w:rPr>
        <w:t>A holder of the debt securities of any series will have the right to institute a proceeding under the indenture or to appoint a receiver or trustee, or to seek other remedies only if:</w:t>
      </w:r>
    </w:p>
    <w:p>
      <w:pPr>
        <w:spacing w:after="0" w:line="146" w:lineRule="exact"/>
        <w:rPr>
          <w:sz w:val="20"/>
          <w:szCs w:val="20"/>
          <w:color w:val="auto"/>
        </w:rPr>
      </w:pPr>
    </w:p>
    <w:p>
      <w:pPr>
        <w:ind w:left="980" w:hanging="432"/>
        <w:spacing w:after="0"/>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the holder has given written notice to the trustee of a continuing event of default with respect to that series;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the holders of at least 25% in aggregate principal amount of the outstanding debt securities of that series have made written request;</w:t>
      </w:r>
    </w:p>
    <w:p>
      <w:pPr>
        <w:spacing w:after="0" w:line="34" w:lineRule="exact"/>
        <w:rPr>
          <w:rFonts w:ascii="MS PGothic" w:cs="MS PGothic" w:eastAsia="MS PGothic" w:hAnsi="MS PGothic"/>
          <w:sz w:val="13"/>
          <w:szCs w:val="13"/>
          <w:color w:val="auto"/>
        </w:rPr>
      </w:pPr>
    </w:p>
    <w:p>
      <w:pPr>
        <w:ind w:left="980" w:right="340" w:hanging="432"/>
        <w:spacing w:after="0" w:line="254" w:lineRule="auto"/>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such holders have offered to the trustee indemnity satisfactory to it against the costs, expenses and liabilities to be incurred by the trustee in compliance with the request; and</w:t>
      </w:r>
    </w:p>
    <w:p>
      <w:pPr>
        <w:spacing w:after="0" w:line="4" w:lineRule="exact"/>
        <w:rPr>
          <w:rFonts w:ascii="MS PGothic" w:cs="MS PGothic" w:eastAsia="MS PGothic" w:hAnsi="MS PGothic"/>
          <w:sz w:val="13"/>
          <w:szCs w:val="13"/>
          <w:color w:val="auto"/>
        </w:rPr>
      </w:pPr>
    </w:p>
    <w:p>
      <w:pPr>
        <w:ind w:left="980" w:right="100" w:hanging="432"/>
        <w:spacing w:after="0" w:line="267" w:lineRule="auto"/>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05" w:lineRule="exact"/>
        <w:rPr>
          <w:sz w:val="20"/>
          <w:szCs w:val="20"/>
          <w:color w:val="auto"/>
        </w:rPr>
      </w:pPr>
    </w:p>
    <w:p>
      <w:pPr>
        <w:ind w:left="120" w:right="360"/>
        <w:spacing w:after="0" w:line="267" w:lineRule="auto"/>
        <w:rPr>
          <w:sz w:val="20"/>
          <w:szCs w:val="20"/>
          <w:color w:val="auto"/>
        </w:rPr>
      </w:pPr>
      <w:r>
        <w:rPr>
          <w:rFonts w:ascii="Arial" w:cs="Arial" w:eastAsia="Arial" w:hAnsi="Arial"/>
          <w:sz w:val="17"/>
          <w:szCs w:val="17"/>
          <w:color w:val="auto"/>
        </w:rPr>
        <w:t>These limitations do not apply to a suit instituted by a holder of debt securities if we default in the payment of the principal, premium, if any, or interest on, the debt securities.</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will periodically file statements with the trustee regarding our compliance with specified covenants in the indenture.</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of Indenture; Waiver</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and the trustee may change an indenture without the consent of any holders with respect to specific matters:</w:t>
      </w:r>
    </w:p>
    <w:p>
      <w:pPr>
        <w:spacing w:after="0" w:line="196" w:lineRule="exact"/>
        <w:rPr>
          <w:sz w:val="20"/>
          <w:szCs w:val="20"/>
          <w:color w:val="auto"/>
        </w:rPr>
      </w:pPr>
    </w:p>
    <w:p>
      <w:pPr>
        <w:ind w:left="980" w:hanging="432"/>
        <w:spacing w:after="0"/>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to cure any ambiguity, defect or inconsistency in the indenture or in the debt securities of any series;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to comply with the provisions described above under “</w:t>
      </w:r>
      <w:r>
        <w:rPr>
          <w:rFonts w:ascii="Arial" w:cs="Arial" w:eastAsia="Arial" w:hAnsi="Arial"/>
          <w:sz w:val="17"/>
          <w:szCs w:val="17"/>
          <w:i w:val="1"/>
          <w:iCs w:val="1"/>
          <w:color w:val="auto"/>
        </w:rPr>
        <w:t>Description of Debt Securities—Consolidation, Merger or Sale</w:t>
      </w:r>
      <w:r>
        <w:rPr>
          <w:rFonts w:ascii="Arial" w:cs="Arial" w:eastAsia="Arial" w:hAnsi="Arial"/>
          <w:sz w:val="17"/>
          <w:szCs w:val="17"/>
          <w:color w:val="auto"/>
        </w:rPr>
        <w: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to provide for uncertificated debt securities in addition to or in place of certificated debt securities;</w:t>
      </w:r>
    </w:p>
    <w:p>
      <w:pPr>
        <w:spacing w:after="0" w:line="34"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spacing w:after="0" w:line="4" w:lineRule="exact"/>
        <w:rPr>
          <w:rFonts w:ascii="MS PGothic" w:cs="MS PGothic" w:eastAsia="MS PGothic" w:hAnsi="MS PGothic"/>
          <w:sz w:val="13"/>
          <w:szCs w:val="13"/>
          <w:color w:val="auto"/>
        </w:rPr>
      </w:pPr>
    </w:p>
    <w:p>
      <w:pPr>
        <w:ind w:left="980" w:right="420" w:hanging="432"/>
        <w:spacing w:after="0" w:line="254" w:lineRule="auto"/>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to add to, delete from or revise the conditions, limitations, and restrictions on the authorized amount, terms, or purposes of issue, authentication and delivery of debt securities, as set forth in the indenture;</w:t>
      </w:r>
    </w:p>
    <w:p>
      <w:pPr>
        <w:spacing w:after="0" w:line="4" w:lineRule="exact"/>
        <w:rPr>
          <w:rFonts w:ascii="MS PGothic" w:cs="MS PGothic" w:eastAsia="MS PGothic" w:hAnsi="MS PGothic"/>
          <w:sz w:val="13"/>
          <w:szCs w:val="13"/>
          <w:color w:val="auto"/>
        </w:rPr>
      </w:pPr>
    </w:p>
    <w:p>
      <w:pPr>
        <w:ind w:left="980" w:hanging="432"/>
        <w:spacing w:after="0"/>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to make any change that does not adversely affect the interests of any holder of debt securities of any series in any material respect;</w:t>
      </w:r>
    </w:p>
    <w:p>
      <w:pPr>
        <w:spacing w:after="0" w:line="34" w:lineRule="exact"/>
        <w:rPr>
          <w:rFonts w:ascii="MS PGothic" w:cs="MS PGothic" w:eastAsia="MS PGothic" w:hAnsi="MS PGothic"/>
          <w:sz w:val="13"/>
          <w:szCs w:val="13"/>
          <w:color w:val="auto"/>
        </w:rPr>
      </w:pPr>
    </w:p>
    <w:p>
      <w:pPr>
        <w:ind w:left="980" w:right="180" w:hanging="432"/>
        <w:spacing w:after="0" w:line="247" w:lineRule="auto"/>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to provide for the issuance of and establish the form and terms and conditions of the debt securities of any series as provided above under “</w:t>
      </w:r>
      <w:r>
        <w:rPr>
          <w:rFonts w:ascii="Arial" w:cs="Arial" w:eastAsia="Arial" w:hAnsi="Arial"/>
          <w:sz w:val="17"/>
          <w:szCs w:val="17"/>
          <w:i w:val="1"/>
          <w:iCs w:val="1"/>
          <w:color w:val="auto"/>
        </w:rPr>
        <w:t>Description of Debt Securities—General</w:t>
      </w:r>
      <w:r>
        <w:rPr>
          <w:rFonts w:ascii="Arial" w:cs="Arial" w:eastAsia="Arial" w:hAnsi="Arial"/>
          <w:sz w:val="17"/>
          <w:szCs w:val="17"/>
          <w:color w:val="auto"/>
        </w:rPr>
        <w:t>” to establish the form of any certifications required to be furnished pursuant to the terms of the indenture or any series of debt securities, or to add to the rights of the holders of any series of debt securities;</w:t>
      </w:r>
    </w:p>
    <w:p>
      <w:pPr>
        <w:spacing w:after="0" w:line="3" w:lineRule="exact"/>
        <w:rPr>
          <w:rFonts w:ascii="MS PGothic" w:cs="MS PGothic" w:eastAsia="MS PGothic" w:hAnsi="MS PGothic"/>
          <w:sz w:val="13"/>
          <w:szCs w:val="13"/>
          <w:color w:val="auto"/>
        </w:rPr>
      </w:pPr>
    </w:p>
    <w:p>
      <w:pPr>
        <w:ind w:left="980" w:hanging="432"/>
        <w:spacing w:after="0"/>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to evidence and provide for the acceptance of appointment under any indenture by a successor trustee; or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to comply with any requirements of the SEC in connection with the qualification of any indenture under the Trust Indenture Act.</w:t>
      </w:r>
    </w:p>
    <w:p>
      <w:pPr>
        <w:spacing w:after="0" w:line="156" w:lineRule="exact"/>
        <w:rPr>
          <w:sz w:val="20"/>
          <w:szCs w:val="20"/>
          <w:color w:val="auto"/>
        </w:rPr>
      </w:pPr>
    </w:p>
    <w:p>
      <w:pPr>
        <w:ind w:left="120" w:right="80"/>
        <w:spacing w:after="0" w:line="249" w:lineRule="auto"/>
        <w:rPr>
          <w:sz w:val="20"/>
          <w:szCs w:val="20"/>
          <w:color w:val="auto"/>
        </w:rPr>
      </w:pPr>
      <w:r>
        <w:rPr>
          <w:rFonts w:ascii="Arial" w:cs="Arial" w:eastAsia="Arial" w:hAnsi="Arial"/>
          <w:sz w:val="17"/>
          <w:szCs w:val="17"/>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applicable to a particular series of debt securities, we and the trustee may make the following changes only with the consent of each holder of any outstanding debt securities affected:</w:t>
      </w:r>
    </w:p>
    <w:p>
      <w:pPr>
        <w:spacing w:after="0" w:line="146" w:lineRule="exact"/>
        <w:rPr>
          <w:sz w:val="20"/>
          <w:szCs w:val="20"/>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extending the fixed maturity of any debt securities of any series;</w:t>
      </w:r>
    </w:p>
    <w:p>
      <w:pPr>
        <w:spacing w:after="0" w:line="34" w:lineRule="exact"/>
        <w:rPr>
          <w:rFonts w:ascii="MS PGothic" w:cs="MS PGothic" w:eastAsia="MS PGothic" w:hAnsi="MS PGothic"/>
          <w:sz w:val="13"/>
          <w:szCs w:val="13"/>
          <w:color w:val="auto"/>
        </w:rPr>
      </w:pPr>
    </w:p>
    <w:p>
      <w:pPr>
        <w:ind w:left="980" w:right="360" w:hanging="432"/>
        <w:spacing w:after="0" w:line="254" w:lineRule="auto"/>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reducing the principal amount, reducing the rate of or extending the time of payment of interest, or reducing any premium payable upon the redemption of any series of any debt securities; or</w:t>
      </w:r>
    </w:p>
    <w:p>
      <w:pPr>
        <w:spacing w:after="0" w:line="4" w:lineRule="exact"/>
        <w:rPr>
          <w:rFonts w:ascii="MS PGothic" w:cs="MS PGothic" w:eastAsia="MS PGothic" w:hAnsi="MS PGothic"/>
          <w:sz w:val="13"/>
          <w:szCs w:val="13"/>
          <w:color w:val="auto"/>
        </w:rPr>
      </w:pPr>
    </w:p>
    <w:p>
      <w:pPr>
        <w:ind w:left="980" w:right="100" w:hanging="432"/>
        <w:spacing w:after="0" w:line="267" w:lineRule="auto"/>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reducing the percentage of debt securities, the holders of which are required to consent to any amendment, supplement, modification or waiver.</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Discharge</w:t>
      </w:r>
    </w:p>
    <w:p>
      <w:pPr>
        <w:spacing w:after="0" w:line="73" w:lineRule="exact"/>
        <w:rPr>
          <w:sz w:val="20"/>
          <w:szCs w:val="20"/>
          <w:color w:val="auto"/>
        </w:rPr>
      </w:pPr>
    </w:p>
    <w:p>
      <w:pPr>
        <w:ind w:left="120" w:right="160"/>
        <w:spacing w:after="0" w:line="267" w:lineRule="auto"/>
        <w:rPr>
          <w:sz w:val="20"/>
          <w:szCs w:val="20"/>
          <w:color w:val="auto"/>
        </w:rPr>
      </w:pPr>
      <w:r>
        <w:rPr>
          <w:rFonts w:ascii="Arial" w:cs="Arial" w:eastAsia="Arial" w:hAnsi="Arial"/>
          <w:sz w:val="17"/>
          <w:szCs w:val="17"/>
          <w:color w:val="auto"/>
        </w:rPr>
        <w:t>Each indenture provides that we can elect to be discharged from our obligations with respect to one or more series of debt securities, except for specified obligations, including obligations to:</w:t>
      </w:r>
    </w:p>
    <w:p>
      <w:pPr>
        <w:spacing w:after="0" w:line="146" w:lineRule="exact"/>
        <w:rPr>
          <w:sz w:val="20"/>
          <w:szCs w:val="20"/>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provide for payment;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register the transfer or exchange of debt securities of the series;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replace stolen, lost or mutilated debt securities of the series;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pay principal of and premium and interest on any debt securities of the series;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maintain paying agencies;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hold monies for payment in trust;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recover excess money held by the trustee;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compensate and indemnify the trustee;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appoint any successor trustee.</w:t>
      </w:r>
    </w:p>
    <w:p>
      <w:pPr>
        <w:spacing w:after="0" w:line="156" w:lineRule="exact"/>
        <w:rPr>
          <w:sz w:val="20"/>
          <w:szCs w:val="20"/>
          <w:color w:val="auto"/>
        </w:rPr>
      </w:pPr>
    </w:p>
    <w:p>
      <w:pPr>
        <w:ind w:left="120" w:right="620"/>
        <w:spacing w:after="0" w:line="267" w:lineRule="auto"/>
        <w:rPr>
          <w:sz w:val="20"/>
          <w:szCs w:val="20"/>
          <w:color w:val="auto"/>
        </w:rPr>
      </w:pPr>
      <w:r>
        <w:rPr>
          <w:rFonts w:ascii="Arial" w:cs="Arial" w:eastAsia="Arial" w:hAnsi="Arial"/>
          <w:sz w:val="17"/>
          <w:szCs w:val="17"/>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Exchange and Transfer</w:t>
      </w:r>
    </w:p>
    <w:p>
      <w:pPr>
        <w:spacing w:after="0" w:line="60" w:lineRule="exact"/>
        <w:rPr>
          <w:sz w:val="20"/>
          <w:szCs w:val="20"/>
          <w:color w:val="auto"/>
        </w:rPr>
      </w:pPr>
    </w:p>
    <w:p>
      <w:pPr>
        <w:ind w:left="120" w:right="20"/>
        <w:spacing w:after="0" w:line="239" w:lineRule="auto"/>
        <w:rPr>
          <w:sz w:val="20"/>
          <w:szCs w:val="20"/>
          <w:color w:val="auto"/>
        </w:rPr>
      </w:pPr>
      <w:r>
        <w:rPr>
          <w:rFonts w:ascii="Arial" w:cs="Arial" w:eastAsia="Arial" w:hAnsi="Arial"/>
          <w:sz w:val="17"/>
          <w:szCs w:val="17"/>
          <w:color w:val="auto"/>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spacing w:after="0" w:line="128" w:lineRule="exact"/>
        <w:rPr>
          <w:sz w:val="20"/>
          <w:szCs w:val="20"/>
          <w:color w:val="auto"/>
        </w:rPr>
      </w:pPr>
    </w:p>
    <w:p>
      <w:pPr>
        <w:jc w:val="both"/>
        <w:ind w:left="120" w:right="420"/>
        <w:spacing w:after="0" w:line="249" w:lineRule="auto"/>
        <w:rPr>
          <w:sz w:val="20"/>
          <w:szCs w:val="20"/>
          <w:color w:val="auto"/>
        </w:rPr>
      </w:pPr>
      <w:r>
        <w:rPr>
          <w:rFonts w:ascii="Arial" w:cs="Arial" w:eastAsia="Arial" w:hAnsi="Arial"/>
          <w:sz w:val="17"/>
          <w:szCs w:val="17"/>
          <w:color w:val="auto"/>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21" w:lineRule="exact"/>
        <w:rPr>
          <w:sz w:val="20"/>
          <w:szCs w:val="20"/>
          <w:color w:val="auto"/>
        </w:rPr>
      </w:pPr>
    </w:p>
    <w:p>
      <w:pPr>
        <w:ind w:left="120"/>
        <w:spacing w:after="0" w:line="241" w:lineRule="auto"/>
        <w:rPr>
          <w:sz w:val="20"/>
          <w:szCs w:val="20"/>
          <w:color w:val="auto"/>
        </w:rPr>
      </w:pPr>
      <w:r>
        <w:rPr>
          <w:rFonts w:ascii="Arial" w:cs="Arial" w:eastAsia="Arial" w:hAnsi="Arial"/>
          <w:sz w:val="17"/>
          <w:szCs w:val="17"/>
          <w:color w:val="auto"/>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spacing w:after="0" w:line="126" w:lineRule="exact"/>
        <w:rPr>
          <w:sz w:val="20"/>
          <w:szCs w:val="20"/>
          <w:color w:val="auto"/>
        </w:rPr>
      </w:pPr>
    </w:p>
    <w:p>
      <w:pPr>
        <w:ind w:left="120"/>
        <w:spacing w:after="0" w:line="244" w:lineRule="auto"/>
        <w:rPr>
          <w:sz w:val="20"/>
          <w:szCs w:val="20"/>
          <w:color w:val="auto"/>
        </w:rPr>
      </w:pPr>
      <w:r>
        <w:rPr>
          <w:rFonts w:ascii="Arial" w:cs="Arial" w:eastAsia="Arial" w:hAnsi="Arial"/>
          <w:sz w:val="17"/>
          <w:szCs w:val="17"/>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If we elect to redeem the debt securities of any series, we will not be required to:</w:t>
      </w:r>
    </w:p>
    <w:p>
      <w:pPr>
        <w:spacing w:after="0" w:line="196" w:lineRule="exact"/>
        <w:rPr>
          <w:sz w:val="20"/>
          <w:szCs w:val="20"/>
          <w:color w:val="auto"/>
        </w:rPr>
      </w:pPr>
    </w:p>
    <w:p>
      <w:pPr>
        <w:jc w:val="both"/>
        <w:ind w:left="980" w:right="120" w:hanging="432"/>
        <w:spacing w:after="0" w:line="247" w:lineRule="auto"/>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3" w:lineRule="exact"/>
        <w:rPr>
          <w:rFonts w:ascii="MS PGothic" w:cs="MS PGothic" w:eastAsia="MS PGothic" w:hAnsi="MS PGothic"/>
          <w:sz w:val="13"/>
          <w:szCs w:val="13"/>
          <w:color w:val="auto"/>
        </w:rPr>
      </w:pPr>
    </w:p>
    <w:p>
      <w:pPr>
        <w:ind w:left="980" w:right="40" w:hanging="432"/>
        <w:spacing w:after="0" w:line="267" w:lineRule="auto"/>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register the transfer of or exchange any debt securities so selected for redemption, in whole or in part, except the unredeemed portion of any debt securities we are redeeming in part.</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Concerning the Trustee</w:t>
      </w:r>
    </w:p>
    <w:p>
      <w:pPr>
        <w:spacing w:after="0" w:line="73" w:lineRule="exact"/>
        <w:rPr>
          <w:sz w:val="20"/>
          <w:szCs w:val="20"/>
          <w:color w:val="auto"/>
        </w:rPr>
      </w:pPr>
    </w:p>
    <w:p>
      <w:pPr>
        <w:ind w:left="120"/>
        <w:spacing w:after="0" w:line="241" w:lineRule="auto"/>
        <w:rPr>
          <w:sz w:val="20"/>
          <w:szCs w:val="20"/>
          <w:color w:val="auto"/>
        </w:rPr>
      </w:pPr>
      <w:r>
        <w:rPr>
          <w:rFonts w:ascii="Arial" w:cs="Arial" w:eastAsia="Arial" w:hAnsi="Arial"/>
          <w:sz w:val="17"/>
          <w:szCs w:val="17"/>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 and Paying Agents</w:t>
      </w:r>
    </w:p>
    <w:p>
      <w:pPr>
        <w:spacing w:after="0" w:line="60" w:lineRule="exact"/>
        <w:rPr>
          <w:sz w:val="20"/>
          <w:szCs w:val="20"/>
          <w:color w:val="auto"/>
        </w:rPr>
      </w:pPr>
    </w:p>
    <w:p>
      <w:pPr>
        <w:ind w:left="120" w:right="460"/>
        <w:spacing w:after="0" w:line="249" w:lineRule="auto"/>
        <w:rPr>
          <w:sz w:val="20"/>
          <w:szCs w:val="20"/>
          <w:color w:val="auto"/>
        </w:rPr>
      </w:pPr>
      <w:r>
        <w:rPr>
          <w:rFonts w:ascii="Arial" w:cs="Arial" w:eastAsia="Arial" w:hAnsi="Arial"/>
          <w:sz w:val="17"/>
          <w:szCs w:val="17"/>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21" w:lineRule="exact"/>
        <w:rPr>
          <w:sz w:val="20"/>
          <w:szCs w:val="20"/>
          <w:color w:val="auto"/>
        </w:rPr>
      </w:pPr>
    </w:p>
    <w:p>
      <w:pPr>
        <w:ind w:left="120"/>
        <w:spacing w:after="0" w:line="239" w:lineRule="auto"/>
        <w:rPr>
          <w:sz w:val="20"/>
          <w:szCs w:val="20"/>
          <w:color w:val="auto"/>
        </w:rPr>
      </w:pPr>
      <w:r>
        <w:rPr>
          <w:rFonts w:ascii="Arial" w:cs="Arial" w:eastAsia="Arial" w:hAnsi="Arial"/>
          <w:sz w:val="17"/>
          <w:szCs w:val="17"/>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28" w:lineRule="exact"/>
        <w:rPr>
          <w:sz w:val="20"/>
          <w:szCs w:val="20"/>
          <w:color w:val="auto"/>
        </w:rPr>
      </w:pPr>
    </w:p>
    <w:p>
      <w:pPr>
        <w:ind w:left="120" w:right="320"/>
        <w:spacing w:after="0" w:line="249" w:lineRule="auto"/>
        <w:rPr>
          <w:sz w:val="20"/>
          <w:szCs w:val="20"/>
          <w:color w:val="auto"/>
        </w:rPr>
      </w:pPr>
      <w:r>
        <w:rPr>
          <w:rFonts w:ascii="Arial" w:cs="Arial" w:eastAsia="Arial" w:hAnsi="Arial"/>
          <w:sz w:val="17"/>
          <w:szCs w:val="17"/>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60" w:lineRule="exact"/>
        <w:rPr>
          <w:sz w:val="20"/>
          <w:szCs w:val="20"/>
          <w:color w:val="auto"/>
        </w:rPr>
      </w:pPr>
    </w:p>
    <w:p>
      <w:pPr>
        <w:ind w:left="120" w:right="480"/>
        <w:spacing w:after="0" w:line="267" w:lineRule="auto"/>
        <w:rPr>
          <w:sz w:val="20"/>
          <w:szCs w:val="20"/>
          <w:color w:val="auto"/>
        </w:rPr>
      </w:pPr>
      <w:r>
        <w:rPr>
          <w:rFonts w:ascii="Arial" w:cs="Arial" w:eastAsia="Arial" w:hAnsi="Arial"/>
          <w:sz w:val="17"/>
          <w:szCs w:val="17"/>
          <w:color w:val="auto"/>
        </w:rPr>
        <w:t>The indenture and the debt securities will be governed by and construed in accordance with the laws of the state of New York, except to the extent that the Trust Indenture Act is applicable.</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WARRANTS</w:t>
      </w:r>
    </w:p>
    <w:p>
      <w:pPr>
        <w:spacing w:after="0" w:line="318"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i w:val="1"/>
          <w:iCs w:val="1"/>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73" w:lineRule="exact"/>
        <w:rPr>
          <w:sz w:val="20"/>
          <w:szCs w:val="20"/>
          <w:color w:val="auto"/>
        </w:rPr>
      </w:pPr>
    </w:p>
    <w:p>
      <w:pPr>
        <w:jc w:val="both"/>
        <w:ind w:left="120" w:right="100"/>
        <w:spacing w:after="0" w:line="249" w:lineRule="auto"/>
        <w:rPr>
          <w:sz w:val="20"/>
          <w:szCs w:val="20"/>
          <w:color w:val="auto"/>
        </w:rPr>
      </w:pPr>
      <w:r>
        <w:rPr>
          <w:rFonts w:ascii="Arial" w:cs="Arial" w:eastAsia="Arial" w:hAnsi="Arial"/>
          <w:sz w:val="17"/>
          <w:szCs w:val="17"/>
          <w:color w:val="auto"/>
        </w:rPr>
        <w:t>We may issue warrants for the purchase of common stock, preferred stock and/or debt securities in one or more series. We may issue warrants independently or together with common stock, preferred stock and debt securities, and the warrants may be attached to or separate from these securities.</w:t>
      </w:r>
    </w:p>
    <w:p>
      <w:pPr>
        <w:spacing w:after="0" w:line="121" w:lineRule="exact"/>
        <w:rPr>
          <w:sz w:val="20"/>
          <w:szCs w:val="20"/>
          <w:color w:val="auto"/>
        </w:rPr>
      </w:pPr>
    </w:p>
    <w:p>
      <w:pPr>
        <w:jc w:val="both"/>
        <w:ind w:left="120" w:right="220"/>
        <w:spacing w:after="0" w:line="249" w:lineRule="auto"/>
        <w:rPr>
          <w:sz w:val="20"/>
          <w:szCs w:val="20"/>
          <w:color w:val="auto"/>
        </w:rPr>
      </w:pPr>
      <w:r>
        <w:rPr>
          <w:rFonts w:ascii="Arial" w:cs="Arial" w:eastAsia="Arial" w:hAnsi="Arial"/>
          <w:sz w:val="17"/>
          <w:szCs w:val="17"/>
          <w:color w:val="auto"/>
        </w:rPr>
        <w:t>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will describe in the applicable prospectus supplement the terms of the series of warrants, including:</w:t>
      </w:r>
    </w:p>
    <w:p>
      <w:pPr>
        <w:spacing w:after="0" w:line="196" w:lineRule="exact"/>
        <w:rPr>
          <w:sz w:val="20"/>
          <w:szCs w:val="20"/>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the offering price and aggregate number of warrants offered;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the currency for which the warrants may be purchased;</w:t>
      </w:r>
    </w:p>
    <w:p>
      <w:pPr>
        <w:spacing w:after="0" w:line="34" w:lineRule="exact"/>
        <w:rPr>
          <w:rFonts w:ascii="MS PGothic" w:cs="MS PGothic" w:eastAsia="MS PGothic" w:hAnsi="MS PGothic"/>
          <w:sz w:val="13"/>
          <w:szCs w:val="13"/>
          <w:color w:val="auto"/>
        </w:rPr>
      </w:pPr>
    </w:p>
    <w:p>
      <w:pPr>
        <w:ind w:left="980" w:right="160" w:hanging="432"/>
        <w:spacing w:after="0" w:line="254" w:lineRule="auto"/>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if applicable, the designation and terms of the securities with which the warrants are issued and the number of warrants issued with each such security or each principal amount of such security;</w:t>
      </w:r>
    </w:p>
    <w:p>
      <w:pPr>
        <w:spacing w:after="0" w:line="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if applicable, the date on and after which the warrants and the related securities will be separately transferable;</w:t>
      </w:r>
    </w:p>
    <w:p>
      <w:pPr>
        <w:spacing w:after="0" w:line="34" w:lineRule="exact"/>
        <w:rPr>
          <w:rFonts w:ascii="MS PGothic" w:cs="MS PGothic" w:eastAsia="MS PGothic" w:hAnsi="MS PGothic"/>
          <w:sz w:val="13"/>
          <w:szCs w:val="13"/>
          <w:color w:val="auto"/>
        </w:rPr>
      </w:pPr>
    </w:p>
    <w:p>
      <w:pPr>
        <w:jc w:val="both"/>
        <w:ind w:left="980" w:right="160" w:hanging="432"/>
        <w:spacing w:after="0" w:line="247" w:lineRule="auto"/>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3" w:lineRule="exact"/>
        <w:rPr>
          <w:rFonts w:ascii="MS PGothic" w:cs="MS PGothic" w:eastAsia="MS PGothic" w:hAnsi="MS PGothic"/>
          <w:sz w:val="13"/>
          <w:szCs w:val="13"/>
          <w:color w:val="auto"/>
        </w:rPr>
      </w:pPr>
    </w:p>
    <w:p>
      <w:pPr>
        <w:ind w:left="980" w:right="40" w:hanging="432"/>
        <w:spacing w:after="0" w:line="254" w:lineRule="auto"/>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the effect of any merger, consolidation, sale or other disposition of our business on the warrant agreement and the warrants;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the terms of any rights to redeem or call the warrants;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any provisions for changes to or adjustments in the exercise price or number of securities issuable upon exercise of the warrants;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the periods during which, and places at which, the warrants are exercisable;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the manner of exercise;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the dates on which the right to exercise the warrants will commence and expire;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the manner in which the warrant agreement and warrants may be modified;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federal income tax consequences of holding or exercising the warrants;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the terms of the securities issuable upon exercise of the warrants;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any other specific terms, preferences, rights or limitations of or restrictions on the warrants.</w:t>
      </w:r>
    </w:p>
    <w:p>
      <w:pPr>
        <w:spacing w:after="0" w:line="15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040"/>
          </w:cols>
          <w:pgMar w:left="320" w:top="455" w:right="5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UNITS</w:t>
      </w:r>
    </w:p>
    <w:p>
      <w:pPr>
        <w:spacing w:after="0" w:line="316"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We may issue units comprised of one or more of the other securities that may be offered under this prospectus,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133" w:lineRule="exact"/>
        <w:rPr>
          <w:sz w:val="20"/>
          <w:szCs w:val="20"/>
          <w:color w:val="auto"/>
        </w:rPr>
      </w:pPr>
    </w:p>
    <w:p>
      <w:pPr>
        <w:ind w:left="120" w:right="60"/>
        <w:spacing w:after="0" w:line="244" w:lineRule="auto"/>
        <w:rPr>
          <w:sz w:val="20"/>
          <w:szCs w:val="20"/>
          <w:color w:val="auto"/>
        </w:rPr>
      </w:pPr>
      <w:r>
        <w:rPr>
          <w:rFonts w:ascii="Arial" w:cs="Arial" w:eastAsia="Arial" w:hAnsi="Arial"/>
          <w:sz w:val="17"/>
          <w:szCs w:val="17"/>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164" w:lineRule="exact"/>
        <w:rPr>
          <w:sz w:val="20"/>
          <w:szCs w:val="20"/>
          <w:color w:val="auto"/>
        </w:rPr>
      </w:pPr>
    </w:p>
    <w:p>
      <w:pPr>
        <w:ind w:left="980" w:right="340" w:hanging="432"/>
        <w:spacing w:after="0" w:line="254" w:lineRule="auto"/>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the designation and terms of the units and of the securities comprising the units, including whether and under what circumstances those securities may be held or transferred separately;</w:t>
      </w:r>
    </w:p>
    <w:p>
      <w:pPr>
        <w:spacing w:after="0" w:line="4"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any provisions of the governing unit agreement;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the price or prices at which such units will be issued;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the applicable United States federal income tax considerations relating to the units;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any provisions for the issuance, payment, settlement, transfer or exchange of the units or of the securities comprising the units;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any other terms of the units and of the securities comprising the units.</w:t>
      </w:r>
    </w:p>
    <w:p>
      <w:pPr>
        <w:spacing w:after="0" w:line="156" w:lineRule="exact"/>
        <w:rPr>
          <w:sz w:val="20"/>
          <w:szCs w:val="20"/>
          <w:color w:val="auto"/>
        </w:rPr>
      </w:pPr>
    </w:p>
    <w:p>
      <w:pPr>
        <w:ind w:left="120" w:right="100"/>
        <w:spacing w:after="0" w:line="267" w:lineRule="auto"/>
        <w:rPr>
          <w:sz w:val="20"/>
          <w:szCs w:val="20"/>
          <w:color w:val="auto"/>
        </w:rPr>
      </w:pPr>
      <w:r>
        <w:rPr>
          <w:rFonts w:ascii="Arial" w:cs="Arial" w:eastAsia="Arial" w:hAnsi="Arial"/>
          <w:sz w:val="17"/>
          <w:szCs w:val="17"/>
          <w:color w:val="auto"/>
        </w:rPr>
        <w:t>The provisions described in this section, as well as those described under “</w:t>
      </w:r>
      <w:r>
        <w:rPr>
          <w:rFonts w:ascii="Arial" w:cs="Arial" w:eastAsia="Arial" w:hAnsi="Arial"/>
          <w:sz w:val="17"/>
          <w:szCs w:val="17"/>
          <w:i w:val="1"/>
          <w:iCs w:val="1"/>
          <w:color w:val="auto"/>
        </w:rPr>
        <w:t>Description of Capital Stock</w:t>
      </w:r>
      <w:r>
        <w:rPr>
          <w:rFonts w:ascii="Arial" w:cs="Arial" w:eastAsia="Arial" w:hAnsi="Arial"/>
          <w:sz w:val="17"/>
          <w:szCs w:val="17"/>
          <w:color w:val="auto"/>
        </w:rPr>
        <w:t>,” and “</w:t>
      </w:r>
      <w:r>
        <w:rPr>
          <w:rFonts w:ascii="Arial" w:cs="Arial" w:eastAsia="Arial" w:hAnsi="Arial"/>
          <w:sz w:val="17"/>
          <w:szCs w:val="17"/>
          <w:i w:val="1"/>
          <w:iCs w:val="1"/>
          <w:color w:val="auto"/>
        </w:rPr>
        <w:t>Description of Warrants</w:t>
      </w:r>
      <w:r>
        <w:rPr>
          <w:rFonts w:ascii="Arial" w:cs="Arial" w:eastAsia="Arial" w:hAnsi="Arial"/>
          <w:sz w:val="17"/>
          <w:szCs w:val="17"/>
          <w:color w:val="auto"/>
        </w:rPr>
        <w:t>” will apply to the securities included in each unit, to the extent relevant and as may be updated in any prospectus supplements.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Issuance in Series</w:t>
      </w:r>
    </w:p>
    <w:p>
      <w:pPr>
        <w:spacing w:after="0" w:line="73"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We may issue units in such amounts and in as many distinct series as we wish. This section summarizes terms of the units that apply generally to all series. Most of the financial and other specific terms of a particular series of units will be described in the applicable prospectus supplement.</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 Agreements</w:t>
      </w:r>
    </w:p>
    <w:p>
      <w:pPr>
        <w:spacing w:after="0" w:line="60" w:lineRule="exact"/>
        <w:rPr>
          <w:sz w:val="20"/>
          <w:szCs w:val="20"/>
          <w:color w:val="auto"/>
        </w:rPr>
      </w:pPr>
    </w:p>
    <w:p>
      <w:pPr>
        <w:ind w:left="120" w:right="180"/>
        <w:spacing w:after="0" w:line="249" w:lineRule="auto"/>
        <w:rPr>
          <w:sz w:val="20"/>
          <w:szCs w:val="20"/>
          <w:color w:val="auto"/>
        </w:rPr>
      </w:pPr>
      <w:r>
        <w:rPr>
          <w:rFonts w:ascii="Arial" w:cs="Arial" w:eastAsia="Arial" w:hAnsi="Arial"/>
          <w:sz w:val="17"/>
          <w:szCs w:val="17"/>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provisions will generally apply to all unit agreements unless otherwise stated in the applicable prospectus supplement:</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without Consent</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and the applicable unit agent may amend any unit or unit agreement without the consent of any holder:</w:t>
      </w:r>
    </w:p>
    <w:p>
      <w:pPr>
        <w:spacing w:after="0" w:line="196" w:lineRule="exact"/>
        <w:rPr>
          <w:sz w:val="20"/>
          <w:szCs w:val="20"/>
          <w:color w:val="auto"/>
        </w:rPr>
      </w:pPr>
    </w:p>
    <w:p>
      <w:pPr>
        <w:ind w:left="980" w:hanging="432"/>
        <w:spacing w:after="0"/>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to cure any ambiguity;</w:t>
      </w:r>
    </w:p>
    <w:p>
      <w:pPr>
        <w:spacing w:after="0" w:line="15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100"/>
          </w:cols>
          <w:pgMar w:left="320" w:top="455"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6" w:lineRule="exact"/>
        <w:rPr>
          <w:sz w:val="20"/>
          <w:szCs w:val="20"/>
          <w:color w:val="auto"/>
        </w:rPr>
      </w:pPr>
    </w:p>
    <w:p>
      <w:pPr>
        <w:ind w:left="980" w:hanging="432"/>
        <w:spacing w:after="0"/>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any provisions of the governing unit agreement that differ from those described below;</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to correct or supplement any defective or inconsistent provision; or</w:t>
      </w:r>
    </w:p>
    <w:p>
      <w:pPr>
        <w:spacing w:after="0" w:line="34" w:lineRule="exact"/>
        <w:rPr>
          <w:rFonts w:ascii="MS PGothic" w:cs="MS PGothic" w:eastAsia="MS PGothic" w:hAnsi="MS PGothic"/>
          <w:sz w:val="13"/>
          <w:szCs w:val="13"/>
          <w:color w:val="auto"/>
        </w:rPr>
      </w:pPr>
    </w:p>
    <w:p>
      <w:pPr>
        <w:ind w:left="980" w:hanging="432"/>
        <w:spacing w:after="0" w:line="267" w:lineRule="auto"/>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to make any other change that we believe is necessary or desirable and will not adversely affect the interests of the affected holders in any material respect.</w:t>
      </w:r>
    </w:p>
    <w:p>
      <w:pPr>
        <w:spacing w:after="0" w:line="105" w:lineRule="exact"/>
        <w:rPr>
          <w:sz w:val="20"/>
          <w:szCs w:val="20"/>
          <w:color w:val="auto"/>
        </w:rPr>
      </w:pPr>
    </w:p>
    <w:p>
      <w:pPr>
        <w:ind w:left="120" w:right="120"/>
        <w:spacing w:after="0" w:line="244" w:lineRule="auto"/>
        <w:rPr>
          <w:sz w:val="20"/>
          <w:szCs w:val="20"/>
          <w:color w:val="auto"/>
        </w:rPr>
      </w:pPr>
      <w:r>
        <w:rPr>
          <w:rFonts w:ascii="Arial" w:cs="Arial" w:eastAsia="Arial" w:hAnsi="Arial"/>
          <w:sz w:val="17"/>
          <w:szCs w:val="17"/>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with Consent</w:t>
      </w:r>
    </w:p>
    <w:p>
      <w:pPr>
        <w:spacing w:after="0" w:line="73" w:lineRule="exact"/>
        <w:rPr>
          <w:sz w:val="20"/>
          <w:szCs w:val="20"/>
          <w:color w:val="auto"/>
        </w:rPr>
      </w:pPr>
    </w:p>
    <w:p>
      <w:pPr>
        <w:ind w:left="120" w:right="280"/>
        <w:spacing w:after="0" w:line="267" w:lineRule="auto"/>
        <w:rPr>
          <w:sz w:val="20"/>
          <w:szCs w:val="20"/>
          <w:color w:val="auto"/>
        </w:rPr>
      </w:pPr>
      <w:r>
        <w:rPr>
          <w:rFonts w:ascii="Arial" w:cs="Arial" w:eastAsia="Arial" w:hAnsi="Arial"/>
          <w:sz w:val="17"/>
          <w:szCs w:val="17"/>
          <w:color w:val="auto"/>
        </w:rPr>
        <w:t>We may not amend any particular unit or a unit agreement with respect to any particular unit unless we obtain the consent of the holder of that unit, if the amendment would:</w:t>
      </w:r>
    </w:p>
    <w:p>
      <w:pPr>
        <w:spacing w:after="0" w:line="146" w:lineRule="exact"/>
        <w:rPr>
          <w:sz w:val="20"/>
          <w:szCs w:val="20"/>
          <w:color w:val="auto"/>
        </w:rPr>
      </w:pPr>
    </w:p>
    <w:p>
      <w:pPr>
        <w:ind w:left="980" w:right="220" w:hanging="432"/>
        <w:spacing w:after="0" w:line="254" w:lineRule="auto"/>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4" w:lineRule="exact"/>
        <w:rPr>
          <w:rFonts w:ascii="MS PGothic" w:cs="MS PGothic" w:eastAsia="MS PGothic" w:hAnsi="MS PGothic"/>
          <w:sz w:val="13"/>
          <w:szCs w:val="13"/>
          <w:color w:val="auto"/>
        </w:rPr>
      </w:pPr>
    </w:p>
    <w:p>
      <w:pPr>
        <w:ind w:left="980" w:right="320" w:hanging="432"/>
        <w:spacing w:after="0" w:line="267" w:lineRule="auto"/>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Any other change to a particular unit agreement and the units issued under that agreement would require the following approval:</w:t>
      </w:r>
    </w:p>
    <w:p>
      <w:pPr>
        <w:spacing w:after="0" w:line="196" w:lineRule="exact"/>
        <w:rPr>
          <w:sz w:val="20"/>
          <w:szCs w:val="20"/>
          <w:color w:val="auto"/>
        </w:rPr>
      </w:pPr>
    </w:p>
    <w:p>
      <w:pPr>
        <w:ind w:left="980" w:right="80" w:hanging="432"/>
        <w:spacing w:after="0" w:line="254" w:lineRule="auto"/>
        <w:tabs>
          <w:tab w:leader="none" w:pos="9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If the change affects only the units of a particular series issued under that agreement, the change must be approved by the holders of a majority of the outstanding units of that series; or</w:t>
      </w:r>
    </w:p>
    <w:p>
      <w:pPr>
        <w:spacing w:after="0" w:line="4" w:lineRule="exact"/>
        <w:rPr>
          <w:rFonts w:ascii="MS PGothic" w:cs="MS PGothic" w:eastAsia="MS PGothic" w:hAnsi="MS PGothic"/>
          <w:sz w:val="13"/>
          <w:szCs w:val="13"/>
          <w:color w:val="auto"/>
        </w:rPr>
      </w:pPr>
    </w:p>
    <w:p>
      <w:pPr>
        <w:jc w:val="both"/>
        <w:ind w:left="980" w:right="80" w:hanging="432"/>
        <w:spacing w:after="0" w:line="249" w:lineRule="auto"/>
        <w:tabs>
          <w:tab w:leader="none" w:pos="9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121" w:lineRule="exact"/>
        <w:rPr>
          <w:sz w:val="20"/>
          <w:szCs w:val="20"/>
          <w:color w:val="auto"/>
        </w:rPr>
      </w:pPr>
    </w:p>
    <w:p>
      <w:pPr>
        <w:ind w:left="120" w:right="160"/>
        <w:spacing w:after="0" w:line="267" w:lineRule="auto"/>
        <w:rPr>
          <w:sz w:val="20"/>
          <w:szCs w:val="20"/>
          <w:color w:val="auto"/>
        </w:rPr>
      </w:pPr>
      <w:r>
        <w:rPr>
          <w:rFonts w:ascii="Arial" w:cs="Arial" w:eastAsia="Arial" w:hAnsi="Arial"/>
          <w:sz w:val="17"/>
          <w:szCs w:val="17"/>
          <w:color w:val="auto"/>
        </w:rPr>
        <w:t>These provisions regarding changes with majority approval also apply to changes affecting any securities issued under a unit agreement, as the governing document.</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each case, the required approval must be given by written consent.</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 Agreements Will Not Be Qualified under Trust Indenture Act</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No unit agreement will be qualified as an indenture, and no unit agent will be required to qualify as a trustee, under the Trust Indenture Act.</w:t>
      </w:r>
    </w:p>
    <w:p>
      <w:pPr>
        <w:spacing w:after="0" w:line="1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Therefore, holders of units issued under unit agreements will not have the protections of the Trust Indenture Act with respect to their units.</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Mergers and Similar Transactions Permitted; No Restrictive Covenants or Events of Default</w:t>
      </w:r>
    </w:p>
    <w:p>
      <w:pPr>
        <w:spacing w:after="0" w:line="60" w:lineRule="exact"/>
        <w:rPr>
          <w:sz w:val="20"/>
          <w:szCs w:val="20"/>
          <w:color w:val="auto"/>
        </w:rPr>
      </w:pPr>
    </w:p>
    <w:p>
      <w:pPr>
        <w:ind w:left="120" w:right="100"/>
        <w:spacing w:after="0" w:line="244" w:lineRule="auto"/>
        <w:rPr>
          <w:sz w:val="20"/>
          <w:szCs w:val="20"/>
          <w:color w:val="auto"/>
        </w:rPr>
      </w:pPr>
      <w:r>
        <w:rPr>
          <w:rFonts w:ascii="Arial" w:cs="Arial" w:eastAsia="Arial" w:hAnsi="Arial"/>
          <w:sz w:val="17"/>
          <w:szCs w:val="17"/>
          <w:color w:val="auto"/>
        </w:rPr>
        <w:t>The unit agreements will not restrict our ability to merge or consolidate with, or sell our assets to, another corporation or other entity or to engage in any other transactions. If at any time we merge or consolidate with, or sell 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123" w:lineRule="exact"/>
        <w:rPr>
          <w:sz w:val="20"/>
          <w:szCs w:val="20"/>
          <w:color w:val="auto"/>
        </w:rPr>
      </w:pPr>
    </w:p>
    <w:p>
      <w:pPr>
        <w:ind w:left="120" w:right="60"/>
        <w:spacing w:after="0" w:line="267" w:lineRule="auto"/>
        <w:rPr>
          <w:sz w:val="20"/>
          <w:szCs w:val="20"/>
          <w:color w:val="auto"/>
        </w:rPr>
      </w:pPr>
      <w:r>
        <w:rPr>
          <w:rFonts w:ascii="Arial" w:cs="Arial" w:eastAsia="Arial" w:hAnsi="Arial"/>
          <w:sz w:val="17"/>
          <w:szCs w:val="17"/>
          <w:color w:val="auto"/>
        </w:rPr>
        <w:t>The unit agreements will not include any restrictions on our ability to put liens on our assets, nor will they restrict our ability to sell our assets. The unit agreements also will not provide for any events of default or remedies upon the occurrence of any events of default.</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unit agreements and the units will be governed by New York law.</w:t>
      </w:r>
    </w:p>
    <w:p>
      <w:pPr>
        <w:spacing w:after="0" w:line="15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Exchange and Transfer</w:t>
      </w:r>
    </w:p>
    <w:p>
      <w:pPr>
        <w:spacing w:after="0" w:line="73" w:lineRule="exact"/>
        <w:rPr>
          <w:sz w:val="20"/>
          <w:szCs w:val="20"/>
          <w:color w:val="auto"/>
        </w:rPr>
      </w:pPr>
    </w:p>
    <w:p>
      <w:pPr>
        <w:ind w:left="120"/>
        <w:spacing w:after="0" w:line="241" w:lineRule="auto"/>
        <w:rPr>
          <w:sz w:val="20"/>
          <w:szCs w:val="20"/>
          <w:color w:val="auto"/>
        </w:rPr>
      </w:pPr>
      <w:r>
        <w:rPr>
          <w:rFonts w:ascii="Arial" w:cs="Arial" w:eastAsia="Arial" w:hAnsi="Arial"/>
          <w:sz w:val="17"/>
          <w:szCs w:val="17"/>
          <w:color w:val="auto"/>
        </w:rPr>
        <w:t>We will issue each unit in global—i.e., book-entry—form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Each unit and all securities comprising the unit will be issued in the same form.</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If we issue any units in registered, non-global form, the following will apply to them.</w:t>
      </w:r>
    </w:p>
    <w:p>
      <w:pPr>
        <w:spacing w:after="0" w:line="156" w:lineRule="exact"/>
        <w:rPr>
          <w:sz w:val="20"/>
          <w:szCs w:val="20"/>
          <w:color w:val="auto"/>
        </w:rPr>
      </w:pPr>
    </w:p>
    <w:p>
      <w:pPr>
        <w:ind w:left="120" w:right="480"/>
        <w:spacing w:after="0" w:line="267" w:lineRule="auto"/>
        <w:rPr>
          <w:sz w:val="20"/>
          <w:szCs w:val="20"/>
          <w:color w:val="auto"/>
        </w:rPr>
      </w:pPr>
      <w:r>
        <w:rPr>
          <w:rFonts w:ascii="Arial" w:cs="Arial" w:eastAsia="Arial" w:hAnsi="Arial"/>
          <w:sz w:val="17"/>
          <w:szCs w:val="17"/>
          <w:color w:val="auto"/>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146" w:lineRule="exact"/>
        <w:rPr>
          <w:sz w:val="20"/>
          <w:szCs w:val="20"/>
          <w:color w:val="auto"/>
        </w:rPr>
      </w:pPr>
    </w:p>
    <w:p>
      <w:pPr>
        <w:ind w:left="980" w:right="600" w:hanging="432"/>
        <w:spacing w:after="0" w:line="254" w:lineRule="auto"/>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4" w:lineRule="exact"/>
        <w:rPr>
          <w:rFonts w:ascii="MS PGothic" w:cs="MS PGothic" w:eastAsia="MS PGothic" w:hAnsi="MS PGothic"/>
          <w:sz w:val="13"/>
          <w:szCs w:val="13"/>
          <w:color w:val="auto"/>
        </w:rPr>
      </w:pPr>
    </w:p>
    <w:p>
      <w:pPr>
        <w:ind w:left="980" w:right="80" w:hanging="432"/>
        <w:spacing w:after="0" w:line="243" w:lineRule="auto"/>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4" w:lineRule="exact"/>
        <w:rPr>
          <w:rFonts w:ascii="MS PGothic" w:cs="MS PGothic" w:eastAsia="MS PGothic" w:hAnsi="MS PGothic"/>
          <w:sz w:val="13"/>
          <w:szCs w:val="13"/>
          <w:color w:val="auto"/>
        </w:rPr>
      </w:pPr>
    </w:p>
    <w:p>
      <w:pPr>
        <w:ind w:left="980" w:right="80" w:hanging="432"/>
        <w:spacing w:after="0" w:line="239" w:lineRule="auto"/>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Only the depositary will be entitled to transfer or exchange a unit in global form, since it will be the sole holder of the unit.</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Payments and Notices</w:t>
      </w:r>
    </w:p>
    <w:p>
      <w:pPr>
        <w:spacing w:after="0" w:line="60" w:lineRule="exact"/>
        <w:rPr>
          <w:sz w:val="20"/>
          <w:szCs w:val="20"/>
          <w:color w:val="auto"/>
        </w:rPr>
      </w:pPr>
    </w:p>
    <w:p>
      <w:pPr>
        <w:ind w:left="120" w:right="720"/>
        <w:spacing w:after="0" w:line="267" w:lineRule="auto"/>
        <w:rPr>
          <w:sz w:val="20"/>
          <w:szCs w:val="20"/>
          <w:color w:val="auto"/>
        </w:rPr>
      </w:pPr>
      <w:r>
        <w:rPr>
          <w:rFonts w:ascii="Arial" w:cs="Arial" w:eastAsia="Arial" w:hAnsi="Arial"/>
          <w:sz w:val="17"/>
          <w:szCs w:val="17"/>
          <w:color w:val="auto"/>
        </w:rPr>
        <w:t>In making payments and giving notices with respect to our units, we will follow the procedures as described in the applicable prospectus supplement.</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080"/>
          </w:cols>
          <w:pgMar w:left="320" w:top="455" w:right="4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316" w:lineRule="exact"/>
        <w:rPr>
          <w:sz w:val="20"/>
          <w:szCs w:val="20"/>
          <w:color w:val="auto"/>
        </w:rPr>
      </w:pPr>
    </w:p>
    <w:p>
      <w:pPr>
        <w:ind w:left="120" w:right="200"/>
        <w:spacing w:after="0" w:line="238" w:lineRule="auto"/>
        <w:rPr>
          <w:sz w:val="20"/>
          <w:szCs w:val="20"/>
          <w:color w:val="auto"/>
        </w:rPr>
      </w:pPr>
      <w:r>
        <w:rPr>
          <w:rFonts w:ascii="Arial" w:cs="Arial" w:eastAsia="Arial" w:hAnsi="Arial"/>
          <w:sz w:val="17"/>
          <w:szCs w:val="17"/>
          <w:color w:val="auto"/>
        </w:rPr>
        <w:t>We may sell the securities offered through this prospectus and any accompanying prospectus supplement, if required, in any of the following ways: (i) to or through underwriters or dealers, (ii) directly to purchasers, including our affiliates, (iii) through agents, (iv) in an “at the market offering,” within the meaning of Rule 415(a)(4) of the Securities Act, to or through market makers or into an existing market for the securities; or</w:t>
      </w:r>
    </w:p>
    <w:p>
      <w:pPr>
        <w:spacing w:after="0" w:line="1" w:lineRule="exact"/>
        <w:rPr>
          <w:sz w:val="20"/>
          <w:szCs w:val="20"/>
          <w:color w:val="auto"/>
        </w:rPr>
      </w:pPr>
    </w:p>
    <w:p>
      <w:pPr>
        <w:jc w:val="both"/>
        <w:ind w:left="120" w:right="320" w:hanging="4"/>
        <w:spacing w:after="0"/>
        <w:tabs>
          <w:tab w:leader="none" w:pos="367"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through a combination of any of these methods or any other method permitted by law. The securities may be distributed at a fixed price or prices, which may be changed, market prices prevailing at the time of sale, prices related to the prevailing market prices, or negotiated prices, either:</w:t>
      </w:r>
    </w:p>
    <w:p>
      <w:pPr>
        <w:spacing w:after="0" w:line="167" w:lineRule="exact"/>
        <w:rPr>
          <w:rFonts w:ascii="Arial" w:cs="Arial" w:eastAsia="Arial" w:hAnsi="Arial"/>
          <w:sz w:val="17"/>
          <w:szCs w:val="17"/>
          <w:color w:val="auto"/>
        </w:rPr>
      </w:pPr>
    </w:p>
    <w:p>
      <w:pPr>
        <w:ind w:left="980" w:right="360" w:hanging="432"/>
        <w:spacing w:after="0" w:line="254" w:lineRule="auto"/>
        <w:tabs>
          <w:tab w:leader="none" w:pos="980" w:val="left"/>
        </w:tabs>
        <w:numPr>
          <w:ilvl w:val="1"/>
          <w:numId w:val="25"/>
        </w:numPr>
        <w:rPr>
          <w:rFonts w:ascii="MS PGothic" w:cs="MS PGothic" w:eastAsia="MS PGothic" w:hAnsi="MS PGothic"/>
          <w:sz w:val="13"/>
          <w:szCs w:val="13"/>
          <w:color w:val="auto"/>
        </w:rPr>
      </w:pPr>
      <w:r>
        <w:rPr>
          <w:rFonts w:ascii="Arial" w:cs="Arial" w:eastAsia="Arial" w:hAnsi="Arial"/>
          <w:sz w:val="17"/>
          <w:szCs w:val="17"/>
          <w:color w:val="auto"/>
        </w:rPr>
        <w:t>on or through the facilities of The Nasdaq Global Market or any other securities exchange or quotation or trading service on which such securities may be listed, quoted or traded at the time of sale; and/or</w:t>
      </w:r>
    </w:p>
    <w:p>
      <w:pPr>
        <w:spacing w:after="0" w:line="4" w:lineRule="exact"/>
        <w:rPr>
          <w:rFonts w:ascii="MS PGothic" w:cs="MS PGothic" w:eastAsia="MS PGothic" w:hAnsi="MS PGothic"/>
          <w:sz w:val="13"/>
          <w:szCs w:val="13"/>
          <w:color w:val="auto"/>
        </w:rPr>
      </w:pPr>
    </w:p>
    <w:p>
      <w:pPr>
        <w:ind w:left="980" w:right="40" w:hanging="432"/>
        <w:spacing w:after="0" w:line="267" w:lineRule="auto"/>
        <w:tabs>
          <w:tab w:leader="none" w:pos="980" w:val="left"/>
        </w:tabs>
        <w:numPr>
          <w:ilvl w:val="1"/>
          <w:numId w:val="25"/>
        </w:numPr>
        <w:rPr>
          <w:rFonts w:ascii="MS PGothic" w:cs="MS PGothic" w:eastAsia="MS PGothic" w:hAnsi="MS PGothic"/>
          <w:sz w:val="13"/>
          <w:szCs w:val="13"/>
          <w:color w:val="auto"/>
        </w:rPr>
      </w:pPr>
      <w:r>
        <w:rPr>
          <w:rFonts w:ascii="Arial" w:cs="Arial" w:eastAsia="Arial" w:hAnsi="Arial"/>
          <w:sz w:val="17"/>
          <w:szCs w:val="17"/>
          <w:color w:val="auto"/>
        </w:rPr>
        <w:t>to or through a market maker otherwise than on The Nasdaq Global Market or such other securities exchanges or quotation or trading services.</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addition, we may issue the securities as a dividend or distribution or in a subscription rights offering to our existing security holders.</w:t>
      </w:r>
    </w:p>
    <w:p>
      <w:pPr>
        <w:spacing w:after="0" w:line="156" w:lineRule="exact"/>
        <w:rPr>
          <w:sz w:val="20"/>
          <w:szCs w:val="20"/>
          <w:color w:val="auto"/>
        </w:rPr>
      </w:pPr>
    </w:p>
    <w:p>
      <w:pPr>
        <w:ind w:left="120"/>
        <w:spacing w:after="0" w:line="241" w:lineRule="auto"/>
        <w:rPr>
          <w:sz w:val="20"/>
          <w:szCs w:val="20"/>
          <w:color w:val="auto"/>
        </w:rPr>
      </w:pPr>
      <w:r>
        <w:rPr>
          <w:rFonts w:ascii="Arial" w:cs="Arial" w:eastAsia="Arial" w:hAnsi="Arial"/>
          <w:sz w:val="17"/>
          <w:szCs w:val="17"/>
          <w:color w:val="auto"/>
        </w:rPr>
        <w:t>We may directly solicit offers to purchase securities, or agents may be designated to solicit such offers. In the prospectus supplement relating to such offering, we will name any agent that could be viewed as an underwriter under the Securities Act and describe any commissions that we must pay to any such agent.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distribution of the securities may be effected from time to time in one or more transactions:</w:t>
      </w:r>
    </w:p>
    <w:p>
      <w:pPr>
        <w:spacing w:after="0" w:line="196" w:lineRule="exact"/>
        <w:rPr>
          <w:sz w:val="20"/>
          <w:szCs w:val="20"/>
          <w:color w:val="auto"/>
        </w:rPr>
      </w:pPr>
    </w:p>
    <w:p>
      <w:pPr>
        <w:ind w:left="980" w:hanging="432"/>
        <w:spacing w:after="0"/>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at a fixed price, or prices, which may be changed from time to time;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at market prices prevailing at the time of sale;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at prices related to such prevailing market prices; or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at negotiated prices.</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Each prospectus supplement will describe the method of distribution of the securities and any applicable restrictions.</w:t>
      </w:r>
    </w:p>
    <w:p>
      <w:pPr>
        <w:spacing w:after="0" w:line="156" w:lineRule="exact"/>
        <w:rPr>
          <w:sz w:val="20"/>
          <w:szCs w:val="20"/>
          <w:color w:val="auto"/>
        </w:rPr>
      </w:pPr>
    </w:p>
    <w:p>
      <w:pPr>
        <w:ind w:left="120" w:right="260"/>
        <w:spacing w:after="0" w:line="267" w:lineRule="auto"/>
        <w:rPr>
          <w:sz w:val="20"/>
          <w:szCs w:val="20"/>
          <w:color w:val="auto"/>
        </w:rPr>
      </w:pPr>
      <w:r>
        <w:rPr>
          <w:rFonts w:ascii="Arial" w:cs="Arial" w:eastAsia="Arial" w:hAnsi="Arial"/>
          <w:sz w:val="17"/>
          <w:szCs w:val="17"/>
          <w:color w:val="auto"/>
        </w:rPr>
        <w:t>The prospectus supplement with respect to the securities of a particular series will describe the terms of the offering of the securities, including the following:</w:t>
      </w:r>
    </w:p>
    <w:p>
      <w:pPr>
        <w:spacing w:after="0" w:line="146" w:lineRule="exact"/>
        <w:rPr>
          <w:sz w:val="20"/>
          <w:szCs w:val="20"/>
          <w:color w:val="auto"/>
        </w:rPr>
      </w:pPr>
    </w:p>
    <w:p>
      <w:pPr>
        <w:ind w:left="980" w:hanging="432"/>
        <w:spacing w:after="0"/>
        <w:tabs>
          <w:tab w:leader="none" w:pos="9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the name of the agent or any underwriters;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the public offering or purchase price;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any discounts and commissions to be allowed or paid to the agent or underwriters;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all other items constituting underwriting compensation;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any discounts and commissions to be allowed or paid to dealers;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any exchanges on which the securities will be listed.</w:t>
      </w:r>
    </w:p>
    <w:p>
      <w:pPr>
        <w:spacing w:after="0" w:line="156" w:lineRule="exact"/>
        <w:rPr>
          <w:sz w:val="20"/>
          <w:szCs w:val="20"/>
          <w:color w:val="auto"/>
        </w:rPr>
      </w:pPr>
    </w:p>
    <w:p>
      <w:pPr>
        <w:ind w:left="120" w:right="620"/>
        <w:spacing w:after="0" w:line="249" w:lineRule="auto"/>
        <w:rPr>
          <w:sz w:val="20"/>
          <w:szCs w:val="20"/>
          <w:color w:val="auto"/>
        </w:rPr>
      </w:pPr>
      <w:r>
        <w:rPr>
          <w:rFonts w:ascii="Arial" w:cs="Arial" w:eastAsia="Arial" w:hAnsi="Arial"/>
          <w:sz w:val="17"/>
          <w:szCs w:val="17"/>
          <w:color w:val="auto"/>
        </w:rPr>
        <w:t>If any underwriters or agents are used in the sale of the securities in respect of which this prospectus is delivered, we will enter into an underwriting agreement, sales agreement or other agreement with them at the time of sale to them, and we will set forth in the prospectus supplement relating to such offering the names of the underwriters or agents and the terms of the related agreement with them.</w:t>
      </w:r>
    </w:p>
    <w:p>
      <w:pPr>
        <w:spacing w:after="0" w:line="121" w:lineRule="exact"/>
        <w:rPr>
          <w:sz w:val="20"/>
          <w:szCs w:val="20"/>
          <w:color w:val="auto"/>
        </w:rPr>
      </w:pPr>
    </w:p>
    <w:p>
      <w:pPr>
        <w:ind w:left="120" w:right="100"/>
        <w:spacing w:after="0" w:line="249" w:lineRule="auto"/>
        <w:rPr>
          <w:sz w:val="20"/>
          <w:szCs w:val="20"/>
          <w:color w:val="auto"/>
        </w:rPr>
      </w:pPr>
      <w:r>
        <w:rPr>
          <w:rFonts w:ascii="Arial" w:cs="Arial" w:eastAsia="Arial" w:hAnsi="Arial"/>
          <w:sz w:val="17"/>
          <w:szCs w:val="17"/>
          <w:color w:val="auto"/>
        </w:rPr>
        <w:t>In connection with the offering of securities, we may grant to the underwriters an option to purchase additional securities with an additional underwriting commission, as may be set forth in the accompanying prospectus supplement. If we grant any such option, the terms of such option will be set forth in the prospectus supplement for such securities.</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6" w:lineRule="exact"/>
        <w:rPr>
          <w:sz w:val="20"/>
          <w:szCs w:val="20"/>
          <w:color w:val="auto"/>
        </w:rPr>
      </w:pPr>
    </w:p>
    <w:p>
      <w:pPr>
        <w:ind w:left="120" w:right="200"/>
        <w:spacing w:after="0" w:line="249" w:lineRule="auto"/>
        <w:rPr>
          <w:sz w:val="20"/>
          <w:szCs w:val="20"/>
          <w:color w:val="auto"/>
        </w:rPr>
      </w:pPr>
      <w:r>
        <w:rPr>
          <w:rFonts w:ascii="Arial" w:cs="Arial" w:eastAsia="Arial" w:hAnsi="Arial"/>
          <w:sz w:val="17"/>
          <w:szCs w:val="17"/>
          <w:color w:val="auto"/>
        </w:rPr>
        <w:t>If a dealer is used in the sale of the securities in respect of which the prospectus is delivered, we will sell such securities to the dealer, as principal. The dealer, who may be deemed to be an “underwriter” as that term is defined in the Securities Act, may then resell such securities to the public at varying prices to be determined by such dealer at the time of resale.</w:t>
      </w:r>
    </w:p>
    <w:p>
      <w:pPr>
        <w:spacing w:after="0" w:line="121" w:lineRule="exact"/>
        <w:rPr>
          <w:sz w:val="20"/>
          <w:szCs w:val="20"/>
          <w:color w:val="auto"/>
        </w:rPr>
      </w:pPr>
    </w:p>
    <w:p>
      <w:pPr>
        <w:ind w:left="120" w:right="80"/>
        <w:spacing w:after="0" w:line="244" w:lineRule="auto"/>
        <w:rPr>
          <w:sz w:val="20"/>
          <w:szCs w:val="20"/>
          <w:color w:val="auto"/>
        </w:rPr>
      </w:pPr>
      <w:r>
        <w:rPr>
          <w:rFonts w:ascii="Arial" w:cs="Arial" w:eastAsia="Arial" w:hAnsi="Arial"/>
          <w:sz w:val="17"/>
          <w:szCs w:val="17"/>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23" w:lineRule="exact"/>
        <w:rPr>
          <w:sz w:val="20"/>
          <w:szCs w:val="20"/>
          <w:color w:val="auto"/>
        </w:rPr>
      </w:pPr>
    </w:p>
    <w:p>
      <w:pPr>
        <w:ind w:left="120" w:right="320"/>
        <w:spacing w:after="0" w:line="249" w:lineRule="auto"/>
        <w:rPr>
          <w:sz w:val="20"/>
          <w:szCs w:val="20"/>
          <w:color w:val="auto"/>
        </w:rPr>
      </w:pPr>
      <w:r>
        <w:rPr>
          <w:rFonts w:ascii="Arial" w:cs="Arial" w:eastAsia="Arial" w:hAnsi="Arial"/>
          <w:sz w:val="17"/>
          <w:szCs w:val="17"/>
          <w:color w:val="auto"/>
        </w:rPr>
        <w:t>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21"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69" w:lineRule="exact"/>
        <w:rPr>
          <w:sz w:val="20"/>
          <w:szCs w:val="20"/>
          <w:color w:val="auto"/>
        </w:rPr>
      </w:pPr>
    </w:p>
    <w:p>
      <w:pPr>
        <w:ind w:left="980" w:hanging="432"/>
        <w:spacing w:after="0" w:line="254" w:lineRule="auto"/>
        <w:tabs>
          <w:tab w:leader="none" w:pos="9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the purchase by an institution of the securities covered under that contract shall not at the time of delivery be prohibited under the laws of the jurisdiction to which that institution is subject; and</w:t>
      </w:r>
    </w:p>
    <w:p>
      <w:pPr>
        <w:spacing w:after="0" w:line="4" w:lineRule="exact"/>
        <w:rPr>
          <w:rFonts w:ascii="MS PGothic" w:cs="MS PGothic" w:eastAsia="MS PGothic" w:hAnsi="MS PGothic"/>
          <w:sz w:val="13"/>
          <w:szCs w:val="13"/>
          <w:color w:val="auto"/>
        </w:rPr>
      </w:pPr>
    </w:p>
    <w:p>
      <w:pPr>
        <w:ind w:left="980" w:right="120" w:hanging="432"/>
        <w:spacing w:after="0" w:line="249" w:lineRule="auto"/>
        <w:tabs>
          <w:tab w:leader="none" w:pos="9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21" w:lineRule="exact"/>
        <w:rPr>
          <w:sz w:val="20"/>
          <w:szCs w:val="20"/>
          <w:color w:val="auto"/>
        </w:rPr>
      </w:pPr>
    </w:p>
    <w:p>
      <w:pPr>
        <w:ind w:left="120" w:right="140"/>
        <w:spacing w:after="0" w:line="241" w:lineRule="auto"/>
        <w:rPr>
          <w:sz w:val="20"/>
          <w:szCs w:val="20"/>
          <w:color w:val="auto"/>
        </w:rPr>
      </w:pPr>
      <w:r>
        <w:rPr>
          <w:rFonts w:ascii="Arial" w:cs="Arial" w:eastAsia="Arial" w:hAnsi="Arial"/>
          <w:sz w:val="17"/>
          <w:szCs w:val="17"/>
          <w:color w:val="auto"/>
        </w:rPr>
        <w:t>Offered securities may also be offered and sold, if so indicated in the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 if any, with us and its compensation will be described in the applicable prospectus supplement. Remarketing firms may be deemed to be underwriters in connection with their remarketing of offered securities.</w:t>
      </w:r>
    </w:p>
    <w:p>
      <w:pPr>
        <w:spacing w:after="0" w:line="126" w:lineRule="exact"/>
        <w:rPr>
          <w:sz w:val="20"/>
          <w:szCs w:val="20"/>
          <w:color w:val="auto"/>
        </w:rPr>
      </w:pPr>
    </w:p>
    <w:p>
      <w:pPr>
        <w:ind w:left="120" w:right="160"/>
        <w:spacing w:after="0" w:line="249" w:lineRule="auto"/>
        <w:rPr>
          <w:sz w:val="20"/>
          <w:szCs w:val="20"/>
          <w:color w:val="auto"/>
        </w:rPr>
      </w:pPr>
      <w:r>
        <w:rPr>
          <w:rFonts w:ascii="Arial" w:cs="Arial" w:eastAsia="Arial" w:hAnsi="Arial"/>
          <w:sz w:val="17"/>
          <w:szCs w:val="17"/>
          <w:color w:val="auto"/>
        </w:rPr>
        <w:t>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w:t>
      </w:r>
    </w:p>
    <w:p>
      <w:pPr>
        <w:spacing w:after="0" w:line="121"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33" w:lineRule="exact"/>
        <w:rPr>
          <w:sz w:val="20"/>
          <w:szCs w:val="20"/>
          <w:color w:val="auto"/>
        </w:rPr>
      </w:pPr>
    </w:p>
    <w:p>
      <w:pPr>
        <w:ind w:left="120" w:right="100"/>
        <w:spacing w:after="0" w:line="267" w:lineRule="auto"/>
        <w:rPr>
          <w:sz w:val="20"/>
          <w:szCs w:val="20"/>
          <w:color w:val="auto"/>
        </w:rPr>
      </w:pPr>
      <w:r>
        <w:rPr>
          <w:rFonts w:ascii="Arial" w:cs="Arial" w:eastAsia="Arial" w:hAnsi="Arial"/>
          <w:sz w:val="17"/>
          <w:szCs w:val="17"/>
          <w:color w:val="auto"/>
        </w:rPr>
        <w:t>We may engage in at the market offerings into an existing trading market in accordance with Rule 415(a)(4) under the Securities Act. In addition, we may enter into derivative transactions with third parties, or sell securities not</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33" w:lineRule="exact"/>
        <w:rPr>
          <w:sz w:val="20"/>
          <w:szCs w:val="20"/>
          <w:color w:val="auto"/>
        </w:rPr>
      </w:pPr>
    </w:p>
    <w:p>
      <w:pPr>
        <w:ind w:left="120" w:right="20"/>
        <w:spacing w:after="0" w:line="239" w:lineRule="auto"/>
        <w:rPr>
          <w:sz w:val="20"/>
          <w:szCs w:val="20"/>
          <w:color w:val="auto"/>
        </w:rPr>
      </w:pPr>
      <w:r>
        <w:rPr>
          <w:rFonts w:ascii="Arial" w:cs="Arial" w:eastAsia="Arial" w:hAnsi="Arial"/>
          <w:sz w:val="17"/>
          <w:szCs w:val="17"/>
          <w:color w:val="auto"/>
        </w:rPr>
        <w:t>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128" w:lineRule="exact"/>
        <w:rPr>
          <w:sz w:val="20"/>
          <w:szCs w:val="20"/>
          <w:color w:val="auto"/>
        </w:rPr>
      </w:pPr>
    </w:p>
    <w:p>
      <w:pPr>
        <w:jc w:val="both"/>
        <w:ind w:left="120" w:right="60"/>
        <w:spacing w:after="0" w:line="249" w:lineRule="auto"/>
        <w:rPr>
          <w:sz w:val="20"/>
          <w:szCs w:val="20"/>
          <w:color w:val="auto"/>
        </w:rPr>
      </w:pPr>
      <w:r>
        <w:rPr>
          <w:rFonts w:ascii="Arial" w:cs="Arial" w:eastAsia="Arial" w:hAnsi="Arial"/>
          <w:sz w:val="17"/>
          <w:szCs w:val="17"/>
          <w:color w:val="auto"/>
        </w:rPr>
        <w:t>The securities may be new issues of securities and may have no established trading market, other than the shares of Common Stock, which are listed on Nasdaq Global Market. The securities may or may not be listed on a national securities exchange. We can make no assurance as to the liquidity of or the existence of trading markets for any of the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specific terms of any lock-up provisions in respect of any given offering will be described in the applicable prospectus supplement.</w:t>
      </w:r>
    </w:p>
    <w:p>
      <w:pPr>
        <w:spacing w:after="0" w:line="156" w:lineRule="exact"/>
        <w:rPr>
          <w:sz w:val="20"/>
          <w:szCs w:val="20"/>
          <w:color w:val="auto"/>
        </w:rPr>
      </w:pPr>
    </w:p>
    <w:p>
      <w:pPr>
        <w:jc w:val="both"/>
        <w:ind w:left="120" w:right="40"/>
        <w:spacing w:after="0" w:line="267" w:lineRule="auto"/>
        <w:rPr>
          <w:sz w:val="20"/>
          <w:szCs w:val="20"/>
          <w:color w:val="auto"/>
        </w:rPr>
      </w:pPr>
      <w:r>
        <w:rPr>
          <w:rFonts w:ascii="Arial" w:cs="Arial" w:eastAsia="Arial" w:hAnsi="Arial"/>
          <w:sz w:val="17"/>
          <w:szCs w:val="17"/>
          <w:color w:val="auto"/>
        </w:rPr>
        <w:t>Any underwriters, dealers and agents may engage in transactions with us, or perform services for us, in the ordinary course of business for which they receive compensation.</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anticipated date of delivery of offered securities will be set forth in the applicable prospectus supplement relating to each offer.</w:t>
      </w:r>
    </w:p>
    <w:p>
      <w:pPr>
        <w:spacing w:after="0" w:line="15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LEGAL MATTERS</w:t>
      </w:r>
    </w:p>
    <w:p>
      <w:pPr>
        <w:spacing w:after="0" w:line="316" w:lineRule="exact"/>
        <w:rPr>
          <w:sz w:val="20"/>
          <w:szCs w:val="20"/>
          <w:color w:val="auto"/>
        </w:rPr>
      </w:pPr>
    </w:p>
    <w:p>
      <w:pPr>
        <w:jc w:val="both"/>
        <w:ind w:left="120"/>
        <w:spacing w:after="0" w:line="249" w:lineRule="auto"/>
        <w:rPr>
          <w:sz w:val="20"/>
          <w:szCs w:val="20"/>
          <w:color w:val="auto"/>
        </w:rPr>
      </w:pPr>
      <w:r>
        <w:rPr>
          <w:rFonts w:ascii="Arial" w:cs="Arial" w:eastAsia="Arial" w:hAnsi="Arial"/>
          <w:sz w:val="17"/>
          <w:szCs w:val="17"/>
          <w:color w:val="auto"/>
        </w:rPr>
        <w:t>Unless the applicable prospectus supplement indicates otherwise, the validity of the securities in respect of which this prospectus is being delivered will be passed upon by Goodwin Procter LLP, Boston, Massachusetts. Additional legal matters may be passed upon for us or any underwriters, dealers or agents, by counsel that we will name in the applicable prospectus supplement.</w:t>
      </w:r>
    </w:p>
    <w:p>
      <w:pPr>
        <w:spacing w:after="0" w:line="115"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0600"/>
          </w:cols>
          <w:pgMar w:left="320" w:top="455" w:right="9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EXPERTS</w:t>
      </w:r>
    </w:p>
    <w:p>
      <w:pPr>
        <w:spacing w:after="0" w:line="316" w:lineRule="exact"/>
        <w:rPr>
          <w:sz w:val="20"/>
          <w:szCs w:val="20"/>
          <w:color w:val="auto"/>
        </w:rPr>
      </w:pPr>
    </w:p>
    <w:p>
      <w:pPr>
        <w:jc w:val="both"/>
        <w:ind w:left="120"/>
        <w:spacing w:after="0" w:line="249" w:lineRule="auto"/>
        <w:rPr>
          <w:sz w:val="20"/>
          <w:szCs w:val="20"/>
          <w:color w:val="auto"/>
        </w:rPr>
      </w:pPr>
      <w:r>
        <w:rPr>
          <w:rFonts w:ascii="Arial" w:cs="Arial" w:eastAsia="Arial" w:hAnsi="Arial"/>
          <w:sz w:val="17"/>
          <w:szCs w:val="17"/>
          <w:color w:val="auto"/>
        </w:rPr>
        <w:t>The financial statements incorporated in this Prospectus by reference to the Annual Report on Form 10-K for the year ended December 31, 2021 have been so incorporated in reliance on the report of PricewaterhouseCoopers LLP, an independent registered public accounting firm, given on the authority of said firm as experts in auditing and accounting.</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040"/>
          </w:cols>
          <w:pgMar w:left="320" w:top="455" w:right="5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16" w:lineRule="exact"/>
        <w:rPr>
          <w:sz w:val="20"/>
          <w:szCs w:val="20"/>
          <w:color w:val="auto"/>
        </w:rPr>
      </w:pPr>
    </w:p>
    <w:p>
      <w:pPr>
        <w:ind w:left="120" w:right="320"/>
        <w:spacing w:after="0" w:line="249" w:lineRule="auto"/>
        <w:rPr>
          <w:sz w:val="20"/>
          <w:szCs w:val="20"/>
          <w:color w:val="auto"/>
        </w:rPr>
      </w:pPr>
      <w:r>
        <w:rPr>
          <w:rFonts w:ascii="Arial" w:cs="Arial" w:eastAsia="Arial" w:hAnsi="Arial"/>
          <w:sz w:val="17"/>
          <w:szCs w:val="17"/>
          <w:color w:val="auto"/>
        </w:rPr>
        <w:t>We file annual, quarterly and current reports, proxy statements and other information with the SEC. Our SEC filings are available to the public over the Internet at the SEC’s website at www.sec.gov and on our investor website at https://ir.tangotx.com/. Our website is not a part of this prospectus and is not incorporated by reference in this prospectus.</w:t>
      </w:r>
    </w:p>
    <w:p>
      <w:pPr>
        <w:spacing w:after="0" w:line="121" w:lineRule="exact"/>
        <w:rPr>
          <w:sz w:val="20"/>
          <w:szCs w:val="20"/>
          <w:color w:val="auto"/>
        </w:rPr>
      </w:pPr>
    </w:p>
    <w:p>
      <w:pPr>
        <w:ind w:left="120"/>
        <w:spacing w:after="0" w:line="241" w:lineRule="auto"/>
        <w:rPr>
          <w:sz w:val="20"/>
          <w:szCs w:val="20"/>
          <w:color w:val="auto"/>
        </w:rPr>
      </w:pPr>
      <w:r>
        <w:rPr>
          <w:rFonts w:ascii="Arial" w:cs="Arial" w:eastAsia="Arial" w:hAnsi="Arial"/>
          <w:sz w:val="17"/>
          <w:szCs w:val="17"/>
          <w:color w:val="auto"/>
        </w:rPr>
        <w:t>We have the authority to designate and issue more than one class or series of stock having various preferences, conversion and other rights, voting powers, restrictions, limitations as to dividends, qualifications, and terms and conditions of redemption. See “</w:t>
      </w:r>
      <w:r>
        <w:rPr>
          <w:rFonts w:ascii="Arial" w:cs="Arial" w:eastAsia="Arial" w:hAnsi="Arial"/>
          <w:sz w:val="17"/>
          <w:szCs w:val="17"/>
          <w:i w:val="1"/>
          <w:iCs w:val="1"/>
          <w:color w:val="auto"/>
        </w:rPr>
        <w:t>Description of Capital Stock</w:t>
      </w:r>
      <w:r>
        <w:rPr>
          <w:rFonts w:ascii="Arial" w:cs="Arial" w:eastAsia="Arial" w:hAnsi="Arial"/>
          <w:sz w:val="17"/>
          <w:szCs w:val="17"/>
          <w:color w:val="auto"/>
        </w:rPr>
        <w:t>.” We will furnish a full statement of the relative rights and preferences of each class or series of our stock which has been so designated and any restrictions on the ownership or transfer of our stock to any stockholder upon request and without charge. Written requests for such copies should be directed to Tango Therapeutics, Inc., 201 Brookline Avenue, Suite 900, Boston, MA 02215, Attention: Corporate Secretary.</w:t>
      </w:r>
    </w:p>
    <w:p>
      <w:pPr>
        <w:spacing w:after="0" w:line="126" w:lineRule="exact"/>
        <w:rPr>
          <w:sz w:val="20"/>
          <w:szCs w:val="20"/>
          <w:color w:val="auto"/>
        </w:rPr>
      </w:pPr>
    </w:p>
    <w:p>
      <w:pPr>
        <w:ind w:left="120" w:right="80"/>
        <w:spacing w:after="0" w:line="241" w:lineRule="auto"/>
        <w:rPr>
          <w:sz w:val="20"/>
          <w:szCs w:val="20"/>
          <w:color w:val="auto"/>
        </w:rPr>
      </w:pPr>
      <w:r>
        <w:rPr>
          <w:rFonts w:ascii="Arial" w:cs="Arial" w:eastAsia="Arial" w:hAnsi="Arial"/>
          <w:sz w:val="17"/>
          <w:szCs w:val="17"/>
          <w:color w:val="auto"/>
        </w:rPr>
        <w:t>This prospectus is part of a registration statement on Form S-3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subsidiaries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BY REFERENCE</w:t>
      </w:r>
    </w:p>
    <w:p>
      <w:pPr>
        <w:spacing w:after="0" w:line="316"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Securities Exchange Act of 1934, as amended (the “Exchange Act”) (in each case, other than those documents or the portions of those documents not deemed to be filed) between the date of the initial registration statement and the effectiveness of the registration statement and following the effectiveness of the registration statement until the offering of the securities under the registration statement is terminated or completed:</w:t>
      </w:r>
    </w:p>
    <w:p>
      <w:pPr>
        <w:spacing w:after="0" w:line="170" w:lineRule="exact"/>
        <w:rPr>
          <w:sz w:val="20"/>
          <w:szCs w:val="20"/>
          <w:color w:val="auto"/>
        </w:rPr>
      </w:pPr>
    </w:p>
    <w:p>
      <w:pPr>
        <w:ind w:left="980" w:hanging="432"/>
        <w:spacing w:after="0"/>
        <w:tabs>
          <w:tab w:leader="none" w:pos="9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Annual Report on </w:t>
      </w:r>
      <w:hyperlink r:id="rId52">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fiscal year ended December 31, 2021, filed with the SEC on March 28, 2022;</w:t>
      </w:r>
    </w:p>
    <w:p>
      <w:pPr>
        <w:spacing w:after="0" w:line="34" w:lineRule="exact"/>
        <w:rPr>
          <w:rFonts w:ascii="Arial" w:cs="Arial" w:eastAsia="Arial" w:hAnsi="Arial"/>
          <w:sz w:val="17"/>
          <w:szCs w:val="17"/>
          <w:color w:val="auto"/>
        </w:rPr>
      </w:pPr>
    </w:p>
    <w:p>
      <w:pPr>
        <w:ind w:left="980" w:right="80" w:hanging="432"/>
        <w:spacing w:after="0" w:line="247" w:lineRule="auto"/>
        <w:tabs>
          <w:tab w:leader="none" w:pos="9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The information specifically incorporated by reference into our Annual Report on </w:t>
      </w:r>
      <w:hyperlink r:id="rId52">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for the year ended December 31, 2021 from our definitive proxy statement on </w:t>
      </w:r>
      <w:hyperlink r:id="rId53">
        <w:r>
          <w:rPr>
            <w:rFonts w:ascii="Arial" w:cs="Arial" w:eastAsia="Arial" w:hAnsi="Arial"/>
            <w:sz w:val="17"/>
            <w:szCs w:val="17"/>
            <w:u w:val="single" w:color="auto"/>
            <w:color w:val="0000EE"/>
          </w:rPr>
          <w:t>Schedule 14a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(other than information furnished rather than filed) filed with the SEC on April 26, 2022;</w:t>
      </w:r>
    </w:p>
    <w:p>
      <w:pPr>
        <w:spacing w:after="0" w:line="3" w:lineRule="exact"/>
        <w:rPr>
          <w:rFonts w:ascii="Arial" w:cs="Arial" w:eastAsia="Arial" w:hAnsi="Arial"/>
          <w:sz w:val="17"/>
          <w:szCs w:val="17"/>
          <w:color w:val="auto"/>
        </w:rPr>
      </w:pPr>
    </w:p>
    <w:p>
      <w:pPr>
        <w:ind w:left="980" w:right="120" w:hanging="432"/>
        <w:spacing w:after="0" w:line="267" w:lineRule="auto"/>
        <w:tabs>
          <w:tab w:leader="none" w:pos="980" w:val="left"/>
        </w:tabs>
        <w:numPr>
          <w:ilvl w:val="0"/>
          <w:numId w:val="29"/>
        </w:numPr>
        <w:rPr>
          <w:rFonts w:ascii="Arial" w:cs="Arial" w:eastAsia="Arial" w:hAnsi="Arial"/>
          <w:sz w:val="17"/>
          <w:szCs w:val="17"/>
          <w:color w:val="0000EE"/>
        </w:rPr>
      </w:pPr>
      <w:r>
        <w:rPr>
          <w:rFonts w:ascii="Arial" w:cs="Arial" w:eastAsia="Arial" w:hAnsi="Arial"/>
          <w:sz w:val="17"/>
          <w:szCs w:val="17"/>
          <w:color w:val="auto"/>
        </w:rPr>
        <w:t xml:space="preserve">Quarterly Reports on Form 10-Q for the quarters ended March 31, 2022 and June 30, 2022, filed with the SEC on </w:t>
      </w:r>
      <w:hyperlink r:id="rId54">
        <w:r>
          <w:rPr>
            <w:rFonts w:ascii="Arial" w:cs="Arial" w:eastAsia="Arial" w:hAnsi="Arial"/>
            <w:sz w:val="17"/>
            <w:szCs w:val="17"/>
            <w:u w:val="single" w:color="auto"/>
            <w:color w:val="0000EE"/>
          </w:rPr>
          <w:t>May 11, 2022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w:t>
      </w:r>
      <w:hyperlink r:id="rId55">
        <w:r>
          <w:rPr>
            <w:rFonts w:ascii="Arial" w:cs="Arial" w:eastAsia="Arial" w:hAnsi="Arial"/>
            <w:sz w:val="17"/>
            <w:szCs w:val="17"/>
            <w:u w:val="single" w:color="auto"/>
            <w:color w:val="0000EE"/>
          </w:rPr>
          <w:t>August 10, 2022</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color w:val="000000"/>
        </w:rPr>
        <w:t>respectively;</w:t>
      </w:r>
    </w:p>
    <w:p>
      <w:pPr>
        <w:spacing w:after="0" w:line="64" w:lineRule="exact"/>
        <w:rPr>
          <w:rFonts w:ascii="Arial" w:cs="Arial" w:eastAsia="Arial" w:hAnsi="Arial"/>
          <w:sz w:val="17"/>
          <w:szCs w:val="17"/>
          <w:color w:val="0000EE"/>
        </w:rPr>
      </w:pPr>
    </w:p>
    <w:p>
      <w:pPr>
        <w:ind w:left="980" w:hanging="432"/>
        <w:spacing w:after="0"/>
        <w:tabs>
          <w:tab w:leader="none" w:pos="9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Current Report on </w:t>
      </w:r>
      <w:hyperlink r:id="rId56">
        <w:r>
          <w:rPr>
            <w:rFonts w:ascii="Arial" w:cs="Arial" w:eastAsia="Arial" w:hAnsi="Arial"/>
            <w:sz w:val="17"/>
            <w:szCs w:val="17"/>
            <w:u w:val="single" w:color="auto"/>
            <w:color w:val="0000EE"/>
          </w:rPr>
          <w:t>Form 8-K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filed with the SEC on June 10, 2022; and</w:t>
      </w:r>
    </w:p>
    <w:p>
      <w:pPr>
        <w:spacing w:after="0" w:line="34" w:lineRule="exact"/>
        <w:rPr>
          <w:rFonts w:ascii="Arial" w:cs="Arial" w:eastAsia="Arial" w:hAnsi="Arial"/>
          <w:sz w:val="17"/>
          <w:szCs w:val="17"/>
          <w:color w:val="auto"/>
        </w:rPr>
      </w:pPr>
    </w:p>
    <w:p>
      <w:pPr>
        <w:ind w:left="980" w:right="100" w:hanging="432"/>
        <w:spacing w:after="0" w:line="267" w:lineRule="auto"/>
        <w:tabs>
          <w:tab w:leader="none" w:pos="9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The description of our common stock contained in our Registration Statement on </w:t>
      </w:r>
      <w:hyperlink r:id="rId57">
        <w:r>
          <w:rPr>
            <w:rFonts w:ascii="Arial" w:cs="Arial" w:eastAsia="Arial" w:hAnsi="Arial"/>
            <w:sz w:val="17"/>
            <w:szCs w:val="17"/>
            <w:u w:val="single" w:color="auto"/>
            <w:color w:val="0000EE"/>
          </w:rPr>
          <w:t>Form 8-A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filed on September 2, 2020, including any amendments or reports filed for the purpose of updating such description.</w:t>
      </w:r>
    </w:p>
    <w:p>
      <w:pPr>
        <w:spacing w:after="0" w:line="105" w:lineRule="exact"/>
        <w:rPr>
          <w:rFonts w:ascii="MS PGothic" w:cs="MS PGothic" w:eastAsia="MS PGothic" w:hAnsi="MS PGothic"/>
          <w:sz w:val="13"/>
          <w:szCs w:val="13"/>
          <w:color w:val="auto"/>
        </w:rPr>
      </w:pPr>
    </w:p>
    <w:p>
      <w:pPr>
        <w:ind w:left="120" w:right="500"/>
        <w:spacing w:after="0" w:line="267" w:lineRule="auto"/>
        <w:rPr>
          <w:sz w:val="20"/>
          <w:szCs w:val="20"/>
          <w:color w:val="auto"/>
        </w:rPr>
      </w:pPr>
      <w:r>
        <w:rPr>
          <w:rFonts w:ascii="Arial" w:cs="Arial" w:eastAsia="Arial" w:hAnsi="Arial"/>
          <w:sz w:val="17"/>
          <w:szCs w:val="17"/>
          <w:color w:val="auto"/>
        </w:rPr>
        <w:t>This prospectus is part of a registration statement we filed with the SEC. We have incorporated exhibits into this registration statement. You should read the exhibits carefully for provisions that may be important to you.</w:t>
      </w:r>
    </w:p>
    <w:p>
      <w:pPr>
        <w:spacing w:after="0" w:line="105" w:lineRule="exact"/>
        <w:rPr>
          <w:rFonts w:ascii="MS PGothic" w:cs="MS PGothic" w:eastAsia="MS PGothic" w:hAnsi="MS PGothic"/>
          <w:sz w:val="13"/>
          <w:szCs w:val="13"/>
          <w:color w:val="auto"/>
        </w:rPr>
      </w:pPr>
    </w:p>
    <w:p>
      <w:pPr>
        <w:ind w:left="120" w:right="40"/>
        <w:spacing w:after="0" w:line="267" w:lineRule="auto"/>
        <w:rPr>
          <w:sz w:val="20"/>
          <w:szCs w:val="20"/>
          <w:color w:val="auto"/>
        </w:rPr>
      </w:pPr>
      <w:r>
        <w:rPr>
          <w:rFonts w:ascii="Arial" w:cs="Arial" w:eastAsia="Arial" w:hAnsi="Arial"/>
          <w:sz w:val="17"/>
          <w:szCs w:val="17"/>
          <w:color w:val="auto"/>
        </w:rPr>
        <w:t>In addition, all reports and other documents filed by us pursuant to the Exchange Act after the date of the initial registration statement and prior to effectiveness of the registration statement shall be deemed to be incorporated by reference into this prospectus.</w:t>
      </w:r>
    </w:p>
    <w:p>
      <w:pPr>
        <w:spacing w:after="0" w:line="105" w:lineRule="exact"/>
        <w:rPr>
          <w:rFonts w:ascii="MS PGothic" w:cs="MS PGothic" w:eastAsia="MS PGothic" w:hAnsi="MS PGothic"/>
          <w:sz w:val="13"/>
          <w:szCs w:val="13"/>
          <w:color w:val="auto"/>
        </w:rPr>
      </w:pPr>
    </w:p>
    <w:p>
      <w:pPr>
        <w:ind w:left="120"/>
        <w:spacing w:after="0" w:line="249" w:lineRule="auto"/>
        <w:rPr>
          <w:sz w:val="20"/>
          <w:szCs w:val="20"/>
          <w:color w:val="auto"/>
        </w:rPr>
      </w:pPr>
      <w:r>
        <w:rPr>
          <w:rFonts w:ascii="Arial" w:cs="Arial" w:eastAsia="Arial" w:hAnsi="Arial"/>
          <w:sz w:val="17"/>
          <w:szCs w:val="17"/>
          <w:color w:val="auto"/>
        </w:rPr>
        <w:t>Notwithstanding the foregoing, unless specifically stated to the contrary, information that we furnish (and that is not deemed “filed” with the SEC) under Items 2.02 and 7.01 of any Current Report on Form 8-K, including the related exhibits under Item 9.01, is not incorporated by reference into this prospectus or the registration statement of which this prospectus is a part.</w:t>
      </w:r>
    </w:p>
    <w:p>
      <w:pPr>
        <w:spacing w:after="0" w:line="121" w:lineRule="exact"/>
        <w:rPr>
          <w:rFonts w:ascii="MS PGothic" w:cs="MS PGothic" w:eastAsia="MS PGothic" w:hAnsi="MS PGothic"/>
          <w:sz w:val="13"/>
          <w:szCs w:val="13"/>
          <w:color w:val="auto"/>
        </w:rPr>
      </w:pPr>
    </w:p>
    <w:p>
      <w:pPr>
        <w:ind w:left="120"/>
        <w:spacing w:after="0"/>
        <w:rPr>
          <w:sz w:val="20"/>
          <w:szCs w:val="20"/>
          <w:color w:val="auto"/>
        </w:rPr>
      </w:pPr>
      <w:r>
        <w:rPr>
          <w:rFonts w:ascii="Arial" w:cs="Arial" w:eastAsia="Arial" w:hAnsi="Arial"/>
          <w:sz w:val="17"/>
          <w:szCs w:val="17"/>
          <w:color w:val="auto"/>
        </w:rPr>
        <w:t>You may request a copy of these filings, at no cost, by writing or telephoning us at the following address or telephone number:</w:t>
      </w:r>
    </w:p>
    <w:p>
      <w:pPr>
        <w:spacing w:after="0" w:line="156" w:lineRule="exact"/>
        <w:rPr>
          <w:rFonts w:ascii="MS PGothic" w:cs="MS PGothic" w:eastAsia="MS PGothic" w:hAnsi="MS PGothic"/>
          <w:sz w:val="13"/>
          <w:szCs w:val="13"/>
          <w:color w:val="auto"/>
        </w:rPr>
      </w:pPr>
    </w:p>
    <w:p>
      <w:pPr>
        <w:jc w:val="center"/>
        <w:ind w:right="-119"/>
        <w:spacing w:after="0"/>
        <w:rPr>
          <w:sz w:val="20"/>
          <w:szCs w:val="20"/>
          <w:color w:val="auto"/>
        </w:rPr>
      </w:pPr>
      <w:r>
        <w:rPr>
          <w:rFonts w:ascii="Arial" w:cs="Arial" w:eastAsia="Arial" w:hAnsi="Arial"/>
          <w:sz w:val="17"/>
          <w:szCs w:val="17"/>
          <w:color w:val="auto"/>
        </w:rPr>
        <w:t>201 Brookline Avenue, Suite 900</w:t>
      </w:r>
    </w:p>
    <w:p>
      <w:pPr>
        <w:spacing w:after="0" w:line="3" w:lineRule="exact"/>
        <w:rPr>
          <w:rFonts w:ascii="MS PGothic" w:cs="MS PGothic" w:eastAsia="MS PGothic" w:hAnsi="MS PGothic"/>
          <w:sz w:val="13"/>
          <w:szCs w:val="13"/>
          <w:color w:val="auto"/>
        </w:rPr>
      </w:pPr>
    </w:p>
    <w:p>
      <w:pPr>
        <w:jc w:val="center"/>
        <w:ind w:right="-119"/>
        <w:spacing w:after="0"/>
        <w:rPr>
          <w:sz w:val="20"/>
          <w:szCs w:val="20"/>
          <w:color w:val="auto"/>
        </w:rPr>
      </w:pPr>
      <w:r>
        <w:rPr>
          <w:rFonts w:ascii="Arial" w:cs="Arial" w:eastAsia="Arial" w:hAnsi="Arial"/>
          <w:sz w:val="17"/>
          <w:szCs w:val="17"/>
          <w:color w:val="auto"/>
        </w:rPr>
        <w:t>Boston, MA 02215</w:t>
      </w:r>
    </w:p>
    <w:p>
      <w:pPr>
        <w:jc w:val="center"/>
        <w:ind w:right="-119"/>
        <w:spacing w:after="0" w:line="232" w:lineRule="auto"/>
        <w:rPr>
          <w:sz w:val="20"/>
          <w:szCs w:val="20"/>
          <w:color w:val="auto"/>
        </w:rPr>
      </w:pPr>
      <w:r>
        <w:rPr>
          <w:rFonts w:ascii="Arial" w:cs="Arial" w:eastAsia="Arial" w:hAnsi="Arial"/>
          <w:sz w:val="17"/>
          <w:szCs w:val="17"/>
          <w:color w:val="auto"/>
        </w:rPr>
        <w:t>Attn: Corporate Secretary</w:t>
      </w:r>
    </w:p>
    <w:p>
      <w:pPr>
        <w:ind w:left="5480" w:hanging="440"/>
        <w:spacing w:after="0"/>
        <w:tabs>
          <w:tab w:leader="none" w:pos="54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320-4900</w:t>
      </w:r>
    </w:p>
    <w:p>
      <w:pPr>
        <w:spacing w:after="0" w:line="134"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6"/>
          <w:szCs w:val="16"/>
          <w:color w:val="auto"/>
        </w:rPr>
        <w:t>28</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249555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300990</wp:posOffset>
            </wp:positionV>
            <wp:extent cx="6995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39"/>
        <w:spacing w:after="0"/>
        <w:rPr>
          <w:sz w:val="20"/>
          <w:szCs w:val="20"/>
          <w:color w:val="auto"/>
        </w:rPr>
      </w:pPr>
      <w:r>
        <w:rPr>
          <w:rFonts w:ascii="Arial" w:cs="Arial" w:eastAsia="Arial" w:hAnsi="Arial"/>
          <w:sz w:val="29"/>
          <w:szCs w:val="29"/>
          <w:b w:val="1"/>
          <w:bCs w:val="1"/>
          <w:color w:val="auto"/>
        </w:rPr>
        <w:t>$400,000,000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39"/>
        <w:spacing w:after="0"/>
        <w:rPr>
          <w:sz w:val="20"/>
          <w:szCs w:val="20"/>
          <w:color w:val="auto"/>
        </w:rPr>
      </w:pPr>
      <w:r>
        <w:rPr>
          <w:rFonts w:ascii="Arial" w:cs="Arial" w:eastAsia="Arial" w:hAnsi="Arial"/>
          <w:sz w:val="36"/>
          <w:szCs w:val="36"/>
          <w:b w:val="1"/>
          <w:bCs w:val="1"/>
          <w:color w:val="auto"/>
        </w:rPr>
        <w:t>Tango Therapeutics,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39"/>
        <w:spacing w:after="0"/>
        <w:rPr>
          <w:sz w:val="20"/>
          <w:szCs w:val="20"/>
          <w:color w:val="auto"/>
        </w:rPr>
      </w:pPr>
      <w:r>
        <w:rPr>
          <w:rFonts w:ascii="Arial" w:cs="Arial" w:eastAsia="Arial" w:hAnsi="Arial"/>
          <w:sz w:val="29"/>
          <w:szCs w:val="29"/>
          <w:b w:val="1"/>
          <w:bCs w:val="1"/>
          <w:color w:val="auto"/>
        </w:rPr>
        <w:t>Common Stock</w:t>
      </w:r>
    </w:p>
    <w:p>
      <w:pPr>
        <w:spacing w:after="0" w:line="220" w:lineRule="exact"/>
        <w:rPr>
          <w:sz w:val="20"/>
          <w:szCs w:val="20"/>
          <w:color w:val="auto"/>
        </w:rPr>
      </w:pPr>
    </w:p>
    <w:p>
      <w:pPr>
        <w:jc w:val="center"/>
        <w:ind w:right="-139"/>
        <w:spacing w:after="0"/>
        <w:rPr>
          <w:sz w:val="20"/>
          <w:szCs w:val="20"/>
          <w:color w:val="auto"/>
        </w:rPr>
      </w:pPr>
      <w:r>
        <w:rPr>
          <w:rFonts w:ascii="Arial" w:cs="Arial" w:eastAsia="Arial" w:hAnsi="Arial"/>
          <w:sz w:val="29"/>
          <w:szCs w:val="29"/>
          <w:b w:val="1"/>
          <w:bCs w:val="1"/>
          <w:color w:val="auto"/>
        </w:rPr>
        <w:t>Preferred Stock</w:t>
      </w:r>
    </w:p>
    <w:p>
      <w:pPr>
        <w:spacing w:after="0" w:line="220" w:lineRule="exact"/>
        <w:rPr>
          <w:sz w:val="20"/>
          <w:szCs w:val="20"/>
          <w:color w:val="auto"/>
        </w:rPr>
      </w:pPr>
    </w:p>
    <w:p>
      <w:pPr>
        <w:jc w:val="center"/>
        <w:ind w:right="-139"/>
        <w:spacing w:after="0"/>
        <w:rPr>
          <w:sz w:val="20"/>
          <w:szCs w:val="20"/>
          <w:color w:val="auto"/>
        </w:rPr>
      </w:pPr>
      <w:r>
        <w:rPr>
          <w:rFonts w:ascii="Arial" w:cs="Arial" w:eastAsia="Arial" w:hAnsi="Arial"/>
          <w:sz w:val="29"/>
          <w:szCs w:val="29"/>
          <w:b w:val="1"/>
          <w:bCs w:val="1"/>
          <w:color w:val="auto"/>
        </w:rPr>
        <w:t>Debt Securities</w:t>
      </w:r>
    </w:p>
    <w:p>
      <w:pPr>
        <w:spacing w:after="0" w:line="220" w:lineRule="exact"/>
        <w:rPr>
          <w:sz w:val="20"/>
          <w:szCs w:val="20"/>
          <w:color w:val="auto"/>
        </w:rPr>
      </w:pPr>
    </w:p>
    <w:p>
      <w:pPr>
        <w:jc w:val="center"/>
        <w:ind w:right="-139"/>
        <w:spacing w:after="0"/>
        <w:rPr>
          <w:sz w:val="20"/>
          <w:szCs w:val="20"/>
          <w:color w:val="auto"/>
        </w:rPr>
      </w:pPr>
      <w:r>
        <w:rPr>
          <w:rFonts w:ascii="Arial" w:cs="Arial" w:eastAsia="Arial" w:hAnsi="Arial"/>
          <w:sz w:val="29"/>
          <w:szCs w:val="29"/>
          <w:b w:val="1"/>
          <w:bCs w:val="1"/>
          <w:color w:val="auto"/>
        </w:rPr>
        <w:t>Warrants</w:t>
      </w:r>
    </w:p>
    <w:p>
      <w:pPr>
        <w:spacing w:after="0" w:line="220" w:lineRule="exact"/>
        <w:rPr>
          <w:sz w:val="20"/>
          <w:szCs w:val="20"/>
          <w:color w:val="auto"/>
        </w:rPr>
      </w:pPr>
    </w:p>
    <w:p>
      <w:pPr>
        <w:jc w:val="center"/>
        <w:ind w:right="-139"/>
        <w:spacing w:after="0"/>
        <w:rPr>
          <w:sz w:val="20"/>
          <w:szCs w:val="20"/>
          <w:color w:val="auto"/>
        </w:rPr>
      </w:pPr>
      <w:r>
        <w:rPr>
          <w:rFonts w:ascii="Arial" w:cs="Arial" w:eastAsia="Arial" w:hAnsi="Arial"/>
          <w:sz w:val="29"/>
          <w:szCs w:val="29"/>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873125</wp:posOffset>
            </wp:positionV>
            <wp:extent cx="22459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151765</wp:posOffset>
            </wp:positionV>
            <wp:extent cx="22459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 2022</w:t>
      </w:r>
    </w:p>
    <w:p>
      <w:pPr>
        <w:spacing w:after="0" w:line="208" w:lineRule="exact"/>
        <w:rPr>
          <w:sz w:val="20"/>
          <w:szCs w:val="20"/>
          <w:color w:val="auto"/>
        </w:rPr>
      </w:pPr>
    </w:p>
    <w:p>
      <w:pPr>
        <w:ind w:left="120"/>
        <w:spacing w:after="0" w:line="244" w:lineRule="auto"/>
        <w:rPr>
          <w:sz w:val="20"/>
          <w:szCs w:val="20"/>
          <w:color w:val="auto"/>
        </w:rPr>
      </w:pPr>
      <w:r>
        <w:rPr>
          <w:rFonts w:ascii="Arial" w:cs="Arial" w:eastAsia="Arial" w:hAnsi="Arial"/>
          <w:sz w:val="17"/>
          <w:szCs w:val="17"/>
          <w:color w:val="auto"/>
        </w:rPr>
        <w:t>We have not authorized any dealer, salesperson or other person to give any information or represent anything not contained in this prospectus. You must not rely on any unauthorized information. If anyone provides you with different or inconsistent information, you should not rely on it. This prospectus does not offer to sell any securities in any jurisdiction where it is unlawful. Neither the delivery of this prospectus, nor any sale made hereunder, shall create any implication that the information in this prospectus is correct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314960</wp:posOffset>
            </wp:positionV>
            <wp:extent cx="69951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383540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0" w:lineRule="auto"/>
        <w:rPr>
          <w:sz w:val="20"/>
          <w:szCs w:val="20"/>
          <w:color w:val="auto"/>
        </w:rPr>
      </w:pPr>
      <w:r>
        <w:rPr>
          <w:rFonts w:ascii="Arial" w:cs="Arial" w:eastAsia="Arial" w:hAnsi="Arial"/>
          <w:sz w:val="18"/>
          <w:szCs w:val="18"/>
          <w:b w:val="1"/>
          <w:bCs w:val="1"/>
          <w:color w:val="C21128"/>
        </w:rPr>
        <w:t>The information in this prospectus is not complete and may be changed. We may not sell these securities or accept an offer to buy these securities until the registration statement of which this prospectus forms a part filed with the Securities and Exchange Commission is effective. This prospectus is not an offer to sell these securities, and it is not soliciting offers to buy these securities in any jurisdiction where such offer or sale is not permitted.</w:t>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8"/>
          <w:szCs w:val="18"/>
          <w:color w:val="C21128"/>
        </w:rPr>
        <w:t>Subject to completion, dated September 1, 2022</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Prospectus dated September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-1905</wp:posOffset>
            </wp:positionV>
            <wp:extent cx="2314575" cy="6686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231457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Up to $100,000,000</w:t>
      </w: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Common Stock</w:t>
      </w:r>
    </w:p>
    <w:p>
      <w:pPr>
        <w:spacing w:after="0" w:line="231" w:lineRule="exact"/>
        <w:rPr>
          <w:sz w:val="20"/>
          <w:szCs w:val="20"/>
          <w:color w:val="auto"/>
        </w:rPr>
      </w:pPr>
    </w:p>
    <w:p>
      <w:pPr>
        <w:jc w:val="both"/>
        <w:ind w:left="120" w:right="300"/>
        <w:spacing w:after="0" w:line="232" w:lineRule="auto"/>
        <w:rPr>
          <w:sz w:val="20"/>
          <w:szCs w:val="20"/>
          <w:color w:val="auto"/>
        </w:rPr>
      </w:pPr>
      <w:r>
        <w:rPr>
          <w:rFonts w:ascii="Arial" w:cs="Arial" w:eastAsia="Arial" w:hAnsi="Arial"/>
          <w:sz w:val="17"/>
          <w:szCs w:val="17"/>
          <w:color w:val="auto"/>
        </w:rPr>
        <w:t>We have entered into an Open Market Sale Agreement</w:t>
      </w:r>
      <w:r>
        <w:rPr>
          <w:rFonts w:ascii="Arial" w:cs="Arial" w:eastAsia="Arial" w:hAnsi="Arial"/>
          <w:sz w:val="25"/>
          <w:szCs w:val="25"/>
          <w:color w:val="auto"/>
          <w:vertAlign w:val="superscript"/>
        </w:rPr>
        <w:t>SM</w:t>
      </w:r>
      <w:r>
        <w:rPr>
          <w:rFonts w:ascii="Arial" w:cs="Arial" w:eastAsia="Arial" w:hAnsi="Arial"/>
          <w:sz w:val="17"/>
          <w:szCs w:val="17"/>
          <w:color w:val="auto"/>
        </w:rPr>
        <w:t>, or the sales agreement, with Jefferies LLC, or Jefferies, dated September 1, 2022, relating to the sale of shares of our common stock offering by this prospectus and the accompanying prospectus. In accordance with the terms of the sales agreement, under this prospectus, we may offer and sell shares of our common stock, $0.001 par value per share, having an aggregate offering price of up to $100,000,000 from time to time through Jefferies, acting as our sales agent.</w:t>
      </w:r>
    </w:p>
    <w:p>
      <w:pPr>
        <w:spacing w:after="0" w:line="181" w:lineRule="exact"/>
        <w:rPr>
          <w:sz w:val="20"/>
          <w:szCs w:val="20"/>
          <w:color w:val="auto"/>
        </w:rPr>
      </w:pPr>
    </w:p>
    <w:p>
      <w:pPr>
        <w:jc w:val="both"/>
        <w:ind w:left="120" w:right="320"/>
        <w:spacing w:after="0" w:line="271" w:lineRule="auto"/>
        <w:rPr>
          <w:sz w:val="20"/>
          <w:szCs w:val="20"/>
          <w:color w:val="auto"/>
        </w:rPr>
      </w:pPr>
      <w:r>
        <w:rPr>
          <w:rFonts w:ascii="Arial" w:cs="Arial" w:eastAsia="Arial" w:hAnsi="Arial"/>
          <w:sz w:val="18"/>
          <w:szCs w:val="18"/>
          <w:color w:val="auto"/>
        </w:rPr>
        <w:t>Our common stock is listed on The Nasdaq Global Market under the symbol “TNGX.” On August 31, 2022, the closing sale price of our common stock on The Nasdaq Global Market was $4.10 per share.</w:t>
      </w:r>
    </w:p>
    <w:p>
      <w:pPr>
        <w:spacing w:after="0" w:line="154" w:lineRule="exact"/>
        <w:rPr>
          <w:sz w:val="20"/>
          <w:szCs w:val="20"/>
          <w:color w:val="auto"/>
        </w:rPr>
      </w:pPr>
    </w:p>
    <w:p>
      <w:pPr>
        <w:ind w:left="120" w:right="320"/>
        <w:spacing w:after="0" w:line="244" w:lineRule="auto"/>
        <w:rPr>
          <w:sz w:val="20"/>
          <w:szCs w:val="20"/>
          <w:color w:val="auto"/>
        </w:rPr>
      </w:pPr>
      <w:r>
        <w:rPr>
          <w:rFonts w:ascii="Arial" w:cs="Arial" w:eastAsia="Arial" w:hAnsi="Arial"/>
          <w:sz w:val="18"/>
          <w:szCs w:val="18"/>
          <w:color w:val="auto"/>
        </w:rPr>
        <w:t>Sales of our common stock, if any, under this prospectus will be made by any method permitted that is deemed to be an “at the market offering” as defined in Rule 415(a)(4) promulgated under the Securities Act of 1933, as amended, or the Securities Act. Jefferies is not required to sell any specific number or dollar amount of securities, but will act as a sales agent using commercially reasonable efforts consistent with its normal trading and sales practices, on mutually agreed terms between Jefferies and us. There is no arrangement for funds to be received in any escrow, trust or similar arrangement.</w:t>
      </w:r>
    </w:p>
    <w:p>
      <w:pPr>
        <w:spacing w:after="0" w:line="176" w:lineRule="exact"/>
        <w:rPr>
          <w:sz w:val="20"/>
          <w:szCs w:val="20"/>
          <w:color w:val="auto"/>
        </w:rPr>
      </w:pPr>
    </w:p>
    <w:p>
      <w:pPr>
        <w:ind w:left="120" w:right="80"/>
        <w:spacing w:after="0" w:line="242" w:lineRule="auto"/>
        <w:rPr>
          <w:sz w:val="20"/>
          <w:szCs w:val="20"/>
          <w:color w:val="auto"/>
        </w:rPr>
      </w:pPr>
      <w:r>
        <w:rPr>
          <w:rFonts w:ascii="Arial" w:cs="Arial" w:eastAsia="Arial" w:hAnsi="Arial"/>
          <w:sz w:val="18"/>
          <w:szCs w:val="18"/>
          <w:color w:val="auto"/>
        </w:rPr>
        <w:t>Jefferies will be entitled to compensation under the terms of the sales agreement at a fixed commission rate up to 3.0% of the gross proceeds of any shares of common stock sold under the sales agreement. In connection with the sale of our common stock on our behalf, Jefferies will be deemed to be an “underwriter” within the meaning of the Securities Act and the compensation of Jefferies will be deemed to be underwriting commissions or discounts. See “Plan of Distribution” beginning on page S-11 for additional information regarding the compensation to be paid to Jefferies. We have also agreed to provide indemnification and contribution to Jefferies against certain liabilities, including liabilities under the Securities Act and the Securities Exchange Act of 1934, as amended, or the Exchange Act.</w:t>
      </w:r>
    </w:p>
    <w:p>
      <w:pPr>
        <w:spacing w:after="0" w:line="179"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We are an “emerging growth company” and a “smaller reporting company” under the federal securities laws and, as such, we have elected to comply with certain reduced public company reporting requirements for this prospectus and for future filings. See “Prospectus Summary —Implications of Being an Emerging Growth Company and a Smaller Reporting Company.”</w:t>
      </w:r>
    </w:p>
    <w:p>
      <w:pPr>
        <w:spacing w:after="0" w:line="169"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b w:val="1"/>
          <w:bCs w:val="1"/>
          <w:color w:val="auto"/>
        </w:rPr>
        <w:t>Investing in our common stock involves a high degree of risk. See “</w:t>
      </w:r>
      <w:r>
        <w:rPr>
          <w:rFonts w:ascii="Arial" w:cs="Arial" w:eastAsia="Arial" w:hAnsi="Arial"/>
          <w:sz w:val="18"/>
          <w:szCs w:val="18"/>
          <w:b w:val="1"/>
          <w:bCs w:val="1"/>
          <w:u w:val="single" w:color="auto"/>
          <w:color w:val="0000EE"/>
        </w:rPr>
        <w:t>Risk Factors</w:t>
      </w:r>
      <w:r>
        <w:rPr>
          <w:rFonts w:ascii="Arial" w:cs="Arial" w:eastAsia="Arial" w:hAnsi="Arial"/>
          <w:sz w:val="18"/>
          <w:szCs w:val="18"/>
          <w:b w:val="1"/>
          <w:bCs w:val="1"/>
          <w:color w:val="auto"/>
        </w:rPr>
        <w:t>” beginning on page S-5 of this prospectus and under similar headings in the other documents that are incorporated by reference into this prospectus concerning factors you should consider before investing in our common stock.</w:t>
      </w:r>
    </w:p>
    <w:p>
      <w:pPr>
        <w:spacing w:after="0" w:line="159" w:lineRule="exact"/>
        <w:rPr>
          <w:sz w:val="20"/>
          <w:szCs w:val="20"/>
          <w:color w:val="auto"/>
        </w:rPr>
      </w:pPr>
    </w:p>
    <w:p>
      <w:pPr>
        <w:ind w:left="120" w:right="300"/>
        <w:spacing w:after="0" w:line="257"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auto"/>
        </w:rPr>
        <w:t>Jefferies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3780" w:type="dxa"/>
        <w:tblCellMar>
          <w:top w:w="0" w:type="dxa"/>
          <w:left w:w="0" w:type="dxa"/>
          <w:bottom w:w="0" w:type="dxa"/>
          <w:right w:w="0" w:type="dxa"/>
        </w:tblCellMar>
      </w:tblPr>
      <w:tr>
        <w:trPr>
          <w:trHeight w:val="239"/>
        </w:trPr>
        <w:tc>
          <w:tcPr>
            <w:tcW w:w="2740" w:type="dxa"/>
            <w:vAlign w:val="bottom"/>
          </w:tcPr>
          <w:p>
            <w:pPr>
              <w:spacing w:after="0"/>
              <w:rPr>
                <w:sz w:val="20"/>
                <w:szCs w:val="20"/>
                <w:color w:val="auto"/>
              </w:rPr>
            </w:pPr>
            <w:r>
              <w:rPr>
                <w:rFonts w:ascii="Arial" w:cs="Arial" w:eastAsia="Arial" w:hAnsi="Arial"/>
                <w:sz w:val="18"/>
                <w:szCs w:val="18"/>
                <w:color w:val="auto"/>
              </w:rPr>
              <w:t>The date of this prospectus is</w:t>
            </w:r>
          </w:p>
        </w:tc>
        <w:tc>
          <w:tcPr>
            <w:tcW w:w="960" w:type="dxa"/>
            <w:vAlign w:val="bottom"/>
          </w:tcPr>
          <w:p>
            <w:pPr>
              <w:jc w:val="right"/>
              <w:spacing w:after="0"/>
              <w:rPr>
                <w:sz w:val="20"/>
                <w:szCs w:val="20"/>
                <w:color w:val="auto"/>
              </w:rPr>
            </w:pPr>
            <w:r>
              <w:rPr>
                <w:rFonts w:ascii="Arial" w:cs="Arial" w:eastAsia="Arial" w:hAnsi="Arial"/>
                <w:sz w:val="18"/>
                <w:szCs w:val="18"/>
                <w:color w:val="auto"/>
              </w:rPr>
              <w:t>, 2022.</w:t>
            </w:r>
          </w:p>
        </w:tc>
      </w:tr>
    </w:tbl>
    <w:p>
      <w:pPr>
        <w:sectPr>
          <w:pgSz w:w="11900" w:h="16838" w:orient="portrait"/>
          <w:cols w:equalWidth="0" w:num="1">
            <w:col w:w="11140"/>
          </w:cols>
          <w:pgMar w:left="320" w:top="455"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257810</wp:posOffset>
            </wp:positionV>
            <wp:extent cx="69951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8120" w:type="dxa"/>
            <w:vAlign w:val="bottom"/>
            <w:gridSpan w:val="13"/>
          </w:tcPr>
          <w:p>
            <w:pPr>
              <w:spacing w:after="0"/>
              <w:rPr>
                <w:sz w:val="20"/>
                <w:szCs w:val="20"/>
                <w:color w:val="auto"/>
              </w:rPr>
            </w:pPr>
            <w:r>
              <w:rPr>
                <w:rFonts w:ascii="Arial" w:cs="Arial" w:eastAsia="Arial" w:hAnsi="Arial"/>
                <w:sz w:val="17"/>
                <w:szCs w:val="17"/>
                <w:color w:val="0000EE"/>
              </w:rPr>
              <w:t>ABOUT THIS PROSPECTUS</w:t>
            </w:r>
          </w:p>
        </w:tc>
        <w:tc>
          <w:tcPr>
            <w:tcW w:w="2840" w:type="dxa"/>
            <w:vAlign w:val="bottom"/>
          </w:tcPr>
          <w:p>
            <w:pPr>
              <w:jc w:val="right"/>
              <w:spacing w:after="0"/>
              <w:rPr>
                <w:sz w:val="20"/>
                <w:szCs w:val="20"/>
                <w:color w:val="auto"/>
              </w:rPr>
            </w:pPr>
            <w:r>
              <w:rPr>
                <w:rFonts w:ascii="Arial" w:cs="Arial" w:eastAsia="Arial" w:hAnsi="Arial"/>
                <w:sz w:val="17"/>
                <w:szCs w:val="17"/>
                <w:color w:val="auto"/>
              </w:rPr>
              <w:t>S-ii</w:t>
            </w:r>
          </w:p>
        </w:tc>
      </w:tr>
      <w:tr>
        <w:trPr>
          <w:trHeight w:val="20"/>
        </w:trPr>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385"/>
        </w:trPr>
        <w:tc>
          <w:tcPr>
            <w:tcW w:w="8120" w:type="dxa"/>
            <w:vAlign w:val="bottom"/>
            <w:gridSpan w:val="13"/>
          </w:tcPr>
          <w:p>
            <w:pPr>
              <w:spacing w:after="0"/>
              <w:rPr>
                <w:sz w:val="20"/>
                <w:szCs w:val="20"/>
                <w:color w:val="auto"/>
              </w:rPr>
            </w:pPr>
            <w:r>
              <w:rPr>
                <w:rFonts w:ascii="Arial" w:cs="Arial" w:eastAsia="Arial" w:hAnsi="Arial"/>
                <w:sz w:val="17"/>
                <w:szCs w:val="17"/>
                <w:color w:val="0000EE"/>
              </w:rPr>
              <w:t>CAUTIONARY NOTE REGARDING FORWARD-LOOKING STATEMENTS</w:t>
            </w:r>
          </w:p>
        </w:tc>
        <w:tc>
          <w:tcPr>
            <w:tcW w:w="2840" w:type="dxa"/>
            <w:vAlign w:val="bottom"/>
          </w:tcPr>
          <w:p>
            <w:pPr>
              <w:jc w:val="right"/>
              <w:spacing w:after="0"/>
              <w:rPr>
                <w:sz w:val="20"/>
                <w:szCs w:val="20"/>
                <w:color w:val="auto"/>
              </w:rPr>
            </w:pPr>
            <w:r>
              <w:rPr>
                <w:rFonts w:ascii="Arial" w:cs="Arial" w:eastAsia="Arial" w:hAnsi="Arial"/>
                <w:sz w:val="17"/>
                <w:szCs w:val="17"/>
                <w:color w:val="auto"/>
              </w:rPr>
              <w:t>S-iii</w:t>
            </w:r>
          </w:p>
        </w:tc>
      </w:tr>
      <w:tr>
        <w:trPr>
          <w:trHeight w:val="385"/>
        </w:trPr>
        <w:tc>
          <w:tcPr>
            <w:tcW w:w="210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7"/>
                <w:szCs w:val="17"/>
                <w:color w:val="0000EE"/>
                <w:w w:val="99"/>
              </w:rPr>
              <w:t>PROSPECTUS SUMMARY</w:t>
            </w:r>
          </w:p>
        </w:tc>
        <w:tc>
          <w:tcPr>
            <w:tcW w:w="3540" w:type="dxa"/>
            <w:vAlign w:val="bottom"/>
            <w:tcBorders>
              <w:top w:val="single" w:sz="8" w:color="0000EE"/>
            </w:tcBorders>
            <w:gridSpan w:val="4"/>
          </w:tcPr>
          <w:p>
            <w:pPr>
              <w:spacing w:after="0"/>
              <w:rPr>
                <w:sz w:val="24"/>
                <w:szCs w:val="24"/>
                <w:color w:val="auto"/>
              </w:rPr>
            </w:pPr>
          </w:p>
        </w:tc>
        <w:tc>
          <w:tcPr>
            <w:tcW w:w="2480" w:type="dxa"/>
            <w:vAlign w:val="bottom"/>
          </w:tcPr>
          <w:p>
            <w:pPr>
              <w:spacing w:after="0"/>
              <w:rPr>
                <w:sz w:val="24"/>
                <w:szCs w:val="24"/>
                <w:color w:val="auto"/>
              </w:rPr>
            </w:pPr>
          </w:p>
        </w:tc>
        <w:tc>
          <w:tcPr>
            <w:tcW w:w="2840" w:type="dxa"/>
            <w:vAlign w:val="bottom"/>
          </w:tcPr>
          <w:p>
            <w:pPr>
              <w:jc w:val="right"/>
              <w:spacing w:after="0"/>
              <w:rPr>
                <w:sz w:val="20"/>
                <w:szCs w:val="20"/>
                <w:color w:val="auto"/>
              </w:rPr>
            </w:pPr>
            <w:r>
              <w:rPr>
                <w:rFonts w:ascii="Arial" w:cs="Arial" w:eastAsia="Arial" w:hAnsi="Arial"/>
                <w:sz w:val="17"/>
                <w:szCs w:val="17"/>
                <w:color w:val="auto"/>
              </w:rPr>
              <w:t>S-1</w:t>
            </w:r>
          </w:p>
        </w:tc>
      </w:tr>
      <w:tr>
        <w:trPr>
          <w:trHeight w:val="385"/>
        </w:trPr>
        <w:tc>
          <w:tcPr>
            <w:tcW w:w="8120" w:type="dxa"/>
            <w:vAlign w:val="bottom"/>
            <w:gridSpan w:val="13"/>
          </w:tcPr>
          <w:p>
            <w:pPr>
              <w:spacing w:after="0"/>
              <w:rPr>
                <w:sz w:val="20"/>
                <w:szCs w:val="20"/>
                <w:color w:val="auto"/>
              </w:rPr>
            </w:pPr>
            <w:r>
              <w:rPr>
                <w:rFonts w:ascii="Arial" w:cs="Arial" w:eastAsia="Arial" w:hAnsi="Arial"/>
                <w:sz w:val="17"/>
                <w:szCs w:val="17"/>
                <w:color w:val="0000EE"/>
              </w:rPr>
              <w:t>RISK FACTORS</w:t>
            </w:r>
          </w:p>
        </w:tc>
        <w:tc>
          <w:tcPr>
            <w:tcW w:w="2840" w:type="dxa"/>
            <w:vAlign w:val="bottom"/>
          </w:tcPr>
          <w:p>
            <w:pPr>
              <w:jc w:val="right"/>
              <w:spacing w:after="0"/>
              <w:rPr>
                <w:sz w:val="20"/>
                <w:szCs w:val="20"/>
                <w:color w:val="auto"/>
              </w:rPr>
            </w:pPr>
            <w:r>
              <w:rPr>
                <w:rFonts w:ascii="Arial" w:cs="Arial" w:eastAsia="Arial" w:hAnsi="Arial"/>
                <w:sz w:val="17"/>
                <w:szCs w:val="17"/>
                <w:color w:val="auto"/>
              </w:rPr>
              <w:t>S-5</w:t>
            </w:r>
          </w:p>
        </w:tc>
      </w:tr>
      <w:tr>
        <w:trPr>
          <w:trHeight w:val="20"/>
        </w:trPr>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385"/>
        </w:trPr>
        <w:tc>
          <w:tcPr>
            <w:tcW w:w="1640" w:type="dxa"/>
            <w:vAlign w:val="bottom"/>
            <w:tcBorders>
              <w:bottom w:val="single" w:sz="8" w:color="0000EE"/>
            </w:tcBorders>
            <w:gridSpan w:val="6"/>
          </w:tcPr>
          <w:p>
            <w:pPr>
              <w:spacing w:after="0"/>
              <w:rPr>
                <w:sz w:val="20"/>
                <w:szCs w:val="20"/>
                <w:color w:val="auto"/>
              </w:rPr>
            </w:pPr>
            <w:r>
              <w:rPr>
                <w:rFonts w:ascii="Arial" w:cs="Arial" w:eastAsia="Arial" w:hAnsi="Arial"/>
                <w:sz w:val="17"/>
                <w:szCs w:val="17"/>
                <w:color w:val="0000EE"/>
                <w:w w:val="99"/>
              </w:rPr>
              <w:t>USE OF PROCEEDS</w:t>
            </w:r>
          </w:p>
        </w:tc>
        <w:tc>
          <w:tcPr>
            <w:tcW w:w="6480" w:type="dxa"/>
            <w:vAlign w:val="bottom"/>
            <w:gridSpan w:val="7"/>
          </w:tcPr>
          <w:p>
            <w:pPr>
              <w:spacing w:after="0"/>
              <w:rPr>
                <w:sz w:val="24"/>
                <w:szCs w:val="24"/>
                <w:color w:val="auto"/>
              </w:rPr>
            </w:pPr>
          </w:p>
        </w:tc>
        <w:tc>
          <w:tcPr>
            <w:tcW w:w="2840" w:type="dxa"/>
            <w:vAlign w:val="bottom"/>
          </w:tcPr>
          <w:p>
            <w:pPr>
              <w:jc w:val="right"/>
              <w:spacing w:after="0"/>
              <w:rPr>
                <w:sz w:val="20"/>
                <w:szCs w:val="20"/>
                <w:color w:val="auto"/>
              </w:rPr>
            </w:pPr>
            <w:r>
              <w:rPr>
                <w:rFonts w:ascii="Arial" w:cs="Arial" w:eastAsia="Arial" w:hAnsi="Arial"/>
                <w:sz w:val="17"/>
                <w:szCs w:val="17"/>
                <w:color w:val="auto"/>
              </w:rPr>
              <w:t>S-7</w:t>
            </w:r>
          </w:p>
        </w:tc>
      </w:tr>
      <w:tr>
        <w:trPr>
          <w:trHeight w:val="385"/>
        </w:trPr>
        <w:tc>
          <w:tcPr>
            <w:tcW w:w="820" w:type="dxa"/>
            <w:vAlign w:val="bottom"/>
            <w:tcBorders>
              <w:bottom w:val="single" w:sz="8" w:color="0000EE"/>
            </w:tcBorders>
            <w:gridSpan w:val="2"/>
          </w:tcPr>
          <w:p>
            <w:pPr>
              <w:spacing w:after="0"/>
              <w:rPr>
                <w:sz w:val="20"/>
                <w:szCs w:val="20"/>
                <w:color w:val="auto"/>
              </w:rPr>
            </w:pPr>
            <w:r>
              <w:rPr>
                <w:rFonts w:ascii="Arial" w:cs="Arial" w:eastAsia="Arial" w:hAnsi="Arial"/>
                <w:sz w:val="17"/>
                <w:szCs w:val="17"/>
                <w:color w:val="0000EE"/>
              </w:rPr>
              <w:t>DILUTION</w:t>
            </w:r>
          </w:p>
        </w:tc>
        <w:tc>
          <w:tcPr>
            <w:tcW w:w="7300" w:type="dxa"/>
            <w:vAlign w:val="bottom"/>
            <w:gridSpan w:val="11"/>
          </w:tcPr>
          <w:p>
            <w:pPr>
              <w:spacing w:after="0"/>
              <w:rPr>
                <w:sz w:val="24"/>
                <w:szCs w:val="24"/>
                <w:color w:val="auto"/>
              </w:rPr>
            </w:pPr>
          </w:p>
        </w:tc>
        <w:tc>
          <w:tcPr>
            <w:tcW w:w="2840" w:type="dxa"/>
            <w:vAlign w:val="bottom"/>
          </w:tcPr>
          <w:p>
            <w:pPr>
              <w:jc w:val="right"/>
              <w:spacing w:after="0"/>
              <w:rPr>
                <w:sz w:val="20"/>
                <w:szCs w:val="20"/>
                <w:color w:val="auto"/>
              </w:rPr>
            </w:pPr>
            <w:r>
              <w:rPr>
                <w:rFonts w:ascii="Arial" w:cs="Arial" w:eastAsia="Arial" w:hAnsi="Arial"/>
                <w:sz w:val="17"/>
                <w:szCs w:val="17"/>
                <w:color w:val="auto"/>
              </w:rPr>
              <w:t>S-8</w:t>
            </w:r>
          </w:p>
        </w:tc>
      </w:tr>
      <w:tr>
        <w:trPr>
          <w:trHeight w:val="385"/>
        </w:trPr>
        <w:tc>
          <w:tcPr>
            <w:tcW w:w="8120" w:type="dxa"/>
            <w:vAlign w:val="bottom"/>
            <w:gridSpan w:val="13"/>
          </w:tcPr>
          <w:p>
            <w:pPr>
              <w:spacing w:after="0"/>
              <w:rPr>
                <w:sz w:val="20"/>
                <w:szCs w:val="20"/>
                <w:color w:val="auto"/>
              </w:rPr>
            </w:pPr>
            <w:r>
              <w:rPr>
                <w:rFonts w:ascii="Arial" w:cs="Arial" w:eastAsia="Arial" w:hAnsi="Arial"/>
                <w:sz w:val="17"/>
                <w:szCs w:val="17"/>
                <w:color w:val="0000EE"/>
              </w:rPr>
              <w:t>DIVIDEND POLICY</w:t>
            </w:r>
          </w:p>
        </w:tc>
        <w:tc>
          <w:tcPr>
            <w:tcW w:w="2840" w:type="dxa"/>
            <w:vAlign w:val="bottom"/>
          </w:tcPr>
          <w:p>
            <w:pPr>
              <w:jc w:val="right"/>
              <w:spacing w:after="0"/>
              <w:rPr>
                <w:sz w:val="20"/>
                <w:szCs w:val="20"/>
                <w:color w:val="auto"/>
              </w:rPr>
            </w:pPr>
            <w:r>
              <w:rPr>
                <w:rFonts w:ascii="Arial" w:cs="Arial" w:eastAsia="Arial" w:hAnsi="Arial"/>
                <w:sz w:val="17"/>
                <w:szCs w:val="17"/>
                <w:color w:val="auto"/>
              </w:rPr>
              <w:t>S-10</w:t>
            </w:r>
          </w:p>
        </w:tc>
      </w:tr>
      <w:tr>
        <w:trPr>
          <w:trHeight w:val="20"/>
        </w:trPr>
        <w:tc>
          <w:tcPr>
            <w:tcW w:w="80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385"/>
        </w:trPr>
        <w:tc>
          <w:tcPr>
            <w:tcW w:w="1980" w:type="dxa"/>
            <w:vAlign w:val="bottom"/>
            <w:tcBorders>
              <w:bottom w:val="single" w:sz="8" w:color="0000EE"/>
            </w:tcBorders>
            <w:gridSpan w:val="7"/>
          </w:tcPr>
          <w:p>
            <w:pPr>
              <w:spacing w:after="0"/>
              <w:rPr>
                <w:sz w:val="20"/>
                <w:szCs w:val="20"/>
                <w:color w:val="auto"/>
              </w:rPr>
            </w:pPr>
            <w:r>
              <w:rPr>
                <w:rFonts w:ascii="Arial" w:cs="Arial" w:eastAsia="Arial" w:hAnsi="Arial"/>
                <w:sz w:val="17"/>
                <w:szCs w:val="17"/>
                <w:color w:val="0000EE"/>
                <w:w w:val="99"/>
              </w:rPr>
              <w:t>PLAN OF DISTRIBUTION</w:t>
            </w:r>
          </w:p>
        </w:tc>
        <w:tc>
          <w:tcPr>
            <w:tcW w:w="6140" w:type="dxa"/>
            <w:vAlign w:val="bottom"/>
            <w:gridSpan w:val="6"/>
          </w:tcPr>
          <w:p>
            <w:pPr>
              <w:spacing w:after="0"/>
              <w:rPr>
                <w:sz w:val="24"/>
                <w:szCs w:val="24"/>
                <w:color w:val="auto"/>
              </w:rPr>
            </w:pPr>
          </w:p>
        </w:tc>
        <w:tc>
          <w:tcPr>
            <w:tcW w:w="2840" w:type="dxa"/>
            <w:vAlign w:val="bottom"/>
          </w:tcPr>
          <w:p>
            <w:pPr>
              <w:jc w:val="right"/>
              <w:spacing w:after="0"/>
              <w:rPr>
                <w:sz w:val="20"/>
                <w:szCs w:val="20"/>
                <w:color w:val="auto"/>
              </w:rPr>
            </w:pPr>
            <w:r>
              <w:rPr>
                <w:rFonts w:ascii="Arial" w:cs="Arial" w:eastAsia="Arial" w:hAnsi="Arial"/>
                <w:sz w:val="17"/>
                <w:szCs w:val="17"/>
                <w:color w:val="auto"/>
              </w:rPr>
              <w:t>S-11</w:t>
            </w:r>
          </w:p>
        </w:tc>
      </w:tr>
      <w:tr>
        <w:trPr>
          <w:trHeight w:val="385"/>
        </w:trPr>
        <w:tc>
          <w:tcPr>
            <w:tcW w:w="1400" w:type="dxa"/>
            <w:vAlign w:val="bottom"/>
            <w:tcBorders>
              <w:bottom w:val="single" w:sz="8" w:color="0000EE"/>
            </w:tcBorders>
            <w:gridSpan w:val="4"/>
          </w:tcPr>
          <w:p>
            <w:pPr>
              <w:spacing w:after="0"/>
              <w:rPr>
                <w:sz w:val="20"/>
                <w:szCs w:val="20"/>
                <w:color w:val="auto"/>
              </w:rPr>
            </w:pPr>
            <w:r>
              <w:rPr>
                <w:rFonts w:ascii="Arial" w:cs="Arial" w:eastAsia="Arial" w:hAnsi="Arial"/>
                <w:sz w:val="17"/>
                <w:szCs w:val="17"/>
                <w:color w:val="0000EE"/>
                <w:w w:val="98"/>
              </w:rPr>
              <w:t>LEGAL MATTERS</w:t>
            </w:r>
          </w:p>
        </w:tc>
        <w:tc>
          <w:tcPr>
            <w:tcW w:w="6720" w:type="dxa"/>
            <w:vAlign w:val="bottom"/>
            <w:gridSpan w:val="9"/>
          </w:tcPr>
          <w:p>
            <w:pPr>
              <w:spacing w:after="0"/>
              <w:rPr>
                <w:sz w:val="24"/>
                <w:szCs w:val="24"/>
                <w:color w:val="auto"/>
              </w:rPr>
            </w:pPr>
          </w:p>
        </w:tc>
        <w:tc>
          <w:tcPr>
            <w:tcW w:w="2840" w:type="dxa"/>
            <w:vAlign w:val="bottom"/>
          </w:tcPr>
          <w:p>
            <w:pPr>
              <w:jc w:val="right"/>
              <w:spacing w:after="0"/>
              <w:rPr>
                <w:sz w:val="20"/>
                <w:szCs w:val="20"/>
                <w:color w:val="auto"/>
              </w:rPr>
            </w:pPr>
            <w:r>
              <w:rPr>
                <w:rFonts w:ascii="Arial" w:cs="Arial" w:eastAsia="Arial" w:hAnsi="Arial"/>
                <w:sz w:val="17"/>
                <w:szCs w:val="17"/>
                <w:color w:val="auto"/>
              </w:rPr>
              <w:t>S-12</w:t>
            </w:r>
          </w:p>
        </w:tc>
      </w:tr>
      <w:tr>
        <w:trPr>
          <w:trHeight w:val="385"/>
        </w:trPr>
        <w:tc>
          <w:tcPr>
            <w:tcW w:w="800" w:type="dxa"/>
            <w:vAlign w:val="bottom"/>
            <w:tcBorders>
              <w:bottom w:val="single" w:sz="8" w:color="0000EE"/>
            </w:tcBorders>
          </w:tcPr>
          <w:p>
            <w:pPr>
              <w:spacing w:after="0"/>
              <w:rPr>
                <w:sz w:val="20"/>
                <w:szCs w:val="20"/>
                <w:color w:val="auto"/>
              </w:rPr>
            </w:pPr>
            <w:r>
              <w:rPr>
                <w:rFonts w:ascii="Arial" w:cs="Arial" w:eastAsia="Arial" w:hAnsi="Arial"/>
                <w:sz w:val="17"/>
                <w:szCs w:val="17"/>
                <w:color w:val="0000EE"/>
                <w:w w:val="98"/>
              </w:rPr>
              <w:t>EXPERTS</w:t>
            </w:r>
          </w:p>
        </w:tc>
        <w:tc>
          <w:tcPr>
            <w:tcW w:w="7320" w:type="dxa"/>
            <w:vAlign w:val="bottom"/>
            <w:gridSpan w:val="12"/>
          </w:tcPr>
          <w:p>
            <w:pPr>
              <w:spacing w:after="0"/>
              <w:rPr>
                <w:sz w:val="24"/>
                <w:szCs w:val="24"/>
                <w:color w:val="auto"/>
              </w:rPr>
            </w:pPr>
          </w:p>
        </w:tc>
        <w:tc>
          <w:tcPr>
            <w:tcW w:w="2840" w:type="dxa"/>
            <w:vAlign w:val="bottom"/>
          </w:tcPr>
          <w:p>
            <w:pPr>
              <w:jc w:val="right"/>
              <w:spacing w:after="0"/>
              <w:rPr>
                <w:sz w:val="20"/>
                <w:szCs w:val="20"/>
                <w:color w:val="auto"/>
              </w:rPr>
            </w:pPr>
            <w:r>
              <w:rPr>
                <w:rFonts w:ascii="Arial" w:cs="Arial" w:eastAsia="Arial" w:hAnsi="Arial"/>
                <w:sz w:val="17"/>
                <w:szCs w:val="17"/>
                <w:color w:val="auto"/>
              </w:rPr>
              <w:t>S-13</w:t>
            </w:r>
          </w:p>
        </w:tc>
      </w:tr>
      <w:tr>
        <w:trPr>
          <w:trHeight w:val="385"/>
        </w:trPr>
        <w:tc>
          <w:tcPr>
            <w:tcW w:w="3700" w:type="dxa"/>
            <w:vAlign w:val="bottom"/>
            <w:tcBorders>
              <w:bottom w:val="single" w:sz="8" w:color="0000EE"/>
            </w:tcBorders>
            <w:gridSpan w:val="10"/>
          </w:tcPr>
          <w:p>
            <w:pPr>
              <w:spacing w:after="0"/>
              <w:rPr>
                <w:sz w:val="20"/>
                <w:szCs w:val="20"/>
                <w:color w:val="auto"/>
              </w:rPr>
            </w:pPr>
            <w:r>
              <w:rPr>
                <w:rFonts w:ascii="Arial" w:cs="Arial" w:eastAsia="Arial" w:hAnsi="Arial"/>
                <w:sz w:val="17"/>
                <w:szCs w:val="17"/>
                <w:color w:val="0000EE"/>
                <w:w w:val="99"/>
              </w:rPr>
              <w:t>WHERE YOU CAN FIND MORE INFORMATION</w:t>
            </w:r>
          </w:p>
        </w:tc>
        <w:tc>
          <w:tcPr>
            <w:tcW w:w="4420" w:type="dxa"/>
            <w:vAlign w:val="bottom"/>
            <w:gridSpan w:val="3"/>
          </w:tcPr>
          <w:p>
            <w:pPr>
              <w:spacing w:after="0"/>
              <w:rPr>
                <w:sz w:val="24"/>
                <w:szCs w:val="24"/>
                <w:color w:val="auto"/>
              </w:rPr>
            </w:pPr>
          </w:p>
        </w:tc>
        <w:tc>
          <w:tcPr>
            <w:tcW w:w="2840" w:type="dxa"/>
            <w:vAlign w:val="bottom"/>
          </w:tcPr>
          <w:p>
            <w:pPr>
              <w:jc w:val="right"/>
              <w:spacing w:after="0"/>
              <w:rPr>
                <w:sz w:val="20"/>
                <w:szCs w:val="20"/>
                <w:color w:val="auto"/>
              </w:rPr>
            </w:pPr>
            <w:r>
              <w:rPr>
                <w:rFonts w:ascii="Arial" w:cs="Arial" w:eastAsia="Arial" w:hAnsi="Arial"/>
                <w:sz w:val="17"/>
                <w:szCs w:val="17"/>
                <w:color w:val="auto"/>
              </w:rPr>
              <w:t>S-14</w:t>
            </w:r>
          </w:p>
        </w:tc>
      </w:tr>
      <w:tr>
        <w:trPr>
          <w:trHeight w:val="385"/>
        </w:trPr>
        <w:tc>
          <w:tcPr>
            <w:tcW w:w="5100" w:type="dxa"/>
            <w:vAlign w:val="bottom"/>
            <w:tcBorders>
              <w:bottom w:val="single" w:sz="8" w:color="0000EE"/>
            </w:tcBorders>
            <w:gridSpan w:val="11"/>
          </w:tcPr>
          <w:p>
            <w:pPr>
              <w:spacing w:after="0"/>
              <w:rPr>
                <w:sz w:val="20"/>
                <w:szCs w:val="20"/>
                <w:color w:val="auto"/>
              </w:rPr>
            </w:pPr>
            <w:r>
              <w:rPr>
                <w:rFonts w:ascii="Arial" w:cs="Arial" w:eastAsia="Arial" w:hAnsi="Arial"/>
                <w:sz w:val="17"/>
                <w:szCs w:val="17"/>
                <w:color w:val="0000EE"/>
                <w:w w:val="99"/>
              </w:rPr>
              <w:t>INCORPORATION OF CERTAIN INFORMATION BY REFERENCE</w:t>
            </w:r>
          </w:p>
        </w:tc>
        <w:tc>
          <w:tcPr>
            <w:tcW w:w="3020" w:type="dxa"/>
            <w:vAlign w:val="bottom"/>
            <w:gridSpan w:val="2"/>
          </w:tcPr>
          <w:p>
            <w:pPr>
              <w:spacing w:after="0"/>
              <w:rPr>
                <w:sz w:val="24"/>
                <w:szCs w:val="24"/>
                <w:color w:val="auto"/>
              </w:rPr>
            </w:pPr>
          </w:p>
        </w:tc>
        <w:tc>
          <w:tcPr>
            <w:tcW w:w="2840" w:type="dxa"/>
            <w:vAlign w:val="bottom"/>
          </w:tcPr>
          <w:p>
            <w:pPr>
              <w:jc w:val="right"/>
              <w:spacing w:after="0"/>
              <w:rPr>
                <w:sz w:val="20"/>
                <w:szCs w:val="20"/>
                <w:color w:val="auto"/>
              </w:rPr>
            </w:pPr>
            <w:r>
              <w:rPr>
                <w:rFonts w:ascii="Arial" w:cs="Arial" w:eastAsia="Arial" w:hAnsi="Arial"/>
                <w:sz w:val="17"/>
                <w:szCs w:val="17"/>
                <w:color w:val="auto"/>
              </w:rPr>
              <w:t>S-15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154305</wp:posOffset>
            </wp:positionV>
            <wp:extent cx="6995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S-i</w:t>
      </w:r>
    </w:p>
    <w:p>
      <w:pPr>
        <w:sectPr>
          <w:pgSz w:w="11900" w:h="16838" w:orient="portrait"/>
          <w:cols w:equalWidth="0" w:num="1">
            <w:col w:w="11080"/>
          </w:cols>
          <w:pgMar w:left="320" w:top="455" w:right="4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316" w:lineRule="exact"/>
        <w:rPr>
          <w:sz w:val="20"/>
          <w:szCs w:val="20"/>
          <w:color w:val="auto"/>
        </w:rPr>
      </w:pPr>
    </w:p>
    <w:p>
      <w:pPr>
        <w:ind w:left="120" w:right="20"/>
        <w:spacing w:after="0" w:line="239" w:lineRule="auto"/>
        <w:rPr>
          <w:sz w:val="20"/>
          <w:szCs w:val="20"/>
          <w:color w:val="auto"/>
        </w:rPr>
      </w:pPr>
      <w:r>
        <w:rPr>
          <w:rFonts w:ascii="Arial" w:cs="Arial" w:eastAsia="Arial" w:hAnsi="Arial"/>
          <w:sz w:val="17"/>
          <w:szCs w:val="17"/>
          <w:color w:val="auto"/>
        </w:rPr>
        <w:t>This prospectus is part of a registration statement on Form S-3 that we filed with the Securities and Exchange Commission, or SEC, using a “shelf” registration process. Under this registration statement, we may offer shares of our common stock having an aggregate offering price of up to $400,000,000. Under this prospectus, we may offer shares of our common stock having an aggregate offering price of up to $100,000,000 from time to time at prices and on terms to be determined by market conditions at the time of offering. The $100,000,000 of shares of our common stock that may be sold under this prospectus are included in the $400,000,000 of shares of common stock that may be sold under the registration statement.</w:t>
      </w:r>
    </w:p>
    <w:p>
      <w:pPr>
        <w:spacing w:after="0" w:line="128" w:lineRule="exact"/>
        <w:rPr>
          <w:sz w:val="20"/>
          <w:szCs w:val="20"/>
          <w:color w:val="auto"/>
        </w:rPr>
      </w:pPr>
    </w:p>
    <w:p>
      <w:pPr>
        <w:ind w:left="120" w:right="140"/>
        <w:spacing w:after="0" w:line="237" w:lineRule="auto"/>
        <w:rPr>
          <w:sz w:val="20"/>
          <w:szCs w:val="20"/>
          <w:color w:val="auto"/>
        </w:rPr>
      </w:pPr>
      <w:r>
        <w:rPr>
          <w:rFonts w:ascii="Arial" w:cs="Arial" w:eastAsia="Arial" w:hAnsi="Arial"/>
          <w:sz w:val="17"/>
          <w:szCs w:val="17"/>
          <w:color w:val="auto"/>
        </w:rPr>
        <w:t>Before buying any of the shares of common stock offered hereby, we urge you to read carefully this prospectus, together with the information incorporated herein by reference as described below under the heading “Incorporation of Certain Information by Reference.” These documents contain important information that you should consider when making your investment decision. To the extent there is a conflict between the information contained in this prospectus, on the one hand, and the information contained in any document incorporated by reference in this prospectus that was filed with the SEC before the date of this prospectus, on the other hand, you should rely on the information in this prospectus, provided that if any statement in one of these documents is inconsistent with a statement in another document having a later date— for example, a document incorporated by reference in this prospectus—the statement in the document having the later date modifies or supersedes the earlier statement.</w:t>
      </w:r>
    </w:p>
    <w:p>
      <w:pPr>
        <w:spacing w:after="0" w:line="130" w:lineRule="exact"/>
        <w:rPr>
          <w:sz w:val="20"/>
          <w:szCs w:val="20"/>
          <w:color w:val="auto"/>
        </w:rPr>
      </w:pPr>
    </w:p>
    <w:p>
      <w:pPr>
        <w:ind w:left="120" w:right="80"/>
        <w:spacing w:after="0" w:line="239" w:lineRule="auto"/>
        <w:rPr>
          <w:sz w:val="20"/>
          <w:szCs w:val="20"/>
          <w:color w:val="auto"/>
        </w:rPr>
      </w:pPr>
      <w:r>
        <w:rPr>
          <w:rFonts w:ascii="Arial" w:cs="Arial" w:eastAsia="Arial" w:hAnsi="Arial"/>
          <w:sz w:val="17"/>
          <w:szCs w:val="17"/>
          <w:color w:val="auto"/>
        </w:rPr>
        <w:t>We have not authorized anyone to provide you with information other than the information that we have provided or incorporated by reference in this prospectus or any accompanying prospectus supplement and your reliance on any unauthorized information or representation is at your own risk. This prospectus may be used only in jurisdictions where offers and sales of these securities are permitted. You should assume that the information appearing in this prospectus is accurate only as of the date of this prospectus and that any information we have incorporated by reference is accurate only as of the date of the document incorporated by reference, regardless of the time of delivery of this prospectus, or any sale of our common stock. Our business, financial condition and results of operations may have changed since those dates.</w:t>
      </w:r>
    </w:p>
    <w:p>
      <w:pPr>
        <w:spacing w:after="0" w:line="128" w:lineRule="exact"/>
        <w:rPr>
          <w:sz w:val="20"/>
          <w:szCs w:val="20"/>
          <w:color w:val="auto"/>
        </w:rPr>
      </w:pPr>
    </w:p>
    <w:p>
      <w:pPr>
        <w:ind w:left="120"/>
        <w:spacing w:after="0" w:line="239" w:lineRule="auto"/>
        <w:rPr>
          <w:sz w:val="20"/>
          <w:szCs w:val="20"/>
          <w:color w:val="auto"/>
        </w:rPr>
      </w:pPr>
      <w:r>
        <w:rPr>
          <w:rFonts w:ascii="Arial" w:cs="Arial" w:eastAsia="Arial" w:hAnsi="Arial"/>
          <w:sz w:val="17"/>
          <w:szCs w:val="17"/>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(and such representations, warranties and covenants may be qualified by schedules that are not publicly available). Accordingly, such representations, warranties and covenants should not be relied on as accurately representing the current state of our affairs.</w:t>
      </w:r>
    </w:p>
    <w:p>
      <w:pPr>
        <w:spacing w:after="0" w:line="128" w:lineRule="exact"/>
        <w:rPr>
          <w:sz w:val="20"/>
          <w:szCs w:val="20"/>
          <w:color w:val="auto"/>
        </w:rPr>
      </w:pPr>
    </w:p>
    <w:p>
      <w:pPr>
        <w:ind w:left="120" w:right="160"/>
        <w:spacing w:after="0" w:line="267" w:lineRule="auto"/>
        <w:rPr>
          <w:sz w:val="20"/>
          <w:szCs w:val="20"/>
          <w:color w:val="auto"/>
        </w:rPr>
      </w:pPr>
      <w:r>
        <w:rPr>
          <w:rFonts w:ascii="Arial" w:cs="Arial" w:eastAsia="Arial" w:hAnsi="Arial"/>
          <w:sz w:val="17"/>
          <w:szCs w:val="17"/>
          <w:color w:val="auto"/>
        </w:rPr>
        <w:t>Unless otherwise stated, all references in this prospectus to “we,” “us,” “our,” “Tango,” “the Company” and similar designations refer, collectively, to Tango Therapeutics, Inc., a Delaware corporation, and its consolidated subsidiaries.</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S-ii</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316"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This prospectus, including the documents that we incorporate by reference, contains “forward-looking statements” within the meaning of Section 27A of the Securities Act of 1933, as amended, or the Securities Act, and Section 21E of the Securities Exchange Act of 1934, as amended, or the Exchange Act. All statements, other than statements of historical facts, included in this prospectus, including the documents that we incorporate by reference, regarding our strategy, future operations, future financial position, future revenue, projected costs, prospects, plans, objectives of management and expected market growth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These forward-looking statements include, among other things, statements about:</w:t>
      </w:r>
    </w:p>
    <w:p>
      <w:pPr>
        <w:spacing w:after="0" w:line="170" w:lineRule="exact"/>
        <w:rPr>
          <w:sz w:val="20"/>
          <w:szCs w:val="20"/>
          <w:color w:val="auto"/>
        </w:rPr>
      </w:pPr>
    </w:p>
    <w:p>
      <w:pPr>
        <w:ind w:left="980" w:right="80" w:hanging="432"/>
        <w:spacing w:after="0" w:line="243" w:lineRule="auto"/>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initiation, timing, progress, results, and cost of our research and development programs and our current and future preclinical studies and clinical trials, including statements regarding the timing of IND filings, active enrollment in clinical trials, and initiation and completion of studies or clinical trials and related preparatory work, and the period during which the results of the clinical trials (including initial and final trial results) will become available;</w:t>
      </w:r>
    </w:p>
    <w:p>
      <w:pPr>
        <w:spacing w:after="0" w:line="4" w:lineRule="exact"/>
        <w:rPr>
          <w:rFonts w:ascii="MS PGothic" w:cs="MS PGothic" w:eastAsia="MS PGothic" w:hAnsi="MS PGothic"/>
          <w:sz w:val="13"/>
          <w:szCs w:val="13"/>
          <w:color w:val="auto"/>
        </w:rPr>
      </w:pPr>
    </w:p>
    <w:p>
      <w:pPr>
        <w:ind w:left="980" w:right="520" w:hanging="432"/>
        <w:spacing w:after="0" w:line="254" w:lineRule="auto"/>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our ability to discover and develop product candidates efficiently (including the advancement of development candidates on the timelines identified);</w:t>
      </w:r>
    </w:p>
    <w:p>
      <w:pPr>
        <w:spacing w:after="0" w:line="4" w:lineRule="exact"/>
        <w:rPr>
          <w:rFonts w:ascii="MS PGothic" w:cs="MS PGothic" w:eastAsia="MS PGothic" w:hAnsi="MS PGothic"/>
          <w:sz w:val="13"/>
          <w:szCs w:val="13"/>
          <w:color w:val="auto"/>
        </w:rPr>
      </w:pPr>
    </w:p>
    <w:p>
      <w:pPr>
        <w:ind w:left="980" w:right="260" w:hanging="432"/>
        <w:spacing w:after="0" w:line="254" w:lineRule="auto"/>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our ability and the potential to manufacture our drug substances and product candidates successfully for preclinical use, for clinical trials and on a larger scale for commercial use, if approved;</w:t>
      </w:r>
    </w:p>
    <w:p>
      <w:pPr>
        <w:spacing w:after="0" w:line="4" w:lineRule="exact"/>
        <w:rPr>
          <w:rFonts w:ascii="MS PGothic" w:cs="MS PGothic" w:eastAsia="MS PGothic" w:hAnsi="MS PGothic"/>
          <w:sz w:val="13"/>
          <w:szCs w:val="13"/>
          <w:color w:val="auto"/>
        </w:rPr>
      </w:pPr>
    </w:p>
    <w:p>
      <w:pPr>
        <w:ind w:left="980" w:right="400" w:hanging="432"/>
        <w:spacing w:after="0" w:line="254" w:lineRule="auto"/>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the ability and willingness of our third-party strategic collaborators to license and to continue research and development activities relating to our development candidates and product candidates;</w:t>
      </w:r>
    </w:p>
    <w:p>
      <w:pPr>
        <w:spacing w:after="0" w:line="4" w:lineRule="exact"/>
        <w:rPr>
          <w:rFonts w:ascii="MS PGothic" w:cs="MS PGothic" w:eastAsia="MS PGothic" w:hAnsi="MS PGothic"/>
          <w:sz w:val="13"/>
          <w:szCs w:val="13"/>
          <w:color w:val="auto"/>
        </w:rPr>
      </w:pPr>
    </w:p>
    <w:p>
      <w:pPr>
        <w:ind w:left="980" w:right="60" w:hanging="432"/>
        <w:spacing w:after="0" w:line="247" w:lineRule="auto"/>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our ability to obtain funding for our operations necessary to complete further research, development and commercialization of our product candidates (and that existing cash, cash equivalents and marketable securities will enable us to fund our operating expenses and capital expenditure requirements at least into the second half of 2024);</w:t>
      </w:r>
    </w:p>
    <w:p>
      <w:pPr>
        <w:spacing w:after="0" w:line="3"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our ability to obtain and, if approved, maintain regulatory approval of our product candidates;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our ability to commercialize our products, if approved;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the pricing and reimbursement of our product candidates, if approved;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the implementation of our business model, and strategic plans for our business and product candidates;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the scope of protection we are able to establish and maintain for intellectual property rights covering our product candidates;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estimates of our future expenses, capital requirements, and our need for additional financing;</w:t>
      </w:r>
    </w:p>
    <w:p>
      <w:pPr>
        <w:spacing w:after="0" w:line="34" w:lineRule="exact"/>
        <w:rPr>
          <w:rFonts w:ascii="MS PGothic" w:cs="MS PGothic" w:eastAsia="MS PGothic" w:hAnsi="MS PGothic"/>
          <w:sz w:val="13"/>
          <w:szCs w:val="13"/>
          <w:color w:val="auto"/>
        </w:rPr>
      </w:pPr>
    </w:p>
    <w:p>
      <w:pPr>
        <w:ind w:left="980" w:right="120" w:hanging="432"/>
        <w:spacing w:after="0" w:line="254" w:lineRule="auto"/>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4" w:lineRule="exact"/>
        <w:rPr>
          <w:rFonts w:ascii="MS PGothic" w:cs="MS PGothic" w:eastAsia="MS PGothic" w:hAnsi="MS PGothic"/>
          <w:sz w:val="13"/>
          <w:szCs w:val="13"/>
          <w:color w:val="auto"/>
        </w:rPr>
      </w:pPr>
    </w:p>
    <w:p>
      <w:pPr>
        <w:ind w:left="980" w:right="540" w:hanging="432"/>
        <w:spacing w:after="0" w:line="254" w:lineRule="auto"/>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future agreements with third parties in connection with the commercialization of product candidates (if approved) and any other approved products;</w:t>
      </w:r>
    </w:p>
    <w:p>
      <w:pPr>
        <w:spacing w:after="0" w:line="4"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the size and growth potential of the markets for our product candidates, and our ability to serve those markets;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our financial performance, including the expectation that we will continue to incur operating losses and negative cash flow;</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the rate and degree of market acceptance of our product candidates;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regulatory developments in the United States and foreign countries;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our ability to contract with third-party suppliers and manufacturers and their ability to perform adequately;</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our ability to produce our products or product candidates with advantages in turnaround times or manufacturing cost;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the success of competing therapies that are or may become available;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our ability to attract and retain key scientific or management personnel;</w:t>
      </w:r>
    </w:p>
    <w:p>
      <w:pPr>
        <w:spacing w:after="0" w:line="15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S-iii</w:t>
      </w:r>
    </w:p>
    <w:p>
      <w:pPr>
        <w:sectPr>
          <w:pgSz w:w="11900" w:h="16838" w:orient="portrait"/>
          <w:cols w:equalWidth="0" w:num="1">
            <w:col w:w="11080"/>
          </w:cols>
          <w:pgMar w:left="320" w:top="455" w:right="4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6" w:lineRule="exact"/>
        <w:rPr>
          <w:sz w:val="20"/>
          <w:szCs w:val="20"/>
          <w:color w:val="auto"/>
        </w:rPr>
      </w:pPr>
    </w:p>
    <w:p>
      <w:pPr>
        <w:ind w:left="980" w:hanging="432"/>
        <w:spacing w:after="0"/>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the impact of laws and regulations;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developments relating to our competitors and industry;</w:t>
      </w:r>
    </w:p>
    <w:p>
      <w:pPr>
        <w:spacing w:after="0" w:line="34" w:lineRule="exact"/>
        <w:rPr>
          <w:rFonts w:ascii="MS PGothic" w:cs="MS PGothic" w:eastAsia="MS PGothic" w:hAnsi="MS PGothic"/>
          <w:sz w:val="13"/>
          <w:szCs w:val="13"/>
          <w:color w:val="auto"/>
        </w:rPr>
      </w:pPr>
    </w:p>
    <w:p>
      <w:pPr>
        <w:ind w:left="980" w:right="60" w:hanging="432"/>
        <w:spacing w:after="0" w:line="247" w:lineRule="auto"/>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the effect of the on-going COVID-19 pandemic, including mitigation efforts and economic effects, on any of the foregoing or other aspects of our business operations, including but not limited to our preclinical studies and clinical trials and any future studies or trials; and</w:t>
      </w:r>
    </w:p>
    <w:p>
      <w:pPr>
        <w:spacing w:after="0" w:line="3" w:lineRule="exact"/>
        <w:rPr>
          <w:rFonts w:ascii="MS PGothic" w:cs="MS PGothic" w:eastAsia="MS PGothic" w:hAnsi="MS PGothic"/>
          <w:sz w:val="13"/>
          <w:szCs w:val="13"/>
          <w:color w:val="auto"/>
        </w:rPr>
      </w:pPr>
    </w:p>
    <w:p>
      <w:pPr>
        <w:ind w:left="980" w:hanging="432"/>
        <w:spacing w:after="0"/>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other risks and uncertainties, including those under the caption “Risk Factors.”</w:t>
      </w:r>
    </w:p>
    <w:p>
      <w:pPr>
        <w:spacing w:after="0" w:line="156"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prospectus, including the documents that we incorporate by reference, particularly in our “critical accounting estimates” described in Part II, Item 7 “Management’s Discussion and Analysis of Financial Condition and Results of Operations — Critical Accounting Policies and Use of Estimates” and in Part I, Item 1A “Risk Factors” of our most recent Annual Report on Form 10-K and our Quarterly Reports on Form 10-Q filed with the SEC, which are incorporated by reference in this prospectus, and in the “Risk Factors” section of this prospectus, that could cause actual results or events to differ materially from the forward-looking statements that we make.</w:t>
      </w:r>
    </w:p>
    <w:p>
      <w:pPr>
        <w:spacing w:after="0" w:line="130" w:lineRule="exact"/>
        <w:rPr>
          <w:sz w:val="20"/>
          <w:szCs w:val="20"/>
          <w:color w:val="auto"/>
        </w:rPr>
      </w:pPr>
    </w:p>
    <w:p>
      <w:pPr>
        <w:ind w:left="120"/>
        <w:spacing w:after="0" w:line="249" w:lineRule="auto"/>
        <w:rPr>
          <w:sz w:val="20"/>
          <w:szCs w:val="20"/>
          <w:color w:val="auto"/>
        </w:rPr>
      </w:pPr>
      <w:r>
        <w:rPr>
          <w:rFonts w:ascii="Arial" w:cs="Arial" w:eastAsia="Arial" w:hAnsi="Arial"/>
          <w:sz w:val="17"/>
          <w:szCs w:val="17"/>
          <w:color w:val="auto"/>
        </w:rPr>
        <w:t>You should read this prospectus, including the documents that we incorporate by reference, completely and with the understanding that our actual future results may be materially different from what we expect. We do not assume any obligation to update any forward-looking statements, whether as a result of new information, future events or otherwise, except as required by law.</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S-iv</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162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6998970" cy="55162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318" w:lineRule="exact"/>
        <w:rPr>
          <w:sz w:val="20"/>
          <w:szCs w:val="20"/>
          <w:color w:val="auto"/>
        </w:rPr>
      </w:pPr>
    </w:p>
    <w:p>
      <w:pPr>
        <w:ind w:left="300" w:right="140"/>
        <w:spacing w:after="0" w:line="237" w:lineRule="auto"/>
        <w:rPr>
          <w:sz w:val="20"/>
          <w:szCs w:val="20"/>
          <w:color w:val="auto"/>
        </w:rPr>
      </w:pPr>
      <w:r>
        <w:rPr>
          <w:rFonts w:ascii="Arial" w:cs="Arial" w:eastAsia="Arial" w:hAnsi="Arial"/>
          <w:sz w:val="17"/>
          <w:szCs w:val="17"/>
          <w:i w:val="1"/>
          <w:iCs w:val="1"/>
          <w:color w:val="auto"/>
        </w:rPr>
        <w:t>This summary highlights selected information about us and this offering and does not contain all of the information that you should consider before investing in our common stock. You should read this prospectus carefully, especially the risks of investing in our common stock discussed under “Risk Factors” beginning on page S-5 of this prospectus and in Part I, Item 1A “Risk Factors” of our most recent annual report on Form 10-K and any subsequent Quarterly Reports on Form 10-Q or Current Reports on Form 8-K we file after the date of this prospectus, which is incorporated by reference in this prospectus, along with our consolidated financial statements and notes to those consolidated financial statements and the other information incorporated by reference in this prospectus, before making an investment decision.</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Company Overview</w:t>
      </w:r>
    </w:p>
    <w:p>
      <w:pPr>
        <w:spacing w:after="0" w:line="60" w:lineRule="exact"/>
        <w:rPr>
          <w:sz w:val="20"/>
          <w:szCs w:val="20"/>
          <w:color w:val="auto"/>
        </w:rPr>
      </w:pPr>
    </w:p>
    <w:p>
      <w:pPr>
        <w:ind w:left="300"/>
        <w:spacing w:after="0" w:line="236" w:lineRule="auto"/>
        <w:rPr>
          <w:sz w:val="20"/>
          <w:szCs w:val="20"/>
          <w:color w:val="auto"/>
        </w:rPr>
      </w:pPr>
      <w:r>
        <w:rPr>
          <w:rFonts w:ascii="Arial" w:cs="Arial" w:eastAsia="Arial" w:hAnsi="Arial"/>
          <w:sz w:val="17"/>
          <w:szCs w:val="17"/>
          <w:color w:val="auto"/>
        </w:rPr>
        <w:t>We are a precision oncology company leveraging our state-of-the-art target discovery platform to identify novel targets and develop new drugs directed at tumor suppressor gene loss in defined patient populations with high unmet medical need. Tumor suppressor gene loss remains a largely untouched target space specifically because these genetic events cannot be directly targeted. Empowered by recent advances in CRISPR technology, we are now able to employ a unique functional genomics approach and apply the principles of synthetic lethality to target the loss of specific tumor suppressor genes at scale. We believe this will result in establishing a sustainable pipeline designed to deliver meaningful clinical benefit to patients. Our novel small molecules are designed to be selectively active in cancer cells with specific tumor suppressor gene loss, killing those cancer cells while being relatively inert in normal cells. We also are extending this target space beyond the classic, cell-autonomous effects of tumor suppressor gene loss to include the discovery of novel targets that reverse the effects of tumor suppressor gene loss that prevent the immune system from recognizing and killing cancer cells (immune evasion). We believe this approach will provide the ability to deliver the deep, sustained target inhibition necessary for prolonged tumor regression and meaningful clinical benefit as a result of the unique ability of synthetic lethal targeting to spare normal cells.</w:t>
      </w:r>
    </w:p>
    <w:p>
      <w:pPr>
        <w:spacing w:after="0" w:line="127" w:lineRule="exact"/>
        <w:rPr>
          <w:sz w:val="20"/>
          <w:szCs w:val="20"/>
          <w:color w:val="auto"/>
        </w:rPr>
      </w:pPr>
    </w:p>
    <w:p>
      <w:pPr>
        <w:ind w:left="300" w:right="20"/>
        <w:spacing w:after="0" w:line="236" w:lineRule="auto"/>
        <w:rPr>
          <w:sz w:val="20"/>
          <w:szCs w:val="20"/>
          <w:color w:val="auto"/>
        </w:rPr>
      </w:pPr>
      <w:r>
        <w:rPr>
          <w:rFonts w:ascii="Arial" w:cs="Arial" w:eastAsia="Arial" w:hAnsi="Arial"/>
          <w:sz w:val="17"/>
          <w:szCs w:val="17"/>
          <w:color w:val="auto"/>
        </w:rPr>
        <w:t>Our lead program, TNG908, a protein arginine methyl transferase 5, or PRMT5, inhibitor is synthetic lethal with MTAP deletion, and is being developed as a treatment for cancers with MTAP deletions. MTAP deletions occur in 10% to 15% of all human cancers. In preclinical studies, TNG908 demonstrated 15-fold greater potency in cells with MTAP deletions than those without and showed strong regressions in multiple cancer types. In the first quarter of 2022, the U.S. Food and Drug Administration (FDA) cleared the Investigational New Drug (IND) application and granted Fast Track designation to TNG908. Additionally, in the third quarter of 2022, the FDA granted Orphan Drug Designation to TNG908 for the treatment of malignant peripheral nerve sheath tumors (MPNST). We are actively enrolling, and have begun dosing, patients in the TNG908 Phase 1/2 clinical trial, which will evaluate safety and efficacy in multiple indications, with specific cohorts for non-small cell lung cancer, MPNST, mesothelioma and cholangiocarcinoma, with glioblastoma planned for the dose expansion phase. The clinical trial also includes a histology-agnostic cohort for all other MTAP-deleted solid tumors. We expect to have initial safety and efficacy data in the first half of 2023.</w:t>
      </w:r>
    </w:p>
    <w:p>
      <w:pPr>
        <w:spacing w:after="0" w:line="130" w:lineRule="exact"/>
        <w:rPr>
          <w:sz w:val="20"/>
          <w:szCs w:val="20"/>
          <w:color w:val="auto"/>
        </w:rPr>
      </w:pPr>
    </w:p>
    <w:p>
      <w:pPr>
        <w:ind w:left="300" w:right="340"/>
        <w:spacing w:after="0" w:line="241" w:lineRule="auto"/>
        <w:rPr>
          <w:sz w:val="20"/>
          <w:szCs w:val="20"/>
          <w:color w:val="auto"/>
        </w:rPr>
      </w:pPr>
      <w:r>
        <w:rPr>
          <w:rFonts w:ascii="Arial" w:cs="Arial" w:eastAsia="Arial" w:hAnsi="Arial"/>
          <w:sz w:val="17"/>
          <w:szCs w:val="17"/>
          <w:color w:val="auto"/>
        </w:rPr>
        <w:t>Given the large number of patients with MTAP-deleted cancers, we are investing in our PRMT5 franchise to develop a product candidate with increased potency, MTAP-deletion selectivity, as well as longer target coverage. TNG462, our next-generation PRMT5 inhibitor, is</w:t>
      </w:r>
    </w:p>
    <w:p>
      <w:pPr>
        <w:spacing w:after="0" w:line="1" w:lineRule="exact"/>
        <w:rPr>
          <w:sz w:val="20"/>
          <w:szCs w:val="20"/>
          <w:color w:val="auto"/>
        </w:rPr>
      </w:pPr>
    </w:p>
    <w:p>
      <w:pPr>
        <w:jc w:val="both"/>
        <w:ind w:left="300" w:right="80"/>
        <w:spacing w:after="0" w:line="238" w:lineRule="auto"/>
        <w:rPr>
          <w:sz w:val="20"/>
          <w:szCs w:val="20"/>
          <w:color w:val="auto"/>
        </w:rPr>
      </w:pPr>
      <w:r>
        <w:rPr>
          <w:rFonts w:ascii="Arial" w:cs="Arial" w:eastAsia="Arial" w:hAnsi="Arial"/>
          <w:sz w:val="17"/>
          <w:szCs w:val="17"/>
          <w:color w:val="auto"/>
        </w:rPr>
        <w:t>45-fold more potent in cells with an MTAP deletion than those without and induces deep tumor regressions in preclinical models of multiple cancer types. We plan to file an IND for TNG462 in the first half of 2023. The clinical development path for TNG462 is expected to be similar to TNG908, evaluating safety and efficacy in multiple tumor types in a Phase 1/2 clinical trial. Glioblastoma will be excluded from the Phase 1/2 clinical trial as TNG462 does not cross the blood-brain barrier in preclinical non-human primate models.</w:t>
      </w:r>
    </w:p>
    <w:p>
      <w:pPr>
        <w:spacing w:after="0" w:line="127" w:lineRule="exact"/>
        <w:rPr>
          <w:sz w:val="20"/>
          <w:szCs w:val="20"/>
          <w:color w:val="auto"/>
        </w:rPr>
      </w:pPr>
    </w:p>
    <w:p>
      <w:pPr>
        <w:jc w:val="both"/>
        <w:ind w:left="300" w:right="80"/>
        <w:spacing w:after="0" w:line="267" w:lineRule="auto"/>
        <w:rPr>
          <w:sz w:val="20"/>
          <w:szCs w:val="20"/>
          <w:color w:val="auto"/>
        </w:rPr>
      </w:pPr>
      <w:r>
        <w:rPr>
          <w:rFonts w:ascii="Arial" w:cs="Arial" w:eastAsia="Arial" w:hAnsi="Arial"/>
          <w:sz w:val="17"/>
          <w:szCs w:val="17"/>
          <w:color w:val="auto"/>
        </w:rPr>
        <w:t>Our development candidate, TNG260, an inhibitor of an undisclosed synthetic lethal target (Target 3), reverses the immune evasion effect of serine-threonine kinase 11 (STK11) loss-of-function mutations. In syngeneic</w:t>
      </w:r>
    </w:p>
    <w:p>
      <w:pPr>
        <w:spacing w:after="0" w:line="289"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S-1</w:t>
      </w:r>
    </w:p>
    <w:p>
      <w:pPr>
        <w:sectPr>
          <w:pgSz w:w="11900" w:h="16838" w:orient="portrait"/>
          <w:cols w:equalWidth="0" w:num="1">
            <w:col w:w="10940"/>
          </w:cols>
          <w:pgMar w:left="320" w:top="455" w:right="6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6019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6998970" cy="56019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left="300" w:right="80"/>
        <w:spacing w:after="0" w:line="249" w:lineRule="auto"/>
        <w:rPr>
          <w:sz w:val="20"/>
          <w:szCs w:val="20"/>
          <w:color w:val="auto"/>
        </w:rPr>
      </w:pPr>
      <w:r>
        <w:rPr>
          <w:rFonts w:ascii="Arial" w:cs="Arial" w:eastAsia="Arial" w:hAnsi="Arial"/>
          <w:sz w:val="17"/>
          <w:szCs w:val="17"/>
          <w:color w:val="auto"/>
        </w:rPr>
        <w:t>models with an STK11 mutation and an intact immune system, the combination of TNG260 with an anti-PD1 antibody resulted in sustained complete tumor regressions and the induction of immune memory against re-implantation of tumors. We expect to file an IND for TNG260 in the first half 2023.</w:t>
      </w:r>
    </w:p>
    <w:p>
      <w:pPr>
        <w:spacing w:after="0" w:line="121" w:lineRule="exact"/>
        <w:rPr>
          <w:sz w:val="20"/>
          <w:szCs w:val="20"/>
          <w:color w:val="auto"/>
        </w:rPr>
      </w:pPr>
    </w:p>
    <w:p>
      <w:pPr>
        <w:jc w:val="both"/>
        <w:ind w:left="300" w:right="40"/>
        <w:spacing w:after="0" w:line="244" w:lineRule="auto"/>
        <w:rPr>
          <w:sz w:val="20"/>
          <w:szCs w:val="20"/>
          <w:color w:val="auto"/>
        </w:rPr>
      </w:pPr>
      <w:r>
        <w:rPr>
          <w:rFonts w:ascii="Arial" w:cs="Arial" w:eastAsia="Arial" w:hAnsi="Arial"/>
          <w:sz w:val="17"/>
          <w:szCs w:val="17"/>
          <w:color w:val="auto"/>
        </w:rPr>
        <w:t>We are also developing a ubiquitin-specific protease 1, or USP1, inhibitor that is synthetic lethal with BRCA1 and BRCA2-mutant tumors. In vitro and in vivo preclinical data for USP1 demonstrated potent anti-tumor activity. We expect this molecule to have both single agent activity in PARPi-naïve and PARPi-resistant BRCA1/2 mutant cancers and to synergize with PARP inhibitors. We anticipate declaring a development candidate in the second half of 2022 and filing an IND for this program in 2023.</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History and Information</w:t>
      </w:r>
    </w:p>
    <w:p>
      <w:pPr>
        <w:spacing w:after="0" w:line="154" w:lineRule="exact"/>
        <w:rPr>
          <w:sz w:val="20"/>
          <w:szCs w:val="20"/>
          <w:color w:val="auto"/>
        </w:rPr>
      </w:pPr>
    </w:p>
    <w:p>
      <w:pPr>
        <w:ind w:left="300" w:right="20"/>
        <w:spacing w:after="0" w:line="238" w:lineRule="auto"/>
        <w:rPr>
          <w:sz w:val="20"/>
          <w:szCs w:val="20"/>
          <w:color w:val="auto"/>
        </w:rPr>
      </w:pPr>
      <w:r>
        <w:rPr>
          <w:rFonts w:ascii="Arial" w:cs="Arial" w:eastAsia="Arial" w:hAnsi="Arial"/>
          <w:sz w:val="17"/>
          <w:szCs w:val="17"/>
          <w:color w:val="auto"/>
        </w:rPr>
        <w:t>Tango Therapeutics, Inc. was incorporated in Delaware on May 21, 2020 under the name BCTG Acquisition Corp. On April 13, 2021, BCTG Acquisition Corp., BCTG Merger Sub Inc. and Tango Therapeutics, Inc. (now known as Tango Therapeutics Sub, Inc.) signed a definitive merger agreement (the “Merger Agreement”). Tango Therapeutics, Inc., prior to August 10, 2021, is referred to herein as Old Tango. Pursuant to the Merger Agreement, the business combination (“Business Combination”) was approved on August 9, 2021 by shareholders of BCTG Acquisition Corp. (“BCTG”), resulting in BCTG acquiring 100% of Old Tango’s issued and outstanding equity securities on August 10, 2021. As a result of the Business Combination, Tango Therapeutics, Inc. was renamed Tango Therapeutics Sub, Inc. (and is sometimes referred to as Old Tango) and BCTG was renamed “Tango Therapeutics, Inc.”</w:t>
      </w:r>
    </w:p>
    <w:p>
      <w:pPr>
        <w:spacing w:after="0" w:line="128" w:lineRule="exact"/>
        <w:rPr>
          <w:sz w:val="20"/>
          <w:szCs w:val="20"/>
          <w:color w:val="auto"/>
        </w:rPr>
      </w:pPr>
    </w:p>
    <w:p>
      <w:pPr>
        <w:jc w:val="both"/>
        <w:ind w:left="300" w:right="20"/>
        <w:spacing w:after="0" w:line="249" w:lineRule="auto"/>
        <w:rPr>
          <w:sz w:val="20"/>
          <w:szCs w:val="20"/>
          <w:color w:val="auto"/>
        </w:rPr>
      </w:pPr>
      <w:r>
        <w:rPr>
          <w:rFonts w:ascii="Arial" w:cs="Arial" w:eastAsia="Arial" w:hAnsi="Arial"/>
          <w:sz w:val="17"/>
          <w:szCs w:val="17"/>
          <w:color w:val="auto"/>
        </w:rPr>
        <w:t>Our principal corporate office is located at 201 Brookline Avenue, Suite 900, Boston, MA 02215, and our telephone number is 857-320-4900. Our website address is https://tangotx.com. We do not incorporate the information on or accessible through our website into this prospectus, and you should not consider any information on, or that can be accessed through, our website as part of this prospectus.</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 and a Smaller Reporting Company</w:t>
      </w:r>
    </w:p>
    <w:p>
      <w:pPr>
        <w:spacing w:after="0" w:line="60" w:lineRule="exact"/>
        <w:rPr>
          <w:sz w:val="20"/>
          <w:szCs w:val="20"/>
          <w:color w:val="auto"/>
        </w:rPr>
      </w:pPr>
    </w:p>
    <w:p>
      <w:pPr>
        <w:ind w:left="300"/>
        <w:spacing w:after="0" w:line="238" w:lineRule="auto"/>
        <w:rPr>
          <w:sz w:val="20"/>
          <w:szCs w:val="20"/>
          <w:color w:val="auto"/>
        </w:rPr>
      </w:pPr>
      <w:r>
        <w:rPr>
          <w:rFonts w:ascii="Arial" w:cs="Arial" w:eastAsia="Arial" w:hAnsi="Arial"/>
          <w:sz w:val="17"/>
          <w:szCs w:val="17"/>
          <w:color w:val="auto"/>
        </w:rPr>
        <w:t>We are an “emerging growth company,” under the JOBS Act.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avail ourselves of delayed adoption of new or revised accounting standards and, therefore, we will be subject to the same requirements to adopt new or revised accounting standards as private entities. As an emerging growth company, we may take advantage of certain exemptions and reduced reporting requirements under the JOBS Act. Subject to certain conditions, as an emerging growth company:</w:t>
      </w:r>
    </w:p>
    <w:p>
      <w:pPr>
        <w:spacing w:after="0" w:line="169" w:lineRule="exact"/>
        <w:rPr>
          <w:sz w:val="20"/>
          <w:szCs w:val="20"/>
          <w:color w:val="auto"/>
        </w:rPr>
      </w:pPr>
    </w:p>
    <w:p>
      <w:pPr>
        <w:ind w:left="1120" w:right="520" w:hanging="403"/>
        <w:spacing w:after="0" w:line="254" w:lineRule="auto"/>
        <w:tabs>
          <w:tab w:leader="none" w:pos="112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we may present only two years of audited financial statements and only two years of related Management’s Discussion and Analysis of Financial Condition and Results of Operations in our periodic reports and registration statements;</w:t>
      </w:r>
    </w:p>
    <w:p>
      <w:pPr>
        <w:spacing w:after="0" w:line="4" w:lineRule="exact"/>
        <w:rPr>
          <w:rFonts w:ascii="MS PGothic" w:cs="MS PGothic" w:eastAsia="MS PGothic" w:hAnsi="MS PGothic"/>
          <w:sz w:val="13"/>
          <w:szCs w:val="13"/>
          <w:color w:val="auto"/>
        </w:rPr>
      </w:pPr>
    </w:p>
    <w:p>
      <w:pPr>
        <w:ind w:left="1120" w:right="400" w:hanging="403"/>
        <w:spacing w:after="0" w:line="254" w:lineRule="auto"/>
        <w:tabs>
          <w:tab w:leader="none" w:pos="112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we may avail ourselves of the exemption from providing an auditor’s attestation report on our system of internal controls over financial reporting pursuant to Section 404(b) of the Sarbanes-Oxley Act;</w:t>
      </w:r>
    </w:p>
    <w:p>
      <w:pPr>
        <w:spacing w:after="0" w:line="4" w:lineRule="exact"/>
        <w:rPr>
          <w:rFonts w:ascii="MS PGothic" w:cs="MS PGothic" w:eastAsia="MS PGothic" w:hAnsi="MS PGothic"/>
          <w:sz w:val="13"/>
          <w:szCs w:val="13"/>
          <w:color w:val="auto"/>
        </w:rPr>
      </w:pPr>
    </w:p>
    <w:p>
      <w:pPr>
        <w:ind w:left="1120" w:hanging="403"/>
        <w:spacing w:after="0"/>
        <w:tabs>
          <w:tab w:leader="none" w:pos="112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we may provide reduced disclosure about our executive compensation arrangements; and</w:t>
      </w:r>
    </w:p>
    <w:p>
      <w:pPr>
        <w:spacing w:after="0" w:line="34" w:lineRule="exact"/>
        <w:rPr>
          <w:rFonts w:ascii="MS PGothic" w:cs="MS PGothic" w:eastAsia="MS PGothic" w:hAnsi="MS PGothic"/>
          <w:sz w:val="13"/>
          <w:szCs w:val="13"/>
          <w:color w:val="auto"/>
        </w:rPr>
      </w:pPr>
    </w:p>
    <w:p>
      <w:pPr>
        <w:ind w:left="1120" w:right="520" w:hanging="403"/>
        <w:spacing w:after="0" w:line="267" w:lineRule="auto"/>
        <w:tabs>
          <w:tab w:leader="none" w:pos="112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we may not require nonbinding advisory votes on executive compensation or stockholder approval of any golden parachute payments.</w:t>
      </w:r>
    </w:p>
    <w:p>
      <w:pPr>
        <w:spacing w:after="0" w:line="51" w:lineRule="exact"/>
        <w:rPr>
          <w:sz w:val="20"/>
          <w:szCs w:val="20"/>
          <w:color w:val="auto"/>
        </w:rPr>
      </w:pPr>
    </w:p>
    <w:p>
      <w:pPr>
        <w:ind w:left="300" w:right="200"/>
        <w:spacing w:after="0" w:line="244" w:lineRule="auto"/>
        <w:rPr>
          <w:sz w:val="20"/>
          <w:szCs w:val="20"/>
          <w:color w:val="auto"/>
        </w:rPr>
      </w:pPr>
      <w:r>
        <w:rPr>
          <w:rFonts w:ascii="Arial" w:cs="Arial" w:eastAsia="Arial" w:hAnsi="Arial"/>
          <w:sz w:val="17"/>
          <w:szCs w:val="17"/>
          <w:color w:val="auto"/>
        </w:rPr>
        <w:t>We will remain an emerging growth company until the earliest of (i) December 31, 2025, (ii) the last day of the fiscal year in which we have total annual gross revenues of $1.07 billion or more,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provided we have been</w:t>
      </w:r>
    </w:p>
    <w:p>
      <w:pPr>
        <w:spacing w:after="0" w:line="307"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S-2</w:t>
      </w:r>
    </w:p>
    <w:p>
      <w:pPr>
        <w:sectPr>
          <w:pgSz w:w="11900" w:h="16838" w:orient="portrait"/>
          <w:cols w:equalWidth="0" w:num="1">
            <w:col w:w="10940"/>
          </w:cols>
          <w:pgMar w:left="320" w:top="455" w:right="6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1658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6998970" cy="16586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subject to the Exchange Act for at least 12 calendar months and have filed at least one annual report pursuant to the Exchange Act or</w:t>
      </w:r>
    </w:p>
    <w:p>
      <w:pPr>
        <w:spacing w:after="0" w:line="10" w:lineRule="exact"/>
        <w:rPr>
          <w:sz w:val="20"/>
          <w:szCs w:val="20"/>
          <w:color w:val="auto"/>
        </w:rPr>
      </w:pPr>
    </w:p>
    <w:p>
      <w:pPr>
        <w:ind w:left="300" w:right="300" w:hanging="2"/>
        <w:spacing w:after="0" w:line="248" w:lineRule="auto"/>
        <w:tabs>
          <w:tab w:leader="none" w:pos="585"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date on which we have issued more than $1.0 billion in non-convertible debt securities during the prior three-year period. We may choose to take advantage of some but not all of these exemptions.</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We are also a “smaller reporting company,” meaning that the market value of our stock held by non-affiliates is less than $700 million and our</w:t>
      </w:r>
    </w:p>
    <w:p>
      <w:pPr>
        <w:spacing w:after="0" w:line="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annual revenue was less than $100 million during the most recently completed fiscal year. We may continue to be a smaller reporting</w:t>
      </w:r>
    </w:p>
    <w:p>
      <w:pPr>
        <w:ind w:left="300"/>
        <w:spacing w:after="0" w:line="232" w:lineRule="auto"/>
        <w:rPr>
          <w:sz w:val="20"/>
          <w:szCs w:val="20"/>
          <w:color w:val="auto"/>
        </w:rPr>
      </w:pPr>
      <w:r>
        <w:rPr>
          <w:rFonts w:ascii="Arial" w:cs="Arial" w:eastAsia="Arial" w:hAnsi="Arial"/>
          <w:sz w:val="17"/>
          <w:szCs w:val="17"/>
          <w:color w:val="auto"/>
        </w:rPr>
        <w:t>company if either (i) the market value of our stock held by non-affiliates is less than $250 million or (ii) our annual revenue was less than</w:t>
      </w:r>
    </w:p>
    <w:p>
      <w:pPr>
        <w:ind w:left="300"/>
        <w:spacing w:after="0" w:line="232" w:lineRule="auto"/>
        <w:rPr>
          <w:sz w:val="20"/>
          <w:szCs w:val="20"/>
          <w:color w:val="auto"/>
        </w:rPr>
      </w:pPr>
      <w:r>
        <w:rPr>
          <w:rFonts w:ascii="Arial" w:cs="Arial" w:eastAsia="Arial" w:hAnsi="Arial"/>
          <w:sz w:val="17"/>
          <w:szCs w:val="17"/>
          <w:color w:val="auto"/>
        </w:rPr>
        <w:t>$100 million during the most recently completed fiscal year and the market value of our stock held by non-affiliates is less than $700 million.</w:t>
      </w:r>
    </w:p>
    <w:p>
      <w:pPr>
        <w:ind w:left="300"/>
        <w:spacing w:after="0" w:line="232" w:lineRule="auto"/>
        <w:rPr>
          <w:sz w:val="20"/>
          <w:szCs w:val="20"/>
          <w:color w:val="auto"/>
        </w:rPr>
      </w:pPr>
      <w:r>
        <w:rPr>
          <w:rFonts w:ascii="Arial" w:cs="Arial" w:eastAsia="Arial" w:hAnsi="Arial"/>
          <w:sz w:val="17"/>
          <w:szCs w:val="17"/>
          <w:color w:val="auto"/>
        </w:rPr>
        <w:t>If we are a smaller reporting company at the time we cease to be an emerging growth company, we may continue to rely on exemptions from</w:t>
      </w:r>
    </w:p>
    <w:p>
      <w:pPr>
        <w:ind w:left="300"/>
        <w:spacing w:after="0" w:line="232" w:lineRule="auto"/>
        <w:rPr>
          <w:sz w:val="20"/>
          <w:szCs w:val="20"/>
          <w:color w:val="auto"/>
        </w:rPr>
      </w:pPr>
      <w:r>
        <w:rPr>
          <w:rFonts w:ascii="Arial" w:cs="Arial" w:eastAsia="Arial" w:hAnsi="Arial"/>
          <w:sz w:val="17"/>
          <w:szCs w:val="17"/>
          <w:color w:val="auto"/>
        </w:rPr>
        <w:t>certain disclosure requirements that are available to smaller reporting companies. Specifically, as a smaller reporting company we may</w:t>
      </w:r>
    </w:p>
    <w:p>
      <w:pPr>
        <w:ind w:left="300"/>
        <w:spacing w:after="0" w:line="232" w:lineRule="auto"/>
        <w:rPr>
          <w:sz w:val="20"/>
          <w:szCs w:val="20"/>
          <w:color w:val="auto"/>
        </w:rPr>
      </w:pPr>
      <w:r>
        <w:rPr>
          <w:rFonts w:ascii="Arial" w:cs="Arial" w:eastAsia="Arial" w:hAnsi="Arial"/>
          <w:sz w:val="17"/>
          <w:szCs w:val="17"/>
          <w:color w:val="auto"/>
        </w:rPr>
        <w:t>choose to present only the two most recent fiscal years of audited financial statements in our Annual Report on Form 10-K and, similar to</w:t>
      </w:r>
    </w:p>
    <w:p>
      <w:pPr>
        <w:ind w:left="300"/>
        <w:spacing w:after="0"/>
        <w:rPr>
          <w:sz w:val="20"/>
          <w:szCs w:val="20"/>
          <w:color w:val="auto"/>
        </w:rPr>
      </w:pPr>
      <w:r>
        <w:rPr>
          <w:rFonts w:ascii="Arial" w:cs="Arial" w:eastAsia="Arial" w:hAnsi="Arial"/>
          <w:sz w:val="17"/>
          <w:szCs w:val="17"/>
          <w:color w:val="auto"/>
        </w:rPr>
        <w:t>emerging growth companies, smaller reporting companies have reduced disclosure obligations regarding executive compensation.</w:t>
      </w:r>
    </w:p>
    <w:p>
      <w:pPr>
        <w:spacing w:after="0" w:line="310"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S-3</w:t>
      </w:r>
    </w:p>
    <w:p>
      <w:pPr>
        <w:sectPr>
          <w:pgSz w:w="11900" w:h="16838" w:orient="portrait"/>
          <w:cols w:equalWidth="0" w:num="1">
            <w:col w:w="10940"/>
          </w:cols>
          <w:pgMar w:left="320" w:top="455" w:right="6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87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6998970" cy="59874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THE OFFERING</w:t>
      </w:r>
    </w:p>
    <w:p>
      <w:pPr>
        <w:sectPr>
          <w:pgSz w:w="11900" w:h="16838" w:orient="portrait"/>
          <w:cols w:equalWidth="0" w:num="1">
            <w:col w:w="10940"/>
          </w:cols>
          <w:pgMar w:left="320" w:top="455" w:right="639" w:bottom="1440" w:gutter="0" w:footer="0" w:header="0"/>
        </w:sectPr>
      </w:pPr>
    </w:p>
    <w:p>
      <w:pPr>
        <w:spacing w:after="0" w:line="368"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Common stock offered by us</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color w:val="auto"/>
        </w:rPr>
        <w:t>Shares of our common stock having an aggregate offering price of up to $100,000,000.</w:t>
      </w:r>
    </w:p>
    <w:p>
      <w:pPr>
        <w:spacing w:after="0" w:line="200"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spacing w:after="0" w:line="10" w:lineRule="exact"/>
        <w:rPr>
          <w:sz w:val="20"/>
          <w:szCs w:val="20"/>
          <w:color w:val="auto"/>
        </w:rPr>
      </w:pPr>
    </w:p>
    <w:p>
      <w:pPr>
        <w:ind w:left="380" w:hanging="78"/>
        <w:spacing w:after="0" w:line="280" w:lineRule="auto"/>
        <w:rPr>
          <w:sz w:val="20"/>
          <w:szCs w:val="20"/>
          <w:color w:val="auto"/>
        </w:rPr>
      </w:pPr>
      <w:r>
        <w:rPr>
          <w:rFonts w:ascii="Arial" w:cs="Arial" w:eastAsia="Arial" w:hAnsi="Arial"/>
          <w:sz w:val="17"/>
          <w:szCs w:val="17"/>
          <w:b w:val="1"/>
          <w:bCs w:val="1"/>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241" w:lineRule="auto"/>
        <w:rPr>
          <w:sz w:val="20"/>
          <w:szCs w:val="20"/>
          <w:color w:val="auto"/>
        </w:rPr>
      </w:pPr>
      <w:r>
        <w:rPr>
          <w:rFonts w:ascii="Arial" w:cs="Arial" w:eastAsia="Arial" w:hAnsi="Arial"/>
          <w:sz w:val="17"/>
          <w:szCs w:val="17"/>
          <w:color w:val="auto"/>
        </w:rPr>
        <w:t>Up to 112,388,192 shares, assuming sales of 24,390,243 shares of our common stock in this offering at an offering price of $4.10 per share, which was the last reported sale price of our common stock on The Nasdaq Global Market on August 31, 2022. The actual number of shares of common stock issued will vary depending on the sales price under this offering.</w:t>
      </w:r>
    </w:p>
    <w:p>
      <w:pPr>
        <w:spacing w:after="0" w:line="166" w:lineRule="exact"/>
        <w:rPr>
          <w:sz w:val="20"/>
          <w:szCs w:val="20"/>
          <w:color w:val="auto"/>
        </w:rPr>
      </w:pPr>
    </w:p>
    <w:p>
      <w:pPr>
        <w:sectPr>
          <w:pgSz w:w="11900" w:h="16838" w:orient="portrait"/>
          <w:cols w:equalWidth="0" w:num="2">
            <w:col w:w="3780" w:space="560"/>
            <w:col w:w="6600"/>
          </w:cols>
          <w:pgMar w:left="320" w:top="455" w:right="639" w:bottom="1440" w:gutter="0" w:footer="0" w:header="0"/>
          <w:type w:val="continuous"/>
        </w:sectPr>
      </w:pPr>
    </w:p>
    <w:p>
      <w:pPr>
        <w:ind w:left="300"/>
        <w:spacing w:after="0"/>
        <w:rPr>
          <w:sz w:val="20"/>
          <w:szCs w:val="20"/>
          <w:color w:val="auto"/>
        </w:rPr>
      </w:pPr>
      <w:r>
        <w:rPr>
          <w:rFonts w:ascii="Arial" w:cs="Arial" w:eastAsia="Arial" w:hAnsi="Arial"/>
          <w:sz w:val="17"/>
          <w:szCs w:val="17"/>
          <w:b w:val="1"/>
          <w:bCs w:val="1"/>
          <w:color w:val="auto"/>
        </w:rPr>
        <w:t>Plan of Distribution</w:t>
      </w:r>
    </w:p>
    <w:p>
      <w:pPr>
        <w:spacing w:after="0" w:line="20" w:lineRule="exact"/>
        <w:rPr>
          <w:sz w:val="20"/>
          <w:szCs w:val="20"/>
          <w:color w:val="auto"/>
        </w:rPr>
      </w:pPr>
      <w:r>
        <w:rPr>
          <w:sz w:val="20"/>
          <w:szCs w:val="20"/>
          <w:color w:val="auto"/>
        </w:rPr>
        <w:br w:type="column"/>
      </w:r>
    </w:p>
    <w:p>
      <w:pPr>
        <w:ind w:right="120"/>
        <w:spacing w:after="0" w:line="244" w:lineRule="auto"/>
        <w:rPr>
          <w:sz w:val="20"/>
          <w:szCs w:val="20"/>
          <w:color w:val="auto"/>
        </w:rPr>
      </w:pPr>
      <w:r>
        <w:rPr>
          <w:rFonts w:ascii="Arial" w:cs="Arial" w:eastAsia="Arial" w:hAnsi="Arial"/>
          <w:sz w:val="17"/>
          <w:szCs w:val="17"/>
          <w:color w:val="auto"/>
        </w:rPr>
        <w:t>“At the market offering” that may be made from time to time on The Nasdaq Global Market or such other national securities exchange on which our common stock is then listed, through our sales agent, Jefferies LLC. See the section entitled “Plan of Distribution” on page S-11 of this prospectus.</w:t>
      </w:r>
    </w:p>
    <w:p>
      <w:pPr>
        <w:spacing w:after="0" w:line="164"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ind w:left="300"/>
        <w:spacing w:after="0"/>
        <w:rPr>
          <w:sz w:val="20"/>
          <w:szCs w:val="20"/>
          <w:color w:val="auto"/>
        </w:rPr>
      </w:pPr>
      <w:r>
        <w:rPr>
          <w:rFonts w:ascii="Arial" w:cs="Arial" w:eastAsia="Arial" w:hAnsi="Arial"/>
          <w:sz w:val="17"/>
          <w:szCs w:val="17"/>
          <w:b w:val="1"/>
          <w:bCs w:val="1"/>
          <w:color w:val="auto"/>
        </w:rPr>
        <w:t>Use of Proceeds</w:t>
      </w:r>
    </w:p>
    <w:p>
      <w:pPr>
        <w:spacing w:after="0" w:line="20" w:lineRule="exact"/>
        <w:rPr>
          <w:sz w:val="20"/>
          <w:szCs w:val="20"/>
          <w:color w:val="auto"/>
        </w:rPr>
      </w:pPr>
      <w:r>
        <w:rPr>
          <w:sz w:val="20"/>
          <w:szCs w:val="20"/>
          <w:color w:val="auto"/>
        </w:rPr>
        <w:br w:type="column"/>
      </w:r>
    </w:p>
    <w:p>
      <w:pPr>
        <w:ind w:right="80"/>
        <w:spacing w:after="0" w:line="237" w:lineRule="auto"/>
        <w:rPr>
          <w:sz w:val="20"/>
          <w:szCs w:val="20"/>
          <w:color w:val="auto"/>
        </w:rPr>
      </w:pPr>
      <w:r>
        <w:rPr>
          <w:rFonts w:ascii="Arial" w:cs="Arial" w:eastAsia="Arial" w:hAnsi="Arial"/>
          <w:sz w:val="17"/>
          <w:szCs w:val="17"/>
          <w:color w:val="auto"/>
        </w:rPr>
        <w:t>We currently intend to use the net proceeds from the sale of any security under this prospectus primarily for general corporate purposes, including funding working capital, operating expenses and to fund the research and development of our product candidates, including manufacturing and clinical trial expenses. We may also use the proceeds to make acquisitions or investments in businesses, products or technologies that are complementary to our own, although we have no current plans, commitments or agreements with respect to any acquisitions as of the date of this prospectus. See “Use of Proceeds” on page S-7 of this prospectus.</w:t>
      </w:r>
    </w:p>
    <w:p>
      <w:pPr>
        <w:spacing w:after="0" w:line="170"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ind w:left="300"/>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ind w:right="80"/>
        <w:spacing w:after="0" w:line="244" w:lineRule="auto"/>
        <w:rPr>
          <w:sz w:val="20"/>
          <w:szCs w:val="20"/>
          <w:color w:val="auto"/>
        </w:rPr>
      </w:pPr>
      <w:r>
        <w:rPr>
          <w:rFonts w:ascii="Arial" w:cs="Arial" w:eastAsia="Arial" w:hAnsi="Arial"/>
          <w:sz w:val="17"/>
          <w:szCs w:val="17"/>
          <w:color w:val="auto"/>
        </w:rPr>
        <w:t>You should read the “Risk Factors” section of this prospectus beginning on page S-5 and other information included in, or incorporated by reference into, this prospectus for a discussion of factors to consider before deciding to purchase shares of our common stock.</w:t>
      </w:r>
    </w:p>
    <w:p>
      <w:pPr>
        <w:spacing w:after="0" w:line="164"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ind w:left="300"/>
        <w:spacing w:after="0"/>
        <w:rPr>
          <w:sz w:val="20"/>
          <w:szCs w:val="20"/>
          <w:color w:val="auto"/>
        </w:rPr>
      </w:pPr>
      <w:r>
        <w:rPr>
          <w:rFonts w:ascii="Arial" w:cs="Arial" w:eastAsia="Arial" w:hAnsi="Arial"/>
          <w:sz w:val="17"/>
          <w:szCs w:val="17"/>
          <w:b w:val="1"/>
          <w:bCs w:val="1"/>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“TNGX”</w:t>
      </w:r>
    </w:p>
    <w:p>
      <w:pPr>
        <w:spacing w:after="0" w:line="180"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ind w:left="300" w:right="640"/>
        <w:spacing w:after="0" w:line="267" w:lineRule="auto"/>
        <w:rPr>
          <w:sz w:val="20"/>
          <w:szCs w:val="20"/>
          <w:color w:val="auto"/>
        </w:rPr>
      </w:pPr>
      <w:r>
        <w:rPr>
          <w:rFonts w:ascii="Arial" w:cs="Arial" w:eastAsia="Arial" w:hAnsi="Arial"/>
          <w:sz w:val="17"/>
          <w:szCs w:val="17"/>
          <w:color w:val="auto"/>
        </w:rPr>
        <w:t>The number of shares of our common stock to be outstanding after this offering is based on 87,997,949 shares of our common stock outstanding as of June 30, 2022 and excludes:</w:t>
      </w:r>
    </w:p>
    <w:p>
      <w:pPr>
        <w:spacing w:after="0" w:line="146" w:lineRule="exact"/>
        <w:rPr>
          <w:sz w:val="20"/>
          <w:szCs w:val="20"/>
          <w:color w:val="auto"/>
        </w:rPr>
      </w:pPr>
    </w:p>
    <w:p>
      <w:pPr>
        <w:ind w:left="1120" w:right="180" w:hanging="403"/>
        <w:spacing w:after="0" w:line="254" w:lineRule="auto"/>
        <w:tabs>
          <w:tab w:leader="none" w:pos="112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12,434,211 shares of common stock issuable upon the exercise of stock options outstanding as of June 30, 2022, at a weighted average exercise price of $6.56 per share;</w:t>
      </w:r>
    </w:p>
    <w:p>
      <w:pPr>
        <w:spacing w:after="0" w:line="4" w:lineRule="exact"/>
        <w:rPr>
          <w:rFonts w:ascii="MS PGothic" w:cs="MS PGothic" w:eastAsia="MS PGothic" w:hAnsi="MS PGothic"/>
          <w:sz w:val="13"/>
          <w:szCs w:val="13"/>
          <w:color w:val="auto"/>
        </w:rPr>
      </w:pPr>
    </w:p>
    <w:p>
      <w:pPr>
        <w:ind w:left="1120" w:right="500" w:hanging="403"/>
        <w:spacing w:after="0" w:line="254" w:lineRule="auto"/>
        <w:tabs>
          <w:tab w:leader="none" w:pos="112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211,625 shares of common stock issuable upon the exercise of stock options granted subsequent to June 30, 2022 through August 31, 2022, at a weighted average exercise price of $4.65 per share;</w:t>
      </w:r>
    </w:p>
    <w:p>
      <w:pPr>
        <w:spacing w:after="0" w:line="4" w:lineRule="exact"/>
        <w:rPr>
          <w:rFonts w:ascii="MS PGothic" w:cs="MS PGothic" w:eastAsia="MS PGothic" w:hAnsi="MS PGothic"/>
          <w:sz w:val="13"/>
          <w:szCs w:val="13"/>
          <w:color w:val="auto"/>
        </w:rPr>
      </w:pPr>
    </w:p>
    <w:p>
      <w:pPr>
        <w:ind w:left="1120" w:right="220" w:hanging="403"/>
        <w:spacing w:after="0" w:line="247" w:lineRule="auto"/>
        <w:tabs>
          <w:tab w:leader="none" w:pos="112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7,049,248 shares of common stock available for future issuance under our 2021 Stock Option and Incentive Plan (the “2021 Plan”) as of June 30, 2022, as well as any automatic increases in the number of shares of common stock reserved for issuance under the 2021 Plan; and</w:t>
      </w:r>
    </w:p>
    <w:p>
      <w:pPr>
        <w:spacing w:after="0" w:line="3" w:lineRule="exact"/>
        <w:rPr>
          <w:rFonts w:ascii="MS PGothic" w:cs="MS PGothic" w:eastAsia="MS PGothic" w:hAnsi="MS PGothic"/>
          <w:sz w:val="13"/>
          <w:szCs w:val="13"/>
          <w:color w:val="auto"/>
        </w:rPr>
      </w:pPr>
    </w:p>
    <w:p>
      <w:pPr>
        <w:ind w:left="1120" w:right="100" w:hanging="403"/>
        <w:spacing w:after="0" w:line="249" w:lineRule="auto"/>
        <w:tabs>
          <w:tab w:leader="none" w:pos="112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1,782,784 shares of common stock available for future issuance under our 2021 Employee Stock Purchase Plan (the “ESPP”) as of June 30, 2022, as well as any automatic increases in the number of shares of common stock reserved for issuance under the ESPP.</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Except as otherwise noted, the information in this prospectus assumes no exercise of outstanding stock options described above.</w:t>
      </w:r>
    </w:p>
    <w:p>
      <w:pPr>
        <w:spacing w:after="0" w:line="326"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S-4</w:t>
      </w:r>
    </w:p>
    <w:p>
      <w:pPr>
        <w:sectPr>
          <w:pgSz w:w="11900" w:h="16838" w:orient="portrait"/>
          <w:cols w:equalWidth="0" w:num="1">
            <w:col w:w="10940"/>
          </w:cols>
          <w:pgMar w:left="320" w:top="455" w:right="6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318"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i w:val="1"/>
          <w:iCs w:val="1"/>
          <w:color w:val="auto"/>
        </w:rPr>
        <w:t>Investing in our common stock involves a high degree of risk. Before you decide to invest in our common stock, you should carefully consider the risks and uncertainties described below and in Part I, Item 1A “Risk Factors” of our most recent annual report on Form 10-K, and any subsequent Quarterly Reports on Form 10-Q or Current Reports on Form 8-K we file after the date of this prospectus, together with all other information contained in this prospectus and in our filings with the SEC that we have incorporated by reference in this prospectus. If any of the following risks actually occur, our business, financial condition or results of operations could be adversely affected, which, in turn, could have a negative impact on the price of our common stock. In these circumstances, the market price of our common stock could decline, and you may lose all or part of your investment. Moreover, the risks described are not the only ones that we face. Additional risks not presently known to us or that we currently believe are immaterial may also significantly impair our business operations. Please also read carefully the section above titled “Cautionary Note Regarding Forward-Looking Statements.”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Risks Related to Our Common Stock and This Offering</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If you purchase shares of common stock in this offering, you may suffer immediate and substantial dilution of your investment.</w:t>
      </w:r>
    </w:p>
    <w:p>
      <w:pPr>
        <w:spacing w:after="0" w:line="37"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The price per share of our common stock in this offering may exceed the net tangible book value per share of our common stock outstanding prior to this offering. Therefore, if you purchase shares of our common stock in this offering, you may pay a price per share that substantially exceeds our net tangible book value per share after this offering. To the extent shares are issued under outstanding options at exercise prices lower than the price of our common stock in this offering, you will incur further dilution. Assuming that an aggregate of 24,390,243 shares of our common stock are sold at a price of $4.10 per share, the last reported sale price of our common stock on The Nasdaq Global Market on August 31, 2022, for aggregate proceeds to us of approximately $96,666,420 after deducting commissions and estimated aggregate offering expenses payable by us, you will experience immediate dilution of $0.58 per share, representing the difference between our as adjusted net tangible book value per share as of June 30, 2022 after giving effect to this offering and the assumed offering price. See the section entitled “Dilution” below for a more detailed illustration of the dilution you would incur if you participate in this offering.</w:t>
      </w:r>
    </w:p>
    <w:p>
      <w:pPr>
        <w:spacing w:after="0" w:line="51" w:lineRule="exact"/>
        <w:rPr>
          <w:sz w:val="20"/>
          <w:szCs w:val="20"/>
          <w:color w:val="auto"/>
        </w:rPr>
      </w:pPr>
    </w:p>
    <w:p>
      <w:pPr>
        <w:ind w:left="120" w:right="140"/>
        <w:spacing w:after="0" w:line="258" w:lineRule="auto"/>
        <w:rPr>
          <w:sz w:val="20"/>
          <w:szCs w:val="20"/>
          <w:color w:val="auto"/>
        </w:rPr>
      </w:pPr>
      <w:r>
        <w:rPr>
          <w:rFonts w:ascii="Arial" w:cs="Arial" w:eastAsia="Arial" w:hAnsi="Arial"/>
          <w:sz w:val="17"/>
          <w:szCs w:val="17"/>
          <w:b w:val="1"/>
          <w:bCs w:val="1"/>
          <w:i w:val="1"/>
          <w:iCs w:val="1"/>
          <w:color w:val="auto"/>
        </w:rPr>
        <w:t>We have broad discretion in the use of the net proceeds from this offering and may use them in ways that you and other stockholders may not approve.</w:t>
      </w:r>
    </w:p>
    <w:p>
      <w:pPr>
        <w:spacing w:after="0" w:line="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currently expect to use the net proceeds of this offering for working capital, capital expenditures and other general corporate purposes, including to fund the research and development of our product candidates. Because of the number and variability of factors that will determine our use of the net proceeds from this offering, their ultimate use may vary substantially from their currently intended use. Our management will have broad discretion in the application of the net proceeds from this offering and you will not have the opportunity as part of your investment decision to assess whether the net proceeds are being used appropriately. Our management might not spend the net proceeds in ways that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their use, we may invest the net proceeds from this offering in a manner that does not produce income or that loses value. See “Use of Proceeds.”</w:t>
      </w:r>
    </w:p>
    <w:p>
      <w:pPr>
        <w:spacing w:after="0" w:line="5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You may experience future dilution as a result of future equity offerings.</w:t>
      </w:r>
    </w:p>
    <w:p>
      <w:pPr>
        <w:spacing w:after="0" w:line="37"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S-5</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6" w:lineRule="exact"/>
        <w:rPr>
          <w:sz w:val="20"/>
          <w:szCs w:val="20"/>
          <w:color w:val="auto"/>
        </w:rPr>
      </w:pPr>
    </w:p>
    <w:p>
      <w:pPr>
        <w:ind w:left="120" w:right="40"/>
        <w:spacing w:after="0" w:line="260" w:lineRule="auto"/>
        <w:rPr>
          <w:sz w:val="20"/>
          <w:szCs w:val="20"/>
          <w:color w:val="auto"/>
        </w:rPr>
      </w:pPr>
      <w:r>
        <w:rPr>
          <w:rFonts w:ascii="Arial" w:cs="Arial" w:eastAsia="Arial" w:hAnsi="Arial"/>
          <w:sz w:val="17"/>
          <w:szCs w:val="17"/>
          <w:b w:val="1"/>
          <w:bCs w:val="1"/>
          <w:i w:val="1"/>
          <w:iCs w:val="1"/>
          <w:color w:val="auto"/>
        </w:rPr>
        <w:t>Future sales or issuances of our common stock in the public markets, or the perception of such sales, could depress the trading price of our common stock.</w:t>
      </w:r>
    </w:p>
    <w:p>
      <w:pPr>
        <w:jc w:val="both"/>
        <w:ind w:left="120" w:right="20"/>
        <w:spacing w:after="0" w:line="239" w:lineRule="auto"/>
        <w:rPr>
          <w:sz w:val="20"/>
          <w:szCs w:val="20"/>
          <w:color w:val="auto"/>
        </w:rPr>
      </w:pPr>
      <w:r>
        <w:rPr>
          <w:rFonts w:ascii="Arial" w:cs="Arial" w:eastAsia="Arial" w:hAnsi="Arial"/>
          <w:sz w:val="17"/>
          <w:szCs w:val="17"/>
          <w:color w:val="auto"/>
        </w:rPr>
        <w:t>The sale of a substantial number of shares of our common stock or other securities convertible into or exchangeable for our common stock in the public markets, or the perception that such sales could occur, could depress the market price of our common stock and impair our ability to raise capital through the sale of additional equity securities. We may sell large quantities of our common stock at any time pursuant to this prospectus or in one or more separate offerings. We cannot predict the effect that future sales of common stock or other equity-related securities would have on the market price of our common stock.</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actual number of shares we will issue and gross proceeds resulting from those sales, at any one time or in total, is uncertain.</w:t>
      </w:r>
    </w:p>
    <w:p>
      <w:pPr>
        <w:spacing w:after="0" w:line="39" w:lineRule="exact"/>
        <w:rPr>
          <w:sz w:val="20"/>
          <w:szCs w:val="20"/>
          <w:color w:val="auto"/>
        </w:rPr>
      </w:pPr>
    </w:p>
    <w:p>
      <w:pPr>
        <w:ind w:left="120" w:right="120"/>
        <w:spacing w:after="0" w:line="238" w:lineRule="auto"/>
        <w:rPr>
          <w:sz w:val="20"/>
          <w:szCs w:val="20"/>
          <w:color w:val="auto"/>
        </w:rPr>
      </w:pPr>
      <w:r>
        <w:rPr>
          <w:rFonts w:ascii="Arial" w:cs="Arial" w:eastAsia="Arial" w:hAnsi="Arial"/>
          <w:sz w:val="17"/>
          <w:szCs w:val="17"/>
          <w:color w:val="auto"/>
        </w:rPr>
        <w:t>Subject to certain limitations in the sales agreement and compliance with applicable law, we have the discretion to deliver a placement notice to Jefferies at any time throughout the term of the sales agreement. The number of shares that are sold by Jefferies after delivering a placement notice will fluctuate based on the market price of our common stock during the sales period and limits we set with Jefferies in any instruction to sell shares, and the demand for our common stock during the sales period. Because the price per share of each share sold will fluctuate based on the market price of our common stock during the sales period, it is not possible at this stage to predict the number of shares or the gross proceeds to be raised in connection with those sales, if any, that will be ultimately issued.</w:t>
      </w:r>
    </w:p>
    <w:p>
      <w:pPr>
        <w:spacing w:after="0" w:line="33" w:lineRule="exact"/>
        <w:rPr>
          <w:sz w:val="20"/>
          <w:szCs w:val="20"/>
          <w:color w:val="auto"/>
        </w:rPr>
      </w:pPr>
    </w:p>
    <w:p>
      <w:pPr>
        <w:ind w:left="120" w:right="160"/>
        <w:spacing w:after="0" w:line="260" w:lineRule="auto"/>
        <w:rPr>
          <w:sz w:val="20"/>
          <w:szCs w:val="20"/>
          <w:color w:val="auto"/>
        </w:rPr>
      </w:pPr>
      <w:r>
        <w:rPr>
          <w:rFonts w:ascii="Arial" w:cs="Arial" w:eastAsia="Arial" w:hAnsi="Arial"/>
          <w:sz w:val="17"/>
          <w:szCs w:val="17"/>
          <w:b w:val="1"/>
          <w:bCs w:val="1"/>
          <w:i w:val="1"/>
          <w:iCs w:val="1"/>
          <w:color w:val="auto"/>
        </w:rPr>
        <w:t>The common stock offered hereby will be sold in “at the market offerings,” and investors who buy shares at different times will likely pay different prices.</w:t>
      </w:r>
    </w:p>
    <w:p>
      <w:pPr>
        <w:ind w:left="120"/>
        <w:spacing w:after="0" w:line="241" w:lineRule="auto"/>
        <w:rPr>
          <w:sz w:val="20"/>
          <w:szCs w:val="20"/>
          <w:color w:val="auto"/>
        </w:rPr>
      </w:pPr>
      <w:r>
        <w:rPr>
          <w:rFonts w:ascii="Arial" w:cs="Arial" w:eastAsia="Arial" w:hAnsi="Arial"/>
          <w:sz w:val="17"/>
          <w:szCs w:val="17"/>
          <w:color w:val="auto"/>
        </w:rPr>
        <w:t>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S-6</w:t>
      </w:r>
    </w:p>
    <w:p>
      <w:pPr>
        <w:sectPr>
          <w:pgSz w:w="11900" w:h="16838" w:orient="portrait"/>
          <w:cols w:equalWidth="0" w:num="1">
            <w:col w:w="11060"/>
          </w:cols>
          <w:pgMar w:left="320" w:top="455" w:right="5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316" w:lineRule="exact"/>
        <w:rPr>
          <w:sz w:val="20"/>
          <w:szCs w:val="20"/>
          <w:color w:val="auto"/>
        </w:rPr>
      </w:pPr>
    </w:p>
    <w:p>
      <w:pPr>
        <w:ind w:left="120" w:right="320"/>
        <w:spacing w:after="0" w:line="244" w:lineRule="auto"/>
        <w:rPr>
          <w:sz w:val="20"/>
          <w:szCs w:val="20"/>
          <w:color w:val="auto"/>
        </w:rPr>
      </w:pPr>
      <w:r>
        <w:rPr>
          <w:rFonts w:ascii="Arial" w:cs="Arial" w:eastAsia="Arial" w:hAnsi="Arial"/>
          <w:sz w:val="17"/>
          <w:szCs w:val="17"/>
          <w:color w:val="auto"/>
        </w:rPr>
        <w:t>We may issue and sell shares of our common stock having aggregate sales proceeds of up to $100,000,000 from time to time under this prospectus. The amount of the net proceeds to us from this offering will depend upon the number of shares of our common stock sold and the price at which they are sold. There can be no assurance that we will be able to sell any shares under or fully utilize the sales agreement with Jefferies.</w:t>
      </w:r>
    </w:p>
    <w:p>
      <w:pPr>
        <w:spacing w:after="0" w:line="123"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We currently intend to use the net proceeds from the sale of any security under this prospectus primarily for general corporate purposes, including funding working capital, operating expenses and to fund the research and development of our product candidates, including manufacturing and clinical trial expenses. We may also use the proceeds to make acquisitions or investments in businesses, products or technologies that are complementary to our own, although we have no current plans, commitments or agreements with respect to any acquisitions as of the date of this prospectus. Pending these uses, we may invest the net proceeds from this offering in short-term U.S. Treasury securities or other securities in accordance with our investment policy, or may hold such proceeds as cash, until they are used for their stated purpose. We have not determined the amount of net proceeds to be used specifically for such purposes. As a result, management will retain broad discretion over the allocation of net proceeds.</w:t>
      </w:r>
    </w:p>
    <w:p>
      <w:pPr>
        <w:spacing w:after="0" w:line="130"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The expected use of net proceeds from this offering represents our intentions based upon our current plans and business conditions, which could change in the future as our plans and business conditions evolve. We have not determined the amounts we plan to spend on any of the areas listed above or the timing of these expenditures. The amounts and timing of our actual expenditures may vary significantly depending on numerous factors, including the actual net proceeds from this offering (which will depend on the market price of our common stock during the sales period, any limits we may set with Jefferies in any applicable placement notice and the demand for our common stock), the progress of our development, the status of and results from clinical trials and collaborations that we may enter into with third parties for our product candidates and any unforeseen cash needs, including the factors described under “Risk Factors” in this prospectus and in the documents incorporated by reference herein. As a result, our management will retain broad discretion over the allocation of the net proceeds from this offering. We may find it necessary or advisable to use the net proceeds from this offering for other purposes, and we will have broad discretion in the application of net proceeds.</w:t>
      </w:r>
    </w:p>
    <w:p>
      <w:pPr>
        <w:spacing w:after="0" w:line="130" w:lineRule="exact"/>
        <w:rPr>
          <w:sz w:val="20"/>
          <w:szCs w:val="20"/>
          <w:color w:val="auto"/>
        </w:rPr>
      </w:pPr>
    </w:p>
    <w:p>
      <w:pPr>
        <w:ind w:left="120" w:right="160"/>
        <w:spacing w:after="0" w:line="267" w:lineRule="auto"/>
        <w:rPr>
          <w:sz w:val="20"/>
          <w:szCs w:val="20"/>
          <w:color w:val="auto"/>
        </w:rPr>
      </w:pPr>
      <w:r>
        <w:rPr>
          <w:rFonts w:ascii="Arial" w:cs="Arial" w:eastAsia="Arial" w:hAnsi="Arial"/>
          <w:sz w:val="17"/>
          <w:szCs w:val="17"/>
          <w:color w:val="auto"/>
        </w:rPr>
        <w:t>We do not expect that the net proceeds from this offering, together with our existing cash, cash equivalents and investments, will be sufficient to enable us to fund the completion of development of any of our product candidates.</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S-7</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316" w:lineRule="exact"/>
        <w:rPr>
          <w:sz w:val="20"/>
          <w:szCs w:val="20"/>
          <w:color w:val="auto"/>
        </w:rPr>
      </w:pPr>
    </w:p>
    <w:p>
      <w:pPr>
        <w:ind w:left="120" w:right="60"/>
        <w:spacing w:after="0" w:line="267" w:lineRule="auto"/>
        <w:rPr>
          <w:sz w:val="20"/>
          <w:szCs w:val="20"/>
          <w:color w:val="auto"/>
        </w:rPr>
      </w:pPr>
      <w:r>
        <w:rPr>
          <w:rFonts w:ascii="Arial" w:cs="Arial" w:eastAsia="Arial" w:hAnsi="Arial"/>
          <w:sz w:val="17"/>
          <w:szCs w:val="17"/>
          <w:color w:val="auto"/>
        </w:rPr>
        <w:t>If you invest in this offering, your ownership interest will be diluted immediately to the extent of the difference between the public offering price per share and the as-adjusted net tangible book value per share of our common stock after giving effect to this offering.</w:t>
      </w:r>
    </w:p>
    <w:p>
      <w:pPr>
        <w:spacing w:after="0" w:line="105" w:lineRule="exact"/>
        <w:rPr>
          <w:sz w:val="20"/>
          <w:szCs w:val="20"/>
          <w:color w:val="auto"/>
        </w:rPr>
      </w:pPr>
    </w:p>
    <w:p>
      <w:pPr>
        <w:ind w:left="120" w:right="120"/>
        <w:spacing w:after="0" w:line="241" w:lineRule="auto"/>
        <w:rPr>
          <w:sz w:val="20"/>
          <w:szCs w:val="20"/>
          <w:color w:val="auto"/>
        </w:rPr>
      </w:pPr>
      <w:r>
        <w:rPr>
          <w:rFonts w:ascii="Arial" w:cs="Arial" w:eastAsia="Arial" w:hAnsi="Arial"/>
          <w:sz w:val="17"/>
          <w:szCs w:val="17"/>
          <w:color w:val="auto"/>
        </w:rPr>
        <w:t>As of June 30, 2022, we had net tangible book value of approximately $298,704,000, or $3.39 per share of our common stock, based upon 87,997,949 shares of our common stock outstanding as of that date. Historical net tangible book value per share is equal to our total tangible assets, less total liabilities, divided by the number of outstanding shares of our common stock. Dilution in net tangible book value per share represents the difference between the amount per share paid by purchasers of shares of common stock in this offering and the net tangible book value per share of our common stock immediately after this offering.</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After giving effect to the sale of our common stock pursuant to this prospectus in the aggregate amount of $100.0 million at an assumed offering</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price of $4.10 per share, the last reported sale price of our common stock on The Nasdaq Global Market on August 31, 2022, and after deducting</w:t>
      </w:r>
    </w:p>
    <w:p>
      <w:pPr>
        <w:ind w:left="120"/>
        <w:spacing w:after="0" w:line="232" w:lineRule="auto"/>
        <w:rPr>
          <w:sz w:val="20"/>
          <w:szCs w:val="20"/>
          <w:color w:val="auto"/>
        </w:rPr>
      </w:pPr>
      <w:r>
        <w:rPr>
          <w:rFonts w:ascii="Arial" w:cs="Arial" w:eastAsia="Arial" w:hAnsi="Arial"/>
          <w:sz w:val="17"/>
          <w:szCs w:val="17"/>
          <w:color w:val="auto"/>
        </w:rPr>
        <w:t>commissions and estimated aggregate offering expenses payable by us, our net tangible book value as of June 30, 2022 would have been</w:t>
      </w:r>
    </w:p>
    <w:p>
      <w:pPr>
        <w:ind w:left="120"/>
        <w:spacing w:after="0" w:line="232" w:lineRule="auto"/>
        <w:rPr>
          <w:sz w:val="20"/>
          <w:szCs w:val="20"/>
          <w:color w:val="auto"/>
        </w:rPr>
      </w:pPr>
      <w:r>
        <w:rPr>
          <w:rFonts w:ascii="Arial" w:cs="Arial" w:eastAsia="Arial" w:hAnsi="Arial"/>
          <w:sz w:val="17"/>
          <w:szCs w:val="17"/>
          <w:color w:val="auto"/>
        </w:rPr>
        <w:t>$395.4 million, or $3.52 per share of common stock. This represents an immediate increase in the net tangible book value of $0.13 per share to</w:t>
      </w:r>
    </w:p>
    <w:p>
      <w:pPr>
        <w:ind w:left="120"/>
        <w:spacing w:after="0" w:line="232" w:lineRule="auto"/>
        <w:rPr>
          <w:sz w:val="20"/>
          <w:szCs w:val="20"/>
          <w:color w:val="auto"/>
        </w:rPr>
      </w:pPr>
      <w:r>
        <w:rPr>
          <w:rFonts w:ascii="Arial" w:cs="Arial" w:eastAsia="Arial" w:hAnsi="Arial"/>
          <w:sz w:val="17"/>
          <w:szCs w:val="17"/>
          <w:color w:val="auto"/>
        </w:rPr>
        <w:t>our existing stockholders and an immediate dilution in net tangible book value of $0.58 per share to new investors. The following table illustrates</w:t>
      </w:r>
    </w:p>
    <w:p>
      <w:pPr>
        <w:ind w:left="120"/>
        <w:spacing w:after="0"/>
        <w:rPr>
          <w:sz w:val="20"/>
          <w:szCs w:val="20"/>
          <w:color w:val="auto"/>
        </w:rPr>
      </w:pPr>
      <w:r>
        <w:rPr>
          <w:rFonts w:ascii="Arial" w:cs="Arial" w:eastAsia="Arial" w:hAnsi="Arial"/>
          <w:sz w:val="17"/>
          <w:szCs w:val="17"/>
          <w:color w:val="auto"/>
        </w:rPr>
        <w:t>this per share dilution: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145415</wp:posOffset>
            </wp:positionV>
            <wp:extent cx="6995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209"/>
        </w:trPr>
        <w:tc>
          <w:tcPr>
            <w:tcW w:w="9800" w:type="dxa"/>
            <w:vAlign w:val="bottom"/>
            <w:shd w:val="clear" w:color="auto" w:fill="CCEEFF"/>
          </w:tcPr>
          <w:p>
            <w:pPr>
              <w:spacing w:after="0"/>
              <w:rPr>
                <w:sz w:val="20"/>
                <w:szCs w:val="20"/>
                <w:color w:val="auto"/>
              </w:rPr>
            </w:pPr>
            <w:r>
              <w:rPr>
                <w:rFonts w:ascii="Arial" w:cs="Arial" w:eastAsia="Arial" w:hAnsi="Arial"/>
                <w:sz w:val="17"/>
                <w:szCs w:val="17"/>
                <w:color w:val="auto"/>
              </w:rPr>
              <w:t>Assumed offering price per share</w:t>
            </w:r>
          </w:p>
        </w:tc>
        <w:tc>
          <w:tcPr>
            <w:tcW w:w="122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$4.10</w:t>
            </w:r>
          </w:p>
        </w:tc>
      </w:tr>
      <w:tr>
        <w:trPr>
          <w:trHeight w:val="189"/>
        </w:trPr>
        <w:tc>
          <w:tcPr>
            <w:tcW w:w="9800" w:type="dxa"/>
            <w:vAlign w:val="bottom"/>
          </w:tcPr>
          <w:p>
            <w:pPr>
              <w:ind w:left="240"/>
              <w:spacing w:after="0" w:line="189" w:lineRule="exact"/>
              <w:rPr>
                <w:sz w:val="20"/>
                <w:szCs w:val="20"/>
                <w:color w:val="auto"/>
              </w:rPr>
            </w:pPr>
            <w:r>
              <w:rPr>
                <w:rFonts w:ascii="Arial" w:cs="Arial" w:eastAsia="Arial" w:hAnsi="Arial"/>
                <w:sz w:val="17"/>
                <w:szCs w:val="17"/>
                <w:color w:val="auto"/>
              </w:rPr>
              <w:t>Net tangible book value per share as of June 30, 2022</w:t>
            </w:r>
          </w:p>
        </w:tc>
        <w:tc>
          <w:tcPr>
            <w:tcW w:w="720" w:type="dxa"/>
            <w:vAlign w:val="bottom"/>
            <w:gridSpan w:val="2"/>
          </w:tcPr>
          <w:p>
            <w:pPr>
              <w:jc w:val="right"/>
              <w:ind w:right="195"/>
              <w:spacing w:after="0" w:line="189" w:lineRule="exact"/>
              <w:rPr>
                <w:sz w:val="20"/>
                <w:szCs w:val="20"/>
                <w:color w:val="auto"/>
              </w:rPr>
            </w:pPr>
            <w:r>
              <w:rPr>
                <w:rFonts w:ascii="Arial" w:cs="Arial" w:eastAsia="Arial" w:hAnsi="Arial"/>
                <w:sz w:val="17"/>
                <w:szCs w:val="17"/>
                <w:color w:val="auto"/>
                <w:w w:val="98"/>
              </w:rPr>
              <w:t>$3.39</w:t>
            </w: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98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Increase per share attributable to sale of shares of common stock in this offering</w:t>
            </w:r>
          </w:p>
        </w:tc>
        <w:tc>
          <w:tcPr>
            <w:tcW w:w="720" w:type="dxa"/>
            <w:vAlign w:val="bottom"/>
            <w:gridSpan w:val="2"/>
            <w:shd w:val="clear" w:color="auto" w:fill="CCEEFF"/>
          </w:tcPr>
          <w:p>
            <w:pPr>
              <w:jc w:val="right"/>
              <w:ind w:right="195"/>
              <w:spacing w:after="0" w:line="189" w:lineRule="exact"/>
              <w:rPr>
                <w:sz w:val="20"/>
                <w:szCs w:val="20"/>
                <w:color w:val="auto"/>
              </w:rPr>
            </w:pPr>
            <w:r>
              <w:rPr>
                <w:rFonts w:ascii="Arial" w:cs="Arial" w:eastAsia="Arial" w:hAnsi="Arial"/>
                <w:sz w:val="17"/>
                <w:szCs w:val="17"/>
                <w:u w:val="single" w:color="auto"/>
                <w:color w:val="auto"/>
                <w:w w:val="98"/>
              </w:rPr>
              <w:t>$</w:t>
            </w:r>
            <w:r>
              <w:rPr>
                <w:rFonts w:ascii="Arial" w:cs="Arial" w:eastAsia="Arial" w:hAnsi="Arial"/>
                <w:sz w:val="17"/>
                <w:szCs w:val="17"/>
                <w:color w:val="auto"/>
                <w:w w:val="98"/>
              </w:rPr>
              <w:t>0.13</w:t>
            </w: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10"/>
        </w:trPr>
        <w:tc>
          <w:tcPr>
            <w:tcW w:w="9800" w:type="dxa"/>
            <w:vAlign w:val="bottom"/>
          </w:tcPr>
          <w:p>
            <w:pPr>
              <w:spacing w:after="0"/>
              <w:rPr>
                <w:sz w:val="20"/>
                <w:szCs w:val="20"/>
                <w:color w:val="auto"/>
              </w:rPr>
            </w:pPr>
            <w:r>
              <w:rPr>
                <w:rFonts w:ascii="Arial" w:cs="Arial" w:eastAsia="Arial" w:hAnsi="Arial"/>
                <w:sz w:val="17"/>
                <w:szCs w:val="17"/>
                <w:color w:val="auto"/>
              </w:rPr>
              <w:t>As adjusted net tangible book value per share after this offering</w:t>
            </w:r>
          </w:p>
        </w:tc>
        <w:tc>
          <w:tcPr>
            <w:tcW w:w="440" w:type="dxa"/>
            <w:vAlign w:val="bottom"/>
            <w:tcBorders>
              <w:top w:val="single" w:sz="8" w:color="auto"/>
            </w:tcBorders>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3.52</w:t>
            </w:r>
          </w:p>
        </w:tc>
      </w:tr>
      <w:tr>
        <w:trPr>
          <w:trHeight w:val="27"/>
        </w:trPr>
        <w:tc>
          <w:tcPr>
            <w:tcW w:w="9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9800" w:type="dxa"/>
            <w:vAlign w:val="bottom"/>
            <w:shd w:val="clear" w:color="auto" w:fill="CCEEFF"/>
          </w:tcPr>
          <w:p>
            <w:pPr>
              <w:spacing w:after="0"/>
              <w:rPr>
                <w:sz w:val="20"/>
                <w:szCs w:val="20"/>
                <w:color w:val="auto"/>
              </w:rPr>
            </w:pPr>
            <w:r>
              <w:rPr>
                <w:rFonts w:ascii="Arial" w:cs="Arial" w:eastAsia="Arial" w:hAnsi="Arial"/>
                <w:sz w:val="17"/>
                <w:szCs w:val="17"/>
                <w:color w:val="auto"/>
              </w:rPr>
              <w:t>Dilution per share to new investors purchasing shares in this offering</w:t>
            </w:r>
          </w:p>
        </w:tc>
        <w:tc>
          <w:tcPr>
            <w:tcW w:w="122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0.58</w:t>
            </w:r>
          </w:p>
        </w:tc>
      </w:tr>
      <w:tr>
        <w:trPr>
          <w:trHeight w:val="20"/>
        </w:trPr>
        <w:tc>
          <w:tcPr>
            <w:tcW w:w="9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98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r>
    </w:tbl>
    <w:p>
      <w:pPr>
        <w:spacing w:after="0" w:line="140"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The table above assumes for illustrative purposes that an aggregate of 24,390,243 shares of our common stock are sold pursuant to this prospectus at a price of $4.10 per share, the last reported sale price of our common stock on The Nasdaq Global Market on August 31, 2022, for aggregate gross proceeds of $100.0 million. The shares sold in this offering, if any, will be sold from time to time at various prices. An increase of $1.00 per share in the price at which the shares are sold from the assumed offering price to $5.10 per share, assuming all of our common stock in the aggregate amount of $100.0 million is sold at that price, would result in an adjusted net tangible book value per share after the offering of $3.67 per share and would increase the dilution in net tangible book value per share to new investors in this offering to $1.43 per share, after deducting commissions and estimated aggregate offering expenses payable by us. A decrease of $1.00 per share in the price at which the shares are sold from the assumed offering price to $3.10 per share, assuming all of our common stock in the aggregate amount of $100.0 million is sold at that price, would result in no dilution to new investors in this offering. This information is supplied for illustrative purposes only.</w:t>
      </w:r>
    </w:p>
    <w:p>
      <w:pPr>
        <w:spacing w:after="0" w:line="133" w:lineRule="exact"/>
        <w:rPr>
          <w:sz w:val="20"/>
          <w:szCs w:val="20"/>
          <w:color w:val="auto"/>
        </w:rPr>
      </w:pPr>
    </w:p>
    <w:p>
      <w:pPr>
        <w:ind w:left="120" w:right="100"/>
        <w:spacing w:after="0" w:line="267" w:lineRule="auto"/>
        <w:rPr>
          <w:sz w:val="20"/>
          <w:szCs w:val="20"/>
          <w:color w:val="auto"/>
        </w:rPr>
      </w:pPr>
      <w:r>
        <w:rPr>
          <w:rFonts w:ascii="Arial" w:cs="Arial" w:eastAsia="Arial" w:hAnsi="Arial"/>
          <w:sz w:val="17"/>
          <w:szCs w:val="17"/>
          <w:color w:val="auto"/>
        </w:rPr>
        <w:t>The number of shares of our common stock to be outstanding after this offering is based on 87,997,949 shares of our common stock outstanding as of June 30, 2022 and excludes:</w:t>
      </w:r>
    </w:p>
    <w:p>
      <w:pPr>
        <w:spacing w:after="0" w:line="146" w:lineRule="exact"/>
        <w:rPr>
          <w:sz w:val="20"/>
          <w:szCs w:val="20"/>
          <w:color w:val="auto"/>
        </w:rPr>
      </w:pPr>
    </w:p>
    <w:p>
      <w:pPr>
        <w:ind w:left="980" w:right="520" w:hanging="432"/>
        <w:spacing w:after="0" w:line="254" w:lineRule="auto"/>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12,434,211 shares of common stock issuable upon the exercise of stock options outstanding as of June 30, 2022, at a weighted average exercise price of $6.56 per share;</w:t>
      </w:r>
    </w:p>
    <w:p>
      <w:pPr>
        <w:spacing w:after="0" w:line="4" w:lineRule="exact"/>
        <w:rPr>
          <w:rFonts w:ascii="MS PGothic" w:cs="MS PGothic" w:eastAsia="MS PGothic" w:hAnsi="MS PGothic"/>
          <w:sz w:val="13"/>
          <w:szCs w:val="13"/>
          <w:color w:val="auto"/>
        </w:rPr>
      </w:pPr>
    </w:p>
    <w:p>
      <w:pPr>
        <w:ind w:left="980" w:right="840" w:hanging="432"/>
        <w:spacing w:after="0" w:line="254" w:lineRule="auto"/>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211,625 shares of common stock issuable upon the exercise of stock options granted subsequent to June 30, 2022 through August 31, 2022, at a weighted average exercise price of $4.65 per share;</w:t>
      </w:r>
    </w:p>
    <w:p>
      <w:pPr>
        <w:spacing w:after="0" w:line="4" w:lineRule="exact"/>
        <w:rPr>
          <w:rFonts w:ascii="MS PGothic" w:cs="MS PGothic" w:eastAsia="MS PGothic" w:hAnsi="MS PGothic"/>
          <w:sz w:val="13"/>
          <w:szCs w:val="13"/>
          <w:color w:val="auto"/>
        </w:rPr>
      </w:pPr>
    </w:p>
    <w:p>
      <w:pPr>
        <w:jc w:val="both"/>
        <w:ind w:left="980" w:right="80" w:hanging="432"/>
        <w:spacing w:after="0" w:line="247" w:lineRule="auto"/>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7,049,248 shares of common stock available for future issuance under our 2021 Stock Option and Incentive Plan (the “2021 Plan”) as of June 30, 2022, as well as any automatic increases in the number of shares of common stock reserved for issuance under the 2021 Plan; and</w:t>
      </w:r>
    </w:p>
    <w:p>
      <w:pPr>
        <w:spacing w:after="0" w:line="3" w:lineRule="exact"/>
        <w:rPr>
          <w:rFonts w:ascii="MS PGothic" w:cs="MS PGothic" w:eastAsia="MS PGothic" w:hAnsi="MS PGothic"/>
          <w:sz w:val="13"/>
          <w:szCs w:val="13"/>
          <w:color w:val="auto"/>
        </w:rPr>
      </w:pPr>
    </w:p>
    <w:p>
      <w:pPr>
        <w:jc w:val="both"/>
        <w:ind w:left="980" w:right="180" w:hanging="432"/>
        <w:spacing w:after="0" w:line="267" w:lineRule="auto"/>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1,782,784 shares of common stock available for future issuance under our 2021 Employee Stock Purchase Plan (the “ESPP”) as of June 30, 2022, as well as any automatic increases in the number of shares of common stock reserved for issuance under the ESPP.</w:t>
      </w:r>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S-8</w:t>
      </w:r>
    </w:p>
    <w:p>
      <w:pPr>
        <w:sectPr>
          <w:pgSz w:w="11900" w:h="16838" w:orient="portrait"/>
          <w:cols w:equalWidth="0" w:num="1">
            <w:col w:w="11140"/>
          </w:cols>
          <w:pgMar w:left="320" w:top="455"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line="241" w:lineRule="auto"/>
        <w:rPr>
          <w:sz w:val="20"/>
          <w:szCs w:val="20"/>
          <w:color w:val="auto"/>
        </w:rPr>
      </w:pPr>
      <w:r>
        <w:rPr>
          <w:rFonts w:ascii="Arial" w:cs="Arial" w:eastAsia="Arial" w:hAnsi="Arial"/>
          <w:sz w:val="17"/>
          <w:szCs w:val="17"/>
          <w:color w:val="auto"/>
        </w:rPr>
        <w:t>To the extent that options outstanding as of June 30, 2022 have been or may be exercised or settle, as applicable, or other shares issued, investors purchasing our common stock in this offering may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S-9</w:t>
      </w:r>
    </w:p>
    <w:p>
      <w:pPr>
        <w:sectPr>
          <w:pgSz w:w="11900" w:h="16838" w:orient="portrait"/>
          <w:cols w:equalWidth="0" w:num="1">
            <w:col w:w="11060"/>
          </w:cols>
          <w:pgMar w:left="320" w:top="455" w:right="5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DIVIDEND POLICY</w:t>
      </w:r>
    </w:p>
    <w:p>
      <w:pPr>
        <w:spacing w:after="0" w:line="316" w:lineRule="exact"/>
        <w:rPr>
          <w:sz w:val="20"/>
          <w:szCs w:val="20"/>
          <w:color w:val="auto"/>
        </w:rPr>
      </w:pPr>
    </w:p>
    <w:p>
      <w:pPr>
        <w:ind w:left="120"/>
        <w:spacing w:after="0" w:line="241" w:lineRule="auto"/>
        <w:rPr>
          <w:sz w:val="20"/>
          <w:szCs w:val="20"/>
          <w:color w:val="auto"/>
        </w:rPr>
      </w:pPr>
      <w:r>
        <w:rPr>
          <w:rFonts w:ascii="Arial" w:cs="Arial" w:eastAsia="Arial" w:hAnsi="Arial"/>
          <w:sz w:val="17"/>
          <w:szCs w:val="17"/>
          <w:color w:val="auto"/>
        </w:rPr>
        <w:t>We have never declared or paid cash dividends on our capital stock. We currently plan to retain all of our future earnings, if any, to finance the operation, development and growth of our business. We do not expect to pay any cash dividends on our common stock in the foreseeable future. Payment of future dividends, if any, will be at the discretion of our board of directors and will depend on our financial condition, results of operations, capital requirements, restrictions contained in current or future financing instruments, provisions of applicable law and other factors the board deems relevant. Our ability to pay dividends on our common stock may be restricted by the terms of any of our future indebtedness.</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S-10</w:t>
      </w:r>
    </w:p>
    <w:p>
      <w:pPr>
        <w:sectPr>
          <w:pgSz w:w="11900" w:h="16838" w:orient="portrait"/>
          <w:cols w:equalWidth="0" w:num="1">
            <w:col w:w="11060"/>
          </w:cols>
          <w:pgMar w:left="320" w:top="455" w:right="5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316" w:lineRule="exact"/>
        <w:rPr>
          <w:sz w:val="20"/>
          <w:szCs w:val="20"/>
          <w:color w:val="auto"/>
        </w:rPr>
      </w:pPr>
    </w:p>
    <w:p>
      <w:pPr>
        <w:ind w:left="120" w:right="60"/>
        <w:spacing w:after="0" w:line="244" w:lineRule="auto"/>
        <w:rPr>
          <w:sz w:val="20"/>
          <w:szCs w:val="20"/>
          <w:color w:val="auto"/>
        </w:rPr>
      </w:pPr>
      <w:r>
        <w:rPr>
          <w:rFonts w:ascii="Arial" w:cs="Arial" w:eastAsia="Arial" w:hAnsi="Arial"/>
          <w:sz w:val="17"/>
          <w:szCs w:val="17"/>
          <w:color w:val="auto"/>
        </w:rPr>
        <w:t>We have entered into a sales agreement with Jefferies, under which we may offer and sell our shares of common stock from time to time through Jefferies acting as agent. Pursuant to this prospectus, we may offer and sell up to $100,000,000 of our shares of common stock. Sales of our shares of common stock, if any, under this prospectus and the accompanying prospectus will be made by any method that is deemed to be an “at the market offering” as defined in Rule 415(a)(4) under the Securities Act.</w:t>
      </w:r>
    </w:p>
    <w:p>
      <w:pPr>
        <w:spacing w:after="0" w:line="123" w:lineRule="exact"/>
        <w:rPr>
          <w:sz w:val="20"/>
          <w:szCs w:val="20"/>
          <w:color w:val="auto"/>
        </w:rPr>
      </w:pPr>
    </w:p>
    <w:p>
      <w:pPr>
        <w:ind w:left="120" w:right="40"/>
        <w:spacing w:after="0" w:line="239" w:lineRule="auto"/>
        <w:rPr>
          <w:sz w:val="20"/>
          <w:szCs w:val="20"/>
          <w:color w:val="auto"/>
        </w:rPr>
      </w:pPr>
      <w:r>
        <w:rPr>
          <w:rFonts w:ascii="Arial" w:cs="Arial" w:eastAsia="Arial" w:hAnsi="Arial"/>
          <w:sz w:val="17"/>
          <w:szCs w:val="17"/>
          <w:color w:val="auto"/>
        </w:rPr>
        <w:t>Each time we wish to issue and sell our shares of common stock under the sales agreement, we will notify Jefferies of the number of shares to be issued, the dates on which such sales are anticipated to be made, any limitation on the number of shares to be sold in any one day and any minimum price below which sales may not be made. Once we have so instructed Jefferies, unless Jefferies declines to accept the terms of such notice, Jefferies has agreed to use its commercially reasonable efforts consistent with its normal trading and sales practices to sell such shares up to the amount specified on such terms. The obligations of Jefferies under the sales agreement to sell our shares of common stock are subject to a number of conditions that we must meet.</w:t>
      </w:r>
    </w:p>
    <w:p>
      <w:pPr>
        <w:spacing w:after="0" w:line="128" w:lineRule="exact"/>
        <w:rPr>
          <w:sz w:val="20"/>
          <w:szCs w:val="20"/>
          <w:color w:val="auto"/>
        </w:rPr>
      </w:pPr>
    </w:p>
    <w:p>
      <w:pPr>
        <w:ind w:left="120"/>
        <w:spacing w:after="0" w:line="244" w:lineRule="auto"/>
        <w:rPr>
          <w:sz w:val="20"/>
          <w:szCs w:val="20"/>
          <w:color w:val="auto"/>
        </w:rPr>
      </w:pPr>
      <w:r>
        <w:rPr>
          <w:rFonts w:ascii="Arial" w:cs="Arial" w:eastAsia="Arial" w:hAnsi="Arial"/>
          <w:sz w:val="17"/>
          <w:szCs w:val="17"/>
          <w:color w:val="auto"/>
        </w:rPr>
        <w:t>The settlement of sales of shares between us and Jefferies is generally anticipated to occur on the second trading day following the date on which the sale was made. Sales of our shares of common stock as contemplated in this prospectus will be settled through the facilities of The Depository Trust Company or by such other means as we and Jefferies may agree upon. There is no arrangement for funds to be received in an escrow, trust or similar arrangement.</w:t>
      </w:r>
    </w:p>
    <w:p>
      <w:pPr>
        <w:spacing w:after="0" w:line="123"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We will pay Jefferies a commission up to 3.0% of the aggregate gross proceeds we receive from each sale of our shares of common stock. Because there is no minimum offering amount required as a condition to close this offering, the actual total public offering amount, commissions and proceeds to us, if any, are not determinable at this time. In addition, we have agreed to reimburse Jefferies for the fees and disbursements of its counsel, payable upon execution of the sales agreement, in an amount not to exceed $75,000, in addition to certain ongoing disbursements of its legal counsel, unless we and Jefferies otherwise agree. We estimate that the total expenses for the offering, excluding any commissions or expense reimbursement payable to Jefferies under the terms of the sales agreement, will be approximately $334,000. The remaining sale proceeds, after deducting any other transaction fees, will equal our net proceeds from the sale of such shares.</w:t>
      </w:r>
    </w:p>
    <w:p>
      <w:pPr>
        <w:spacing w:after="0" w:line="128" w:lineRule="exact"/>
        <w:rPr>
          <w:sz w:val="20"/>
          <w:szCs w:val="20"/>
          <w:color w:val="auto"/>
        </w:rPr>
      </w:pPr>
    </w:p>
    <w:p>
      <w:pPr>
        <w:jc w:val="both"/>
        <w:ind w:left="120" w:right="100"/>
        <w:spacing w:after="0" w:line="249" w:lineRule="auto"/>
        <w:rPr>
          <w:sz w:val="20"/>
          <w:szCs w:val="20"/>
          <w:color w:val="auto"/>
        </w:rPr>
      </w:pPr>
      <w:r>
        <w:rPr>
          <w:rFonts w:ascii="Arial" w:cs="Arial" w:eastAsia="Arial" w:hAnsi="Arial"/>
          <w:sz w:val="17"/>
          <w:szCs w:val="17"/>
          <w:color w:val="auto"/>
        </w:rPr>
        <w:t>Jefferies will provide written confirmation to us before the open on The Nasdaq Global Market on the day following each day on which our shares of common stock are sold under the sales agreement. Each confirmation will include the number of shares sold on that day, the aggregate gross proceeds of such sales and the proceeds to us.</w:t>
      </w:r>
    </w:p>
    <w:p>
      <w:pPr>
        <w:spacing w:after="0" w:line="121" w:lineRule="exact"/>
        <w:rPr>
          <w:sz w:val="20"/>
          <w:szCs w:val="20"/>
          <w:color w:val="auto"/>
        </w:rPr>
      </w:pPr>
    </w:p>
    <w:p>
      <w:pPr>
        <w:ind w:left="120" w:right="20"/>
        <w:spacing w:after="0" w:line="244" w:lineRule="auto"/>
        <w:rPr>
          <w:sz w:val="20"/>
          <w:szCs w:val="20"/>
          <w:color w:val="auto"/>
        </w:rPr>
      </w:pPr>
      <w:r>
        <w:rPr>
          <w:rFonts w:ascii="Arial" w:cs="Arial" w:eastAsia="Arial" w:hAnsi="Arial"/>
          <w:sz w:val="17"/>
          <w:szCs w:val="17"/>
          <w:color w:val="auto"/>
        </w:rPr>
        <w:t>In connection with the sale of our shares of common stock on our behalf, Jefferies will be deemed to be an “underwriter” within the meaning of the Securities Act, and the compensation of Jefferies will be deemed to be underwriting commissions or discounts. We have agreed to indemnify Jefferies against certain civil liabilities, including liabilities under the Securities Act. We have also agreed to contribute to payments Jefferies may be required to make in respect of such liabilities.</w:t>
      </w:r>
    </w:p>
    <w:p>
      <w:pPr>
        <w:spacing w:after="0" w:line="123" w:lineRule="exact"/>
        <w:rPr>
          <w:sz w:val="20"/>
          <w:szCs w:val="20"/>
          <w:color w:val="auto"/>
        </w:rPr>
      </w:pPr>
    </w:p>
    <w:p>
      <w:pPr>
        <w:ind w:left="120" w:right="60"/>
        <w:spacing w:after="0" w:line="267" w:lineRule="auto"/>
        <w:rPr>
          <w:sz w:val="20"/>
          <w:szCs w:val="20"/>
          <w:color w:val="auto"/>
        </w:rPr>
      </w:pPr>
      <w:r>
        <w:rPr>
          <w:rFonts w:ascii="Arial" w:cs="Arial" w:eastAsia="Arial" w:hAnsi="Arial"/>
          <w:sz w:val="17"/>
          <w:szCs w:val="17"/>
          <w:color w:val="auto"/>
        </w:rPr>
        <w:t>The offering of our shares of common stock pursuant to the sales agreement will terminate upon the earlier of (i) the sale of all shares of common stock subject to the sales agreement and (ii) the termination of the sales agreement as permitted therein.</w:t>
      </w:r>
    </w:p>
    <w:p>
      <w:pPr>
        <w:spacing w:after="0" w:line="105" w:lineRule="exact"/>
        <w:rPr>
          <w:sz w:val="20"/>
          <w:szCs w:val="20"/>
          <w:color w:val="auto"/>
        </w:rPr>
      </w:pPr>
    </w:p>
    <w:p>
      <w:pPr>
        <w:ind w:left="120" w:right="160"/>
        <w:spacing w:after="0" w:line="267" w:lineRule="auto"/>
        <w:rPr>
          <w:sz w:val="20"/>
          <w:szCs w:val="20"/>
          <w:color w:val="auto"/>
        </w:rPr>
      </w:pPr>
      <w:r>
        <w:rPr>
          <w:rFonts w:ascii="Arial" w:cs="Arial" w:eastAsia="Arial" w:hAnsi="Arial"/>
          <w:sz w:val="17"/>
          <w:szCs w:val="17"/>
          <w:color w:val="auto"/>
        </w:rPr>
        <w:t>This summary of the material provisions of the sales agreement does not purport to be a complete statement of its terms and conditions. A copy of the sales agreement is filed as an exhibit to the registration statement of which this prospectus forms a part.</w:t>
      </w:r>
    </w:p>
    <w:p>
      <w:pPr>
        <w:spacing w:after="0" w:line="105" w:lineRule="exact"/>
        <w:rPr>
          <w:sz w:val="20"/>
          <w:szCs w:val="20"/>
          <w:color w:val="auto"/>
        </w:rPr>
      </w:pPr>
    </w:p>
    <w:p>
      <w:pPr>
        <w:ind w:left="120" w:right="300"/>
        <w:spacing w:after="0" w:line="244" w:lineRule="auto"/>
        <w:rPr>
          <w:sz w:val="20"/>
          <w:szCs w:val="20"/>
          <w:color w:val="auto"/>
        </w:rPr>
      </w:pPr>
      <w:r>
        <w:rPr>
          <w:rFonts w:ascii="Arial" w:cs="Arial" w:eastAsia="Arial" w:hAnsi="Arial"/>
          <w:sz w:val="17"/>
          <w:szCs w:val="17"/>
          <w:color w:val="auto"/>
        </w:rPr>
        <w:t>Jefferies and its affiliates may in the future provide various investment banking, commercial banking, financial advisory and other financial services for us and our affiliates, for which services they may in the future receive customary fees. In the course of its business, Jefferies may actively trade our securities for its own account or for the accounts of customers, and, accordingly, Jefferies may at any time hold long or short positions in such securities.</w:t>
      </w:r>
    </w:p>
    <w:p>
      <w:pPr>
        <w:spacing w:after="0" w:line="123" w:lineRule="exact"/>
        <w:rPr>
          <w:sz w:val="20"/>
          <w:szCs w:val="20"/>
          <w:color w:val="auto"/>
        </w:rPr>
      </w:pPr>
    </w:p>
    <w:p>
      <w:pPr>
        <w:ind w:left="120" w:right="220"/>
        <w:spacing w:after="0" w:line="267" w:lineRule="auto"/>
        <w:rPr>
          <w:sz w:val="20"/>
          <w:szCs w:val="20"/>
          <w:color w:val="auto"/>
        </w:rPr>
      </w:pPr>
      <w:r>
        <w:rPr>
          <w:rFonts w:ascii="Arial" w:cs="Arial" w:eastAsia="Arial" w:hAnsi="Arial"/>
          <w:sz w:val="17"/>
          <w:szCs w:val="17"/>
          <w:color w:val="auto"/>
        </w:rPr>
        <w:t>A prospectus and the accompanying prospectus in electronic format may be made available on a website maintained by Jefferies, and Jefferies may distribute the prospectus and the accompanying prospectus electronically.</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S-11</w:t>
      </w:r>
    </w:p>
    <w:p>
      <w:pPr>
        <w:sectPr>
          <w:pgSz w:w="11900" w:h="16838" w:orient="portrait"/>
          <w:cols w:equalWidth="0" w:num="1">
            <w:col w:w="11140"/>
          </w:cols>
          <w:pgMar w:left="320" w:top="455"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LEGAL MATTERS</w:t>
      </w:r>
    </w:p>
    <w:p>
      <w:pPr>
        <w:spacing w:after="0" w:line="316"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The validity of the shares of common stock offered hereby will be passed upon for us by Goodwin Procter LLP, Boston, Massachusetts. Jefferies LLC is being represented in connection with this offering by Cooley LLP, New York, New York.</w:t>
      </w:r>
    </w:p>
    <w:p>
      <w:pPr>
        <w:spacing w:after="0" w:line="10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S-12</w:t>
      </w:r>
    </w:p>
    <w:p>
      <w:pPr>
        <w:sectPr>
          <w:pgSz w:w="11900" w:h="16838" w:orient="portrait"/>
          <w:cols w:equalWidth="0" w:num="1">
            <w:col w:w="11000"/>
          </w:cols>
          <w:pgMar w:left="320" w:top="455" w:right="5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EXPERTS</w:t>
      </w:r>
    </w:p>
    <w:p>
      <w:pPr>
        <w:spacing w:after="0" w:line="316" w:lineRule="exact"/>
        <w:rPr>
          <w:sz w:val="20"/>
          <w:szCs w:val="20"/>
          <w:color w:val="auto"/>
        </w:rPr>
      </w:pPr>
    </w:p>
    <w:p>
      <w:pPr>
        <w:jc w:val="both"/>
        <w:ind w:left="120"/>
        <w:spacing w:after="0" w:line="249" w:lineRule="auto"/>
        <w:rPr>
          <w:sz w:val="20"/>
          <w:szCs w:val="20"/>
          <w:color w:val="auto"/>
        </w:rPr>
      </w:pPr>
      <w:r>
        <w:rPr>
          <w:rFonts w:ascii="Arial" w:cs="Arial" w:eastAsia="Arial" w:hAnsi="Arial"/>
          <w:sz w:val="17"/>
          <w:szCs w:val="17"/>
          <w:color w:val="auto"/>
        </w:rPr>
        <w:t>The financial statements incorporated in this Prospectus by reference to the Annual Report on Form 10-K for the year ended December 31, 2021 have been so incorporated in reliance on the report of PricewaterhouseCoopers LLP, an independent registered public accounting firm, given on the authority of said firm as experts in auditing and accounting.</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S-13</w:t>
      </w:r>
    </w:p>
    <w:p>
      <w:pPr>
        <w:sectPr>
          <w:pgSz w:w="11900" w:h="16838" w:orient="portrait"/>
          <w:cols w:equalWidth="0" w:num="1">
            <w:col w:w="11040"/>
          </w:cols>
          <w:pgMar w:left="320" w:top="455" w:right="5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16" w:lineRule="exact"/>
        <w:rPr>
          <w:sz w:val="20"/>
          <w:szCs w:val="20"/>
          <w:color w:val="auto"/>
        </w:rPr>
      </w:pPr>
    </w:p>
    <w:p>
      <w:pPr>
        <w:ind w:left="120" w:right="320"/>
        <w:spacing w:after="0" w:line="249" w:lineRule="auto"/>
        <w:rPr>
          <w:sz w:val="20"/>
          <w:szCs w:val="20"/>
          <w:color w:val="auto"/>
        </w:rPr>
      </w:pPr>
      <w:r>
        <w:rPr>
          <w:rFonts w:ascii="Arial" w:cs="Arial" w:eastAsia="Arial" w:hAnsi="Arial"/>
          <w:sz w:val="17"/>
          <w:szCs w:val="17"/>
          <w:color w:val="auto"/>
        </w:rPr>
        <w:t>We file annual, quarterly and current reports, proxy statements and other information with the SEC. Our SEC filings are available to the public over the Internet at the SEC’s website at www.sec.gov and on our investor website at https://tangotx.com. Our website is not a part of this prospectus and is not incorporated by reference in this prospectus.</w:t>
      </w:r>
    </w:p>
    <w:p>
      <w:pPr>
        <w:spacing w:after="0" w:line="121" w:lineRule="exact"/>
        <w:rPr>
          <w:sz w:val="20"/>
          <w:szCs w:val="20"/>
          <w:color w:val="auto"/>
        </w:rPr>
      </w:pPr>
    </w:p>
    <w:p>
      <w:pPr>
        <w:ind w:left="120"/>
        <w:spacing w:after="0" w:line="239" w:lineRule="auto"/>
        <w:rPr>
          <w:sz w:val="20"/>
          <w:szCs w:val="20"/>
          <w:color w:val="auto"/>
        </w:rPr>
      </w:pPr>
      <w:r>
        <w:rPr>
          <w:rFonts w:ascii="Arial" w:cs="Arial" w:eastAsia="Arial" w:hAnsi="Arial"/>
          <w:sz w:val="17"/>
          <w:szCs w:val="17"/>
          <w:color w:val="auto"/>
        </w:rPr>
        <w:t>This prospectus is part of a registration statement that we have filed with the SEC. Certain information in the registration statement has been omitted from this prospectus in accordance with the rules of the SEC. For more detail about us and any securities that may be offered by this prospectus, you may examine the registration statement of which this prospectus forms a part, including its exhibits and schedules. Statements contained in this prospectus as to the contents of any contract or other document are not necessarily complete, and in each instance we refer you to the copy of the contract or document filed as an exhibit to the registration statement, each such statement being qualified in all respects by such reference.</w:t>
      </w: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S-14</w:t>
      </w:r>
    </w:p>
    <w:p>
      <w:pPr>
        <w:sectPr>
          <w:pgSz w:w="11900" w:h="16838" w:orient="portrait"/>
          <w:cols w:equalWidth="0" w:num="1">
            <w:col w:w="11100"/>
          </w:cols>
          <w:pgMar w:left="320" w:top="455"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316"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The SEC allows us to incorporate by reference in this prospectus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Securities Exchange Act of 1934, as amended, or the Exchange Act (in each case, other than those documents or the portions of those documents not deemed to be filed) until the offering of the securities under the registration statement is terminated or completed:</w:t>
      </w:r>
    </w:p>
    <w:p>
      <w:pPr>
        <w:spacing w:after="0" w:line="174" w:lineRule="exact"/>
        <w:rPr>
          <w:sz w:val="20"/>
          <w:szCs w:val="20"/>
          <w:color w:val="auto"/>
        </w:rPr>
      </w:pPr>
    </w:p>
    <w:p>
      <w:pPr>
        <w:ind w:left="980" w:hanging="432"/>
        <w:spacing w:after="0"/>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Annual Report on </w:t>
      </w:r>
      <w:hyperlink r:id="rId93">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fiscal year ended December 31, 2021, filed with the SEC on March 28, 2022;</w:t>
      </w:r>
    </w:p>
    <w:p>
      <w:pPr>
        <w:spacing w:after="0" w:line="34" w:lineRule="exact"/>
        <w:rPr>
          <w:rFonts w:ascii="Arial" w:cs="Arial" w:eastAsia="Arial" w:hAnsi="Arial"/>
          <w:sz w:val="17"/>
          <w:szCs w:val="17"/>
          <w:color w:val="auto"/>
        </w:rPr>
      </w:pPr>
    </w:p>
    <w:p>
      <w:pPr>
        <w:ind w:left="980" w:right="80" w:hanging="432"/>
        <w:spacing w:after="0" w:line="247" w:lineRule="auto"/>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The information specifically incorporated by reference into our Annual Report on </w:t>
      </w:r>
      <w:hyperlink r:id="rId52">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for the year ended December 31, 2021 from our definitive proxy statement on </w:t>
      </w:r>
      <w:hyperlink r:id="rId53">
        <w:r>
          <w:rPr>
            <w:rFonts w:ascii="Arial" w:cs="Arial" w:eastAsia="Arial" w:hAnsi="Arial"/>
            <w:sz w:val="17"/>
            <w:szCs w:val="17"/>
            <w:u w:val="single" w:color="auto"/>
            <w:color w:val="0000EE"/>
          </w:rPr>
          <w:t>Schedule 14a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(other than information furnished rather than filed) filed with the SEC on April 26, 2022;</w:t>
      </w:r>
    </w:p>
    <w:p>
      <w:pPr>
        <w:spacing w:after="0" w:line="3" w:lineRule="exact"/>
        <w:rPr>
          <w:rFonts w:ascii="Arial" w:cs="Arial" w:eastAsia="Arial" w:hAnsi="Arial"/>
          <w:sz w:val="17"/>
          <w:szCs w:val="17"/>
          <w:color w:val="auto"/>
        </w:rPr>
      </w:pPr>
    </w:p>
    <w:p>
      <w:pPr>
        <w:ind w:left="980" w:right="120" w:hanging="432"/>
        <w:spacing w:after="0" w:line="254" w:lineRule="auto"/>
        <w:tabs>
          <w:tab w:leader="none" w:pos="980" w:val="left"/>
        </w:tabs>
        <w:numPr>
          <w:ilvl w:val="0"/>
          <w:numId w:val="37"/>
        </w:numPr>
        <w:rPr>
          <w:rFonts w:ascii="Arial" w:cs="Arial" w:eastAsia="Arial" w:hAnsi="Arial"/>
          <w:sz w:val="17"/>
          <w:szCs w:val="17"/>
          <w:color w:val="0000EE"/>
        </w:rPr>
      </w:pPr>
      <w:r>
        <w:rPr>
          <w:rFonts w:ascii="Arial" w:cs="Arial" w:eastAsia="Arial" w:hAnsi="Arial"/>
          <w:sz w:val="17"/>
          <w:szCs w:val="17"/>
          <w:color w:val="auto"/>
        </w:rPr>
        <w:t xml:space="preserve">Quarterly Reports on Form 10-Q for the quarters ended March 31, 2022 and June 30, 2022, filed with the SEC on </w:t>
      </w:r>
      <w:hyperlink r:id="rId94">
        <w:r>
          <w:rPr>
            <w:rFonts w:ascii="Arial" w:cs="Arial" w:eastAsia="Arial" w:hAnsi="Arial"/>
            <w:sz w:val="17"/>
            <w:szCs w:val="17"/>
            <w:u w:val="single" w:color="auto"/>
            <w:color w:val="0000EE"/>
          </w:rPr>
          <w:t>May 11, 2022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w:t>
      </w:r>
      <w:hyperlink r:id="rId95">
        <w:r>
          <w:rPr>
            <w:rFonts w:ascii="Arial" w:cs="Arial" w:eastAsia="Arial" w:hAnsi="Arial"/>
            <w:sz w:val="17"/>
            <w:szCs w:val="17"/>
            <w:u w:val="single" w:color="auto"/>
            <w:color w:val="0000EE"/>
          </w:rPr>
          <w:t>August 10, 2022</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color w:val="000000"/>
        </w:rPr>
        <w:t>respectively;</w:t>
      </w:r>
    </w:p>
    <w:p>
      <w:pPr>
        <w:spacing w:after="0" w:line="4" w:lineRule="exact"/>
        <w:rPr>
          <w:rFonts w:ascii="Arial" w:cs="Arial" w:eastAsia="Arial" w:hAnsi="Arial"/>
          <w:sz w:val="17"/>
          <w:szCs w:val="17"/>
          <w:color w:val="0000EE"/>
        </w:rPr>
      </w:pPr>
    </w:p>
    <w:p>
      <w:pPr>
        <w:ind w:left="980" w:hanging="432"/>
        <w:spacing w:after="0"/>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Current Reports on </w:t>
      </w:r>
      <w:hyperlink r:id="rId56">
        <w:r>
          <w:rPr>
            <w:rFonts w:ascii="Arial" w:cs="Arial" w:eastAsia="Arial" w:hAnsi="Arial"/>
            <w:sz w:val="17"/>
            <w:szCs w:val="17"/>
            <w:u w:val="single" w:color="auto"/>
            <w:color w:val="0000EE"/>
          </w:rPr>
          <w:t>Form 8-K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filed with the SEC on June 10, 2022; and</w:t>
      </w:r>
    </w:p>
    <w:p>
      <w:pPr>
        <w:spacing w:after="0" w:line="34" w:lineRule="exact"/>
        <w:rPr>
          <w:rFonts w:ascii="Arial" w:cs="Arial" w:eastAsia="Arial" w:hAnsi="Arial"/>
          <w:sz w:val="17"/>
          <w:szCs w:val="17"/>
          <w:color w:val="auto"/>
        </w:rPr>
      </w:pPr>
    </w:p>
    <w:p>
      <w:pPr>
        <w:jc w:val="both"/>
        <w:ind w:left="980" w:right="100" w:hanging="432"/>
        <w:spacing w:after="0" w:line="249" w:lineRule="auto"/>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The description of our common stock contained in our Registration Statement on </w:t>
      </w:r>
      <w:hyperlink r:id="rId57">
        <w:r>
          <w:rPr>
            <w:rFonts w:ascii="Arial" w:cs="Arial" w:eastAsia="Arial" w:hAnsi="Arial"/>
            <w:sz w:val="17"/>
            <w:szCs w:val="17"/>
            <w:u w:val="single" w:color="auto"/>
            <w:color w:val="0000EE"/>
          </w:rPr>
          <w:t>Form 8-A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filed on September 2, 2020, including any amendments or reports filed for the purpose of updating such description, including any amendments or reports filed for the purpose of updating such description, including </w:t>
      </w:r>
      <w:hyperlink r:id="rId96">
        <w:r>
          <w:rPr>
            <w:rFonts w:ascii="Arial" w:cs="Arial" w:eastAsia="Arial" w:hAnsi="Arial"/>
            <w:sz w:val="17"/>
            <w:szCs w:val="17"/>
            <w:u w:val="single" w:color="auto"/>
            <w:color w:val="0000EE"/>
          </w:rPr>
          <w:t>Exhibit 4.2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our Annual Report on Form 10-K for the year ended December 31, 2021.</w:t>
      </w:r>
    </w:p>
    <w:p>
      <w:pPr>
        <w:spacing w:after="0" w:line="121" w:lineRule="exact"/>
        <w:rPr>
          <w:rFonts w:ascii="MS PGothic" w:cs="MS PGothic" w:eastAsia="MS PGothic" w:hAnsi="MS PGothic"/>
          <w:sz w:val="13"/>
          <w:szCs w:val="13"/>
          <w:color w:val="auto"/>
        </w:rPr>
      </w:pPr>
    </w:p>
    <w:p>
      <w:pPr>
        <w:ind w:left="120" w:right="40"/>
        <w:spacing w:after="0" w:line="267" w:lineRule="auto"/>
        <w:rPr>
          <w:sz w:val="20"/>
          <w:szCs w:val="20"/>
          <w:color w:val="auto"/>
        </w:rPr>
      </w:pPr>
      <w:r>
        <w:rPr>
          <w:rFonts w:ascii="Arial" w:cs="Arial" w:eastAsia="Arial" w:hAnsi="Arial"/>
          <w:sz w:val="17"/>
          <w:szCs w:val="17"/>
          <w:color w:val="auto"/>
        </w:rPr>
        <w:t>In addition, all reports and other documents filed by us pursuant to the Exchange Act after the date of the initial registration statement and prior to effectiveness of the registration statement shall be deemed to be incorporated by reference into this prospectus.</w:t>
      </w:r>
    </w:p>
    <w:p>
      <w:pPr>
        <w:spacing w:after="0" w:line="105" w:lineRule="exact"/>
        <w:rPr>
          <w:rFonts w:ascii="MS PGothic" w:cs="MS PGothic" w:eastAsia="MS PGothic" w:hAnsi="MS PGothic"/>
          <w:sz w:val="13"/>
          <w:szCs w:val="13"/>
          <w:color w:val="auto"/>
        </w:rPr>
      </w:pPr>
    </w:p>
    <w:p>
      <w:pPr>
        <w:ind w:left="120"/>
        <w:spacing w:after="0" w:line="249" w:lineRule="auto"/>
        <w:rPr>
          <w:sz w:val="20"/>
          <w:szCs w:val="20"/>
          <w:color w:val="auto"/>
        </w:rPr>
      </w:pPr>
      <w:r>
        <w:rPr>
          <w:rFonts w:ascii="Arial" w:cs="Arial" w:eastAsia="Arial" w:hAnsi="Arial"/>
          <w:sz w:val="17"/>
          <w:szCs w:val="17"/>
          <w:color w:val="auto"/>
        </w:rPr>
        <w:t>Notwithstanding the foregoing, unless specifically stated to the contrary, information that we furnish (and that is not deemed “filed” with the SEC) under Items 2.02 and 7.01 of any Current Report on Form 8-K, including the related exhibits under Item 9.01, is not incorporated by reference into this prospectus or the registration statement of which this prospectus is a part.</w:t>
      </w:r>
    </w:p>
    <w:p>
      <w:pPr>
        <w:spacing w:after="0" w:line="121" w:lineRule="exact"/>
        <w:rPr>
          <w:rFonts w:ascii="MS PGothic" w:cs="MS PGothic" w:eastAsia="MS PGothic" w:hAnsi="MS PGothic"/>
          <w:sz w:val="13"/>
          <w:szCs w:val="13"/>
          <w:color w:val="auto"/>
        </w:rPr>
      </w:pPr>
    </w:p>
    <w:p>
      <w:pPr>
        <w:ind w:left="120"/>
        <w:spacing w:after="0"/>
        <w:rPr>
          <w:sz w:val="20"/>
          <w:szCs w:val="20"/>
          <w:color w:val="auto"/>
        </w:rPr>
      </w:pPr>
      <w:r>
        <w:rPr>
          <w:rFonts w:ascii="Arial" w:cs="Arial" w:eastAsia="Arial" w:hAnsi="Arial"/>
          <w:sz w:val="17"/>
          <w:szCs w:val="17"/>
          <w:color w:val="auto"/>
        </w:rPr>
        <w:t>You may request a copy of these filings, at no cost, by writing or telephoning us at the following address or phone number:</w:t>
      </w:r>
    </w:p>
    <w:p>
      <w:pPr>
        <w:spacing w:after="0" w:line="156" w:lineRule="exact"/>
        <w:rPr>
          <w:rFonts w:ascii="MS PGothic" w:cs="MS PGothic" w:eastAsia="MS PGothic" w:hAnsi="MS PGothic"/>
          <w:sz w:val="13"/>
          <w:szCs w:val="13"/>
          <w:color w:val="auto"/>
        </w:rPr>
      </w:pPr>
    </w:p>
    <w:p>
      <w:pPr>
        <w:jc w:val="center"/>
        <w:ind w:right="-139"/>
        <w:spacing w:after="0"/>
        <w:rPr>
          <w:sz w:val="20"/>
          <w:szCs w:val="20"/>
          <w:color w:val="auto"/>
        </w:rPr>
      </w:pPr>
      <w:r>
        <w:rPr>
          <w:rFonts w:ascii="Arial" w:cs="Arial" w:eastAsia="Arial" w:hAnsi="Arial"/>
          <w:sz w:val="17"/>
          <w:szCs w:val="17"/>
          <w:color w:val="auto"/>
        </w:rPr>
        <w:t>Tango Therapeutics, Inc.</w:t>
      </w:r>
    </w:p>
    <w:p>
      <w:pPr>
        <w:spacing w:after="0" w:line="3" w:lineRule="exact"/>
        <w:rPr>
          <w:rFonts w:ascii="MS PGothic" w:cs="MS PGothic" w:eastAsia="MS PGothic" w:hAnsi="MS PGothic"/>
          <w:sz w:val="13"/>
          <w:szCs w:val="13"/>
          <w:color w:val="auto"/>
        </w:rPr>
      </w:pPr>
    </w:p>
    <w:p>
      <w:pPr>
        <w:jc w:val="center"/>
        <w:ind w:right="-139"/>
        <w:spacing w:after="0"/>
        <w:rPr>
          <w:sz w:val="20"/>
          <w:szCs w:val="20"/>
          <w:color w:val="auto"/>
        </w:rPr>
      </w:pPr>
      <w:r>
        <w:rPr>
          <w:rFonts w:ascii="Arial" w:cs="Arial" w:eastAsia="Arial" w:hAnsi="Arial"/>
          <w:sz w:val="17"/>
          <w:szCs w:val="17"/>
          <w:color w:val="auto"/>
        </w:rPr>
        <w:t>201 Brookline Ave., Suite 901</w:t>
      </w:r>
    </w:p>
    <w:p>
      <w:pPr>
        <w:jc w:val="center"/>
        <w:ind w:right="-139"/>
        <w:spacing w:after="0" w:line="232" w:lineRule="auto"/>
        <w:rPr>
          <w:sz w:val="20"/>
          <w:szCs w:val="20"/>
          <w:color w:val="auto"/>
        </w:rPr>
      </w:pPr>
      <w:r>
        <w:rPr>
          <w:rFonts w:ascii="Arial" w:cs="Arial" w:eastAsia="Arial" w:hAnsi="Arial"/>
          <w:sz w:val="17"/>
          <w:szCs w:val="17"/>
          <w:color w:val="auto"/>
        </w:rPr>
        <w:t>Boston, MA 02215</w:t>
      </w:r>
    </w:p>
    <w:p>
      <w:pPr>
        <w:jc w:val="center"/>
        <w:ind w:right="-139"/>
        <w:spacing w:after="0" w:line="232" w:lineRule="auto"/>
        <w:rPr>
          <w:sz w:val="20"/>
          <w:szCs w:val="20"/>
          <w:color w:val="auto"/>
        </w:rPr>
      </w:pPr>
      <w:r>
        <w:rPr>
          <w:rFonts w:ascii="Arial" w:cs="Arial" w:eastAsia="Arial" w:hAnsi="Arial"/>
          <w:sz w:val="17"/>
          <w:szCs w:val="17"/>
          <w:color w:val="auto"/>
        </w:rPr>
        <w:t>Attn: Corporate Secretary</w:t>
      </w:r>
    </w:p>
    <w:p>
      <w:pPr>
        <w:jc w:val="center"/>
        <w:ind w:right="-139"/>
        <w:spacing w:after="0"/>
        <w:rPr>
          <w:sz w:val="20"/>
          <w:szCs w:val="20"/>
          <w:color w:val="auto"/>
        </w:rPr>
      </w:pPr>
      <w:r>
        <w:rPr>
          <w:rFonts w:ascii="Arial" w:cs="Arial" w:eastAsia="Arial" w:hAnsi="Arial"/>
          <w:sz w:val="17"/>
          <w:szCs w:val="17"/>
          <w:color w:val="auto"/>
        </w:rPr>
        <w:t>857-320-4900</w:t>
      </w:r>
    </w:p>
    <w:p>
      <w:pPr>
        <w:spacing w:after="0" w:line="140" w:lineRule="exact"/>
        <w:rPr>
          <w:rFonts w:ascii="MS PGothic" w:cs="MS PGothic" w:eastAsia="MS PGothic" w:hAnsi="MS PGothic"/>
          <w:sz w:val="13"/>
          <w:szCs w:val="13"/>
          <w:color w:val="auto"/>
        </w:rPr>
      </w:pPr>
    </w:p>
    <w:p>
      <w:pPr>
        <w:ind w:left="120" w:right="60"/>
        <w:spacing w:after="0" w:line="249" w:lineRule="auto"/>
        <w:rPr>
          <w:sz w:val="20"/>
          <w:szCs w:val="20"/>
          <w:color w:val="auto"/>
        </w:rPr>
      </w:pPr>
      <w:r>
        <w:rPr>
          <w:rFonts w:ascii="Arial" w:cs="Arial" w:eastAsia="Arial" w:hAnsi="Arial"/>
          <w:sz w:val="17"/>
          <w:szCs w:val="17"/>
          <w:color w:val="auto"/>
        </w:rPr>
        <w:t>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spacing w:after="0" w:line="115" w:lineRule="exact"/>
        <w:rPr>
          <w:rFonts w:ascii="MS PGothic" w:cs="MS PGothic" w:eastAsia="MS PGothic" w:hAnsi="MS PGothic"/>
          <w:sz w:val="13"/>
          <w:szCs w:val="13"/>
          <w:color w:val="auto"/>
        </w:rPr>
      </w:pPr>
    </w:p>
    <w:p>
      <w:pPr>
        <w:jc w:val="center"/>
        <w:ind w:right="-139"/>
        <w:spacing w:after="0"/>
        <w:rPr>
          <w:sz w:val="20"/>
          <w:szCs w:val="20"/>
          <w:color w:val="auto"/>
        </w:rPr>
      </w:pPr>
      <w:r>
        <w:rPr>
          <w:rFonts w:ascii="Arial" w:cs="Arial" w:eastAsia="Arial" w:hAnsi="Arial"/>
          <w:sz w:val="16"/>
          <w:szCs w:val="16"/>
          <w:color w:val="auto"/>
        </w:rPr>
        <w:t>S-15</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249555</wp:posOffset>
            </wp:positionV>
            <wp:extent cx="6995160" cy="7454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6995160" cy="74549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120"/>
        <w:spacing w:after="0"/>
        <w:rPr>
          <w:sz w:val="20"/>
          <w:szCs w:val="20"/>
          <w:color w:val="auto"/>
        </w:rPr>
      </w:pPr>
      <w:r>
        <w:rPr>
          <w:rFonts w:ascii="Arial" w:cs="Arial" w:eastAsia="Arial" w:hAnsi="Arial"/>
          <w:sz w:val="25"/>
          <w:szCs w:val="25"/>
          <w:b w:val="1"/>
          <w:bCs w:val="1"/>
          <w:color w:val="auto"/>
        </w:rPr>
        <w:t>Up to $100,000,000</w:t>
      </w:r>
    </w:p>
    <w:p>
      <w:pPr>
        <w:spacing w:after="0" w:line="226" w:lineRule="exact"/>
        <w:rPr>
          <w:sz w:val="20"/>
          <w:szCs w:val="20"/>
          <w:color w:val="auto"/>
        </w:rPr>
      </w:pPr>
    </w:p>
    <w:p>
      <w:pPr>
        <w:jc w:val="center"/>
        <w:ind w:right="-112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1144905</wp:posOffset>
            </wp:positionV>
            <wp:extent cx="22459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940"/>
        <w:spacing w:after="0"/>
        <w:rPr>
          <w:sz w:val="20"/>
          <w:szCs w:val="20"/>
          <w:color w:val="auto"/>
        </w:rPr>
      </w:pPr>
      <w:r>
        <w:rPr>
          <w:rFonts w:ascii="Arial" w:cs="Arial" w:eastAsia="Arial" w:hAnsi="Arial"/>
          <w:sz w:val="20"/>
          <w:szCs w:val="20"/>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151765</wp:posOffset>
            </wp:positionV>
            <wp:extent cx="22459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040"/>
        <w:spacing w:after="0"/>
        <w:rPr>
          <w:sz w:val="20"/>
          <w:szCs w:val="20"/>
          <w:color w:val="auto"/>
        </w:rPr>
      </w:pPr>
      <w:r>
        <w:rPr>
          <w:rFonts w:ascii="Arial" w:cs="Arial" w:eastAsia="Arial" w:hAnsi="Arial"/>
          <w:sz w:val="29"/>
          <w:szCs w:val="29"/>
          <w:b w:val="1"/>
          <w:bCs w:val="1"/>
          <w:color w:val="auto"/>
        </w:rPr>
        <w:t>Jefferies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335915</wp:posOffset>
            </wp:positionV>
            <wp:extent cx="6995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404495</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73" w:lineRule="exact"/>
        <w:rPr>
          <w:sz w:val="20"/>
          <w:szCs w:val="20"/>
          <w:color w:val="auto"/>
        </w:rPr>
      </w:pPr>
    </w:p>
    <w:p>
      <w:pPr>
        <w:ind w:left="120" w:right="40"/>
        <w:spacing w:after="0" w:line="267" w:lineRule="auto"/>
        <w:rPr>
          <w:sz w:val="20"/>
          <w:szCs w:val="20"/>
          <w:color w:val="auto"/>
        </w:rPr>
      </w:pPr>
      <w:r>
        <w:rPr>
          <w:rFonts w:ascii="Arial" w:cs="Arial" w:eastAsia="Arial" w:hAnsi="Arial"/>
          <w:sz w:val="17"/>
          <w:szCs w:val="17"/>
          <w:color w:val="auto"/>
        </w:rPr>
        <w:t>The following table sets forth the various expenses to be incurred in connection with the sale and distribution of the securities being registered. All amounts shown are estimates except the SEC registration Fee and the 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114935</wp:posOffset>
            </wp:positionV>
            <wp:extent cx="6995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SEC registration fee</w:t>
            </w:r>
          </w:p>
        </w:tc>
        <w:tc>
          <w:tcPr>
            <w:tcW w:w="4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$37,080</w:t>
            </w:r>
          </w:p>
        </w:tc>
      </w:tr>
      <w:tr>
        <w:trPr>
          <w:trHeight w:val="189"/>
        </w:trPr>
        <w:tc>
          <w:tcPr>
            <w:tcW w:w="6400" w:type="dxa"/>
            <w:vAlign w:val="bottom"/>
          </w:tcPr>
          <w:p>
            <w:pPr>
              <w:spacing w:after="0" w:line="189" w:lineRule="exact"/>
              <w:rPr>
                <w:sz w:val="20"/>
                <w:szCs w:val="20"/>
                <w:color w:val="auto"/>
              </w:rPr>
            </w:pPr>
            <w:r>
              <w:rPr>
                <w:rFonts w:ascii="Arial" w:cs="Arial" w:eastAsia="Arial" w:hAnsi="Arial"/>
                <w:sz w:val="17"/>
                <w:szCs w:val="17"/>
                <w:color w:val="auto"/>
              </w:rPr>
              <w:t>FINRA filing fee</w:t>
            </w:r>
          </w:p>
        </w:tc>
        <w:tc>
          <w:tcPr>
            <w:tcW w:w="4620" w:type="dxa"/>
            <w:vAlign w:val="bottom"/>
          </w:tcPr>
          <w:p>
            <w:pPr>
              <w:jc w:val="right"/>
              <w:spacing w:after="0" w:line="189" w:lineRule="exact"/>
              <w:rPr>
                <w:sz w:val="20"/>
                <w:szCs w:val="20"/>
                <w:color w:val="auto"/>
              </w:rPr>
            </w:pPr>
            <w:r>
              <w:rPr>
                <w:rFonts w:ascii="Arial" w:cs="Arial" w:eastAsia="Arial" w:hAnsi="Arial"/>
                <w:sz w:val="17"/>
                <w:szCs w:val="17"/>
                <w:color w:val="auto"/>
              </w:rPr>
              <w:t>$60,500</w:t>
            </w:r>
          </w:p>
        </w:tc>
      </w:tr>
      <w:tr>
        <w:trPr>
          <w:trHeight w:val="189"/>
        </w:trPr>
        <w:tc>
          <w:tcPr>
            <w:tcW w:w="6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Printing and engraving</w:t>
            </w:r>
          </w:p>
        </w:tc>
        <w:tc>
          <w:tcPr>
            <w:tcW w:w="4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r>
      <w:tr>
        <w:trPr>
          <w:trHeight w:val="189"/>
        </w:trPr>
        <w:tc>
          <w:tcPr>
            <w:tcW w:w="6400" w:type="dxa"/>
            <w:vAlign w:val="bottom"/>
          </w:tcPr>
          <w:p>
            <w:pPr>
              <w:spacing w:after="0" w:line="189" w:lineRule="exact"/>
              <w:rPr>
                <w:sz w:val="20"/>
                <w:szCs w:val="20"/>
                <w:color w:val="auto"/>
              </w:rPr>
            </w:pPr>
            <w:r>
              <w:rPr>
                <w:rFonts w:ascii="Arial" w:cs="Arial" w:eastAsia="Arial" w:hAnsi="Arial"/>
                <w:sz w:val="17"/>
                <w:szCs w:val="17"/>
                <w:color w:val="auto"/>
              </w:rPr>
              <w:t>Accounting services</w:t>
            </w:r>
          </w:p>
        </w:tc>
        <w:tc>
          <w:tcPr>
            <w:tcW w:w="46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r>
      <w:tr>
        <w:trPr>
          <w:trHeight w:val="189"/>
        </w:trPr>
        <w:tc>
          <w:tcPr>
            <w:tcW w:w="6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Legal fees of registrant’s counsel</w:t>
            </w:r>
          </w:p>
        </w:tc>
        <w:tc>
          <w:tcPr>
            <w:tcW w:w="4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r>
      <w:tr>
        <w:trPr>
          <w:trHeight w:val="189"/>
        </w:trPr>
        <w:tc>
          <w:tcPr>
            <w:tcW w:w="6400" w:type="dxa"/>
            <w:vAlign w:val="bottom"/>
          </w:tcPr>
          <w:p>
            <w:pPr>
              <w:spacing w:after="0" w:line="189" w:lineRule="exact"/>
              <w:rPr>
                <w:sz w:val="20"/>
                <w:szCs w:val="20"/>
                <w:color w:val="auto"/>
              </w:rPr>
            </w:pPr>
            <w:r>
              <w:rPr>
                <w:rFonts w:ascii="Arial" w:cs="Arial" w:eastAsia="Arial" w:hAnsi="Arial"/>
                <w:sz w:val="17"/>
                <w:szCs w:val="17"/>
                <w:color w:val="auto"/>
              </w:rPr>
              <w:t>Miscellaneous</w:t>
            </w:r>
          </w:p>
        </w:tc>
        <w:tc>
          <w:tcPr>
            <w:tcW w:w="46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r>
      <w:tr>
        <w:trPr>
          <w:trHeight w:val="189"/>
        </w:trPr>
        <w:tc>
          <w:tcPr>
            <w:tcW w:w="6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w:t>
            </w:r>
          </w:p>
        </w:tc>
        <w:tc>
          <w:tcPr>
            <w:tcW w:w="46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r>
      <w:tr>
        <w:trPr>
          <w:trHeight w:val="257"/>
        </w:trPr>
        <w:tc>
          <w:tcPr>
            <w:tcW w:w="6400" w:type="dxa"/>
            <w:vAlign w:val="bottom"/>
            <w:tcBorders>
              <w:bottom w:val="single" w:sz="8" w:color="auto"/>
            </w:tcBorders>
          </w:tcPr>
          <w:p>
            <w:pPr>
              <w:spacing w:after="0"/>
              <w:rPr>
                <w:sz w:val="22"/>
                <w:szCs w:val="22"/>
                <w:color w:val="auto"/>
              </w:rPr>
            </w:pPr>
          </w:p>
        </w:tc>
        <w:tc>
          <w:tcPr>
            <w:tcW w:w="4620" w:type="dxa"/>
            <w:vAlign w:val="bottom"/>
            <w:tcBorders>
              <w:bottom w:val="single" w:sz="8" w:color="auto"/>
            </w:tcBorders>
          </w:tcPr>
          <w:p>
            <w:pPr>
              <w:spacing w:after="0"/>
              <w:rPr>
                <w:sz w:val="22"/>
                <w:szCs w:val="22"/>
                <w:color w:val="auto"/>
              </w:rPr>
            </w:pPr>
          </w:p>
        </w:tc>
      </w:tr>
    </w:tbl>
    <w:p>
      <w:pPr>
        <w:spacing w:after="0" w:line="22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Estimated expenses not presently known.</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73"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Section 145 of the Delaware General Corporation Law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133" w:lineRule="exact"/>
        <w:rPr>
          <w:sz w:val="20"/>
          <w:szCs w:val="20"/>
          <w:color w:val="auto"/>
        </w:rPr>
      </w:pPr>
    </w:p>
    <w:p>
      <w:pPr>
        <w:jc w:val="both"/>
        <w:ind w:left="120" w:right="60"/>
        <w:spacing w:after="0" w:line="249" w:lineRule="auto"/>
        <w:rPr>
          <w:sz w:val="20"/>
          <w:szCs w:val="20"/>
          <w:color w:val="auto"/>
        </w:rPr>
      </w:pPr>
      <w:r>
        <w:rPr>
          <w:rFonts w:ascii="Arial" w:cs="Arial" w:eastAsia="Arial" w:hAnsi="Arial"/>
          <w:sz w:val="17"/>
          <w:szCs w:val="17"/>
          <w:color w:val="auto"/>
        </w:rPr>
        <w:t>We have adopted provisions in our certificate of incorporation and bylaws that limit or eliminate the personal liability of our directors to the fullest extent permitted by the DGCL, as it now exists or may in the future be amended. Consequently, a director will not be personally liable to us or our stockholders for monetary damages or breach of fiduciary duty as a director, except for liability for:</w:t>
      </w:r>
    </w:p>
    <w:p>
      <w:pPr>
        <w:spacing w:after="0" w:line="161" w:lineRule="exact"/>
        <w:rPr>
          <w:sz w:val="20"/>
          <w:szCs w:val="20"/>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any breach of the director’s duty of loyalty to us or our stockholders;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any act or omission not in good faith or that involves intentional misconduct or a knowing violation of law;</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any unlawful payments related to dividends or unlawful stock purchases, redemptions or other distributions; or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any transaction from which the director derived an improper personal benefit.</w:t>
      </w:r>
    </w:p>
    <w:p>
      <w:pPr>
        <w:spacing w:after="0" w:line="156" w:lineRule="exact"/>
        <w:rPr>
          <w:sz w:val="20"/>
          <w:szCs w:val="20"/>
          <w:color w:val="auto"/>
        </w:rPr>
      </w:pPr>
    </w:p>
    <w:p>
      <w:pPr>
        <w:ind w:left="120" w:right="300"/>
        <w:spacing w:after="0" w:line="267" w:lineRule="auto"/>
        <w:rPr>
          <w:sz w:val="20"/>
          <w:szCs w:val="20"/>
          <w:color w:val="auto"/>
        </w:rPr>
      </w:pPr>
      <w:r>
        <w:rPr>
          <w:rFonts w:ascii="Arial" w:cs="Arial" w:eastAsia="Arial" w:hAnsi="Arial"/>
          <w:sz w:val="17"/>
          <w:szCs w:val="17"/>
          <w:color w:val="auto"/>
        </w:rPr>
        <w:t>These limitations of liability do not alter director liability under the federal securities laws and do not affect the availability of equitable remedies such as an injunction or rescission.</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addition, our bylaws provide that:</w:t>
      </w:r>
    </w:p>
    <w:p>
      <w:pPr>
        <w:spacing w:after="0" w:line="196" w:lineRule="exact"/>
        <w:rPr>
          <w:sz w:val="20"/>
          <w:szCs w:val="20"/>
          <w:color w:val="auto"/>
        </w:rPr>
      </w:pPr>
    </w:p>
    <w:p>
      <w:pPr>
        <w:ind w:left="980" w:right="20" w:hanging="432"/>
        <w:spacing w:after="0" w:line="254" w:lineRule="auto"/>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we will indemnify our directors, officers and, in the discretion of our board of directors, certain employees to the fullest extent permitted by the DGCL, as it now exists or may in the future be amended; and</w:t>
      </w:r>
    </w:p>
    <w:p>
      <w:pPr>
        <w:spacing w:after="0" w:line="4" w:lineRule="exact"/>
        <w:rPr>
          <w:rFonts w:ascii="MS PGothic" w:cs="MS PGothic" w:eastAsia="MS PGothic" w:hAnsi="MS PGothic"/>
          <w:sz w:val="13"/>
          <w:szCs w:val="13"/>
          <w:color w:val="auto"/>
        </w:rPr>
      </w:pPr>
    </w:p>
    <w:p>
      <w:pPr>
        <w:ind w:left="980" w:right="120" w:hanging="432"/>
        <w:spacing w:after="0" w:line="249" w:lineRule="auto"/>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we will advance reasonable expenses, including attorneys’ fees, to our directors and, in the discretion of our board of directors, to our officers and certain employees, in connection with legal proceedings relating to their service for or on behalf of us, subject to limited exceptions.</w:t>
      </w:r>
    </w:p>
    <w:p>
      <w:pPr>
        <w:spacing w:after="0" w:line="11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II-1</w:t>
      </w:r>
    </w:p>
    <w:p>
      <w:pPr>
        <w:sectPr>
          <w:pgSz w:w="11900" w:h="16838" w:orient="portrait"/>
          <w:cols w:equalWidth="0" w:num="1">
            <w:col w:w="11140"/>
          </w:cols>
          <w:pgMar w:left="320" w:top="455"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6"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We have entered into indemnification agreements with each of our directors and executive officers. These agreements provide that we will indemnify each of our directors, our executive officers and, at times, their affiliates to the fullest extent permitted by Delaware law. We will advance expenses, including attorneys’ fees (but excluding judgments, fines and settlement amounts), to each indemnified director, executive officer or affiliate in connection with any proceeding in which indemnification is available and we will indemnify our directors and officers for any action or proceeding arising out of that person’s services as a director or officer brought on behalf of us or in furtherance of our rights. Additionally, certain of our directors or officers may have certain rights to indemnification, advancement of expenses or insurance provided by their affiliates or other third parties, which indemnification relates to and might apply to the same proceedings arising out of such director’s or officer’s services as a director referenced herein. Nonetheless, we have agreed in the indemnification agreements that our obligations to those same directors or officers are primary and any obligation of such affiliates or other third parties to advance expenses or to provide indemnification for the expenses or liabilities incurred by those directors are secondary.</w:t>
      </w:r>
    </w:p>
    <w:p>
      <w:pPr>
        <w:spacing w:after="0" w:line="130" w:lineRule="exact"/>
        <w:rPr>
          <w:sz w:val="20"/>
          <w:szCs w:val="20"/>
          <w:color w:val="auto"/>
        </w:rPr>
      </w:pPr>
    </w:p>
    <w:p>
      <w:pPr>
        <w:jc w:val="both"/>
        <w:ind w:left="120" w:right="480"/>
        <w:spacing w:after="0" w:line="267" w:lineRule="auto"/>
        <w:rPr>
          <w:sz w:val="20"/>
          <w:szCs w:val="20"/>
          <w:color w:val="auto"/>
        </w:rPr>
      </w:pPr>
      <w:r>
        <w:rPr>
          <w:rFonts w:ascii="Arial" w:cs="Arial" w:eastAsia="Arial" w:hAnsi="Arial"/>
          <w:sz w:val="17"/>
          <w:szCs w:val="17"/>
          <w:color w:val="auto"/>
        </w:rPr>
        <w:t>We also maintain general liability insurance which covers certain liabilities of our directors and officers arising out of claims based on acts or omissions in their capacities as directors or officers, including liabilities under the Securities Act of 1933, as amended (the “Securities Act”).</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w:t>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247"/>
        </w:trPr>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380" w:type="dxa"/>
            <w:vAlign w:val="bottom"/>
            <w:gridSpan w:val="3"/>
          </w:tcPr>
          <w:p>
            <w:pPr>
              <w:ind w:left="4200"/>
              <w:spacing w:after="0"/>
              <w:rPr>
                <w:sz w:val="20"/>
                <w:szCs w:val="20"/>
                <w:color w:val="auto"/>
              </w:rPr>
            </w:pPr>
            <w:r>
              <w:rPr>
                <w:rFonts w:ascii="Arial" w:cs="Arial" w:eastAsia="Arial" w:hAnsi="Arial"/>
                <w:sz w:val="18"/>
                <w:szCs w:val="18"/>
                <w:b w:val="1"/>
                <w:bCs w:val="1"/>
                <w:color w:val="auto"/>
              </w:rPr>
              <w:t>EXHIBIT INDEX</w:t>
            </w:r>
          </w:p>
        </w:tc>
      </w:tr>
      <w:tr>
        <w:trPr>
          <w:trHeight w:val="204"/>
        </w:trPr>
        <w:tc>
          <w:tcPr>
            <w:tcW w:w="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8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520" w:type="dxa"/>
            <w:vAlign w:val="bottom"/>
            <w:tcBorders>
              <w:bottom w:val="single" w:sz="8" w:color="auto"/>
            </w:tcBorders>
          </w:tcPr>
          <w:p>
            <w:pPr>
              <w:spacing w:after="0"/>
              <w:rPr>
                <w:sz w:val="17"/>
                <w:szCs w:val="17"/>
                <w:color w:val="auto"/>
              </w:rPr>
            </w:pPr>
          </w:p>
        </w:tc>
      </w:tr>
      <w:tr>
        <w:trPr>
          <w:trHeight w:val="376"/>
        </w:trPr>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EXHIBIT</w:t>
            </w:r>
          </w:p>
        </w:tc>
        <w:tc>
          <w:tcPr>
            <w:tcW w:w="4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171"/>
        </w:trPr>
        <w:tc>
          <w:tcPr>
            <w:tcW w:w="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NO.</w:t>
            </w:r>
          </w:p>
        </w:tc>
        <w:tc>
          <w:tcPr>
            <w:tcW w:w="10380" w:type="dxa"/>
            <w:vAlign w:val="bottom"/>
            <w:gridSpan w:val="3"/>
          </w:tcPr>
          <w:p>
            <w:pPr>
              <w:ind w:left="488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r>
    </w:tbl>
    <w:p>
      <w:pPr>
        <w:spacing w:after="0" w:line="86" w:lineRule="exact"/>
        <w:rPr>
          <w:sz w:val="20"/>
          <w:szCs w:val="20"/>
          <w:color w:val="auto"/>
        </w:rPr>
      </w:pPr>
    </w:p>
    <w:p>
      <w:pPr>
        <w:ind w:left="320"/>
        <w:spacing w:after="0"/>
        <w:tabs>
          <w:tab w:leader="none" w:pos="11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color w:val="auto"/>
        </w:rPr>
        <w:t>Form of Underwriting Agreement</w:t>
      </w:r>
    </w:p>
    <w:p>
      <w:pPr>
        <w:spacing w:after="0" w:line="104" w:lineRule="exact"/>
        <w:rPr>
          <w:sz w:val="20"/>
          <w:szCs w:val="20"/>
          <w:color w:val="auto"/>
        </w:rPr>
      </w:pPr>
    </w:p>
    <w:p>
      <w:pPr>
        <w:ind w:left="320"/>
        <w:spacing w:after="0"/>
        <w:tabs>
          <w:tab w:leader="none" w:pos="11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u w:val="single" w:color="auto"/>
          <w:color w:val="0000EE"/>
        </w:rPr>
        <w:t>Open Market Sale Agreement</w:t>
      </w:r>
      <w:r>
        <w:rPr>
          <w:rFonts w:ascii="Arial" w:cs="Arial" w:eastAsia="Arial" w:hAnsi="Arial"/>
          <w:sz w:val="12"/>
          <w:szCs w:val="12"/>
          <w:u w:val="single" w:color="auto"/>
          <w:color w:val="0000EE"/>
        </w:rPr>
        <w:t>SM</w:t>
      </w:r>
      <w:r>
        <w:rPr>
          <w:rFonts w:ascii="Arial" w:cs="Arial" w:eastAsia="Arial" w:hAnsi="Arial"/>
          <w:sz w:val="17"/>
          <w:szCs w:val="17"/>
          <w:u w:val="single" w:color="auto"/>
          <w:color w:val="0000EE"/>
        </w:rPr>
        <w:t>, dated September 1, 2022, by and between Tango Therapeutics, Inc. and Jefferies LLC</w:t>
      </w:r>
    </w:p>
    <w:p>
      <w:pPr>
        <w:spacing w:after="0" w:line="104" w:lineRule="exact"/>
        <w:rPr>
          <w:sz w:val="20"/>
          <w:szCs w:val="20"/>
          <w:color w:val="auto"/>
        </w:rPr>
      </w:pPr>
    </w:p>
    <w:p>
      <w:pPr>
        <w:ind w:left="1120" w:right="160" w:hanging="798"/>
        <w:spacing w:after="0" w:line="267" w:lineRule="auto"/>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3.1</w:t>
      </w:r>
      <w:r>
        <w:rPr>
          <w:sz w:val="20"/>
          <w:szCs w:val="20"/>
          <w:color w:val="auto"/>
        </w:rPr>
        <w:tab/>
      </w:r>
      <w:hyperlink r:id="rId106">
        <w:r>
          <w:rPr>
            <w:rFonts w:ascii="Arial" w:cs="Arial" w:eastAsia="Arial" w:hAnsi="Arial"/>
            <w:sz w:val="17"/>
            <w:szCs w:val="17"/>
            <w:u w:val="single" w:color="auto"/>
            <w:color w:val="0000EE"/>
          </w:rPr>
          <w:t>Second Amended and Restated Certificate of Incorporation of Tango Therapeutics, Inc. (incorporated by reference to Exhibit 3.1 to</w:t>
        </w:r>
      </w:hyperlink>
      <w:r>
        <w:rPr>
          <w:rFonts w:ascii="Arial" w:cs="Arial" w:eastAsia="Arial" w:hAnsi="Arial"/>
          <w:sz w:val="17"/>
          <w:szCs w:val="17"/>
          <w:u w:val="single" w:color="auto"/>
          <w:color w:val="0000EE"/>
        </w:rPr>
        <w:t xml:space="preserve"> </w:t>
      </w:r>
      <w:hyperlink r:id="rId106">
        <w:r>
          <w:rPr>
            <w:rFonts w:ascii="Arial" w:cs="Arial" w:eastAsia="Arial" w:hAnsi="Arial"/>
            <w:sz w:val="17"/>
            <w:szCs w:val="17"/>
            <w:u w:val="single" w:color="auto"/>
            <w:color w:val="0000EE"/>
          </w:rPr>
          <w:t>the Registrant’s registration statement on Form S-1 filed with the SEC on September 10, 2021)</w:t>
        </w:r>
      </w:hyperlink>
    </w:p>
    <w:p>
      <w:pPr>
        <w:spacing w:after="0" w:line="51" w:lineRule="exact"/>
        <w:rPr>
          <w:sz w:val="20"/>
          <w:szCs w:val="20"/>
          <w:color w:val="auto"/>
        </w:rPr>
      </w:pPr>
    </w:p>
    <w:p>
      <w:pPr>
        <w:ind w:left="1120" w:right="140" w:hanging="798"/>
        <w:spacing w:after="0" w:line="267" w:lineRule="auto"/>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3.2</w:t>
      </w:r>
      <w:r>
        <w:rPr>
          <w:sz w:val="20"/>
          <w:szCs w:val="20"/>
          <w:color w:val="auto"/>
        </w:rPr>
        <w:tab/>
      </w:r>
      <w:hyperlink r:id="rId107">
        <w:r>
          <w:rPr>
            <w:rFonts w:ascii="Arial" w:cs="Arial" w:eastAsia="Arial" w:hAnsi="Arial"/>
            <w:sz w:val="17"/>
            <w:szCs w:val="17"/>
            <w:u w:val="single" w:color="auto"/>
            <w:color w:val="0000EE"/>
          </w:rPr>
          <w:t>Amended and Restated Bylaws of Tango Therapeutics, Inc. (incorporated by reference to Exhibit 4.2 to the Registrant’s registration</w:t>
        </w:r>
      </w:hyperlink>
      <w:r>
        <w:rPr>
          <w:rFonts w:ascii="Arial" w:cs="Arial" w:eastAsia="Arial" w:hAnsi="Arial"/>
          <w:sz w:val="17"/>
          <w:szCs w:val="17"/>
          <w:u w:val="single" w:color="auto"/>
          <w:color w:val="0000EE"/>
        </w:rPr>
        <w:t xml:space="preserve"> </w:t>
      </w:r>
      <w:hyperlink r:id="rId107">
        <w:r>
          <w:rPr>
            <w:rFonts w:ascii="Arial" w:cs="Arial" w:eastAsia="Arial" w:hAnsi="Arial"/>
            <w:sz w:val="17"/>
            <w:szCs w:val="17"/>
            <w:u w:val="single" w:color="auto"/>
            <w:color w:val="0000EE"/>
          </w:rPr>
          <w:t>statement on Form S-8 filed with the SEC on October 14, 2021)</w:t>
        </w:r>
      </w:hyperlink>
    </w:p>
    <w:p>
      <w:pPr>
        <w:spacing w:after="0" w:line="51" w:lineRule="exact"/>
        <w:rPr>
          <w:sz w:val="20"/>
          <w:szCs w:val="20"/>
          <w:color w:val="auto"/>
        </w:rPr>
      </w:pPr>
    </w:p>
    <w:p>
      <w:pPr>
        <w:ind w:left="1120" w:right="200" w:hanging="798"/>
        <w:spacing w:after="0" w:line="249" w:lineRule="auto"/>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4.1</w:t>
      </w:r>
      <w:r>
        <w:rPr>
          <w:sz w:val="20"/>
          <w:szCs w:val="20"/>
          <w:color w:val="auto"/>
        </w:rPr>
        <w:tab/>
      </w:r>
      <w:hyperlink r:id="rId108">
        <w:r>
          <w:rPr>
            <w:rFonts w:ascii="Arial" w:cs="Arial" w:eastAsia="Arial" w:hAnsi="Arial"/>
            <w:sz w:val="17"/>
            <w:szCs w:val="17"/>
            <w:u w:val="single" w:color="auto"/>
            <w:color w:val="0000EE"/>
          </w:rPr>
          <w:t>Amended and Restated Registration and Stockholder Rights Agreement, dated August 10, 2021, by and among Tango</w:t>
        </w:r>
      </w:hyperlink>
      <w:r>
        <w:rPr>
          <w:rFonts w:ascii="Arial" w:cs="Arial" w:eastAsia="Arial" w:hAnsi="Arial"/>
          <w:sz w:val="17"/>
          <w:szCs w:val="17"/>
          <w:u w:val="single" w:color="auto"/>
          <w:color w:val="0000EE"/>
        </w:rPr>
        <w:t xml:space="preserve"> </w:t>
      </w:r>
      <w:hyperlink r:id="rId108">
        <w:r>
          <w:rPr>
            <w:rFonts w:ascii="Arial" w:cs="Arial" w:eastAsia="Arial" w:hAnsi="Arial"/>
            <w:sz w:val="17"/>
            <w:szCs w:val="17"/>
            <w:u w:val="single" w:color="auto"/>
            <w:color w:val="0000EE"/>
          </w:rPr>
          <w:t>Therapeutics, Inc. and the stockholders party thereto (incorporated by reference to Exhibit 10.2 to the Current Report on Form 8-K</w:t>
        </w:r>
      </w:hyperlink>
      <w:r>
        <w:rPr>
          <w:rFonts w:ascii="Arial" w:cs="Arial" w:eastAsia="Arial" w:hAnsi="Arial"/>
          <w:sz w:val="17"/>
          <w:szCs w:val="17"/>
          <w:u w:val="single" w:color="auto"/>
          <w:color w:val="0000EE"/>
        </w:rPr>
        <w:t xml:space="preserve"> </w:t>
      </w:r>
      <w:hyperlink r:id="rId108">
        <w:r>
          <w:rPr>
            <w:rFonts w:ascii="Arial" w:cs="Arial" w:eastAsia="Arial" w:hAnsi="Arial"/>
            <w:sz w:val="17"/>
            <w:szCs w:val="17"/>
            <w:u w:val="single" w:color="auto"/>
            <w:color w:val="0000EE"/>
          </w:rPr>
          <w:t>filed by the Registrant on August 13, 2021)</w:t>
        </w:r>
      </w:hyperlink>
    </w:p>
    <w:p>
      <w:pPr>
        <w:spacing w:after="0" w:line="67" w:lineRule="exact"/>
        <w:rPr>
          <w:rFonts w:ascii="Arial" w:cs="Arial" w:eastAsia="Arial" w:hAnsi="Arial"/>
          <w:sz w:val="17"/>
          <w:szCs w:val="17"/>
          <w:u w:val="single" w:color="auto"/>
          <w:color w:val="0000EE"/>
        </w:rPr>
      </w:pPr>
    </w:p>
    <w:p>
      <w:pPr>
        <w:ind w:left="1120" w:right="340" w:hanging="798"/>
        <w:spacing w:after="0" w:line="267" w:lineRule="auto"/>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4.2</w:t>
      </w:r>
      <w:r>
        <w:rPr>
          <w:sz w:val="20"/>
          <w:szCs w:val="20"/>
          <w:color w:val="auto"/>
        </w:rPr>
        <w:tab/>
      </w:r>
      <w:hyperlink r:id="rId109">
        <w:r>
          <w:rPr>
            <w:rFonts w:ascii="Arial" w:cs="Arial" w:eastAsia="Arial" w:hAnsi="Arial"/>
            <w:sz w:val="17"/>
            <w:szCs w:val="17"/>
            <w:u w:val="single" w:color="auto"/>
            <w:color w:val="0000EE"/>
          </w:rPr>
          <w:t>Specimen Common Stock Certificate of the Registrant (incorporated by reference to Exhibit 4.5 to the Registration Statement on</w:t>
        </w:r>
      </w:hyperlink>
      <w:r>
        <w:rPr>
          <w:rFonts w:ascii="Arial" w:cs="Arial" w:eastAsia="Arial" w:hAnsi="Arial"/>
          <w:sz w:val="17"/>
          <w:szCs w:val="17"/>
          <w:u w:val="single" w:color="auto"/>
          <w:color w:val="0000EE"/>
        </w:rPr>
        <w:t xml:space="preserve"> </w:t>
      </w:r>
      <w:hyperlink r:id="rId109">
        <w:r>
          <w:rPr>
            <w:rFonts w:ascii="Arial" w:cs="Arial" w:eastAsia="Arial" w:hAnsi="Arial"/>
            <w:sz w:val="17"/>
            <w:szCs w:val="17"/>
            <w:u w:val="single" w:color="auto"/>
            <w:color w:val="0000EE"/>
          </w:rPr>
          <w:t>Form S-4/A filed by the Registrant on July 15, 2021)</w:t>
        </w:r>
      </w:hyperlink>
    </w:p>
    <w:p>
      <w:pPr>
        <w:spacing w:after="0" w:line="51" w:lineRule="exact"/>
        <w:rPr>
          <w:sz w:val="20"/>
          <w:szCs w:val="20"/>
          <w:color w:val="auto"/>
        </w:rPr>
      </w:pPr>
    </w:p>
    <w:p>
      <w:pPr>
        <w:ind w:left="320"/>
        <w:spacing w:after="0"/>
        <w:tabs>
          <w:tab w:leader="none" w:pos="11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Specimen Certificate for Preferred Stock</w:t>
      </w:r>
    </w:p>
    <w:p>
      <w:pPr>
        <w:spacing w:after="0" w:line="104" w:lineRule="exact"/>
        <w:rPr>
          <w:sz w:val="20"/>
          <w:szCs w:val="20"/>
          <w:color w:val="auto"/>
        </w:rPr>
      </w:pPr>
    </w:p>
    <w:p>
      <w:pPr>
        <w:ind w:left="320"/>
        <w:spacing w:after="0"/>
        <w:tabs>
          <w:tab w:leader="none" w:pos="11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color w:val="auto"/>
        </w:rPr>
        <w:t>Form of Certificate of Designations</w:t>
      </w:r>
    </w:p>
    <w:p>
      <w:pPr>
        <w:spacing w:after="0" w:line="104" w:lineRule="exact"/>
        <w:rPr>
          <w:sz w:val="20"/>
          <w:szCs w:val="20"/>
          <w:color w:val="auto"/>
        </w:rPr>
      </w:pPr>
    </w:p>
    <w:p>
      <w:pPr>
        <w:ind w:left="320"/>
        <w:spacing w:after="0"/>
        <w:tabs>
          <w:tab w:leader="none" w:pos="110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7"/>
          <w:szCs w:val="17"/>
          <w:u w:val="single" w:color="auto"/>
          <w:color w:val="0000EE"/>
        </w:rPr>
        <w:t>Form of Senior Indenture between Registrant and one or more trustees to be named</w:t>
      </w:r>
    </w:p>
    <w:p>
      <w:pPr>
        <w:spacing w:after="0" w:line="104" w:lineRule="exact"/>
        <w:rPr>
          <w:sz w:val="20"/>
          <w:szCs w:val="20"/>
          <w:color w:val="auto"/>
        </w:rPr>
      </w:pPr>
    </w:p>
    <w:p>
      <w:pPr>
        <w:ind w:left="320"/>
        <w:spacing w:after="0"/>
        <w:tabs>
          <w:tab w:leader="none" w:pos="11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7"/>
          <w:szCs w:val="17"/>
          <w:u w:val="single" w:color="auto"/>
          <w:color w:val="0000EE"/>
        </w:rPr>
        <w:t>Form of Subordinated Indenture between Registrant and one or more trustees to be named</w:t>
      </w:r>
    </w:p>
    <w:p>
      <w:pPr>
        <w:spacing w:after="0" w:line="104" w:lineRule="exact"/>
        <w:rPr>
          <w:sz w:val="20"/>
          <w:szCs w:val="20"/>
          <w:color w:val="auto"/>
        </w:rPr>
      </w:pPr>
    </w:p>
    <w:p>
      <w:pPr>
        <w:ind w:left="320"/>
        <w:spacing w:after="0"/>
        <w:tabs>
          <w:tab w:leader="none" w:pos="110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7"/>
          <w:szCs w:val="17"/>
          <w:color w:val="auto"/>
        </w:rPr>
        <w:t>Form of Warrant Agreement and Warrant Certificate</w:t>
      </w:r>
    </w:p>
    <w:p>
      <w:pPr>
        <w:spacing w:after="0" w:line="104" w:lineRule="exact"/>
        <w:rPr>
          <w:sz w:val="20"/>
          <w:szCs w:val="20"/>
          <w:color w:val="auto"/>
        </w:rPr>
      </w:pPr>
    </w:p>
    <w:p>
      <w:pPr>
        <w:ind w:left="320"/>
        <w:spacing w:after="0"/>
        <w:tabs>
          <w:tab w:leader="none" w:pos="110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7"/>
          <w:szCs w:val="17"/>
          <w:color w:val="auto"/>
        </w:rPr>
        <w:t>Form of Unit Agreement</w:t>
      </w:r>
    </w:p>
    <w:p>
      <w:pPr>
        <w:spacing w:after="0" w:line="104" w:lineRule="exact"/>
        <w:rPr>
          <w:sz w:val="20"/>
          <w:szCs w:val="20"/>
          <w:color w:val="auto"/>
        </w:rPr>
      </w:pPr>
    </w:p>
    <w:p>
      <w:pPr>
        <w:ind w:left="320"/>
        <w:spacing w:after="0"/>
        <w:tabs>
          <w:tab w:leader="none" w:pos="11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u w:val="single" w:color="auto"/>
          <w:color w:val="0000EE"/>
        </w:rPr>
        <w:t>Opinion of Goodwin Procter LLP</w:t>
      </w:r>
    </w:p>
    <w:p>
      <w:pPr>
        <w:spacing w:after="0" w:line="104" w:lineRule="exact"/>
        <w:rPr>
          <w:sz w:val="20"/>
          <w:szCs w:val="20"/>
          <w:color w:val="auto"/>
        </w:rPr>
      </w:pPr>
    </w:p>
    <w:p>
      <w:pPr>
        <w:ind w:left="320"/>
        <w:spacing w:after="0"/>
        <w:tabs>
          <w:tab w:leader="none" w:pos="11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u w:val="single" w:color="auto"/>
          <w:color w:val="0000EE"/>
        </w:rPr>
        <w:t>Opinion of Goodwin Procter LLP relating to the sales agreement prospectus</w:t>
      </w:r>
    </w:p>
    <w:p>
      <w:pPr>
        <w:spacing w:after="0" w:line="104" w:lineRule="exact"/>
        <w:rPr>
          <w:sz w:val="20"/>
          <w:szCs w:val="20"/>
          <w:color w:val="auto"/>
        </w:rPr>
      </w:pPr>
    </w:p>
    <w:p>
      <w:pPr>
        <w:ind w:left="220"/>
        <w:spacing w:after="0"/>
        <w:tabs>
          <w:tab w:leader="none" w:pos="11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7"/>
          <w:szCs w:val="17"/>
          <w:u w:val="single" w:color="auto"/>
          <w:color w:val="0000EE"/>
        </w:rPr>
        <w:t>Consent of PricewaterhouseCoopers LLP, independent registered public accounting firm</w:t>
      </w:r>
    </w:p>
    <w:p>
      <w:pPr>
        <w:spacing w:after="0" w:line="104" w:lineRule="exact"/>
        <w:rPr>
          <w:sz w:val="20"/>
          <w:szCs w:val="20"/>
          <w:color w:val="auto"/>
        </w:rPr>
      </w:pPr>
    </w:p>
    <w:p>
      <w:pPr>
        <w:ind w:left="220"/>
        <w:spacing w:after="0"/>
        <w:tabs>
          <w:tab w:leader="none" w:pos="11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7"/>
          <w:szCs w:val="17"/>
          <w:u w:val="single" w:color="auto"/>
          <w:color w:val="0000EE"/>
        </w:rPr>
        <w:t>Consent of Goodwin Procter LLP (included in Exhibit 5.1)</w:t>
      </w:r>
    </w:p>
    <w:p>
      <w:pPr>
        <w:spacing w:after="0" w:line="104" w:lineRule="exact"/>
        <w:rPr>
          <w:sz w:val="20"/>
          <w:szCs w:val="20"/>
          <w:color w:val="auto"/>
        </w:rPr>
      </w:pPr>
    </w:p>
    <w:p>
      <w:pPr>
        <w:ind w:left="220"/>
        <w:spacing w:after="0"/>
        <w:tabs>
          <w:tab w:leader="none" w:pos="110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7"/>
          <w:szCs w:val="17"/>
          <w:u w:val="single" w:color="auto"/>
          <w:color w:val="0000EE"/>
        </w:rPr>
        <w:t>Consent of Goodwin Procter LLP (included in 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156845</wp:posOffset>
            </wp:positionV>
            <wp:extent cx="699516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II-2</w:t>
      </w:r>
    </w:p>
    <w:p>
      <w:pPr>
        <w:sectPr>
          <w:pgSz w:w="11900" w:h="16838" w:orient="portrait"/>
          <w:cols w:equalWidth="0" w:num="1">
            <w:col w:w="11140"/>
          </w:cols>
          <w:pgMar w:left="320" w:top="455"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232410</wp:posOffset>
            </wp:positionV>
            <wp:extent cx="69951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p>
      <w:pPr>
        <w:spacing w:after="0" w:line="398" w:lineRule="exact"/>
        <w:rPr>
          <w:sz w:val="20"/>
          <w:szCs w:val="20"/>
          <w:color w:val="auto"/>
        </w:rPr>
      </w:pPr>
    </w:p>
    <w:p>
      <w:pPr>
        <w:jc w:val="center"/>
        <w:ind w:right="4100"/>
        <w:spacing w:after="0"/>
        <w:rPr>
          <w:sz w:val="20"/>
          <w:szCs w:val="20"/>
          <w:color w:val="auto"/>
        </w:rPr>
      </w:pPr>
      <w:r>
        <w:rPr>
          <w:rFonts w:ascii="Arial" w:cs="Arial" w:eastAsia="Arial" w:hAnsi="Arial"/>
          <w:sz w:val="14"/>
          <w:szCs w:val="14"/>
          <w:b w:val="1"/>
          <w:bCs w:val="1"/>
          <w:color w:val="auto"/>
        </w:rPr>
        <w:t>EXHIBIT</w:t>
      </w:r>
    </w:p>
    <w:p>
      <w:pPr>
        <w:spacing w:after="0" w:line="15" w:lineRule="exact"/>
        <w:rPr>
          <w:sz w:val="20"/>
          <w:szCs w:val="20"/>
          <w:color w:val="auto"/>
        </w:rPr>
      </w:pPr>
    </w:p>
    <w:p>
      <w:pPr>
        <w:jc w:val="center"/>
        <w:ind w:right="410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-1905</wp:posOffset>
            </wp:positionV>
            <wp:extent cx="3683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3">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0" w:lineRule="exact"/>
        <w:rPr>
          <w:sz w:val="20"/>
          <w:szCs w:val="20"/>
          <w:color w:val="auto"/>
        </w:rPr>
      </w:pPr>
    </w:p>
    <w:p>
      <w:pPr>
        <w:jc w:val="center"/>
        <w:ind w:right="4500"/>
        <w:spacing w:after="0"/>
        <w:rPr>
          <w:sz w:val="20"/>
          <w:szCs w:val="20"/>
          <w:color w:val="auto"/>
        </w:rPr>
      </w:pPr>
      <w:r>
        <w:rPr>
          <w:rFonts w:ascii="Arial" w:cs="Arial" w:eastAsia="Arial" w:hAnsi="Arial"/>
          <w:sz w:val="14"/>
          <w:szCs w:val="14"/>
          <w:b w:val="1"/>
          <w:bCs w:val="1"/>
          <w:u w:val="single" w:color="auto"/>
          <w:color w:val="auto"/>
        </w:rPr>
        <w:t>DESCRIPTION</w:t>
      </w:r>
    </w:p>
    <w:p>
      <w:pPr>
        <w:spacing w:after="0" w:line="110" w:lineRule="exact"/>
        <w:rPr>
          <w:sz w:val="20"/>
          <w:szCs w:val="20"/>
          <w:color w:val="auto"/>
        </w:rPr>
      </w:pPr>
    </w:p>
    <w:p>
      <w:pPr>
        <w:sectPr>
          <w:pgSz w:w="11900" w:h="16838" w:orient="portrait"/>
          <w:cols w:equalWidth="0" w:num="2">
            <w:col w:w="4920" w:space="720"/>
            <w:col w:w="5480"/>
          </w:cols>
          <w:pgMar w:left="320" w:top="455" w:right="459" w:bottom="1440" w:gutter="0" w:footer="0" w:header="0"/>
          <w:type w:val="continuous"/>
        </w:sectPr>
      </w:pPr>
    </w:p>
    <w:p>
      <w:pPr>
        <w:ind w:left="1120" w:hanging="904"/>
        <w:spacing w:after="0"/>
        <w:tabs>
          <w:tab w:leader="none" w:pos="1120" w:val="left"/>
        </w:tabs>
        <w:numPr>
          <w:ilvl w:val="0"/>
          <w:numId w:val="40"/>
        </w:numPr>
        <w:rPr>
          <w:rFonts w:ascii="Arial" w:cs="Arial" w:eastAsia="Arial" w:hAnsi="Arial"/>
          <w:sz w:val="18"/>
          <w:szCs w:val="18"/>
          <w:color w:val="auto"/>
        </w:rPr>
      </w:pPr>
      <w:r>
        <w:rPr>
          <w:rFonts w:ascii="Arial" w:cs="Arial" w:eastAsia="Arial" w:hAnsi="Arial"/>
          <w:sz w:val="17"/>
          <w:szCs w:val="17"/>
          <w:u w:val="single" w:color="auto"/>
          <w:color w:val="0000EE"/>
        </w:rPr>
        <w:t>Power of Attorney (included in the signature pages to the Registration Statement)</w:t>
      </w:r>
    </w:p>
    <w:p>
      <w:pPr>
        <w:spacing w:after="0" w:line="104" w:lineRule="exact"/>
        <w:rPr>
          <w:sz w:val="20"/>
          <w:szCs w:val="20"/>
          <w:color w:val="auto"/>
        </w:rPr>
      </w:pPr>
    </w:p>
    <w:p>
      <w:pPr>
        <w:ind w:left="220"/>
        <w:spacing w:after="0"/>
        <w:tabs>
          <w:tab w:leader="none" w:pos="110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7"/>
          <w:szCs w:val="17"/>
          <w:color w:val="auto"/>
        </w:rPr>
        <w:t>Form T-1 Statement of Eligibility of Trustee for Senior Indenture under the Trust Indenture Act of 1939, as amended</w:t>
      </w:r>
    </w:p>
    <w:p>
      <w:pPr>
        <w:spacing w:after="0" w:line="104" w:lineRule="exact"/>
        <w:rPr>
          <w:sz w:val="20"/>
          <w:szCs w:val="20"/>
          <w:color w:val="auto"/>
        </w:rPr>
      </w:pPr>
    </w:p>
    <w:p>
      <w:pPr>
        <w:ind w:left="220"/>
        <w:spacing w:after="0"/>
        <w:tabs>
          <w:tab w:leader="none" w:pos="110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7"/>
          <w:szCs w:val="17"/>
          <w:color w:val="auto"/>
        </w:rPr>
        <w:t>Form T-1 Statement of Eligibility of Trustee for Subordinated Indenture under the Trust Indenture Act of 1939, as amended</w:t>
      </w:r>
    </w:p>
    <w:p>
      <w:pPr>
        <w:spacing w:after="0" w:line="104" w:lineRule="exact"/>
        <w:rPr>
          <w:sz w:val="20"/>
          <w:szCs w:val="20"/>
          <w:color w:val="auto"/>
        </w:rPr>
      </w:pPr>
    </w:p>
    <w:p>
      <w:pPr>
        <w:ind w:left="1120" w:hanging="1004"/>
        <w:spacing w:after="0"/>
        <w:tabs>
          <w:tab w:leader="none" w:pos="1120" w:val="left"/>
        </w:tabs>
        <w:numPr>
          <w:ilvl w:val="0"/>
          <w:numId w:val="41"/>
        </w:numPr>
        <w:rPr>
          <w:rFonts w:ascii="Arial" w:cs="Arial" w:eastAsia="Arial" w:hAnsi="Arial"/>
          <w:sz w:val="18"/>
          <w:szCs w:val="18"/>
          <w:color w:val="auto"/>
        </w:rPr>
      </w:pPr>
      <w:r>
        <w:rPr>
          <w:rFonts w:ascii="Arial" w:cs="Arial" w:eastAsia="Arial" w:hAnsi="Arial"/>
          <w:sz w:val="17"/>
          <w:szCs w:val="17"/>
          <w:u w:val="single" w:color="auto"/>
          <w:color w:val="0000EE"/>
        </w:rPr>
        <w:t>Filing Fee Table</w:t>
      </w:r>
    </w:p>
    <w:p>
      <w:pPr>
        <w:spacing w:after="0" w:line="278"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4"/>
          <w:szCs w:val="14"/>
          <w:color w:val="auto"/>
        </w:rPr>
        <w:t>* To be filed by amendment or by a Current Report on Form 8-K.</w:t>
      </w:r>
    </w:p>
    <w:p>
      <w:pPr>
        <w:spacing w:after="0" w:line="15" w:lineRule="exact"/>
        <w:rPr>
          <w:rFonts w:ascii="Arial" w:cs="Arial" w:eastAsia="Arial" w:hAnsi="Arial"/>
          <w:sz w:val="18"/>
          <w:szCs w:val="18"/>
          <w:color w:val="auto"/>
        </w:rPr>
      </w:pPr>
    </w:p>
    <w:p>
      <w:pPr>
        <w:ind w:left="540" w:hanging="212"/>
        <w:spacing w:after="0"/>
        <w:tabs>
          <w:tab w:leader="none" w:pos="540" w:val="left"/>
        </w:tabs>
        <w:numPr>
          <w:ilvl w:val="1"/>
          <w:numId w:val="42"/>
        </w:numPr>
        <w:rPr>
          <w:rFonts w:ascii="Arial" w:cs="Arial" w:eastAsia="Arial" w:hAnsi="Arial"/>
          <w:sz w:val="14"/>
          <w:szCs w:val="14"/>
          <w:color w:val="auto"/>
        </w:rPr>
      </w:pPr>
      <w:r>
        <w:rPr>
          <w:rFonts w:ascii="Arial" w:cs="Arial" w:eastAsia="Arial" w:hAnsi="Arial"/>
          <w:sz w:val="14"/>
          <w:szCs w:val="14"/>
          <w:color w:val="auto"/>
        </w:rPr>
        <w:t>To be filed pursuant to Section 305(b)(2) of the Trust Indenture Act of 1939.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-233045</wp:posOffset>
            </wp:positionV>
            <wp:extent cx="69951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undersigned Registrant hereby undertakes:</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w:t>
      </w:r>
    </w:p>
    <w:p>
      <w:pPr>
        <w:spacing w:after="0" w:line="156" w:lineRule="exact"/>
        <w:rPr>
          <w:sz w:val="20"/>
          <w:szCs w:val="20"/>
          <w:color w:val="auto"/>
        </w:rPr>
      </w:pPr>
    </w:p>
    <w:p>
      <w:pPr>
        <w:ind w:left="380" w:hanging="264"/>
        <w:spacing w:after="0"/>
        <w:tabs>
          <w:tab w:leader="none" w:pos="3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55" w:lineRule="exact"/>
        <w:rPr>
          <w:rFonts w:ascii="Arial" w:cs="Arial" w:eastAsia="Arial" w:hAnsi="Arial"/>
          <w:sz w:val="17"/>
          <w:szCs w:val="17"/>
          <w:color w:val="auto"/>
        </w:rPr>
      </w:pPr>
    </w:p>
    <w:p>
      <w:pPr>
        <w:ind w:left="120"/>
        <w:spacing w:after="0"/>
        <w:rPr>
          <w:rFonts w:ascii="Arial" w:cs="Arial" w:eastAsia="Arial" w:hAnsi="Arial"/>
          <w:sz w:val="17"/>
          <w:szCs w:val="17"/>
          <w:color w:val="auto"/>
        </w:rPr>
      </w:pPr>
      <w:r>
        <w:rPr>
          <w:rFonts w:ascii="Arial" w:cs="Arial" w:eastAsia="Arial" w:hAnsi="Arial"/>
          <w:sz w:val="17"/>
          <w:szCs w:val="17"/>
          <w:color w:val="auto"/>
        </w:rPr>
        <w:t>(i) to include any prospectus required by Section 10(a)(3) of the Securities Act of 1933, as amended (the “Securities Act”);</w:t>
      </w:r>
    </w:p>
    <w:p>
      <w:pPr>
        <w:spacing w:after="0" w:line="156" w:lineRule="exact"/>
        <w:rPr>
          <w:sz w:val="20"/>
          <w:szCs w:val="20"/>
          <w:color w:val="auto"/>
        </w:rPr>
      </w:pPr>
    </w:p>
    <w:p>
      <w:pPr>
        <w:ind w:left="120" w:hanging="4"/>
        <w:spacing w:after="0" w:line="238" w:lineRule="auto"/>
        <w:tabs>
          <w:tab w:leader="none" w:pos="357" w:val="left"/>
        </w:tabs>
        <w:numPr>
          <w:ilvl w:val="0"/>
          <w:numId w:val="44"/>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28" w:lineRule="exact"/>
        <w:rPr>
          <w:rFonts w:ascii="Arial" w:cs="Arial" w:eastAsia="Arial" w:hAnsi="Arial"/>
          <w:sz w:val="17"/>
          <w:szCs w:val="17"/>
          <w:color w:val="auto"/>
        </w:rPr>
      </w:pPr>
    </w:p>
    <w:p>
      <w:pPr>
        <w:ind w:left="120" w:right="40" w:hanging="4"/>
        <w:spacing w:after="0" w:line="267" w:lineRule="auto"/>
        <w:tabs>
          <w:tab w:leader="none" w:pos="395" w:val="left"/>
        </w:tabs>
        <w:numPr>
          <w:ilvl w:val="0"/>
          <w:numId w:val="44"/>
        </w:numPr>
        <w:rPr>
          <w:rFonts w:ascii="Arial" w:cs="Arial" w:eastAsia="Arial" w:hAnsi="Arial"/>
          <w:sz w:val="17"/>
          <w:szCs w:val="17"/>
          <w:color w:val="auto"/>
        </w:rPr>
      </w:pPr>
      <w:r>
        <w:rPr>
          <w:rFonts w:ascii="Arial" w:cs="Arial" w:eastAsia="Arial" w:hAnsi="Arial"/>
          <w:sz w:val="17"/>
          <w:szCs w:val="17"/>
          <w:color w:val="auto"/>
        </w:rPr>
        <w:t>to include any material information with respect to the plan of distribution not previously disclosed in this registration statement or any material change to such information in this registration statement;</w:t>
      </w:r>
    </w:p>
    <w:p>
      <w:pPr>
        <w:spacing w:after="0" w:line="105" w:lineRule="exact"/>
        <w:rPr>
          <w:sz w:val="20"/>
          <w:szCs w:val="20"/>
          <w:color w:val="auto"/>
        </w:rPr>
      </w:pPr>
    </w:p>
    <w:p>
      <w:pPr>
        <w:ind w:left="120" w:right="300"/>
        <w:spacing w:after="0" w:line="244"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paragraphs (a)(1)(i), (a)(1)(ii) and (a)(1)(iii) do not apply if the information required to be included in a post-effective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 by those paragraphs is contained in reports filed with or furnished to the Commission by the Registrant pursuant to Section 13 or Section 15(d) of the Securities Exchange Act of 1934, as amended (the “Exchange Act”), that are incorporated by reference in this registration statement, or is contained in a form of prospectus filed pursuant to Rule 424(b) that is part of this registration statement.</w:t>
      </w:r>
    </w:p>
    <w:p>
      <w:pPr>
        <w:spacing w:after="0" w:line="123" w:lineRule="exact"/>
        <w:rPr>
          <w:sz w:val="20"/>
          <w:szCs w:val="20"/>
          <w:color w:val="auto"/>
        </w:rPr>
      </w:pPr>
    </w:p>
    <w:p>
      <w:pPr>
        <w:ind w:left="120" w:right="180" w:hanging="4"/>
        <w:spacing w:after="0" w:line="249" w:lineRule="auto"/>
        <w:tabs>
          <w:tab w:leader="none" w:pos="376"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20" w:lineRule="exact"/>
        <w:rPr>
          <w:rFonts w:ascii="Arial" w:cs="Arial" w:eastAsia="Arial" w:hAnsi="Arial"/>
          <w:sz w:val="17"/>
          <w:szCs w:val="17"/>
          <w:color w:val="auto"/>
        </w:rPr>
      </w:pPr>
    </w:p>
    <w:p>
      <w:pPr>
        <w:ind w:left="120" w:right="620" w:hanging="4"/>
        <w:spacing w:after="0" w:line="267" w:lineRule="auto"/>
        <w:tabs>
          <w:tab w:leader="none" w:pos="376" w:val="left"/>
        </w:tabs>
        <w:numPr>
          <w:ilvl w:val="0"/>
          <w:numId w:val="45"/>
        </w:numPr>
        <w:rPr>
          <w:rFonts w:ascii="Arial" w:cs="Arial" w:eastAsia="Arial" w:hAnsi="Arial"/>
          <w:sz w:val="17"/>
          <w:szCs w:val="17"/>
          <w:color w:val="auto"/>
        </w:rPr>
      </w:pPr>
      <w:r>
        <w:rPr>
          <w:rFonts w:ascii="Arial" w:cs="Arial" w:eastAsia="Arial" w:hAnsi="Arial"/>
          <w:sz w:val="17"/>
          <w:szCs w:val="17"/>
          <w:color w:val="auto"/>
        </w:rPr>
        <w:t>To remove from registration by means of a post-effective amendment any of the securities being registered which remain unsold at the termination of the offering.</w:t>
      </w:r>
    </w:p>
    <w:p>
      <w:pPr>
        <w:spacing w:after="0" w:line="105" w:lineRule="exact"/>
        <w:rPr>
          <w:rFonts w:ascii="Arial" w:cs="Arial" w:eastAsia="Arial" w:hAnsi="Arial"/>
          <w:sz w:val="17"/>
          <w:szCs w:val="17"/>
          <w:color w:val="auto"/>
        </w:rPr>
      </w:pPr>
    </w:p>
    <w:p>
      <w:pPr>
        <w:ind w:left="380" w:hanging="264"/>
        <w:spacing w:after="0"/>
        <w:tabs>
          <w:tab w:leader="none" w:pos="3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That, for the purpose of determining liability under the Securities Act to any purchaser:</w:t>
      </w:r>
    </w:p>
    <w:p>
      <w:pPr>
        <w:spacing w:after="0" w:line="156" w:lineRule="exact"/>
        <w:rPr>
          <w:sz w:val="20"/>
          <w:szCs w:val="20"/>
          <w:color w:val="auto"/>
        </w:rPr>
      </w:pPr>
    </w:p>
    <w:p>
      <w:pPr>
        <w:ind w:left="120" w:right="200" w:hanging="4"/>
        <w:spacing w:after="0" w:line="267" w:lineRule="auto"/>
        <w:tabs>
          <w:tab w:leader="none" w:pos="319" w:val="left"/>
        </w:tabs>
        <w:numPr>
          <w:ilvl w:val="0"/>
          <w:numId w:val="46"/>
        </w:numPr>
        <w:rPr>
          <w:rFonts w:ascii="Arial" w:cs="Arial" w:eastAsia="Arial" w:hAnsi="Arial"/>
          <w:sz w:val="17"/>
          <w:szCs w:val="17"/>
          <w:color w:val="auto"/>
        </w:rPr>
      </w:pPr>
      <w:r>
        <w:rPr>
          <w:rFonts w:ascii="Arial" w:cs="Arial" w:eastAsia="Arial" w:hAnsi="Arial"/>
          <w:sz w:val="17"/>
          <w:szCs w:val="17"/>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05" w:lineRule="exact"/>
        <w:rPr>
          <w:rFonts w:ascii="Arial" w:cs="Arial" w:eastAsia="Arial" w:hAnsi="Arial"/>
          <w:sz w:val="17"/>
          <w:szCs w:val="17"/>
          <w:color w:val="auto"/>
        </w:rPr>
      </w:pPr>
    </w:p>
    <w:p>
      <w:pPr>
        <w:ind w:left="120" w:right="280" w:hanging="4"/>
        <w:spacing w:after="0" w:line="267" w:lineRule="auto"/>
        <w:tabs>
          <w:tab w:leader="none" w:pos="357" w:val="left"/>
        </w:tabs>
        <w:numPr>
          <w:ilvl w:val="0"/>
          <w:numId w:val="46"/>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II-3</w:t>
      </w:r>
    </w:p>
    <w:p>
      <w:pPr>
        <w:sectPr>
          <w:pgSz w:w="11900" w:h="16838" w:orient="portrait"/>
          <w:cols w:equalWidth="0" w:num="1">
            <w:col w:w="11120"/>
          </w:cols>
          <w:pgMar w:left="320" w:top="455" w:right="45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6"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 xml:space="preserve">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30" w:lineRule="exact"/>
        <w:rPr>
          <w:sz w:val="20"/>
          <w:szCs w:val="20"/>
          <w:color w:val="auto"/>
        </w:rPr>
      </w:pPr>
    </w:p>
    <w:p>
      <w:pPr>
        <w:ind w:left="120" w:right="280" w:hanging="4"/>
        <w:spacing w:after="0" w:line="241" w:lineRule="auto"/>
        <w:tabs>
          <w:tab w:leader="none" w:pos="373"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to any purchaser in the initial distribution of the securities, the undersigned Registrant undertakes that in a 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such undersigned Registrant will be a seller to the purchaser and will be considered to offer or sell such securities to such purchaser:</w:t>
      </w:r>
    </w:p>
    <w:p>
      <w:pPr>
        <w:spacing w:after="0" w:line="126" w:lineRule="exact"/>
        <w:rPr>
          <w:sz w:val="20"/>
          <w:szCs w:val="20"/>
          <w:color w:val="auto"/>
        </w:rPr>
      </w:pPr>
    </w:p>
    <w:p>
      <w:pPr>
        <w:ind w:left="320" w:hanging="204"/>
        <w:spacing w:after="0"/>
        <w:tabs>
          <w:tab w:leader="none" w:pos="3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any preliminary prospectus or prospectus of such undersigned Registrant relating to the offering required to be filed pursuant to Rule 424;</w:t>
      </w:r>
    </w:p>
    <w:p>
      <w:pPr>
        <w:spacing w:after="0" w:line="155" w:lineRule="exact"/>
        <w:rPr>
          <w:rFonts w:ascii="Arial" w:cs="Arial" w:eastAsia="Arial" w:hAnsi="Arial"/>
          <w:sz w:val="17"/>
          <w:szCs w:val="17"/>
          <w:color w:val="auto"/>
        </w:rPr>
      </w:pPr>
    </w:p>
    <w:p>
      <w:pPr>
        <w:ind w:left="120" w:right="400" w:hanging="4"/>
        <w:spacing w:after="0" w:line="267" w:lineRule="auto"/>
        <w:tabs>
          <w:tab w:leader="none" w:pos="357"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any free writing prospectus relating to the offering prepared by or on behalf of such undersigned Registrant or used or referred to by such undersigned Registrant;</w:t>
      </w:r>
    </w:p>
    <w:p>
      <w:pPr>
        <w:spacing w:after="0" w:line="105" w:lineRule="exact"/>
        <w:rPr>
          <w:rFonts w:ascii="Arial" w:cs="Arial" w:eastAsia="Arial" w:hAnsi="Arial"/>
          <w:sz w:val="17"/>
          <w:szCs w:val="17"/>
          <w:color w:val="auto"/>
        </w:rPr>
      </w:pPr>
    </w:p>
    <w:p>
      <w:pPr>
        <w:ind w:left="120" w:hanging="4"/>
        <w:spacing w:after="0" w:line="267" w:lineRule="auto"/>
        <w:tabs>
          <w:tab w:leader="none" w:pos="395"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portion of any other free writing prospectus relating to the offering containing material information about such undersigned Registrant or its securities provided by or on behalf of such undersigned Registrant; and</w:t>
      </w:r>
    </w:p>
    <w:p>
      <w:pPr>
        <w:spacing w:after="0" w:line="105" w:lineRule="exact"/>
        <w:rPr>
          <w:rFonts w:ascii="Arial" w:cs="Arial" w:eastAsia="Arial" w:hAnsi="Arial"/>
          <w:sz w:val="17"/>
          <w:szCs w:val="17"/>
          <w:color w:val="auto"/>
        </w:rPr>
      </w:pPr>
    </w:p>
    <w:p>
      <w:pPr>
        <w:ind w:left="400" w:hanging="284"/>
        <w:spacing w:after="0"/>
        <w:tabs>
          <w:tab w:leader="none" w:pos="4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any other communication that is an offer in the offering made by such undersigned Registrant to the purchaser.</w:t>
      </w:r>
    </w:p>
    <w:p>
      <w:pPr>
        <w:spacing w:after="0" w:line="156" w:lineRule="exact"/>
        <w:rPr>
          <w:sz w:val="20"/>
          <w:szCs w:val="20"/>
          <w:color w:val="auto"/>
        </w:rPr>
      </w:pPr>
    </w:p>
    <w:p>
      <w:pPr>
        <w:ind w:left="120" w:right="160" w:hanging="4"/>
        <w:spacing w:after="0" w:line="244" w:lineRule="auto"/>
        <w:tabs>
          <w:tab w:leader="none" w:pos="376"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123" w:lineRule="exact"/>
        <w:rPr>
          <w:rFonts w:ascii="Arial" w:cs="Arial" w:eastAsia="Arial" w:hAnsi="Arial"/>
          <w:sz w:val="17"/>
          <w:szCs w:val="17"/>
          <w:color w:val="auto"/>
        </w:rPr>
      </w:pPr>
    </w:p>
    <w:p>
      <w:pPr>
        <w:ind w:left="120" w:right="140" w:hanging="4"/>
        <w:spacing w:after="0" w:line="237" w:lineRule="auto"/>
        <w:tabs>
          <w:tab w:leader="none" w:pos="376"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indemnification provisions described herein,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and</w:t>
      </w:r>
    </w:p>
    <w:p>
      <w:pPr>
        <w:spacing w:after="0" w:line="129" w:lineRule="exact"/>
        <w:rPr>
          <w:rFonts w:ascii="Arial" w:cs="Arial" w:eastAsia="Arial" w:hAnsi="Arial"/>
          <w:sz w:val="17"/>
          <w:szCs w:val="17"/>
          <w:color w:val="auto"/>
        </w:rPr>
      </w:pPr>
    </w:p>
    <w:p>
      <w:pPr>
        <w:ind w:left="120" w:right="100" w:hanging="4"/>
        <w:spacing w:after="0" w:line="249" w:lineRule="auto"/>
        <w:tabs>
          <w:tab w:leader="none" w:pos="376" w:val="left"/>
        </w:tabs>
        <w:numPr>
          <w:ilvl w:val="0"/>
          <w:numId w:val="49"/>
        </w:numPr>
        <w:rPr>
          <w:rFonts w:ascii="Arial" w:cs="Arial" w:eastAsia="Arial" w:hAnsi="Arial"/>
          <w:sz w:val="17"/>
          <w:szCs w:val="17"/>
          <w:color w:val="auto"/>
        </w:rPr>
      </w:pPr>
      <w:r>
        <w:rPr>
          <w:rFonts w:ascii="Arial" w:cs="Arial" w:eastAsia="Arial" w:hAnsi="Arial"/>
          <w:sz w:val="17"/>
          <w:szCs w:val="17"/>
          <w:color w:val="auto"/>
        </w:rPr>
        <w:t>To file an application for the purpose of determining the eligibility of the trustee to act under subsection (a) of Section 310 of the Trust Indenture Act of 1939 in accordance with the rules and regulations prescribed by the Commission under Section 305(b)(2) of the Trust Indenture Act of 1939.</w:t>
      </w:r>
    </w:p>
    <w:p>
      <w:pPr>
        <w:spacing w:after="0" w:line="11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II-4</w:t>
      </w:r>
    </w:p>
    <w:p>
      <w:pPr>
        <w:sectPr>
          <w:pgSz w:w="11900" w:h="16838" w:orient="portrait"/>
          <w:cols w:equalWidth="0" w:num="1">
            <w:col w:w="11100"/>
          </w:cols>
          <w:pgMar w:left="320" w:top="455" w:right="4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316" w:lineRule="exact"/>
        <w:rPr>
          <w:sz w:val="20"/>
          <w:szCs w:val="20"/>
          <w:color w:val="auto"/>
        </w:rPr>
      </w:pPr>
    </w:p>
    <w:p>
      <w:pPr>
        <w:ind w:left="120" w:right="220"/>
        <w:spacing w:after="0" w:line="249" w:lineRule="auto"/>
        <w:rPr>
          <w:sz w:val="20"/>
          <w:szCs w:val="20"/>
          <w:color w:val="auto"/>
        </w:rPr>
      </w:pPr>
      <w:r>
        <w:rPr>
          <w:rFonts w:ascii="Arial" w:cs="Arial" w:eastAsia="Arial" w:hAnsi="Arial"/>
          <w:sz w:val="17"/>
          <w:szCs w:val="17"/>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Boston, Commonwealth of Massachusetts, on this 1st day of September, 2022.</w:t>
      </w:r>
    </w:p>
    <w:p>
      <w:pPr>
        <w:spacing w:after="0" w:line="164"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TANGO THERAPEUTICS, INC.</w:t>
      </w:r>
    </w:p>
    <w:p>
      <w:pPr>
        <w:spacing w:after="0" w:line="208"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By: /s/ Barbara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10160</wp:posOffset>
            </wp:positionV>
            <wp:extent cx="259715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9" w:lineRule="exact"/>
        <w:rPr>
          <w:sz w:val="20"/>
          <w:szCs w:val="20"/>
          <w:color w:val="auto"/>
        </w:rPr>
      </w:pPr>
    </w:p>
    <w:p>
      <w:pPr>
        <w:ind w:left="7040"/>
        <w:spacing w:after="0"/>
        <w:rPr>
          <w:sz w:val="20"/>
          <w:szCs w:val="20"/>
          <w:color w:val="auto"/>
        </w:rPr>
      </w:pPr>
      <w:r>
        <w:rPr>
          <w:rFonts w:ascii="Arial" w:cs="Arial" w:eastAsia="Arial" w:hAnsi="Arial"/>
          <w:sz w:val="17"/>
          <w:szCs w:val="17"/>
          <w:color w:val="auto"/>
        </w:rPr>
        <w:t>Barbara Weber, MD</w:t>
      </w:r>
    </w:p>
    <w:p>
      <w:pPr>
        <w:spacing w:after="0" w:line="1" w:lineRule="exact"/>
        <w:rPr>
          <w:sz w:val="20"/>
          <w:szCs w:val="20"/>
          <w:color w:val="auto"/>
        </w:rPr>
      </w:pPr>
    </w:p>
    <w:p>
      <w:pPr>
        <w:ind w:left="7040"/>
        <w:spacing w:after="0"/>
        <w:rPr>
          <w:sz w:val="20"/>
          <w:szCs w:val="20"/>
          <w:color w:val="auto"/>
        </w:rPr>
      </w:pPr>
      <w:r>
        <w:rPr>
          <w:rFonts w:ascii="Arial" w:cs="Arial" w:eastAsia="Arial" w:hAnsi="Arial"/>
          <w:sz w:val="17"/>
          <w:szCs w:val="17"/>
          <w:color w:val="auto"/>
        </w:rPr>
        <w:t>President and Chief Executive Officer</w:t>
      </w:r>
    </w:p>
    <w:p>
      <w:pPr>
        <w:spacing w:after="0" w:line="200" w:lineRule="exact"/>
        <w:rPr>
          <w:sz w:val="20"/>
          <w:szCs w:val="20"/>
          <w:color w:val="auto"/>
        </w:rPr>
      </w:pP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316"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KNOW ALL BY THESE PRESENT, that each individual whose signature appears below hereby constitutes and appoints Barbara Weber, Daniella Beckman and Douglas Barry, and each of them, with full power of substitution and resubstitution and full power to act without the other, as such person’s true and lawful attorney-in-fact and agent with full power of substitution and resubstitution, for such person in such person’s name, place and stead, in any and all capacities, to sign any and all amendments (including, without limitation, post-effective amendments) to this Registration Statement on Form S-3 or any registration statement for the same offering that is to be effective upon filing pursuant to Rule 462(b) under the Securities Act of 1933,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 Pursuant to the requirements of the Securities Act of 1933, this Registration Statement has been signed by the following person in the capacities and on the date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SIGNATURE NAME</w:t>
            </w:r>
          </w:p>
        </w:tc>
        <w:tc>
          <w:tcPr>
            <w:tcW w:w="1260" w:type="dxa"/>
            <w:vAlign w:val="bottom"/>
          </w:tcPr>
          <w:p>
            <w:pPr>
              <w:spacing w:after="0"/>
              <w:rPr>
                <w:sz w:val="14"/>
                <w:szCs w:val="14"/>
                <w:color w:val="auto"/>
              </w:rPr>
            </w:pPr>
          </w:p>
        </w:tc>
        <w:tc>
          <w:tcPr>
            <w:tcW w:w="5040" w:type="dxa"/>
            <w:vAlign w:val="bottom"/>
            <w:gridSpan w:val="3"/>
          </w:tcPr>
          <w:p>
            <w:pPr>
              <w:jc w:val="center"/>
              <w:spacing w:after="0"/>
              <w:rPr>
                <w:sz w:val="20"/>
                <w:szCs w:val="20"/>
                <w:color w:val="auto"/>
              </w:rPr>
            </w:pPr>
            <w:r>
              <w:rPr>
                <w:rFonts w:ascii="Arial" w:cs="Arial" w:eastAsia="Arial" w:hAnsi="Arial"/>
                <w:sz w:val="14"/>
                <w:szCs w:val="14"/>
                <w:b w:val="1"/>
                <w:bCs w:val="1"/>
                <w:color w:val="auto"/>
              </w:rPr>
              <w:t>TITLE</w:t>
            </w:r>
          </w:p>
        </w:tc>
        <w:tc>
          <w:tcPr>
            <w:tcW w:w="880" w:type="dxa"/>
            <w:vAlign w:val="bottom"/>
          </w:tcPr>
          <w:p>
            <w:pPr>
              <w:spacing w:after="0"/>
              <w:rPr>
                <w:sz w:val="14"/>
                <w:szCs w:val="14"/>
                <w:color w:val="auto"/>
              </w:rPr>
            </w:pPr>
          </w:p>
        </w:tc>
        <w:tc>
          <w:tcPr>
            <w:tcW w:w="126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9"/>
              </w:rPr>
              <w:t>DATE</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3840" w:type="dxa"/>
            <w:vAlign w:val="bottom"/>
            <w:gridSpan w:val="3"/>
          </w:tcPr>
          <w:p>
            <w:pPr>
              <w:jc w:val="center"/>
              <w:spacing w:after="0"/>
              <w:rPr>
                <w:sz w:val="20"/>
                <w:szCs w:val="20"/>
                <w:color w:val="auto"/>
              </w:rPr>
            </w:pPr>
            <w:r>
              <w:rPr>
                <w:rFonts w:ascii="Arial" w:cs="Arial" w:eastAsia="Arial" w:hAnsi="Arial"/>
                <w:sz w:val="17"/>
                <w:szCs w:val="17"/>
                <w:color w:val="auto"/>
              </w:rPr>
              <w:t>/s/ Barbara Weber</w:t>
            </w:r>
          </w:p>
        </w:tc>
        <w:tc>
          <w:tcPr>
            <w:tcW w:w="5040" w:type="dxa"/>
            <w:vAlign w:val="bottom"/>
            <w:gridSpan w:val="3"/>
          </w:tcPr>
          <w:p>
            <w:pPr>
              <w:jc w:val="center"/>
              <w:spacing w:after="0"/>
              <w:rPr>
                <w:sz w:val="20"/>
                <w:szCs w:val="20"/>
                <w:color w:val="auto"/>
              </w:rPr>
            </w:pPr>
            <w:r>
              <w:rPr>
                <w:rFonts w:ascii="Arial" w:cs="Arial" w:eastAsia="Arial" w:hAnsi="Arial"/>
                <w:sz w:val="17"/>
                <w:szCs w:val="17"/>
                <w:color w:val="auto"/>
              </w:rPr>
              <w:t>President, Chief Executive Officer and Director (Principal</w:t>
            </w:r>
          </w:p>
        </w:tc>
        <w:tc>
          <w:tcPr>
            <w:tcW w:w="2140" w:type="dxa"/>
            <w:vAlign w:val="bottom"/>
            <w:gridSpan w:val="3"/>
          </w:tcPr>
          <w:p>
            <w:pPr>
              <w:jc w:val="center"/>
              <w:spacing w:after="0"/>
              <w:rPr>
                <w:sz w:val="20"/>
                <w:szCs w:val="20"/>
                <w:color w:val="auto"/>
              </w:rPr>
            </w:pPr>
            <w:r>
              <w:rPr>
                <w:rFonts w:ascii="Arial" w:cs="Arial" w:eastAsia="Arial" w:hAnsi="Arial"/>
                <w:sz w:val="17"/>
                <w:szCs w:val="17"/>
                <w:color w:val="auto"/>
              </w:rPr>
              <w:t>September 1, 2022</w:t>
            </w:r>
          </w:p>
        </w:tc>
        <w:tc>
          <w:tcPr>
            <w:tcW w:w="0" w:type="dxa"/>
            <w:vAlign w:val="bottom"/>
          </w:tcPr>
          <w:p>
            <w:pPr>
              <w:spacing w:after="0"/>
              <w:rPr>
                <w:sz w:val="1"/>
                <w:szCs w:val="1"/>
                <w:color w:val="auto"/>
              </w:rPr>
            </w:pPr>
          </w:p>
        </w:tc>
      </w:tr>
      <w:tr>
        <w:trPr>
          <w:trHeight w:val="22"/>
        </w:trPr>
        <w:tc>
          <w:tcPr>
            <w:tcW w:w="3840" w:type="dxa"/>
            <w:vAlign w:val="bottom"/>
            <w:tcBorders>
              <w:bottom w:val="single" w:sz="8" w:color="auto"/>
            </w:tcBorders>
            <w:gridSpan w:val="3"/>
          </w:tcPr>
          <w:p>
            <w:pPr>
              <w:spacing w:after="0" w:line="20" w:lineRule="exact"/>
              <w:rPr>
                <w:sz w:val="1"/>
                <w:szCs w:val="1"/>
                <w:color w:val="auto"/>
              </w:rPr>
            </w:pPr>
          </w:p>
        </w:tc>
        <w:tc>
          <w:tcPr>
            <w:tcW w:w="5040" w:type="dxa"/>
            <w:vAlign w:val="bottom"/>
            <w:gridSpan w:val="3"/>
            <w:vMerge w:val="restart"/>
          </w:tcPr>
          <w:p>
            <w:pPr>
              <w:jc w:val="center"/>
              <w:spacing w:after="0"/>
              <w:rPr>
                <w:sz w:val="20"/>
                <w:szCs w:val="20"/>
                <w:color w:val="auto"/>
              </w:rPr>
            </w:pPr>
            <w:r>
              <w:rPr>
                <w:rFonts w:ascii="Arial" w:cs="Arial" w:eastAsia="Arial" w:hAnsi="Arial"/>
                <w:sz w:val="17"/>
                <w:szCs w:val="17"/>
                <w:color w:val="auto"/>
                <w:w w:val="99"/>
              </w:rPr>
              <w:t>Executive Officer)</w:t>
            </w: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3840" w:type="dxa"/>
            <w:vAlign w:val="bottom"/>
            <w:gridSpan w:val="3"/>
          </w:tcPr>
          <w:p>
            <w:pPr>
              <w:jc w:val="center"/>
              <w:spacing w:after="0"/>
              <w:rPr>
                <w:sz w:val="20"/>
                <w:szCs w:val="20"/>
                <w:color w:val="auto"/>
              </w:rPr>
            </w:pPr>
            <w:r>
              <w:rPr>
                <w:rFonts w:ascii="Arial" w:cs="Arial" w:eastAsia="Arial" w:hAnsi="Arial"/>
                <w:sz w:val="17"/>
                <w:szCs w:val="17"/>
                <w:color w:val="auto"/>
              </w:rPr>
              <w:t>Barbara Weber, MD</w:t>
            </w:r>
          </w:p>
        </w:tc>
        <w:tc>
          <w:tcPr>
            <w:tcW w:w="5040" w:type="dxa"/>
            <w:vAlign w:val="bottom"/>
            <w:gridSpan w:val="3"/>
            <w:vMerge w:val="continue"/>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3840" w:type="dxa"/>
            <w:vAlign w:val="bottom"/>
            <w:gridSpan w:val="3"/>
          </w:tcPr>
          <w:p>
            <w:pPr>
              <w:jc w:val="center"/>
              <w:spacing w:after="0"/>
              <w:rPr>
                <w:sz w:val="20"/>
                <w:szCs w:val="20"/>
                <w:color w:val="auto"/>
              </w:rPr>
            </w:pPr>
            <w:r>
              <w:rPr>
                <w:rFonts w:ascii="Arial" w:cs="Arial" w:eastAsia="Arial" w:hAnsi="Arial"/>
                <w:sz w:val="17"/>
                <w:szCs w:val="17"/>
                <w:color w:val="auto"/>
              </w:rPr>
              <w:t>/s/ Daniella Beckman</w:t>
            </w:r>
          </w:p>
        </w:tc>
        <w:tc>
          <w:tcPr>
            <w:tcW w:w="5040" w:type="dxa"/>
            <w:vAlign w:val="bottom"/>
            <w:gridSpan w:val="3"/>
          </w:tcPr>
          <w:p>
            <w:pPr>
              <w:jc w:val="center"/>
              <w:spacing w:after="0"/>
              <w:rPr>
                <w:sz w:val="20"/>
                <w:szCs w:val="20"/>
                <w:color w:val="auto"/>
              </w:rPr>
            </w:pPr>
            <w:r>
              <w:rPr>
                <w:rFonts w:ascii="Arial" w:cs="Arial" w:eastAsia="Arial" w:hAnsi="Arial"/>
                <w:sz w:val="17"/>
                <w:szCs w:val="17"/>
                <w:color w:val="auto"/>
              </w:rPr>
              <w:t>Chief Financial Officer</w:t>
            </w:r>
          </w:p>
        </w:tc>
        <w:tc>
          <w:tcPr>
            <w:tcW w:w="2140" w:type="dxa"/>
            <w:vAlign w:val="bottom"/>
            <w:gridSpan w:val="3"/>
          </w:tcPr>
          <w:p>
            <w:pPr>
              <w:jc w:val="center"/>
              <w:spacing w:after="0"/>
              <w:rPr>
                <w:sz w:val="20"/>
                <w:szCs w:val="20"/>
                <w:color w:val="auto"/>
              </w:rPr>
            </w:pPr>
            <w:r>
              <w:rPr>
                <w:rFonts w:ascii="Arial" w:cs="Arial" w:eastAsia="Arial" w:hAnsi="Arial"/>
                <w:sz w:val="17"/>
                <w:szCs w:val="17"/>
                <w:color w:val="auto"/>
              </w:rPr>
              <w:t>September 1, 2022</w:t>
            </w:r>
          </w:p>
        </w:tc>
        <w:tc>
          <w:tcPr>
            <w:tcW w:w="0" w:type="dxa"/>
            <w:vAlign w:val="bottom"/>
          </w:tcPr>
          <w:p>
            <w:pPr>
              <w:spacing w:after="0"/>
              <w:rPr>
                <w:sz w:val="1"/>
                <w:szCs w:val="1"/>
                <w:color w:val="auto"/>
              </w:rPr>
            </w:pPr>
          </w:p>
        </w:tc>
      </w:tr>
      <w:tr>
        <w:trPr>
          <w:trHeight w:val="22"/>
        </w:trPr>
        <w:tc>
          <w:tcPr>
            <w:tcW w:w="3840" w:type="dxa"/>
            <w:vAlign w:val="bottom"/>
            <w:tcBorders>
              <w:bottom w:val="single" w:sz="8" w:color="auto"/>
            </w:tcBorders>
            <w:gridSpan w:val="3"/>
          </w:tcPr>
          <w:p>
            <w:pPr>
              <w:spacing w:after="0" w:line="20" w:lineRule="exact"/>
              <w:rPr>
                <w:sz w:val="1"/>
                <w:szCs w:val="1"/>
                <w:color w:val="auto"/>
              </w:rPr>
            </w:pPr>
          </w:p>
        </w:tc>
        <w:tc>
          <w:tcPr>
            <w:tcW w:w="5040" w:type="dxa"/>
            <w:vAlign w:val="bottom"/>
            <w:gridSpan w:val="3"/>
            <w:vMerge w:val="restart"/>
          </w:tcPr>
          <w:p>
            <w:pPr>
              <w:jc w:val="center"/>
              <w:spacing w:after="0"/>
              <w:rPr>
                <w:sz w:val="20"/>
                <w:szCs w:val="20"/>
                <w:color w:val="auto"/>
              </w:rPr>
            </w:pPr>
            <w:r>
              <w:rPr>
                <w:rFonts w:ascii="Arial" w:cs="Arial" w:eastAsia="Arial" w:hAnsi="Arial"/>
                <w:sz w:val="17"/>
                <w:szCs w:val="17"/>
                <w:color w:val="auto"/>
              </w:rPr>
              <w:t>(Principal Financial and Accounting Officer)</w:t>
            </w: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3840" w:type="dxa"/>
            <w:vAlign w:val="bottom"/>
            <w:gridSpan w:val="3"/>
          </w:tcPr>
          <w:p>
            <w:pPr>
              <w:jc w:val="center"/>
              <w:spacing w:after="0"/>
              <w:rPr>
                <w:sz w:val="20"/>
                <w:szCs w:val="20"/>
                <w:color w:val="auto"/>
              </w:rPr>
            </w:pPr>
            <w:r>
              <w:rPr>
                <w:rFonts w:ascii="Arial" w:cs="Arial" w:eastAsia="Arial" w:hAnsi="Arial"/>
                <w:sz w:val="17"/>
                <w:szCs w:val="17"/>
                <w:color w:val="auto"/>
                <w:w w:val="99"/>
              </w:rPr>
              <w:t>Daniella Beckman</w:t>
            </w:r>
          </w:p>
        </w:tc>
        <w:tc>
          <w:tcPr>
            <w:tcW w:w="5040" w:type="dxa"/>
            <w:vAlign w:val="bottom"/>
            <w:gridSpan w:val="3"/>
            <w:vMerge w:val="continue"/>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3"/>
        </w:trPr>
        <w:tc>
          <w:tcPr>
            <w:tcW w:w="12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2"/>
          </w:tcPr>
          <w:p>
            <w:pPr>
              <w:jc w:val="center"/>
              <w:ind w:right="1260"/>
              <w:spacing w:after="0"/>
              <w:rPr>
                <w:sz w:val="20"/>
                <w:szCs w:val="20"/>
                <w:color w:val="auto"/>
              </w:rPr>
            </w:pPr>
            <w:r>
              <w:rPr>
                <w:rFonts w:ascii="Arial" w:cs="Arial" w:eastAsia="Arial" w:hAnsi="Arial"/>
                <w:sz w:val="17"/>
                <w:szCs w:val="17"/>
                <w:color w:val="auto"/>
                <w:w w:val="99"/>
              </w:rPr>
              <w:t>/s/ Alexis Borisy</w:t>
            </w:r>
          </w:p>
        </w:tc>
        <w:tc>
          <w:tcPr>
            <w:tcW w:w="5040" w:type="dxa"/>
            <w:vAlign w:val="bottom"/>
            <w:gridSpan w:val="3"/>
          </w:tcPr>
          <w:p>
            <w:pPr>
              <w:jc w:val="center"/>
              <w:spacing w:after="0"/>
              <w:rPr>
                <w:sz w:val="20"/>
                <w:szCs w:val="20"/>
                <w:color w:val="auto"/>
              </w:rPr>
            </w:pPr>
            <w:r>
              <w:rPr>
                <w:rFonts w:ascii="Arial" w:cs="Arial" w:eastAsia="Arial" w:hAnsi="Arial"/>
                <w:sz w:val="17"/>
                <w:szCs w:val="17"/>
                <w:color w:val="auto"/>
              </w:rPr>
              <w:t>Director</w:t>
            </w:r>
          </w:p>
        </w:tc>
        <w:tc>
          <w:tcPr>
            <w:tcW w:w="2140" w:type="dxa"/>
            <w:vAlign w:val="bottom"/>
            <w:gridSpan w:val="3"/>
          </w:tcPr>
          <w:p>
            <w:pPr>
              <w:jc w:val="center"/>
              <w:spacing w:after="0"/>
              <w:rPr>
                <w:sz w:val="20"/>
                <w:szCs w:val="20"/>
                <w:color w:val="auto"/>
              </w:rPr>
            </w:pPr>
            <w:r>
              <w:rPr>
                <w:rFonts w:ascii="Arial" w:cs="Arial" w:eastAsia="Arial" w:hAnsi="Arial"/>
                <w:sz w:val="17"/>
                <w:szCs w:val="17"/>
                <w:color w:val="auto"/>
              </w:rPr>
              <w:t>September 1, 2022</w:t>
            </w:r>
          </w:p>
        </w:tc>
        <w:tc>
          <w:tcPr>
            <w:tcW w:w="0" w:type="dxa"/>
            <w:vAlign w:val="bottom"/>
          </w:tcPr>
          <w:p>
            <w:pPr>
              <w:spacing w:after="0"/>
              <w:rPr>
                <w:sz w:val="1"/>
                <w:szCs w:val="1"/>
                <w:color w:val="auto"/>
              </w:rPr>
            </w:pPr>
          </w:p>
        </w:tc>
      </w:tr>
      <w:tr>
        <w:trPr>
          <w:trHeight w:val="218"/>
        </w:trPr>
        <w:tc>
          <w:tcPr>
            <w:tcW w:w="1260" w:type="dxa"/>
            <w:vAlign w:val="bottom"/>
          </w:tcPr>
          <w:p>
            <w:pPr>
              <w:spacing w:after="0"/>
              <w:rPr>
                <w:sz w:val="18"/>
                <w:szCs w:val="18"/>
                <w:color w:val="auto"/>
              </w:rPr>
            </w:pPr>
          </w:p>
        </w:tc>
        <w:tc>
          <w:tcPr>
            <w:tcW w:w="2580" w:type="dxa"/>
            <w:vAlign w:val="bottom"/>
            <w:gridSpan w:val="2"/>
          </w:tcPr>
          <w:p>
            <w:pPr>
              <w:jc w:val="center"/>
              <w:ind w:right="1260"/>
              <w:spacing w:after="0"/>
              <w:rPr>
                <w:sz w:val="20"/>
                <w:szCs w:val="20"/>
                <w:color w:val="auto"/>
              </w:rPr>
            </w:pPr>
            <w:r>
              <w:rPr>
                <w:rFonts w:ascii="Arial" w:cs="Arial" w:eastAsia="Arial" w:hAnsi="Arial"/>
                <w:sz w:val="17"/>
                <w:szCs w:val="17"/>
                <w:color w:val="auto"/>
                <w:w w:val="98"/>
              </w:rPr>
              <w:t>Alexis Borisy</w:t>
            </w:r>
          </w:p>
        </w:tc>
        <w:tc>
          <w:tcPr>
            <w:tcW w:w="2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3"/>
        </w:trPr>
        <w:tc>
          <w:tcPr>
            <w:tcW w:w="384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rPr>
              <w:t>/s/ Lesley Ann Calhoun</w:t>
            </w:r>
          </w:p>
        </w:tc>
        <w:tc>
          <w:tcPr>
            <w:tcW w:w="5040" w:type="dxa"/>
            <w:vAlign w:val="bottom"/>
            <w:gridSpan w:val="3"/>
          </w:tcPr>
          <w:p>
            <w:pPr>
              <w:jc w:val="center"/>
              <w:spacing w:after="0"/>
              <w:rPr>
                <w:sz w:val="20"/>
                <w:szCs w:val="20"/>
                <w:color w:val="auto"/>
              </w:rPr>
            </w:pPr>
            <w:r>
              <w:rPr>
                <w:rFonts w:ascii="Arial" w:cs="Arial" w:eastAsia="Arial" w:hAnsi="Arial"/>
                <w:sz w:val="17"/>
                <w:szCs w:val="17"/>
                <w:color w:val="auto"/>
              </w:rPr>
              <w:t>Director</w:t>
            </w:r>
          </w:p>
        </w:tc>
        <w:tc>
          <w:tcPr>
            <w:tcW w:w="2140" w:type="dxa"/>
            <w:vAlign w:val="bottom"/>
            <w:gridSpan w:val="3"/>
          </w:tcPr>
          <w:p>
            <w:pPr>
              <w:jc w:val="center"/>
              <w:spacing w:after="0"/>
              <w:rPr>
                <w:sz w:val="20"/>
                <w:szCs w:val="20"/>
                <w:color w:val="auto"/>
              </w:rPr>
            </w:pPr>
            <w:r>
              <w:rPr>
                <w:rFonts w:ascii="Arial" w:cs="Arial" w:eastAsia="Arial" w:hAnsi="Arial"/>
                <w:sz w:val="17"/>
                <w:szCs w:val="17"/>
                <w:color w:val="auto"/>
              </w:rPr>
              <w:t>September 1, 2022</w:t>
            </w:r>
          </w:p>
        </w:tc>
        <w:tc>
          <w:tcPr>
            <w:tcW w:w="0" w:type="dxa"/>
            <w:vAlign w:val="bottom"/>
          </w:tcPr>
          <w:p>
            <w:pPr>
              <w:spacing w:after="0"/>
              <w:rPr>
                <w:sz w:val="1"/>
                <w:szCs w:val="1"/>
                <w:color w:val="auto"/>
              </w:rPr>
            </w:pPr>
          </w:p>
        </w:tc>
      </w:tr>
      <w:tr>
        <w:trPr>
          <w:trHeight w:val="218"/>
        </w:trPr>
        <w:tc>
          <w:tcPr>
            <w:tcW w:w="3840" w:type="dxa"/>
            <w:vAlign w:val="bottom"/>
            <w:gridSpan w:val="3"/>
          </w:tcPr>
          <w:p>
            <w:pPr>
              <w:jc w:val="center"/>
              <w:spacing w:after="0"/>
              <w:rPr>
                <w:sz w:val="20"/>
                <w:szCs w:val="20"/>
                <w:color w:val="auto"/>
              </w:rPr>
            </w:pPr>
            <w:r>
              <w:rPr>
                <w:rFonts w:ascii="Arial" w:cs="Arial" w:eastAsia="Arial" w:hAnsi="Arial"/>
                <w:sz w:val="17"/>
                <w:szCs w:val="17"/>
                <w:color w:val="auto"/>
                <w:w w:val="99"/>
              </w:rPr>
              <w:t>Lesley Ann Calhoun</w:t>
            </w:r>
          </w:p>
        </w:tc>
        <w:tc>
          <w:tcPr>
            <w:tcW w:w="2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3"/>
        </w:trPr>
        <w:tc>
          <w:tcPr>
            <w:tcW w:w="12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2"/>
          </w:tcPr>
          <w:p>
            <w:pPr>
              <w:jc w:val="center"/>
              <w:ind w:right="1260"/>
              <w:spacing w:after="0"/>
              <w:rPr>
                <w:sz w:val="20"/>
                <w:szCs w:val="20"/>
                <w:color w:val="auto"/>
              </w:rPr>
            </w:pPr>
            <w:r>
              <w:rPr>
                <w:rFonts w:ascii="Arial" w:cs="Arial" w:eastAsia="Arial" w:hAnsi="Arial"/>
                <w:sz w:val="17"/>
                <w:szCs w:val="17"/>
                <w:color w:val="auto"/>
              </w:rPr>
              <w:t>/s/ Aaron Davis</w:t>
            </w:r>
          </w:p>
        </w:tc>
        <w:tc>
          <w:tcPr>
            <w:tcW w:w="5040" w:type="dxa"/>
            <w:vAlign w:val="bottom"/>
            <w:gridSpan w:val="3"/>
          </w:tcPr>
          <w:p>
            <w:pPr>
              <w:jc w:val="center"/>
              <w:spacing w:after="0"/>
              <w:rPr>
                <w:sz w:val="20"/>
                <w:szCs w:val="20"/>
                <w:color w:val="auto"/>
              </w:rPr>
            </w:pPr>
            <w:r>
              <w:rPr>
                <w:rFonts w:ascii="Arial" w:cs="Arial" w:eastAsia="Arial" w:hAnsi="Arial"/>
                <w:sz w:val="17"/>
                <w:szCs w:val="17"/>
                <w:color w:val="auto"/>
              </w:rPr>
              <w:t>Director</w:t>
            </w:r>
          </w:p>
        </w:tc>
        <w:tc>
          <w:tcPr>
            <w:tcW w:w="2140" w:type="dxa"/>
            <w:vAlign w:val="bottom"/>
            <w:gridSpan w:val="3"/>
          </w:tcPr>
          <w:p>
            <w:pPr>
              <w:jc w:val="center"/>
              <w:spacing w:after="0"/>
              <w:rPr>
                <w:sz w:val="20"/>
                <w:szCs w:val="20"/>
                <w:color w:val="auto"/>
              </w:rPr>
            </w:pPr>
            <w:r>
              <w:rPr>
                <w:rFonts w:ascii="Arial" w:cs="Arial" w:eastAsia="Arial" w:hAnsi="Arial"/>
                <w:sz w:val="17"/>
                <w:szCs w:val="17"/>
                <w:color w:val="auto"/>
              </w:rPr>
              <w:t>September 1, 2022</w:t>
            </w:r>
          </w:p>
        </w:tc>
        <w:tc>
          <w:tcPr>
            <w:tcW w:w="0" w:type="dxa"/>
            <w:vAlign w:val="bottom"/>
          </w:tcPr>
          <w:p>
            <w:pPr>
              <w:spacing w:after="0"/>
              <w:rPr>
                <w:sz w:val="1"/>
                <w:szCs w:val="1"/>
                <w:color w:val="auto"/>
              </w:rPr>
            </w:pPr>
          </w:p>
        </w:tc>
      </w:tr>
      <w:tr>
        <w:trPr>
          <w:trHeight w:val="218"/>
        </w:trPr>
        <w:tc>
          <w:tcPr>
            <w:tcW w:w="1260" w:type="dxa"/>
            <w:vAlign w:val="bottom"/>
          </w:tcPr>
          <w:p>
            <w:pPr>
              <w:spacing w:after="0"/>
              <w:rPr>
                <w:sz w:val="18"/>
                <w:szCs w:val="18"/>
                <w:color w:val="auto"/>
              </w:rPr>
            </w:pPr>
          </w:p>
        </w:tc>
        <w:tc>
          <w:tcPr>
            <w:tcW w:w="2580" w:type="dxa"/>
            <w:vAlign w:val="bottom"/>
            <w:gridSpan w:val="2"/>
          </w:tcPr>
          <w:p>
            <w:pPr>
              <w:jc w:val="center"/>
              <w:ind w:right="1260"/>
              <w:spacing w:after="0"/>
              <w:rPr>
                <w:sz w:val="20"/>
                <w:szCs w:val="20"/>
                <w:color w:val="auto"/>
              </w:rPr>
            </w:pPr>
            <w:r>
              <w:rPr>
                <w:rFonts w:ascii="Arial" w:cs="Arial" w:eastAsia="Arial" w:hAnsi="Arial"/>
                <w:sz w:val="17"/>
                <w:szCs w:val="17"/>
                <w:color w:val="auto"/>
                <w:w w:val="99"/>
              </w:rPr>
              <w:t>Aaron Davis</w:t>
            </w:r>
          </w:p>
        </w:tc>
        <w:tc>
          <w:tcPr>
            <w:tcW w:w="2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3"/>
        </w:trPr>
        <w:tc>
          <w:tcPr>
            <w:tcW w:w="12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2"/>
          </w:tcPr>
          <w:p>
            <w:pPr>
              <w:jc w:val="center"/>
              <w:ind w:right="1260"/>
              <w:spacing w:after="0"/>
              <w:rPr>
                <w:sz w:val="20"/>
                <w:szCs w:val="20"/>
                <w:color w:val="auto"/>
              </w:rPr>
            </w:pPr>
            <w:r>
              <w:rPr>
                <w:rFonts w:ascii="Arial" w:cs="Arial" w:eastAsia="Arial" w:hAnsi="Arial"/>
                <w:sz w:val="17"/>
                <w:szCs w:val="17"/>
                <w:color w:val="auto"/>
                <w:w w:val="99"/>
              </w:rPr>
              <w:t>/s/ Reid Huber</w:t>
            </w:r>
          </w:p>
        </w:tc>
        <w:tc>
          <w:tcPr>
            <w:tcW w:w="5040" w:type="dxa"/>
            <w:vAlign w:val="bottom"/>
            <w:gridSpan w:val="3"/>
          </w:tcPr>
          <w:p>
            <w:pPr>
              <w:jc w:val="center"/>
              <w:spacing w:after="0"/>
              <w:rPr>
                <w:sz w:val="20"/>
                <w:szCs w:val="20"/>
                <w:color w:val="auto"/>
              </w:rPr>
            </w:pPr>
            <w:r>
              <w:rPr>
                <w:rFonts w:ascii="Arial" w:cs="Arial" w:eastAsia="Arial" w:hAnsi="Arial"/>
                <w:sz w:val="17"/>
                <w:szCs w:val="17"/>
                <w:color w:val="auto"/>
              </w:rPr>
              <w:t>Director</w:t>
            </w:r>
          </w:p>
        </w:tc>
        <w:tc>
          <w:tcPr>
            <w:tcW w:w="2140" w:type="dxa"/>
            <w:vAlign w:val="bottom"/>
            <w:gridSpan w:val="3"/>
          </w:tcPr>
          <w:p>
            <w:pPr>
              <w:jc w:val="center"/>
              <w:spacing w:after="0"/>
              <w:rPr>
                <w:sz w:val="20"/>
                <w:szCs w:val="20"/>
                <w:color w:val="auto"/>
              </w:rPr>
            </w:pPr>
            <w:r>
              <w:rPr>
                <w:rFonts w:ascii="Arial" w:cs="Arial" w:eastAsia="Arial" w:hAnsi="Arial"/>
                <w:sz w:val="17"/>
                <w:szCs w:val="17"/>
                <w:color w:val="auto"/>
              </w:rPr>
              <w:t>September 1, 2022</w:t>
            </w:r>
          </w:p>
        </w:tc>
        <w:tc>
          <w:tcPr>
            <w:tcW w:w="0" w:type="dxa"/>
            <w:vAlign w:val="bottom"/>
          </w:tcPr>
          <w:p>
            <w:pPr>
              <w:spacing w:after="0"/>
              <w:rPr>
                <w:sz w:val="1"/>
                <w:szCs w:val="1"/>
                <w:color w:val="auto"/>
              </w:rPr>
            </w:pPr>
          </w:p>
        </w:tc>
      </w:tr>
      <w:tr>
        <w:trPr>
          <w:trHeight w:val="218"/>
        </w:trPr>
        <w:tc>
          <w:tcPr>
            <w:tcW w:w="3840" w:type="dxa"/>
            <w:vAlign w:val="bottom"/>
            <w:gridSpan w:val="3"/>
          </w:tcPr>
          <w:p>
            <w:pPr>
              <w:jc w:val="center"/>
              <w:spacing w:after="0"/>
              <w:rPr>
                <w:sz w:val="20"/>
                <w:szCs w:val="20"/>
                <w:color w:val="auto"/>
              </w:rPr>
            </w:pPr>
            <w:r>
              <w:rPr>
                <w:rFonts w:ascii="Arial" w:cs="Arial" w:eastAsia="Arial" w:hAnsi="Arial"/>
                <w:sz w:val="17"/>
                <w:szCs w:val="17"/>
                <w:color w:val="auto"/>
                <w:w w:val="98"/>
              </w:rPr>
              <w:t>Reid Huber, Ph.D.</w:t>
            </w:r>
          </w:p>
        </w:tc>
        <w:tc>
          <w:tcPr>
            <w:tcW w:w="2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3"/>
        </w:trPr>
        <w:tc>
          <w:tcPr>
            <w:tcW w:w="12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2"/>
          </w:tcPr>
          <w:p>
            <w:pPr>
              <w:jc w:val="center"/>
              <w:ind w:right="1260"/>
              <w:spacing w:after="0"/>
              <w:rPr>
                <w:sz w:val="20"/>
                <w:szCs w:val="20"/>
                <w:color w:val="auto"/>
              </w:rPr>
            </w:pPr>
            <w:r>
              <w:rPr>
                <w:rFonts w:ascii="Arial" w:cs="Arial" w:eastAsia="Arial" w:hAnsi="Arial"/>
                <w:sz w:val="17"/>
                <w:szCs w:val="17"/>
                <w:color w:val="auto"/>
              </w:rPr>
              <w:t>/s/ Malte Peters</w:t>
            </w:r>
          </w:p>
        </w:tc>
        <w:tc>
          <w:tcPr>
            <w:tcW w:w="5040" w:type="dxa"/>
            <w:vAlign w:val="bottom"/>
            <w:gridSpan w:val="3"/>
          </w:tcPr>
          <w:p>
            <w:pPr>
              <w:jc w:val="center"/>
              <w:spacing w:after="0"/>
              <w:rPr>
                <w:sz w:val="20"/>
                <w:szCs w:val="20"/>
                <w:color w:val="auto"/>
              </w:rPr>
            </w:pPr>
            <w:r>
              <w:rPr>
                <w:rFonts w:ascii="Arial" w:cs="Arial" w:eastAsia="Arial" w:hAnsi="Arial"/>
                <w:sz w:val="17"/>
                <w:szCs w:val="17"/>
                <w:color w:val="auto"/>
              </w:rPr>
              <w:t>Director</w:t>
            </w:r>
          </w:p>
        </w:tc>
        <w:tc>
          <w:tcPr>
            <w:tcW w:w="2140" w:type="dxa"/>
            <w:vAlign w:val="bottom"/>
            <w:gridSpan w:val="3"/>
          </w:tcPr>
          <w:p>
            <w:pPr>
              <w:jc w:val="center"/>
              <w:spacing w:after="0"/>
              <w:rPr>
                <w:sz w:val="20"/>
                <w:szCs w:val="20"/>
                <w:color w:val="auto"/>
              </w:rPr>
            </w:pPr>
            <w:r>
              <w:rPr>
                <w:rFonts w:ascii="Arial" w:cs="Arial" w:eastAsia="Arial" w:hAnsi="Arial"/>
                <w:sz w:val="17"/>
                <w:szCs w:val="17"/>
                <w:color w:val="auto"/>
              </w:rPr>
              <w:t>September 1, 2022</w:t>
            </w:r>
          </w:p>
        </w:tc>
        <w:tc>
          <w:tcPr>
            <w:tcW w:w="0" w:type="dxa"/>
            <w:vAlign w:val="bottom"/>
          </w:tcPr>
          <w:p>
            <w:pPr>
              <w:spacing w:after="0"/>
              <w:rPr>
                <w:sz w:val="1"/>
                <w:szCs w:val="1"/>
                <w:color w:val="auto"/>
              </w:rPr>
            </w:pPr>
          </w:p>
        </w:tc>
      </w:tr>
      <w:tr>
        <w:trPr>
          <w:trHeight w:val="218"/>
        </w:trPr>
        <w:tc>
          <w:tcPr>
            <w:tcW w:w="3840" w:type="dxa"/>
            <w:vAlign w:val="bottom"/>
            <w:gridSpan w:val="3"/>
          </w:tcPr>
          <w:p>
            <w:pPr>
              <w:jc w:val="center"/>
              <w:spacing w:after="0"/>
              <w:rPr>
                <w:sz w:val="20"/>
                <w:szCs w:val="20"/>
                <w:color w:val="auto"/>
              </w:rPr>
            </w:pPr>
            <w:r>
              <w:rPr>
                <w:rFonts w:ascii="Arial" w:cs="Arial" w:eastAsia="Arial" w:hAnsi="Arial"/>
                <w:sz w:val="17"/>
                <w:szCs w:val="17"/>
                <w:color w:val="auto"/>
              </w:rPr>
              <w:t>Malte Peters, MD</w:t>
            </w:r>
          </w:p>
        </w:tc>
        <w:tc>
          <w:tcPr>
            <w:tcW w:w="2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5040" w:type="dxa"/>
            <w:vAlign w:val="bottom"/>
            <w:tcBorders>
              <w:bottom w:val="single" w:sz="8" w:color="auto"/>
            </w:tcBorders>
            <w:gridSpan w:val="3"/>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40" w:type="dxa"/>
            <w:vAlign w:val="bottom"/>
            <w:gridSpan w:val="3"/>
          </w:tcPr>
          <w:p>
            <w:pPr>
              <w:ind w:left="1540"/>
              <w:spacing w:after="0"/>
              <w:rPr>
                <w:sz w:val="20"/>
                <w:szCs w:val="20"/>
                <w:color w:val="auto"/>
              </w:rPr>
            </w:pPr>
            <w:r>
              <w:rPr>
                <w:rFonts w:ascii="Arial" w:cs="Arial" w:eastAsia="Arial" w:hAnsi="Arial"/>
                <w:sz w:val="16"/>
                <w:szCs w:val="16"/>
                <w:color w:val="auto"/>
              </w:rPr>
              <w:t>II-5</w:t>
            </w: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rPr>
              <w:t>NAME</w:t>
            </w:r>
          </w:p>
        </w:tc>
        <w:tc>
          <w:tcPr>
            <w:tcW w:w="1700" w:type="dxa"/>
            <w:vAlign w:val="bottom"/>
          </w:tcPr>
          <w:p>
            <w:pPr>
              <w:spacing w:after="0"/>
              <w:rPr>
                <w:sz w:val="14"/>
                <w:szCs w:val="14"/>
                <w:color w:val="auto"/>
              </w:rPr>
            </w:pPr>
          </w:p>
        </w:tc>
        <w:tc>
          <w:tcPr>
            <w:tcW w:w="4120" w:type="dxa"/>
            <w:vAlign w:val="bottom"/>
            <w:gridSpan w:val="3"/>
          </w:tcPr>
          <w:p>
            <w:pPr>
              <w:jc w:val="center"/>
              <w:ind w:left="881"/>
              <w:spacing w:after="0"/>
              <w:rPr>
                <w:sz w:val="20"/>
                <w:szCs w:val="20"/>
                <w:color w:val="auto"/>
              </w:rPr>
            </w:pPr>
            <w:r>
              <w:rPr>
                <w:rFonts w:ascii="Arial" w:cs="Arial" w:eastAsia="Arial" w:hAnsi="Arial"/>
                <w:sz w:val="14"/>
                <w:szCs w:val="14"/>
                <w:b w:val="1"/>
                <w:bCs w:val="1"/>
                <w:color w:val="auto"/>
              </w:rPr>
              <w:t>TITLE</w:t>
            </w:r>
          </w:p>
        </w:tc>
        <w:tc>
          <w:tcPr>
            <w:tcW w:w="1800" w:type="dxa"/>
            <w:vAlign w:val="bottom"/>
          </w:tcPr>
          <w:p>
            <w:pPr>
              <w:spacing w:after="0"/>
              <w:rPr>
                <w:sz w:val="14"/>
                <w:szCs w:val="14"/>
                <w:color w:val="auto"/>
              </w:rPr>
            </w:pPr>
          </w:p>
        </w:tc>
        <w:tc>
          <w:tcPr>
            <w:tcW w:w="126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9"/>
              </w:rPr>
              <w:t>DATE</w:t>
            </w:r>
          </w:p>
        </w:tc>
      </w:tr>
      <w:tr>
        <w:trPr>
          <w:trHeight w:val="20"/>
        </w:trPr>
        <w:tc>
          <w:tcPr>
            <w:tcW w:w="17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98"/>
        </w:trPr>
        <w:tc>
          <w:tcPr>
            <w:tcW w:w="384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rPr>
              <w:t>/s/ Mace Rothenberg</w:t>
            </w:r>
          </w:p>
        </w:tc>
        <w:tc>
          <w:tcPr>
            <w:tcW w:w="4120" w:type="dxa"/>
            <w:vAlign w:val="bottom"/>
            <w:gridSpan w:val="3"/>
          </w:tcPr>
          <w:p>
            <w:pPr>
              <w:jc w:val="center"/>
              <w:ind w:left="881"/>
              <w:spacing w:after="0"/>
              <w:rPr>
                <w:sz w:val="20"/>
                <w:szCs w:val="20"/>
                <w:color w:val="auto"/>
              </w:rPr>
            </w:pPr>
            <w:r>
              <w:rPr>
                <w:rFonts w:ascii="Arial" w:cs="Arial" w:eastAsia="Arial" w:hAnsi="Arial"/>
                <w:sz w:val="17"/>
                <w:szCs w:val="17"/>
                <w:color w:val="auto"/>
              </w:rPr>
              <w:t>Director</w:t>
            </w:r>
          </w:p>
        </w:tc>
        <w:tc>
          <w:tcPr>
            <w:tcW w:w="3060" w:type="dxa"/>
            <w:vAlign w:val="bottom"/>
            <w:gridSpan w:val="3"/>
          </w:tcPr>
          <w:p>
            <w:pPr>
              <w:jc w:val="center"/>
              <w:ind w:left="875"/>
              <w:spacing w:after="0"/>
              <w:rPr>
                <w:sz w:val="20"/>
                <w:szCs w:val="20"/>
                <w:color w:val="auto"/>
              </w:rPr>
            </w:pPr>
            <w:r>
              <w:rPr>
                <w:rFonts w:ascii="Arial" w:cs="Arial" w:eastAsia="Arial" w:hAnsi="Arial"/>
                <w:sz w:val="17"/>
                <w:szCs w:val="17"/>
                <w:color w:val="auto"/>
              </w:rPr>
              <w:t>September 1, 2022</w:t>
            </w:r>
          </w:p>
        </w:tc>
      </w:tr>
      <w:tr>
        <w:trPr>
          <w:trHeight w:val="218"/>
        </w:trPr>
        <w:tc>
          <w:tcPr>
            <w:tcW w:w="3840" w:type="dxa"/>
            <w:vAlign w:val="bottom"/>
            <w:gridSpan w:val="3"/>
          </w:tcPr>
          <w:p>
            <w:pPr>
              <w:jc w:val="center"/>
              <w:spacing w:after="0"/>
              <w:rPr>
                <w:sz w:val="20"/>
                <w:szCs w:val="20"/>
                <w:color w:val="auto"/>
              </w:rPr>
            </w:pPr>
            <w:r>
              <w:rPr>
                <w:rFonts w:ascii="Arial" w:cs="Arial" w:eastAsia="Arial" w:hAnsi="Arial"/>
                <w:sz w:val="17"/>
                <w:szCs w:val="17"/>
                <w:color w:val="auto"/>
              </w:rPr>
              <w:t>Mace Rothenberg, MD</w:t>
            </w:r>
          </w:p>
        </w:tc>
        <w:tc>
          <w:tcPr>
            <w:tcW w:w="2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7"/>
        </w:trPr>
        <w:tc>
          <w:tcPr>
            <w:tcW w:w="17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gridSpan w:val="3"/>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572"/>
        </w:trPr>
        <w:tc>
          <w:tcPr>
            <w:tcW w:w="1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120" w:type="dxa"/>
            <w:vAlign w:val="bottom"/>
            <w:gridSpan w:val="3"/>
          </w:tcPr>
          <w:p>
            <w:pPr>
              <w:ind w:left="1540"/>
              <w:spacing w:after="0"/>
              <w:rPr>
                <w:sz w:val="20"/>
                <w:szCs w:val="20"/>
                <w:color w:val="auto"/>
              </w:rPr>
            </w:pPr>
            <w:r>
              <w:rPr>
                <w:rFonts w:ascii="Arial" w:cs="Arial" w:eastAsia="Arial" w:hAnsi="Arial"/>
                <w:sz w:val="16"/>
                <w:szCs w:val="16"/>
                <w:color w:val="auto"/>
              </w:rPr>
              <w:t>II-6</w:t>
            </w:r>
          </w:p>
        </w:tc>
        <w:tc>
          <w:tcPr>
            <w:tcW w:w="1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OPEN MARKET SALE AGREEMENT</w:t>
      </w:r>
      <w:r>
        <w:rPr>
          <w:rFonts w:ascii="Times New Roman" w:cs="Times New Roman" w:eastAsia="Times New Roman" w:hAnsi="Times New Roman"/>
          <w:sz w:val="26"/>
          <w:szCs w:val="26"/>
          <w:b w:val="1"/>
          <w:bCs w:val="1"/>
          <w:color w:val="auto"/>
          <w:vertAlign w:val="superscript"/>
        </w:rPr>
        <w:t>SM</w:t>
      </w:r>
    </w:p>
    <w:p>
      <w:pPr>
        <w:spacing w:after="0" w:line="1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September 1,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color w:val="auto"/>
        </w:rPr>
        <w:t>Tango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proposes, subject to the terms and conditions stated herein, to issue and sell from time to time through Jefferies LLC, as sales agent and/or principal (the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shares of the Company’s common stock, par value $0.001 per share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on the terms set forth in this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 DEFINITIONS</w:t>
      </w:r>
    </w:p>
    <w:p>
      <w:pPr>
        <w:spacing w:after="0" w:line="121" w:lineRule="exact"/>
        <w:rPr>
          <w:sz w:val="20"/>
          <w:szCs w:val="20"/>
          <w:color w:val="auto"/>
        </w:rPr>
      </w:pPr>
    </w:p>
    <w:p>
      <w:pPr>
        <w:ind w:right="720" w:firstLine="436"/>
        <w:spacing w:after="0" w:line="282" w:lineRule="auto"/>
        <w:tabs>
          <w:tab w:leader="none" w:pos="68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Agreement, capitalized terms used herein and not otherwise defined shall have the following respective meanings:</w:t>
      </w:r>
    </w:p>
    <w:p>
      <w:pPr>
        <w:spacing w:after="0" w:line="50"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 Person means another Person that directly or indirectly, through one or more intermediaries, controls, is controlled by, or is under common control with, such first mentioned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pacing w:after="0" w:line="176" w:lineRule="exact"/>
        <w:rPr>
          <w:sz w:val="20"/>
          <w:szCs w:val="20"/>
          <w:color w:val="auto"/>
        </w:rPr>
      </w:pPr>
    </w:p>
    <w:p>
      <w:pPr>
        <w:ind w:right="4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Agency Period</w:t>
      </w:r>
      <w:r>
        <w:rPr>
          <w:rFonts w:ascii="Times New Roman" w:cs="Times New Roman" w:eastAsia="Times New Roman" w:hAnsi="Times New Roman"/>
          <w:sz w:val="17"/>
          <w:szCs w:val="17"/>
          <w:color w:val="auto"/>
        </w:rPr>
        <w:t xml:space="preserve">” means the period commencing on the date of this Agreement and expiring on the earliest to occur of (x) the date on which the Agent shall have placed the Maximum Program Amount pursuant to this Agreement and (y) the date this Agreement is terminated pursuant to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of the Commission thereunder.</w:t>
      </w:r>
    </w:p>
    <w:p>
      <w:pPr>
        <w:spacing w:after="0" w:line="225"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Floor Price</w:t>
      </w:r>
      <w:r>
        <w:rPr>
          <w:rFonts w:ascii="Times New Roman" w:cs="Times New Roman" w:eastAsia="Times New Roman" w:hAnsi="Times New Roman"/>
          <w:sz w:val="18"/>
          <w:szCs w:val="18"/>
          <w:color w:val="auto"/>
        </w:rPr>
        <w:t>” means the minimum price set by the Company in the Issuance Notice below which the Agent shall not sell Shares during the applicable period set forth in the Issuance Notice, which may be adjusted by the Company at any time during the period set forth in the Issuance Notice by delivering written notice of such change to the Agent and which in no event shall be less than $1.00 without the prior written consent of the Agent, which may be withheld in the Agent’s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237490</wp:posOffset>
            </wp:positionV>
            <wp:extent cx="7715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0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7"/>
          <w:szCs w:val="27"/>
          <w:color w:val="auto"/>
          <w:vertAlign w:val="superscript"/>
        </w:rPr>
        <w:t>SM</w:t>
      </w:r>
      <w:r>
        <w:rPr>
          <w:sz w:val="20"/>
          <w:szCs w:val="20"/>
          <w:color w:val="auto"/>
        </w:rPr>
        <w:tab/>
      </w:r>
      <w:r>
        <w:rPr>
          <w:rFonts w:ascii="Times New Roman" w:cs="Times New Roman" w:eastAsia="Times New Roman" w:hAnsi="Times New Roman"/>
          <w:sz w:val="18"/>
          <w:szCs w:val="18"/>
          <w:color w:val="auto"/>
        </w:rPr>
        <w:t>“Open Market Sale Agreement” is a service mark of Jefferies LLC</w:t>
      </w:r>
    </w:p>
    <w:p>
      <w:pPr>
        <w:sectPr>
          <w:pgSz w:w="11900" w:h="16838" w:orient="portrait"/>
          <w:cols w:equalWidth="0" w:num="1">
            <w:col w:w="11020"/>
          </w:cols>
          <w:pgMar w:left="440" w:top="117" w:right="439" w:bottom="1440" w:gutter="0" w:footer="0" w:header="0"/>
        </w:sectPr>
      </w:pPr>
    </w:p>
    <w:bookmarkStart w:id="62" w:name="page63"/>
    <w:bookmarkEnd w:id="6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Issuance Amount</w:t>
      </w:r>
      <w:r>
        <w:rPr>
          <w:rFonts w:ascii="Times New Roman" w:cs="Times New Roman" w:eastAsia="Times New Roman" w:hAnsi="Times New Roman"/>
          <w:sz w:val="18"/>
          <w:szCs w:val="18"/>
          <w:color w:val="auto"/>
        </w:rPr>
        <w:t>” means the aggregate Sales Price of the Shares to be sold by the Agent pursuant to any Issuance Notice.</w:t>
      </w:r>
    </w:p>
    <w:p>
      <w:pPr>
        <w:spacing w:after="0" w:line="22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Issuance Notice</w:t>
      </w:r>
      <w:r>
        <w:rPr>
          <w:rFonts w:ascii="Times New Roman" w:cs="Times New Roman" w:eastAsia="Times New Roman" w:hAnsi="Times New Roman"/>
          <w:sz w:val="18"/>
          <w:szCs w:val="18"/>
          <w:color w:val="auto"/>
        </w:rPr>
        <w:t>” means a written notice delivered to the Agent by the Company in accordance with this Agreement in the form attached hereto as Exhibit A that is executed by its Chief Executive Officer, President or Chief Financial Officer.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Issuance Notice Date</w:t>
      </w:r>
      <w:r>
        <w:rPr>
          <w:rFonts w:ascii="Times New Roman" w:cs="Times New Roman" w:eastAsia="Times New Roman" w:hAnsi="Times New Roman"/>
          <w:sz w:val="18"/>
          <w:szCs w:val="18"/>
          <w:color w:val="auto"/>
        </w:rPr>
        <w:t xml:space="preserve">” means any Trading Day during the Agency Period that an Issuance Notice is delivered pursuant to </w:t>
      </w:r>
      <w:r>
        <w:rPr>
          <w:rFonts w:ascii="Times New Roman" w:cs="Times New Roman" w:eastAsia="Times New Roman" w:hAnsi="Times New Roman"/>
          <w:sz w:val="18"/>
          <w:szCs w:val="18"/>
          <w:u w:val="single" w:color="auto"/>
          <w:color w:val="auto"/>
        </w:rPr>
        <w:t>Section 3(b)(i)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Issuance Price</w:t>
      </w:r>
      <w:r>
        <w:rPr>
          <w:rFonts w:ascii="Times New Roman" w:cs="Times New Roman" w:eastAsia="Times New Roman" w:hAnsi="Times New Roman"/>
          <w:sz w:val="18"/>
          <w:szCs w:val="18"/>
          <w:color w:val="auto"/>
        </w:rPr>
        <w:t>” means the Sales Price less the Selling Commission.</w:t>
      </w:r>
    </w:p>
    <w:p>
      <w:pPr>
        <w:spacing w:after="0" w:line="225"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Program Amount</w:t>
      </w:r>
      <w:r>
        <w:rPr>
          <w:rFonts w:ascii="Times New Roman" w:cs="Times New Roman" w:eastAsia="Times New Roman" w:hAnsi="Times New Roman"/>
          <w:sz w:val="18"/>
          <w:szCs w:val="18"/>
          <w:color w:val="auto"/>
        </w:rPr>
        <w:t>” means Common Shares with an aggregate Sales Price of the lesser of (a) the number or dollar amount of Common Shares registered under the effective Registration Statement (defined below) pursuant to which the offering is being made, (b) the number of authorized but unissued Common Shares (less Common Shares issuable upon exercise, conversion or exchange of any outstanding securities of the Company or otherwise reserved from the Company’s authorized capital stock), (c) the number or dollar amount of Common Shares permitted to be sold under Form S-3 (including General Instruction I.B.6 thereof, if applicable), or (d) the number or dollar amount of Common Shares for which the Company has filed a Prospectus (defined below).</w:t>
      </w:r>
    </w:p>
    <w:p>
      <w:pPr>
        <w:spacing w:after="0" w:line="182" w:lineRule="exact"/>
        <w:rPr>
          <w:sz w:val="20"/>
          <w:szCs w:val="20"/>
          <w:color w:val="auto"/>
        </w:rPr>
      </w:pPr>
    </w:p>
    <w:p>
      <w:pPr>
        <w:ind w:right="3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or a corporation, partnership, limited liability company, trust, incorporated or unincorporated association, joint venture, joint stock company, governmental authority or other entity of any kind.</w:t>
      </w:r>
    </w:p>
    <w:p>
      <w:pPr>
        <w:spacing w:after="0" w:line="15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Market</w:t>
      </w:r>
      <w:r>
        <w:rPr>
          <w:rFonts w:ascii="Times New Roman" w:cs="Times New Roman" w:eastAsia="Times New Roman" w:hAnsi="Times New Roman"/>
          <w:sz w:val="18"/>
          <w:szCs w:val="18"/>
          <w:color w:val="auto"/>
        </w:rPr>
        <w:t>” means The Nasdaq Global Market or such other national securities exchange on which the Common Shares, including any Shares, are then listed.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Sales Price</w:t>
      </w:r>
      <w:r>
        <w:rPr>
          <w:rFonts w:ascii="Times New Roman" w:cs="Times New Roman" w:eastAsia="Times New Roman" w:hAnsi="Times New Roman"/>
          <w:sz w:val="18"/>
          <w:szCs w:val="18"/>
          <w:color w:val="auto"/>
        </w:rPr>
        <w:t>” means the actual sale execution price of each Share placed by the Agent pursuant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of the Commission thereunder.</w:t>
      </w:r>
    </w:p>
    <w:p>
      <w:pPr>
        <w:spacing w:after="0" w:line="22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Selling Commission</w:t>
      </w:r>
      <w:r>
        <w:rPr>
          <w:rFonts w:ascii="Times New Roman" w:cs="Times New Roman" w:eastAsia="Times New Roman" w:hAnsi="Times New Roman"/>
          <w:sz w:val="18"/>
          <w:szCs w:val="18"/>
          <w:color w:val="auto"/>
        </w:rPr>
        <w:t>” means up to three percent (3.0%) of the gross proceeds of Shares sold pursuant to this Agreement, or as otherwise agreed between the Company and the Agent with respect to any Shares sold pursuant to this Agreement.</w:t>
      </w:r>
    </w:p>
    <w:p>
      <w:pPr>
        <w:spacing w:after="0" w:line="15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Date</w:t>
      </w:r>
      <w:r>
        <w:rPr>
          <w:rFonts w:ascii="Times New Roman" w:cs="Times New Roman" w:eastAsia="Times New Roman" w:hAnsi="Times New Roman"/>
          <w:sz w:val="18"/>
          <w:szCs w:val="18"/>
          <w:color w:val="auto"/>
        </w:rPr>
        <w:t>” means the second business day following each Trading Day during the period set forth in the Issuance Notice on which Shares are sold pursuant to this Agreement, when the Company shall deliver to the Agent the amount of Shares sold on such Trading Day and the Agent shall deliver to the Company the Issuance Price received on such sales.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means the Company’s Common Shares issued or issuable pursuant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day on which the Principal Market is open for trading.</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66" w:right="499" w:bottom="1440" w:gutter="0" w:footer="0" w:header="0"/>
        </w:sectPr>
      </w:pPr>
    </w:p>
    <w:bookmarkStart w:id="63" w:name="page64"/>
    <w:bookmarkEnd w:id="63"/>
    <w:p>
      <w:pPr>
        <w:ind w:left="4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 REPRESENTATIONS AND WARRANTIES OF THE COMPANY</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Company represents and warrants to, and agrees with, the Agent that as of (1) the date of this Agreement, (2) each Issuance Notice Date,</w:t>
      </w:r>
    </w:p>
    <w:p>
      <w:pPr>
        <w:spacing w:after="0" w:line="27" w:lineRule="exact"/>
        <w:rPr>
          <w:sz w:val="20"/>
          <w:szCs w:val="20"/>
          <w:color w:val="auto"/>
        </w:rPr>
      </w:pPr>
    </w:p>
    <w:p>
      <w:pPr>
        <w:jc w:val="both"/>
        <w:ind w:left="4" w:right="20" w:hanging="4"/>
        <w:spacing w:after="0" w:line="253" w:lineRule="auto"/>
        <w:tabs>
          <w:tab w:leader="none" w:pos="25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Settlement Date, (4) each Triggering Event Date with respect to which the Company is obligated to deliver a certificate pursuant to Section 4(o) and (5) as of each Time of Sale (each of the times referenced above is referred to herein as a “</w:t>
      </w:r>
      <w:r>
        <w:rPr>
          <w:rFonts w:ascii="Times New Roman" w:cs="Times New Roman" w:eastAsia="Times New Roman" w:hAnsi="Times New Roman"/>
          <w:sz w:val="18"/>
          <w:szCs w:val="18"/>
          <w:b w:val="1"/>
          <w:bCs w:val="1"/>
          <w:color w:val="auto"/>
        </w:rPr>
        <w:t>Representation Date</w:t>
      </w:r>
      <w:r>
        <w:rPr>
          <w:rFonts w:ascii="Times New Roman" w:cs="Times New Roman" w:eastAsia="Times New Roman" w:hAnsi="Times New Roman"/>
          <w:sz w:val="18"/>
          <w:szCs w:val="18"/>
          <w:color w:val="auto"/>
        </w:rPr>
        <w:t>”), except as may be disclosed in the Prospectus (including any documents incorporated by reference therein and any amendments or supplements thereto) on or before a Representation Date:</w:t>
      </w:r>
    </w:p>
    <w:p>
      <w:pPr>
        <w:spacing w:after="0" w:line="188" w:lineRule="exact"/>
        <w:rPr>
          <w:rFonts w:ascii="Times New Roman" w:cs="Times New Roman" w:eastAsia="Times New Roman" w:hAnsi="Times New Roman"/>
          <w:sz w:val="18"/>
          <w:szCs w:val="18"/>
          <w:color w:val="auto"/>
        </w:rPr>
      </w:pPr>
    </w:p>
    <w:p>
      <w:pPr>
        <w:ind w:left="4" w:firstLine="436"/>
        <w:spacing w:after="0" w:line="252" w:lineRule="auto"/>
        <w:tabs>
          <w:tab w:leader="none" w:pos="68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Company has prepared and filed or will file with the Commission a shelf registration statement on Form S-3 that contains a base prospectus (the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Such registration statement registers the issuance and sale by the Company of the Shares under the Securities Act. The Company may file one or more additional registration statements from time to time that will contain a base prospectus and related prospectus or prospectus supplement, if applicable, with respect to the Shares. Except where the context otherwise requires, such registration statement(s), including any information deemed to be a part thereof pursuant to Rule 430B under the Securities Act, including all financial statements, exhibits and schedules thereto and all documents incorporated or deemed to be incorporated therein by reference pursuant to Item 12 of Form S-3 under the Securities Act as from time to time amended or supplemented, is herein referred to as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and the prospectus constituting a part of such registration statement(s), together with any prospectus supplement filed with the Commission pursuant to Rule 424(b) under the Securities Act relating to a particular issuance of the Shares, including all documents incorporated or deemed to be incorporated therein by reference pursuant to Item 12 of Form S-3 under the Securities Act, in each case, as from time to time amended or supplemented, is referred to herein as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except that if any revised prospectus is provided to the Agent by the Company for use in connection with the offering of the Shares that is not required to be filed by the Company pursuant to Rule 424(b) under the Securities Act, the term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shall refer to such revised prospectus from and after the time it is first provided to the Agent for such use. The Registration Statement at the time it originally became effective is herein called the “</w:t>
      </w:r>
      <w:r>
        <w:rPr>
          <w:rFonts w:ascii="Times New Roman" w:cs="Times New Roman" w:eastAsia="Times New Roman" w:hAnsi="Times New Roman"/>
          <w:sz w:val="18"/>
          <w:szCs w:val="18"/>
          <w:b w:val="1"/>
          <w:bCs w:val="1"/>
          <w:color w:val="auto"/>
        </w:rPr>
        <w:t>Original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As used in this Agreement, the terms “amendment” or “supplement” when applied to the Registration Statement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Prospectus shall be deemed to include the filing by the Company with the Commission of any document under the Exchange Act after the date hereof that is or is deemed to be incorporated therein by reference.</w:t>
      </w:r>
    </w:p>
    <w:p>
      <w:pPr>
        <w:spacing w:after="0" w:line="195" w:lineRule="exact"/>
        <w:rPr>
          <w:sz w:val="20"/>
          <w:szCs w:val="20"/>
          <w:color w:val="auto"/>
        </w:rPr>
      </w:pPr>
    </w:p>
    <w:p>
      <w:pPr>
        <w:ind w:left="4" w:right="40" w:firstLine="440"/>
        <w:spacing w:after="0" w:line="255" w:lineRule="auto"/>
        <w:rPr>
          <w:sz w:val="20"/>
          <w:szCs w:val="20"/>
          <w:color w:val="auto"/>
        </w:rPr>
      </w:pPr>
      <w:r>
        <w:rPr>
          <w:rFonts w:ascii="Times New Roman" w:cs="Times New Roman" w:eastAsia="Times New Roman" w:hAnsi="Times New Roman"/>
          <w:sz w:val="18"/>
          <w:szCs w:val="18"/>
          <w:color w:val="auto"/>
        </w:rPr>
        <w:t>All references in this Agreement to financial statements and schedules and other information which is “contained,” “included” or “stated” in the Registration Statement or the Prospectus (and all other references of like import) shall be deemed to mean and include all such financial statements and schedules and other information which is or is deemed to be incorporated by reference in or otherwise deemed under the Securities Act to be a part of or included in the Registration Statement or the Prospectus, as the case may be, as of any specified date; and all references in this Agreement to amendments or supplements to the Registration Statement or the Prospectus shall be deemed to mean and include, without limitation, the filing of any document under the Exchange Act which is or is deemed to be incorporated by reference in or otherwise deemed under the Securities Act to be a part of or included in the Registration Statement or the Prospectus, as the case may be, as of any specified date.</w:t>
      </w:r>
    </w:p>
    <w:p>
      <w:pPr>
        <w:spacing w:after="0" w:line="36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66" w:right="459" w:bottom="1440" w:gutter="0" w:footer="0" w:header="0"/>
        </w:sectPr>
      </w:pPr>
    </w:p>
    <w:bookmarkStart w:id="64" w:name="page65"/>
    <w:bookmarkEnd w:id="64"/>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the time the Original Registration Statement was or will be declared effective and at the time the Company’s most recent annual report on Form 10-K was filed with the Commission, if later, the Company will have met the then-applicable requirements for use of Form S-3 under the Securities Act. During the Agency Period, unless the Company notifies the Agent to the contrary, each time the Company files an annual report on Form 10-K, the Company will meet the then-applicable requirements for use of Form S-3 under the Securities Act.</w:t>
      </w:r>
    </w:p>
    <w:p>
      <w:pPr>
        <w:spacing w:after="0" w:line="180" w:lineRule="exact"/>
        <w:rPr>
          <w:sz w:val="20"/>
          <w:szCs w:val="20"/>
          <w:color w:val="auto"/>
        </w:rPr>
      </w:pPr>
    </w:p>
    <w:p>
      <w:pPr>
        <w:ind w:firstLine="436"/>
        <w:spacing w:after="0" w:line="258" w:lineRule="auto"/>
        <w:tabs>
          <w:tab w:leader="none" w:pos="69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Registration Requirements</w:t>
      </w:r>
      <w:r>
        <w:rPr>
          <w:rFonts w:ascii="Times New Roman" w:cs="Times New Roman" w:eastAsia="Times New Roman" w:hAnsi="Times New Roman"/>
          <w:sz w:val="18"/>
          <w:szCs w:val="18"/>
          <w:color w:val="auto"/>
        </w:rPr>
        <w:t>. The Original Registration Statement and any Rule 462(b) Registration Statement have been or will be declared effective by the Commission under the Securities Act prior to the issuance of any Issuance Notice by the Company. The Company has complied to the Commission’s satisfaction with all requests of the Commission for additional or supplemental information. No stop order suspending the effectiveness of the Registration Statement or any Rule 462(b) Registration Statement is in effect and no proceedings for such purpose have been instituted or are pending or, to the best knowledge of the Company, are contemplated or threatened by the Commission.</w:t>
      </w:r>
    </w:p>
    <w:p>
      <w:pPr>
        <w:spacing w:after="0" w:line="183"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7"/>
          <w:szCs w:val="17"/>
          <w:color w:val="auto"/>
        </w:rPr>
        <w:t>The Prospectus, when filed, complied in all material respects with the Securities Act and, if filed with the Commission through its Electronic Data Gathering, Analysis and Retrieval system (“</w:t>
      </w:r>
      <w:r>
        <w:rPr>
          <w:rFonts w:ascii="Times New Roman" w:cs="Times New Roman" w:eastAsia="Times New Roman" w:hAnsi="Times New Roman"/>
          <w:sz w:val="17"/>
          <w:szCs w:val="17"/>
          <w:b w:val="1"/>
          <w:bCs w:val="1"/>
          <w:color w:val="auto"/>
        </w:rPr>
        <w:t>EDGAR</w:t>
      </w:r>
      <w:r>
        <w:rPr>
          <w:rFonts w:ascii="Times New Roman" w:cs="Times New Roman" w:eastAsia="Times New Roman" w:hAnsi="Times New Roman"/>
          <w:sz w:val="17"/>
          <w:szCs w:val="17"/>
          <w:color w:val="auto"/>
        </w:rPr>
        <w:t>”) (except as may be permitted by Regulation S T under the Securities Act), was identical to the copy thereof delivered to the Agent for use in connection with the issuance and sale of the Shares. Each of the Registration Statement, any Rule 462(b) Registration Statement and any post-effective amendment thereto, at the time it became effective and at each Representation Date,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date of this Agreement, the Prospectus and any Free Writing Prospectus (as defined below) considered together (collectively, the “</w:t>
      </w:r>
      <w:r>
        <w:rPr>
          <w:rFonts w:ascii="Times New Roman" w:cs="Times New Roman" w:eastAsia="Times New Roman" w:hAnsi="Times New Roman"/>
          <w:sz w:val="17"/>
          <w:szCs w:val="17"/>
          <w:b w:val="1"/>
          <w:bCs w:val="1"/>
          <w:color w:val="auto"/>
        </w:rPr>
        <w:t>Time of Sale Information</w:t>
      </w:r>
      <w:r>
        <w:rPr>
          <w:rFonts w:ascii="Times New Roman" w:cs="Times New Roman" w:eastAsia="Times New Roman" w:hAnsi="Times New Roman"/>
          <w:sz w:val="17"/>
          <w:szCs w:val="17"/>
          <w:color w:val="auto"/>
        </w:rPr>
        <w:t xml:space="preserve">”) did not contain any untrue statement of a material fact or omit to state a material fact necessary to make the statements therein, in the light of the circumstances under which they were made, not misleading. The Prospectus, as amended or supplemented, as of its date and at each Representation Date, did not and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the Agent furnished to the Company in writing by the Agent expressly for use therein, it being understood and agreed that the only such information furnished by the Agent to the Company consists of the information described in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below. There are no contracts or other documents required to be described in the Prospectus or to be filed as exhibits to the Registration Statement which have not been described or filed as required. The Registration Statement and the offer and sale of the Shares as contemplated hereby meet the requirements of Rule 415 under the Securities Act and comply in all material respects with said rule.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65" w:name="page66"/>
    <w:bookmarkEnd w:id="65"/>
    <w:p>
      <w:pPr>
        <w:ind w:left="-20" w:right="60" w:firstLine="436"/>
        <w:spacing w:after="0" w:line="253" w:lineRule="auto"/>
        <w:tabs>
          <w:tab w:leader="none" w:pos="66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Ineligible Issuer Status</w:t>
      </w:r>
      <w:r>
        <w:rPr>
          <w:rFonts w:ascii="Times New Roman" w:cs="Times New Roman" w:eastAsia="Times New Roman" w:hAnsi="Times New Roman"/>
          <w:sz w:val="18"/>
          <w:szCs w:val="18"/>
          <w:color w:val="auto"/>
        </w:rPr>
        <w:t>. After August 12, 2024, the Company will not be an “ineligible issuer”, in connection with the offering of the Shares pursuant to Rules 164, 405 and 433 under the Securities Act. Any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and at all subsequent times through the completion of the issuance and sale of the Shares did not, does not and will not include any information that conflicted, conflicts with or will conflict with the information contained in the Registration Statement or the Prospectus, including any document incorporated by reference therein. Except for the Free Writing Prospectuses, if any, and electronic road shows, if any, furnished to the Agent before first use, the Company has not prepared, used or referred to, and will not, without the Agent’s prior consent, prepare, use or refer to, any Free Writing Prospectus.</w:t>
      </w:r>
    </w:p>
    <w:p>
      <w:pPr>
        <w:spacing w:after="0" w:line="191" w:lineRule="exact"/>
        <w:rPr>
          <w:rFonts w:ascii="Times New Roman" w:cs="Times New Roman" w:eastAsia="Times New Roman" w:hAnsi="Times New Roman"/>
          <w:sz w:val="18"/>
          <w:szCs w:val="18"/>
          <w:color w:val="auto"/>
        </w:rPr>
      </w:pPr>
    </w:p>
    <w:p>
      <w:pPr>
        <w:ind w:left="-20" w:firstLine="436"/>
        <w:spacing w:after="0" w:line="261" w:lineRule="auto"/>
        <w:tabs>
          <w:tab w:leader="none" w:pos="67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Incorporated Documents</w:t>
      </w:r>
      <w:r>
        <w:rPr>
          <w:rFonts w:ascii="Times New Roman" w:cs="Times New Roman" w:eastAsia="Times New Roman" w:hAnsi="Times New Roman"/>
          <w:sz w:val="18"/>
          <w:szCs w:val="18"/>
          <w:color w:val="auto"/>
        </w:rPr>
        <w:t>. The documents incorporated or deemed to be incorporated by reference in the Registration Statement and the Prospectus, at the time they were filed with the Commission, complied in all material respects with the requirements of the Exchange Act, as applicable, and, when read together with the other information in the Prospectus, do not contain an untrue statement of a material fact or omit to state a material fact required to be stated therein or necessary to make the statements therein, in light of the circumstances under which they were made, not misleading.</w:t>
      </w:r>
    </w:p>
    <w:p>
      <w:pPr>
        <w:spacing w:after="0" w:line="179" w:lineRule="exact"/>
        <w:rPr>
          <w:rFonts w:ascii="Times New Roman" w:cs="Times New Roman" w:eastAsia="Times New Roman" w:hAnsi="Times New Roman"/>
          <w:sz w:val="18"/>
          <w:szCs w:val="18"/>
          <w:color w:val="auto"/>
        </w:rPr>
      </w:pPr>
    </w:p>
    <w:p>
      <w:pPr>
        <w:ind w:left="-20" w:right="20" w:firstLine="436"/>
        <w:spacing w:after="0" w:line="256" w:lineRule="auto"/>
        <w:tabs>
          <w:tab w:leader="none" w:pos="66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Act Compliance</w:t>
      </w:r>
      <w:r>
        <w:rPr>
          <w:rFonts w:ascii="Times New Roman" w:cs="Times New Roman" w:eastAsia="Times New Roman" w:hAnsi="Times New Roman"/>
          <w:sz w:val="18"/>
          <w:szCs w:val="18"/>
          <w:color w:val="auto"/>
        </w:rPr>
        <w:t>. The documents incorporated or deemed to be incorporated by reference in the Prospectus, at the time they were or hereafter are filed with the Commission, and any Free Writing Prospectus or amendment or supplement thereto complied and will comply in all material respects with the requirements of the Exchange Act, and, when read together with the other information in the Prospectus, at the time the Registration Statement and any amendments thereto become effective and at each Time of Sale (as defined below), as the case may be, will not contain an untrue statement of a material fact or omit to state a material fact required to be stated therein or necessary to make the statements therein, in the light of the circumstances under which they were made, not misleading.</w:t>
      </w:r>
    </w:p>
    <w:p>
      <w:pPr>
        <w:spacing w:after="0" w:line="187" w:lineRule="exact"/>
        <w:rPr>
          <w:rFonts w:ascii="Times New Roman" w:cs="Times New Roman" w:eastAsia="Times New Roman" w:hAnsi="Times New Roman"/>
          <w:sz w:val="18"/>
          <w:szCs w:val="18"/>
          <w:color w:val="auto"/>
        </w:rPr>
      </w:pPr>
    </w:p>
    <w:p>
      <w:pPr>
        <w:ind w:left="-20" w:right="60" w:firstLine="436"/>
        <w:spacing w:after="0" w:line="266" w:lineRule="auto"/>
        <w:tabs>
          <w:tab w:leader="none" w:pos="64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Statistical and Market-Related Data</w:t>
      </w:r>
      <w:r>
        <w:rPr>
          <w:rFonts w:ascii="Times New Roman" w:cs="Times New Roman" w:eastAsia="Times New Roman" w:hAnsi="Times New Roman"/>
          <w:sz w:val="18"/>
          <w:szCs w:val="18"/>
          <w:color w:val="auto"/>
        </w:rPr>
        <w:t>. All statistical, demographic and market-related data included in the Registration Statement or the Prospectus are based on or derived from sources that the Company believes, after reasonable inquiry, to be reliable and accurate. To the extent required, the Company has obtained the written consent for the use of such data from such sources.</w:t>
      </w:r>
    </w:p>
    <w:p>
      <w:pPr>
        <w:spacing w:after="0" w:line="175" w:lineRule="exact"/>
        <w:rPr>
          <w:rFonts w:ascii="Times New Roman" w:cs="Times New Roman" w:eastAsia="Times New Roman" w:hAnsi="Times New Roman"/>
          <w:sz w:val="18"/>
          <w:szCs w:val="18"/>
          <w:color w:val="auto"/>
        </w:rPr>
      </w:pPr>
    </w:p>
    <w:p>
      <w:pPr>
        <w:ind w:left="-20" w:right="20" w:firstLine="436"/>
        <w:spacing w:after="0" w:line="256" w:lineRule="auto"/>
        <w:tabs>
          <w:tab w:leader="none" w:pos="67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Controls and Procedures; Deficiencies in or Changes to Internal Control Over Financial Reporting</w:t>
      </w:r>
      <w:r>
        <w:rPr>
          <w:rFonts w:ascii="Times New Roman" w:cs="Times New Roman" w:eastAsia="Times New Roman" w:hAnsi="Times New Roman"/>
          <w:sz w:val="18"/>
          <w:szCs w:val="18"/>
          <w:color w:val="auto"/>
        </w:rPr>
        <w:t>. The Company has established and maintains disclosure controls and procedures (as defined in Rules 13a-15 and 15d-15 under the Exchange Act), which (i)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Exchange Act are being prepared, it being understood that neither subsection (l) nor this subsection (g) requires the Company to comply with Section 404 of the Sarbanes Oxley Act of 2002 as of an earlier date than it would otherwise be required to so</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60" w:top="270" w:right="479" w:bottom="1440" w:gutter="0" w:footer="0" w:header="0"/>
        </w:sectPr>
      </w:pPr>
    </w:p>
    <w:bookmarkStart w:id="66" w:name="page67"/>
    <w:bookmarkEnd w:id="66"/>
    <w:p>
      <w:pPr>
        <w:ind w:right="1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comply under applicable law; (ii) have been evaluated by management of the Company for effectiveness as of the end of the Company’s most recent fiscal quarter; and (iii) are effective in all material respects to perform the functions for which they were established. Since the end of the Company’s most recent audited fiscal year, there have been no significant deficiencies or material weaknesses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189" w:lineRule="exact"/>
        <w:rPr>
          <w:sz w:val="20"/>
          <w:szCs w:val="20"/>
          <w:color w:val="auto"/>
        </w:rPr>
      </w:pPr>
    </w:p>
    <w:p>
      <w:pPr>
        <w:ind w:left="700" w:hanging="264"/>
        <w:spacing w:after="0"/>
        <w:tabs>
          <w:tab w:leader="none" w:pos="7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This Agreement</w:t>
      </w:r>
      <w:r>
        <w:rPr>
          <w:rFonts w:ascii="Times New Roman" w:cs="Times New Roman" w:eastAsia="Times New Roman" w:hAnsi="Times New Roman"/>
          <w:sz w:val="18"/>
          <w:szCs w:val="18"/>
          <w:color w:val="auto"/>
        </w:rPr>
        <w:t>. This Agreement has been duly authorized, executed and delivered by the Company.</w:t>
      </w:r>
    </w:p>
    <w:p>
      <w:pPr>
        <w:spacing w:after="0" w:line="225" w:lineRule="exact"/>
        <w:rPr>
          <w:rFonts w:ascii="Times New Roman" w:cs="Times New Roman" w:eastAsia="Times New Roman" w:hAnsi="Times New Roman"/>
          <w:sz w:val="18"/>
          <w:szCs w:val="18"/>
          <w:color w:val="auto"/>
        </w:rPr>
      </w:pPr>
    </w:p>
    <w:p>
      <w:pPr>
        <w:ind w:right="200" w:firstLine="436"/>
        <w:spacing w:after="0" w:line="289" w:lineRule="auto"/>
        <w:tabs>
          <w:tab w:leader="none" w:pos="655"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Authorization of the Shares</w:t>
      </w:r>
      <w:r>
        <w:rPr>
          <w:rFonts w:ascii="Times New Roman" w:cs="Times New Roman" w:eastAsia="Times New Roman" w:hAnsi="Times New Roman"/>
          <w:sz w:val="17"/>
          <w:szCs w:val="17"/>
          <w:color w:val="auto"/>
        </w:rPr>
        <w:t>. The Shares have been duly authorized for issuance and sale pursuant to this Agreement and, when issued and delivered by the Company against payment therefor pursuant to this Agreement, will be validly issued, fully paid and nonassessable, and the issuance and sale of the Shares is not subject to any preemptive rights, rights of first refusal or other similar rights to subscribe for or purchase the Shares.</w:t>
      </w:r>
    </w:p>
    <w:p>
      <w:pPr>
        <w:spacing w:after="0" w:line="157" w:lineRule="exact"/>
        <w:rPr>
          <w:rFonts w:ascii="Times New Roman" w:cs="Times New Roman" w:eastAsia="Times New Roman" w:hAnsi="Times New Roman"/>
          <w:sz w:val="17"/>
          <w:szCs w:val="17"/>
          <w:color w:val="auto"/>
        </w:rPr>
      </w:pPr>
    </w:p>
    <w:p>
      <w:pPr>
        <w:ind w:firstLine="436"/>
        <w:spacing w:after="0" w:line="266" w:lineRule="auto"/>
        <w:tabs>
          <w:tab w:leader="none" w:pos="6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Applicable Registration or Other Similar Rights</w:t>
      </w:r>
      <w:r>
        <w:rPr>
          <w:rFonts w:ascii="Times New Roman" w:cs="Times New Roman" w:eastAsia="Times New Roman" w:hAnsi="Times New Roman"/>
          <w:sz w:val="18"/>
          <w:szCs w:val="18"/>
          <w:color w:val="auto"/>
        </w:rPr>
        <w:t>. There are no persons with registration or other similar rights to have any equity or debt securities registered for sale under the Registration Statement or included in the offering contemplated by this Agreement, except for such rights as have been duly waived.</w:t>
      </w:r>
    </w:p>
    <w:p>
      <w:pPr>
        <w:spacing w:after="0" w:line="175" w:lineRule="exact"/>
        <w:rPr>
          <w:rFonts w:ascii="Times New Roman" w:cs="Times New Roman" w:eastAsia="Times New Roman" w:hAnsi="Times New Roman"/>
          <w:sz w:val="18"/>
          <w:szCs w:val="18"/>
          <w:color w:val="auto"/>
        </w:rPr>
      </w:pPr>
    </w:p>
    <w:p>
      <w:pPr>
        <w:ind w:right="20" w:firstLine="436"/>
        <w:spacing w:after="0" w:line="252" w:lineRule="auto"/>
        <w:tabs>
          <w:tab w:leader="none" w:pos="69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w:t>
      </w:r>
      <w:r>
        <w:rPr>
          <w:rFonts w:ascii="Times New Roman" w:cs="Times New Roman" w:eastAsia="Times New Roman" w:hAnsi="Times New Roman"/>
          <w:sz w:val="18"/>
          <w:szCs w:val="18"/>
          <w:color w:val="auto"/>
        </w:rPr>
        <w:t>. Except as otherwise disclosed in the Registration Statement and the Prospectus, subsequent to the respective dates as of which information is given in the Registration Statement and the Prospectus: (i) there has been no material adverse change, or any development that would reasonably be expected to result in a material adverse change, in (A) the condition, financial or otherwise, or in the earnings, business, properties, operations, operating results, assets, liabilities or prospects, whether or not arising from transactions in the ordinary course of business, of the Company and its subsidiaries, considered as one entity or (B) the ability of the Company to consummate the transactions contemplated by this Agreement or perform its obligations hereunder (any such change being referred to herein as a “</w:t>
      </w:r>
      <w:r>
        <w:rPr>
          <w:rFonts w:ascii="Times New Roman" w:cs="Times New Roman" w:eastAsia="Times New Roman" w:hAnsi="Times New Roman"/>
          <w:sz w:val="18"/>
          <w:szCs w:val="18"/>
          <w:b w:val="1"/>
          <w:bCs w:val="1"/>
          <w:color w:val="auto"/>
        </w:rPr>
        <w:t>Material Adverse Change</w:t>
      </w:r>
      <w:r>
        <w:rPr>
          <w:rFonts w:ascii="Times New Roman" w:cs="Times New Roman" w:eastAsia="Times New Roman" w:hAnsi="Times New Roman"/>
          <w:sz w:val="18"/>
          <w:szCs w:val="18"/>
          <w:color w:val="auto"/>
        </w:rPr>
        <w:t>”); (ii) the Company and its subsidiaries, considered as one entity, have not incurred any material liability or obligation, indirect, direct or contingent, including without limitation any losses or interference with their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and have not entered into any material transactions that are not in the ordinary course of business; and (iii) there has not been any material decrease in the outstanding capital stock or any material increase in any short-term or long-term indebtedness of the Company or its subsidiaries and there has been no dividend or distribution of any kind declared, paid or made by the Company or, except for dividends paid to the Company or other subsidiaries, by any of the Company’s subsidiaries on any class of capital stock, or any repurchase or redemption by the Company or any of its subsidiaries of any class of capital stock.</w:t>
      </w: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70" w:right="499" w:bottom="1440" w:gutter="0" w:footer="0" w:header="0"/>
        </w:sectPr>
      </w:pPr>
    </w:p>
    <w:bookmarkStart w:id="67" w:name="page68"/>
    <w:bookmarkEnd w:id="67"/>
    <w:p>
      <w:pPr>
        <w:ind w:left="-20" w:firstLine="436"/>
        <w:spacing w:after="0" w:line="256" w:lineRule="auto"/>
        <w:tabs>
          <w:tab w:leader="none" w:pos="63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Independent Accountants</w:t>
      </w:r>
      <w:r>
        <w:rPr>
          <w:rFonts w:ascii="Times New Roman" w:cs="Times New Roman" w:eastAsia="Times New Roman" w:hAnsi="Times New Roman"/>
          <w:sz w:val="18"/>
          <w:szCs w:val="18"/>
          <w:color w:val="auto"/>
        </w:rPr>
        <w:t>. To the knowledge of the Company, PricewaterhouseCoopers LLP, which has expressed its opinion with respect to the financial statements (which term as used in this Agreement includes the related notes thereto) filed with the Commission as a part of the Registration Statement and the Prospectus, is (i) an independent registered public accounting firm as required by the Securities Act, the Exchange Act, and the rules of the Public Company Accounting Oversight Board (“</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 (ii) in compliance with the applicable requirements relating to the qualification of accountants under Rule 2-01 of Regulation S-X under the Securities Act and (iii) is a registered public accounting firm as defined by the PCAOB whose registration has not been suspended or revoked and who has not requested such registration to be withdrawn.</w:t>
      </w:r>
    </w:p>
    <w:p>
      <w:pPr>
        <w:spacing w:after="0" w:line="187" w:lineRule="exact"/>
        <w:rPr>
          <w:rFonts w:ascii="Times New Roman" w:cs="Times New Roman" w:eastAsia="Times New Roman" w:hAnsi="Times New Roman"/>
          <w:sz w:val="18"/>
          <w:szCs w:val="18"/>
          <w:color w:val="auto"/>
        </w:rPr>
      </w:pPr>
    </w:p>
    <w:p>
      <w:pPr>
        <w:ind w:left="-20" w:firstLine="436"/>
        <w:spacing w:after="0" w:line="252" w:lineRule="auto"/>
        <w:tabs>
          <w:tab w:leader="none" w:pos="72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financial statements filed with the Commission as a part of the Registration Statement and the Prospectus present fairly in all material respects the financial position of the Company and its subsidiaries as of the dates indicated and the results of their operations and cash flows for the periods specified. Such financial statements have been prepared in conformity with U.S. generally accepted accounting principles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applied on a consistent basis throughout the periods involved, except as may be expressly stated in the related notes thereto and except in the case of unaudited financial statements, which are subject to normal and recurring year-end adjustments and do not contain certain footnotes as permitted by the applicable rules of the Commission.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No other financial statements or supporting schedules are required to be included in the Registration Statement or the Prospectus. The financial data set forth in each of the Registration Statement and the Prospectus under the captions “Prospectus Supplement Summary—Summary Selected Financial Data,” and “Capitalization” fairly present the information set forth therein and have been prepared on a basis consistent with that of in accordance with the Commission’s rules and guidelines with respect to financial statements. All disclosures contained in the Registration Statement and the Prospectus that constitute non GAAP financial measures (as defined by the rules and regulations under the Securities Act and the Exchange Act) comply in all material respects with Regulation G under the Exchange Act and Item 10 of Regulation S-K under the Securities Act, as applicable.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and the Prospectus.</w:t>
      </w:r>
    </w:p>
    <w:p>
      <w:pPr>
        <w:spacing w:after="0" w:line="193" w:lineRule="exact"/>
        <w:rPr>
          <w:rFonts w:ascii="Times New Roman" w:cs="Times New Roman" w:eastAsia="Times New Roman" w:hAnsi="Times New Roman"/>
          <w:sz w:val="18"/>
          <w:szCs w:val="18"/>
          <w:color w:val="auto"/>
        </w:rPr>
      </w:pPr>
    </w:p>
    <w:p>
      <w:pPr>
        <w:ind w:left="-20" w:right="20" w:firstLine="436"/>
        <w:spacing w:after="0" w:line="254" w:lineRule="auto"/>
        <w:tabs>
          <w:tab w:leader="none" w:pos="67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Accounting System</w:t>
      </w:r>
      <w:r>
        <w:rPr>
          <w:rFonts w:ascii="Times New Roman" w:cs="Times New Roman" w:eastAsia="Times New Roman" w:hAnsi="Times New Roman"/>
          <w:sz w:val="18"/>
          <w:szCs w:val="18"/>
          <w:color w:val="auto"/>
        </w:rPr>
        <w:t>. The Company and each of its subsidiaries make and keep books and records that are accurate in all material respects and maintain a system of internal accounting controls designed to provide reasonable assurance that: (i) 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or incorporated by reference in the Registration Statement and the Prospectus fairly presents the information called for in all material respects and is prepared in accordance with the Commission’s rules and guidelines applicable thereto.</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60" w:top="270" w:right="479" w:bottom="1440" w:gutter="0" w:footer="0" w:header="0"/>
        </w:sectPr>
      </w:pPr>
    </w:p>
    <w:bookmarkStart w:id="68" w:name="page69"/>
    <w:bookmarkEnd w:id="68"/>
    <w:p>
      <w:pPr>
        <w:ind w:right="60" w:firstLine="436"/>
        <w:spacing w:after="0" w:line="282" w:lineRule="auto"/>
        <w:tabs>
          <w:tab w:leader="none" w:pos="69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Emerging Growth Company</w:t>
      </w:r>
      <w:r>
        <w:rPr>
          <w:rFonts w:ascii="Times New Roman" w:cs="Times New Roman" w:eastAsia="Times New Roman" w:hAnsi="Times New Roman"/>
          <w:sz w:val="18"/>
          <w:szCs w:val="18"/>
          <w:color w:val="auto"/>
        </w:rPr>
        <w:t>. From the time of the effectiveness of the Registration Statement through the date hereof, the Company has been and is an “emerging growth company,” as defined in Section 2(a) of the Securities Act (an “</w:t>
      </w:r>
      <w:r>
        <w:rPr>
          <w:rFonts w:ascii="Times New Roman" w:cs="Times New Roman" w:eastAsia="Times New Roman" w:hAnsi="Times New Roman"/>
          <w:sz w:val="18"/>
          <w:szCs w:val="18"/>
          <w:b w:val="1"/>
          <w:bCs w:val="1"/>
          <w:color w:val="auto"/>
        </w:rPr>
        <w:t>Emerging Growth Company</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right="80" w:firstLine="436"/>
        <w:spacing w:after="0" w:line="272" w:lineRule="auto"/>
        <w:tabs>
          <w:tab w:leader="none" w:pos="695"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Incorporation and Good Standing of the Company</w:t>
      </w:r>
      <w:r>
        <w:rPr>
          <w:rFonts w:ascii="Times New Roman" w:cs="Times New Roman" w:eastAsia="Times New Roman" w:hAnsi="Times New Roman"/>
          <w:sz w:val="17"/>
          <w:szCs w:val="17"/>
          <w:color w:val="auto"/>
        </w:rPr>
        <w:t>. The Company has been duly incorporated and is validly existing as a corporation in good standing under the laws of the jurisdiction of its incorporation and has the corporate power and authority to own, lease and operate its properties and to conduct its business as described in the Registration Statement and the Prospectus and to enter into and perform its obligations under this Agreement.</w:t>
      </w:r>
    </w:p>
    <w:p>
      <w:pPr>
        <w:spacing w:after="0" w:line="1" w:lineRule="exact"/>
        <w:rPr>
          <w:rFonts w:ascii="Times New Roman" w:cs="Times New Roman" w:eastAsia="Times New Roman" w:hAnsi="Times New Roman"/>
          <w:sz w:val="17"/>
          <w:szCs w:val="17"/>
          <w:color w:val="auto"/>
        </w:rPr>
      </w:pPr>
    </w:p>
    <w:p>
      <w:pPr>
        <w:ind w:right="18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Company is duly qualified as a foreign corporation to transact business and is in good standing in the Commonwealth of Massachusetts and each other jurisdiction in which such qualification is required, whether by reason of the ownership or leasing of property or the conduct of business except where the failure to so qualify or to be in good standing would not reasonably be expected, individually or in the aggregate, to result in a Material Adverse Change.</w:t>
      </w:r>
    </w:p>
    <w:p>
      <w:pPr>
        <w:spacing w:after="0" w:line="188" w:lineRule="exact"/>
        <w:rPr>
          <w:rFonts w:ascii="Times New Roman" w:cs="Times New Roman" w:eastAsia="Times New Roman" w:hAnsi="Times New Roman"/>
          <w:sz w:val="17"/>
          <w:szCs w:val="17"/>
          <w:color w:val="auto"/>
        </w:rPr>
      </w:pPr>
    </w:p>
    <w:p>
      <w:pPr>
        <w:ind w:firstLine="436"/>
        <w:spacing w:after="0" w:line="252" w:lineRule="auto"/>
        <w:tabs>
          <w:tab w:leader="none" w:pos="69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Each of the Company’s “subsidiaries” (for purposes of this Agreement, as defined in Rule 405 under the Securities Act) has been duly incorporated or organized, as the case may be, and is validly existing as a corporation, partnership or limited liability company, as applicable, in good standing under the laws of the jurisdiction of its incorporation or organization and has the power and authority (corporate or other) to own, lease and operate its properties and to conduct its business as described in the Registration Statement and the Prospectus. Each of the Company’s subsidiaries is duly qualified as a foreign corporation, partnership or limited liability company, as applicable, to transact business and is in good standing in each jurisdiction in which such qualification is required, whether by reason of the ownership or leasing of property or the conduct of business except where the failure to so qualify or to be in good standing would not reasonably be expected, individually or in the aggregate, to result in a Material Adverse Change. All of the issued and outstanding capital stock or other equity or ownership interests of each of the Company’s subsidiaries have been duly authorized and validly issued, are fully paid and nonassessable and are owned by the Company, directly or through subsidiaries, free and clear of any security interest, mortgage, pledge, lien, encumbrance or adverse claim. None of the outstanding capital stock or equity interest in any subsidiary was issued in violation of preemptive or similar rights of any security holder of such subsidiary. The constitutive or organizational documents of each of the subsidiaries comply in all material respects with the requirements of applicable laws of its jurisdiction of incorporation or organization and are in full force and effect. The Company does not own or control, directly or indirectly, any corporation, association or other entity other than the subsidiaries listed in Exhibit 21.1 to the Company’s most recent Annual Report on Form 10-K.</w:t>
      </w:r>
    </w:p>
    <w:p>
      <w:pPr>
        <w:spacing w:after="0" w:line="197" w:lineRule="exact"/>
        <w:rPr>
          <w:rFonts w:ascii="Times New Roman" w:cs="Times New Roman" w:eastAsia="Times New Roman" w:hAnsi="Times New Roman"/>
          <w:sz w:val="18"/>
          <w:szCs w:val="18"/>
          <w:color w:val="auto"/>
        </w:rPr>
      </w:pPr>
    </w:p>
    <w:p>
      <w:pPr>
        <w:ind w:right="60" w:firstLine="436"/>
        <w:spacing w:after="0" w:line="261" w:lineRule="auto"/>
        <w:tabs>
          <w:tab w:leader="none" w:pos="66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 and Other Capital Stock Matters</w:t>
      </w:r>
      <w:r>
        <w:rPr>
          <w:rFonts w:ascii="Times New Roman" w:cs="Times New Roman" w:eastAsia="Times New Roman" w:hAnsi="Times New Roman"/>
          <w:sz w:val="18"/>
          <w:szCs w:val="18"/>
          <w:color w:val="auto"/>
        </w:rPr>
        <w:t>. The authorized, issued and outstanding capital stock of the Company is as set forth in the Registration Statement and the Prospectus under the caption “Capitalization” (other than for subsequent issuances, if any, pursuant to employee benefit plans or upon the exercise of outstanding options or warrants, in each case described in the Registration Statement and the Prospectus). The Common Shares (including</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0"/>
          </w:cols>
          <w:pgMar w:left="440" w:top="270" w:right="519" w:bottom="1440" w:gutter="0" w:footer="0" w:header="0"/>
        </w:sectPr>
      </w:pPr>
    </w:p>
    <w:bookmarkStart w:id="69" w:name="page70"/>
    <w:bookmarkEnd w:id="69"/>
    <w:p>
      <w:pPr>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Shares) conform in all material respects to the description thereof contained in the Prospectus. All of the issued and outstanding Common Shares have been duly authorized and validly issued, are fully paid and nonassessable and have been issued in compliance with all applicable federal and state securities laws. None of the outstanding Common Shares was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capital stock of the Company or any of its subsidiaries other than those described in the Registration Statement and the Prospectus. The descriptions of the Company’s stock option, stock bonus and other stock plans or arrangements, and the options or other rights granted thereunder, set forth in the Registration Statement and the Prospectus accurately and fairly presents in all material respects the information required to be shown with respect to such plans, arrangements, options and rights.</w:t>
      </w:r>
    </w:p>
    <w:p>
      <w:pPr>
        <w:spacing w:after="0" w:line="172" w:lineRule="exact"/>
        <w:rPr>
          <w:sz w:val="20"/>
          <w:szCs w:val="20"/>
          <w:color w:val="auto"/>
        </w:rPr>
      </w:pPr>
    </w:p>
    <w:p>
      <w:pPr>
        <w:ind w:firstLine="436"/>
        <w:spacing w:after="0" w:line="258" w:lineRule="auto"/>
        <w:tabs>
          <w:tab w:leader="none" w:pos="67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Exchange Listing</w:t>
      </w:r>
      <w:r>
        <w:rPr>
          <w:rFonts w:ascii="Times New Roman" w:cs="Times New Roman" w:eastAsia="Times New Roman" w:hAnsi="Times New Roman"/>
          <w:sz w:val="18"/>
          <w:szCs w:val="18"/>
          <w:color w:val="auto"/>
        </w:rPr>
        <w:t>. The Common Shares are registered pursuant to Section 12(b) or 12(g) of the Exchange Act and are listed on the Principal Market, and the Company has taken no action designed to, or likely to have the effect of, terminating the registration of the Common Shares under the Exchange Act or delisting the Common Shares from the Principal Market, nor has the Company received any notification that the Commission or the Principal Market is contemplating terminating such registration or listing. To the Company’s knowledge, it is in compliance with all applicable listing requirements of the Principal Market.</w:t>
      </w:r>
    </w:p>
    <w:p>
      <w:pPr>
        <w:spacing w:after="0" w:line="183" w:lineRule="exact"/>
        <w:rPr>
          <w:rFonts w:ascii="Times New Roman" w:cs="Times New Roman" w:eastAsia="Times New Roman" w:hAnsi="Times New Roman"/>
          <w:sz w:val="18"/>
          <w:szCs w:val="18"/>
          <w:color w:val="auto"/>
        </w:rPr>
      </w:pPr>
    </w:p>
    <w:p>
      <w:pPr>
        <w:ind w:right="80" w:firstLine="436"/>
        <w:spacing w:after="0" w:line="252" w:lineRule="auto"/>
        <w:tabs>
          <w:tab w:leader="none" w:pos="6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Non-Contravention of Existing Instruments; No Further Authorizations or Approvals Required</w:t>
      </w:r>
      <w:r>
        <w:rPr>
          <w:rFonts w:ascii="Times New Roman" w:cs="Times New Roman" w:eastAsia="Times New Roman" w:hAnsi="Times New Roman"/>
          <w:sz w:val="18"/>
          <w:szCs w:val="18"/>
          <w:color w:val="auto"/>
        </w:rPr>
        <w:t>. Neither the Company nor any of its subsidiaries is in violation of its charter or by laws or similar organizational documents, as applicable, or is in default (or, with the giving of notice or lapse of time, would be in default) (“</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or any of its subsidiaries is a party or by which it or any of them may be bound, or to which any of their respective properties or assets are subject (each, an “</w:t>
      </w:r>
      <w:r>
        <w:rPr>
          <w:rFonts w:ascii="Times New Roman" w:cs="Times New Roman" w:eastAsia="Times New Roman" w:hAnsi="Times New Roman"/>
          <w:sz w:val="18"/>
          <w:szCs w:val="18"/>
          <w:b w:val="1"/>
          <w:bCs w:val="1"/>
          <w:color w:val="auto"/>
        </w:rPr>
        <w:t>Existing Instrument</w:t>
      </w:r>
      <w:r>
        <w:rPr>
          <w:rFonts w:ascii="Times New Roman" w:cs="Times New Roman" w:eastAsia="Times New Roman" w:hAnsi="Times New Roman"/>
          <w:sz w:val="18"/>
          <w:szCs w:val="18"/>
          <w:color w:val="auto"/>
        </w:rPr>
        <w:t>”), except for such Defaults as would not be reasonably expected, individually or in the aggregate, to result in a Material Adverse Change. The Company’s execution, delivery and performance of this Agreement, consummation of the transactions contemplated hereby and by the Registration Statement and the Prospectus and the issuance and sale of the Shares (including the use of proceeds from the sale of the Shares as described in the Registration Statement and the Prospectus under the caption “Use of Proceeds”) (i) have been duly authorized by all necessary corporate action and will not result in any violation of the provisions of the charter or by laws, partnership agreement or operating agreement or similar organizational documents, as applicable, of the Company or any subsidiary (ii) will not conflict with or constitute a breach of, or Default or a Debt Repayment Triggering Event (as defined below) under, or result in the creation or imposition of any lien, charge or encumbrance upon any property or assets of the Company or any of its subsidiaries pursuant to, or require the consent of any other party to, any Existing Instrument and (iii) will not result in any violation of any law, administrative regulation or administrative or court decree applicable to the Company or any of its subsidiaries, except for such conflicts, breaches, Defaults, liens, charges, encumbrances or violations specified to subsections (ii) and (iii) above that would not reasonably be expected, individually or in the aggregate, to have a Material Adverse Change.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70" w:name="page71"/>
    <w:bookmarkEnd w:id="70"/>
    <w:p>
      <w:pPr>
        <w:ind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and by the Registration Statement and the Prospectus, except such as have been obtained or made by the Company and are in full force and effect under the Securities Act and such as may be required under applicable state securities or blue sky laws or FINRA (as defined below). As used herein, a “</w:t>
      </w:r>
      <w:r>
        <w:rPr>
          <w:rFonts w:ascii="Times New Roman" w:cs="Times New Roman" w:eastAsia="Times New Roman" w:hAnsi="Times New Roman"/>
          <w:sz w:val="18"/>
          <w:szCs w:val="18"/>
          <w:b w:val="1"/>
          <w:bCs w:val="1"/>
          <w:color w:val="auto"/>
        </w:rPr>
        <w:t>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Repayment Triggering Event</w:t>
      </w:r>
      <w:r>
        <w:rPr>
          <w:rFonts w:ascii="Times New Roman" w:cs="Times New Roman" w:eastAsia="Times New Roman" w:hAnsi="Times New Roman"/>
          <w:sz w:val="18"/>
          <w:szCs w:val="18"/>
          <w:color w:val="auto"/>
        </w:rPr>
        <w:t>” means any event or condition which gives, or with the giving of notice or lapse of time would give, the holder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 debenture or other evidence of indebtedness (or any person acting on such holder’s behalf) the right to require the repurchase, redemption or repayment of all or a portion of such indebtedness by the Company or any of its subsidiaries.</w:t>
      </w:r>
    </w:p>
    <w:p>
      <w:pPr>
        <w:spacing w:after="0" w:line="189" w:lineRule="exact"/>
        <w:rPr>
          <w:sz w:val="20"/>
          <w:szCs w:val="20"/>
          <w:color w:val="auto"/>
        </w:rPr>
      </w:pPr>
    </w:p>
    <w:p>
      <w:pPr>
        <w:ind w:left="700" w:hanging="264"/>
        <w:spacing w:after="0"/>
        <w:tabs>
          <w:tab w:leader="none" w:pos="7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Actions or Proceedings</w:t>
      </w:r>
      <w:r>
        <w:rPr>
          <w:rFonts w:ascii="Times New Roman" w:cs="Times New Roman" w:eastAsia="Times New Roman" w:hAnsi="Times New Roman"/>
          <w:sz w:val="18"/>
          <w:szCs w:val="18"/>
          <w:color w:val="auto"/>
        </w:rPr>
        <w:t>. Except as otherwise disclosed in the Prospectus, there is no action, suit, proceeding, inquiry or</w:t>
      </w:r>
    </w:p>
    <w:p>
      <w:pPr>
        <w:spacing w:after="0" w:line="27" w:lineRule="exact"/>
        <w:rPr>
          <w:rFonts w:ascii="Times New Roman" w:cs="Times New Roman" w:eastAsia="Times New Roman" w:hAnsi="Times New Roman"/>
          <w:sz w:val="18"/>
          <w:szCs w:val="18"/>
          <w:color w:val="auto"/>
        </w:rPr>
      </w:pPr>
    </w:p>
    <w:p>
      <w:pPr>
        <w:jc w:val="both"/>
        <w:ind w:right="1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 brought by or before any legal or governmental entity now pending or, to the knowledge of the Company, threatened, against or affecting the Company or any of its subsidiaries, which could be expected, individually or in the aggregate, to result in a Material Adverse Change. No material labor dispute with the employees of the Company or any of its subsidiaries, or with the employees of any principal supplier, manufacturer, customer or contractor of the Company, exists or, to the knowledge of the Company, is threatened or imminent.</w:t>
      </w:r>
    </w:p>
    <w:p>
      <w:pPr>
        <w:spacing w:after="0" w:line="188" w:lineRule="exact"/>
        <w:rPr>
          <w:rFonts w:ascii="Times New Roman" w:cs="Times New Roman" w:eastAsia="Times New Roman" w:hAnsi="Times New Roman"/>
          <w:sz w:val="18"/>
          <w:szCs w:val="18"/>
          <w:color w:val="auto"/>
        </w:rPr>
      </w:pPr>
    </w:p>
    <w:p>
      <w:pPr>
        <w:ind w:firstLine="436"/>
        <w:spacing w:after="0" w:line="252" w:lineRule="auto"/>
        <w:tabs>
          <w:tab w:leader="none" w:pos="69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Except as otherwise disclosed in the Registration Statement or the Prospectus, the Company and its subsidiaries own, or have obtained valid and enforceable licenses for, the inventions, patent applications, patents, trademarks, trade names, service names, copyrights, trade secrets and other intellectual property described in the Registration Statement and the Prospectus as being owned or licensed by them or which are necessary for the conduct of their respective businesses as currently conducted and as described in the Registration Statement and the Prospectus (collectively,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and the conduct of their respective businesses does not and will not infringe, misappropriate or otherwise conflict in any material respect with any such rights of others. The Intellectual Property of the Company has not been adjudged by a court of competent jurisdiction to be invalid or unenforceable, in whole or in part, and the Company is unaware of any facts which would form a reasonable basis for any such adjudication. To the Company’s knowledge: (i) except as otherwise disclosed in documents filed with the Commission, there are no third parties who have rights to any Intellectual Property, except for customary reversionary rights of third-party licensors with respect to Intellectual Property that is disclosed in the Registration Statement and the Prospectus as licensed to the Company or one or more of its subsidiaries; and (ii) there is no infringement by third parties of any Intellectual Property, that would reasonably be expected, individually or in the aggregate, to have a Material Adverse Change. There is no pending or, to the Company’s knowledge, threatened action, suit, proceeding or claim by others: (A) challenging the Company’s rights in or to any Intellectual Property, and the Company is unaware of any facts which would form a reasonable basis for any such action, suit, proceeding or claim; (B) challenging the validity, enforceability or scope of any Intellectual Property, and the Company is unaware of any facts which would form a reasonable basis for any such action, suit, proceeding or claim; or (C) asserting that the Company or any of its subsidiaries infringes or otherwise violates, or would, upon the commercialization of any product or service described in the Registration Statement or the Prospectus as under development, infringe or violate, any patent, trademark, trade name, service</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71" w:name="page72"/>
    <w:bookmarkEnd w:id="71"/>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 copyright, trade secret or other proprietary rights of others, and the Company is unaware of any facts which would form a reasonable basis for any such action, suit, proceeding or claim that, in each case, would reasonably be expected, individually or in the aggregate, to have a Material Adverse Change. The Company and its subsidiaries have complied in all material respects with the terms of each agreement pursuant to which Intellectual Property has been licensed to the Company or any subsidiary, and all such agreements are in full force and effect. To the Company’s knowledge, there are no material defects in any of the patents or patent applications included in the Intellectual Property. The Company and its subsidiaries have taken all reasonable steps to protect, maintain and safeguard their material Intellectual Property, including the execution of appropriate nondisclosure, confidentiality agreements and invention assignment agreements and invention assignments with their employees, and no employee of the Company is in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except where such violations would not reasonably be expected, individually or in the aggregate, to have a Material Adverse Change. The duty of candor and good faith as required by the United States Patent and Trademark Office during the prosecution of the United States patents and patent applications included in the Intellectual Property have been complied with; and in all foreign offices having similar requirements, all such requirements have been complied with. None of the Company owned Intellectual Property or technology (including information technology and outsourced arrangements) employed by the Company or its subsidiaries has been obtained or is being used by the Company or its subsidiary in violation of any contractual obligation binding on the Company or its subsidiaries or any of their respective officers, directors or employees or otherwise in violation of the rights of any persons, except where such violations would not reasonably be expected, individually or in the aggregate, to have a Material Adverse Change. The product candidates that constitute development candidates as described in the described in the Registration Statement and the Prospectus as under development by the Company or any subsidiary fall within the scope of the claims of one or more patents or patent applications owned by, or exclusively licensed to, the Company or any subsidiary.</w:t>
      </w:r>
    </w:p>
    <w:p>
      <w:pPr>
        <w:spacing w:after="0" w:line="191" w:lineRule="exact"/>
        <w:rPr>
          <w:sz w:val="20"/>
          <w:szCs w:val="20"/>
          <w:color w:val="auto"/>
        </w:rPr>
      </w:pPr>
    </w:p>
    <w:p>
      <w:pPr>
        <w:ind w:right="20" w:firstLine="436"/>
        <w:spacing w:after="0" w:line="254" w:lineRule="auto"/>
        <w:tabs>
          <w:tab w:leader="none" w:pos="73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 Necessary Permits, etc</w:t>
      </w:r>
      <w:r>
        <w:rPr>
          <w:rFonts w:ascii="Times New Roman" w:cs="Times New Roman" w:eastAsia="Times New Roman" w:hAnsi="Times New Roman"/>
          <w:sz w:val="18"/>
          <w:szCs w:val="18"/>
          <w:color w:val="auto"/>
        </w:rPr>
        <w:t>. Except as otherwise disclosed in the Prospectus, the Company and each subsidiary possess such valid and current certificates, authorizations or permits required by state, federal or foreign regulatory agencies or bodies to conduct their respective businesses as currently conducted and as described in the Registration Statement or the Prospectus (“</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except where the failure to possess or obtain the same or so qualify would not reasonably be expected, individually or in the aggregate, to have a Material Adverse Change. Neither the Company nor any of its subsidiaries is in violation of, or in default under, any of the Permits or has received any notice of proceedings relating to the revocation or modification of, or noncompliance with, any of the Permits, except for any such violations, defaults, or proceedings relating to the revocation or modification of, or non-compliance with, any such Permits that would not reasonably be expected, individually or in the aggregate, if the subject of an unfavorable decision, ruling or finding, to have a Material Adverse Change.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72" w:name="page73"/>
    <w:bookmarkEnd w:id="72"/>
    <w:p>
      <w:pPr>
        <w:ind w:right="140" w:firstLine="436"/>
        <w:spacing w:after="0" w:line="255" w:lineRule="auto"/>
        <w:tabs>
          <w:tab w:leader="none" w:pos="69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Title to Properties</w:t>
      </w:r>
      <w:r>
        <w:rPr>
          <w:rFonts w:ascii="Times New Roman" w:cs="Times New Roman" w:eastAsia="Times New Roman" w:hAnsi="Times New Roman"/>
          <w:sz w:val="18"/>
          <w:szCs w:val="18"/>
          <w:color w:val="auto"/>
        </w:rPr>
        <w:t xml:space="preserve">. Except as otherwise disclosed in the Prospectus, the Company and its subsidiaries have good and marketable title to all of the real and personal property and other assets reflected as owned in the financial statements referred to in </w:t>
      </w:r>
      <w:r>
        <w:rPr>
          <w:rFonts w:ascii="Times New Roman" w:cs="Times New Roman" w:eastAsia="Times New Roman" w:hAnsi="Times New Roman"/>
          <w:sz w:val="18"/>
          <w:szCs w:val="18"/>
          <w:u w:val="single" w:color="auto"/>
          <w:color w:val="auto"/>
        </w:rPr>
        <w:t>Section 2(m)</w:t>
      </w:r>
      <w:r>
        <w:rPr>
          <w:rFonts w:ascii="Times New Roman" w:cs="Times New Roman" w:eastAsia="Times New Roman" w:hAnsi="Times New Roman"/>
          <w:sz w:val="18"/>
          <w:szCs w:val="18"/>
          <w:color w:val="auto"/>
        </w:rPr>
        <w:t xml:space="preserve"> above (or elsewhere in the Registration Statement or the Prospectus, in each case free and clear of any security interests, mortgages, liens, encumbrances, equities, adverse claims and other defects except such as would not reasonably be expected, individually or in the aggregate, to have a Material Adverse Change. The real property, improvements, equipment and personal property held under lease by the Company or any of its subsidiaries are held under valid and enforceable leases, with such exceptions as are not material and do not materially interfere with the use made or proposed to be made of such real property, improvements, equipment or personal property by the Company or such subsidiary.</w:t>
      </w:r>
    </w:p>
    <w:p>
      <w:pPr>
        <w:spacing w:after="0" w:line="188" w:lineRule="exact"/>
        <w:rPr>
          <w:rFonts w:ascii="Times New Roman" w:cs="Times New Roman" w:eastAsia="Times New Roman" w:hAnsi="Times New Roman"/>
          <w:sz w:val="18"/>
          <w:szCs w:val="18"/>
          <w:color w:val="auto"/>
        </w:rPr>
      </w:pPr>
    </w:p>
    <w:p>
      <w:pPr>
        <w:ind w:firstLine="436"/>
        <w:spacing w:after="0" w:line="277" w:lineRule="auto"/>
        <w:tabs>
          <w:tab w:leader="none" w:pos="695"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Law Compliance</w:t>
      </w:r>
      <w:r>
        <w:rPr>
          <w:rFonts w:ascii="Times New Roman" w:cs="Times New Roman" w:eastAsia="Times New Roman" w:hAnsi="Times New Roman"/>
          <w:sz w:val="17"/>
          <w:szCs w:val="17"/>
          <w:color w:val="auto"/>
        </w:rPr>
        <w:t xml:space="preserve">. The Company and its subsidiaries have filed all necessary U.S. federal, state and non- U.S. income and other tax returns or have properly requested extensions thereof and have paid all taxes required to be paid by any of them and, if due and payable, any related or similar assessment, fine or penalty levied against any of them except as may be being contested in good faith and by appropriate proceedings. The Company has made adequate charges, accruals and reserves in the applicable financial statements referred to in </w:t>
      </w:r>
      <w:r>
        <w:rPr>
          <w:rFonts w:ascii="Times New Roman" w:cs="Times New Roman" w:eastAsia="Times New Roman" w:hAnsi="Times New Roman"/>
          <w:sz w:val="17"/>
          <w:szCs w:val="17"/>
          <w:u w:val="single" w:color="auto"/>
          <w:color w:val="auto"/>
        </w:rPr>
        <w:t>Section 2(m)</w:t>
      </w:r>
      <w:r>
        <w:rPr>
          <w:rFonts w:ascii="Times New Roman" w:cs="Times New Roman" w:eastAsia="Times New Roman" w:hAnsi="Times New Roman"/>
          <w:sz w:val="17"/>
          <w:szCs w:val="17"/>
          <w:color w:val="auto"/>
        </w:rPr>
        <w:t xml:space="preserve"> above in respect of all federal, state and non-U.S. income and other taxes for all periods as to which the tax liability of the Company or any of its subsidiaries has not been finally determined.</w:t>
      </w:r>
    </w:p>
    <w:p>
      <w:pPr>
        <w:spacing w:after="0" w:line="167" w:lineRule="exact"/>
        <w:rPr>
          <w:rFonts w:ascii="Times New Roman" w:cs="Times New Roman" w:eastAsia="Times New Roman" w:hAnsi="Times New Roman"/>
          <w:sz w:val="17"/>
          <w:szCs w:val="17"/>
          <w:color w:val="auto"/>
        </w:rPr>
      </w:pPr>
    </w:p>
    <w:p>
      <w:pPr>
        <w:ind w:right="260" w:firstLine="436"/>
        <w:spacing w:after="0" w:line="266" w:lineRule="auto"/>
        <w:tabs>
          <w:tab w:leader="none" w:pos="68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Not an “Investment Company</w:t>
      </w:r>
      <w:r>
        <w:rPr>
          <w:rFonts w:ascii="Times New Roman" w:cs="Times New Roman" w:eastAsia="Times New Roman" w:hAnsi="Times New Roman"/>
          <w:sz w:val="18"/>
          <w:szCs w:val="18"/>
          <w:color w:val="auto"/>
        </w:rPr>
        <w:t>.” The Company is not, and will not be, either after receipt of payment for the Shares or after the application of the proceeds therefrom as described under “Use of Proceeds” in the Registration Statement or the Prospectus, required to register as an “investment company” under the Investment Company Act of 1940, as amended (the “</w:t>
      </w:r>
      <w:r>
        <w:rPr>
          <w:rFonts w:ascii="Times New Roman" w:cs="Times New Roman" w:eastAsia="Times New Roman" w:hAnsi="Times New Roman"/>
          <w:sz w:val="18"/>
          <w:szCs w:val="18"/>
          <w:b w:val="1"/>
          <w:bCs w:val="1"/>
          <w:color w:val="auto"/>
        </w:rPr>
        <w:t>Investment Company Act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60" w:firstLine="436"/>
        <w:spacing w:after="0" w:line="254" w:lineRule="auto"/>
        <w:tabs>
          <w:tab w:leader="none" w:pos="76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Except as otherwise disclosed in the Prospectus, each of the Company and its subsidiaries are insured by recognized, financially sound and reputable institutions with policies in such amounts and with such deductibles and covering such risks as the Company reasonably believes are generally deemed adequate and customary for their businesses including, but not limited to, policies covering real and personal property owned or leased by the Company and its subsidiaries against theft, damage, destruction, acts of vandalism and earthquakes and policies covering the Company and its subsidiaries for product liability claims and clinical trial liability claims. The Company has no reason to believe that it or any of its subsidiaries will not be able (i) to renew its existing insurance coverage as and when such policies expire or (ii) to obtain comparable coverage from similar institutions as may be necessary or appropriate to conduct its business as now conducted and at a cost that would not reasonably be expected to result in a Material Adverse Change. Neither the Company nor any of its subsidiaries has been denied any insurance coverage which it has sought or for which it has applied.</w:t>
      </w:r>
    </w:p>
    <w:p>
      <w:pPr>
        <w:spacing w:after="0" w:line="188" w:lineRule="exact"/>
        <w:rPr>
          <w:rFonts w:ascii="Times New Roman" w:cs="Times New Roman" w:eastAsia="Times New Roman" w:hAnsi="Times New Roman"/>
          <w:sz w:val="18"/>
          <w:szCs w:val="18"/>
          <w:color w:val="auto"/>
        </w:rPr>
      </w:pPr>
    </w:p>
    <w:p>
      <w:pPr>
        <w:ind w:right="160" w:firstLine="436"/>
        <w:spacing w:after="0" w:line="258" w:lineRule="auto"/>
        <w:tabs>
          <w:tab w:leader="none" w:pos="78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Price Stabilization or Manipulation; Compliance with Regulation M</w:t>
      </w:r>
      <w:r>
        <w:rPr>
          <w:rFonts w:ascii="Times New Roman" w:cs="Times New Roman" w:eastAsia="Times New Roman" w:hAnsi="Times New Roman"/>
          <w:sz w:val="18"/>
          <w:szCs w:val="18"/>
          <w:color w:val="auto"/>
        </w:rPr>
        <w:t>. Neither the Company nor any of its subsidiaries has taken, directly or indirectly, without giving effect to activities by the Agent, any action designed to or that might reasonably be expected to cause or result in stabilization or manipulation of the price of the Common Shares or of any “reference security” (as defined in Rule 100 of Regulation M under the Exchange Act (“</w:t>
      </w:r>
      <w:r>
        <w:rPr>
          <w:rFonts w:ascii="Times New Roman" w:cs="Times New Roman" w:eastAsia="Times New Roman" w:hAnsi="Times New Roman"/>
          <w:sz w:val="18"/>
          <w:szCs w:val="18"/>
          <w:b w:val="1"/>
          <w:bCs w:val="1"/>
          <w:color w:val="auto"/>
        </w:rPr>
        <w:t>Regulation M</w:t>
      </w:r>
      <w:r>
        <w:rPr>
          <w:rFonts w:ascii="Times New Roman" w:cs="Times New Roman" w:eastAsia="Times New Roman" w:hAnsi="Times New Roman"/>
          <w:sz w:val="18"/>
          <w:szCs w:val="18"/>
          <w:color w:val="auto"/>
        </w:rPr>
        <w:t>”)) with respect to the Common Shares, whether to facilitate the sale or resale of the Shares or otherwise, and has taken no action which would directly or indirectly violate Regulation M.</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73" w:name="page74"/>
    <w:bookmarkEnd w:id="73"/>
    <w:p>
      <w:pPr>
        <w:ind w:left="4" w:right="60" w:firstLine="436"/>
        <w:spacing w:after="0" w:line="282" w:lineRule="auto"/>
        <w:tabs>
          <w:tab w:leader="none" w:pos="769"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Related Party Transactions</w:t>
      </w:r>
      <w:r>
        <w:rPr>
          <w:rFonts w:ascii="Times New Roman" w:cs="Times New Roman" w:eastAsia="Times New Roman" w:hAnsi="Times New Roman"/>
          <w:sz w:val="18"/>
          <w:szCs w:val="18"/>
          <w:color w:val="auto"/>
        </w:rPr>
        <w:t>. There are no business relationships or related-party transactions involving the Company or any of its subsidiaries or any other person required to be described in the Registration Statement or the Prospectus which have not been described as required.</w:t>
      </w:r>
    </w:p>
    <w:p>
      <w:pPr>
        <w:spacing w:after="0" w:line="161" w:lineRule="exact"/>
        <w:rPr>
          <w:rFonts w:ascii="Times New Roman" w:cs="Times New Roman" w:eastAsia="Times New Roman" w:hAnsi="Times New Roman"/>
          <w:sz w:val="18"/>
          <w:szCs w:val="18"/>
          <w:color w:val="auto"/>
        </w:rPr>
      </w:pPr>
    </w:p>
    <w:p>
      <w:pPr>
        <w:ind w:left="4" w:right="40" w:firstLine="436"/>
        <w:spacing w:after="0" w:line="258" w:lineRule="auto"/>
        <w:tabs>
          <w:tab w:leader="none" w:pos="789"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FINRA Matters</w:t>
      </w:r>
      <w:r>
        <w:rPr>
          <w:rFonts w:ascii="Times New Roman" w:cs="Times New Roman" w:eastAsia="Times New Roman" w:hAnsi="Times New Roman"/>
          <w:sz w:val="18"/>
          <w:szCs w:val="18"/>
          <w:color w:val="auto"/>
        </w:rPr>
        <w:t>. All of the information provided to the Agent or to counsel for the Agent by the Company, its counsel, its officers and directors and the holders of any securities (debt or equity) or options to acquire any securities of the Company in connection with the offering of the Shares is true, complete, correct and to the Company’s knowledge, compliant with Financial Industry Regulatory Authority, Inc.’s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rules and any letters, filings or other supplemental information provided to FINRA pursuant to FINRA Rules or NASD Conduct Rules is true, complete and correct.</w:t>
      </w:r>
    </w:p>
    <w:p>
      <w:pPr>
        <w:spacing w:after="0" w:line="183" w:lineRule="exact"/>
        <w:rPr>
          <w:rFonts w:ascii="Times New Roman" w:cs="Times New Roman" w:eastAsia="Times New Roman" w:hAnsi="Times New Roman"/>
          <w:sz w:val="18"/>
          <w:szCs w:val="18"/>
          <w:color w:val="auto"/>
        </w:rPr>
      </w:pPr>
    </w:p>
    <w:p>
      <w:pPr>
        <w:ind w:left="4" w:right="60" w:firstLine="436"/>
        <w:spacing w:after="0" w:line="261" w:lineRule="auto"/>
        <w:tabs>
          <w:tab w:leader="none" w:pos="769"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Unlawful Contributions or Other Payments</w:t>
      </w:r>
      <w:r>
        <w:rPr>
          <w:rFonts w:ascii="Times New Roman" w:cs="Times New Roman" w:eastAsia="Times New Roman" w:hAnsi="Times New Roman"/>
          <w:sz w:val="18"/>
          <w:szCs w:val="18"/>
          <w:color w:val="auto"/>
        </w:rPr>
        <w:t>. Except as otherwise disclosed in the Prospectus, neither the Company nor any of its subsidiaries nor, to the best of the Company’s knowledge, any employee or agent of the Company or any subsidiary, has made any contribution or other payment to any official of, or candidate for, any federal, state or foreign office in violation of any applicable law or of the character required to be disclosed in the Registration Statement and the Prospectus.</w:t>
      </w:r>
    </w:p>
    <w:p>
      <w:pPr>
        <w:spacing w:after="0" w:line="179" w:lineRule="exact"/>
        <w:rPr>
          <w:rFonts w:ascii="Times New Roman" w:cs="Times New Roman" w:eastAsia="Times New Roman" w:hAnsi="Times New Roman"/>
          <w:sz w:val="18"/>
          <w:szCs w:val="18"/>
          <w:color w:val="auto"/>
        </w:rPr>
      </w:pPr>
    </w:p>
    <w:p>
      <w:pPr>
        <w:ind w:left="4" w:right="20" w:firstLine="436"/>
        <w:spacing w:after="0" w:line="252" w:lineRule="auto"/>
        <w:tabs>
          <w:tab w:leader="none" w:pos="726"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Environmental Laws</w:t>
      </w:r>
      <w:r>
        <w:rPr>
          <w:rFonts w:ascii="Times New Roman" w:cs="Times New Roman" w:eastAsia="Times New Roman" w:hAnsi="Times New Roman"/>
          <w:sz w:val="18"/>
          <w:szCs w:val="18"/>
          <w:color w:val="auto"/>
        </w:rPr>
        <w:t>. Except as described in the Prospectus and except as would not reasonably be expected, individually or in the aggregate, to result in a Material Adverse Change; (i)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to the Company’s knowledge, threatened release of chemicals, pollutants, contaminants, wastes, toxic substances, hazardous substances, petroleum or petroleum products (collectively, “</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or to the manufacture, processing, distribution, use, treatment, storage, disposal, transport or handling of Hazardous Materials (collectively,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(ii) the Company and its subsidiaries have all permits, authorizations and approvals required under any applicable Environmental Laws and are each in compliance with their requirements,</w:t>
      </w:r>
    </w:p>
    <w:p>
      <w:pPr>
        <w:spacing w:after="0" w:line="6" w:lineRule="exact"/>
        <w:rPr>
          <w:rFonts w:ascii="Times New Roman" w:cs="Times New Roman" w:eastAsia="Times New Roman" w:hAnsi="Times New Roman"/>
          <w:sz w:val="18"/>
          <w:szCs w:val="18"/>
          <w:color w:val="auto"/>
        </w:rPr>
      </w:pPr>
    </w:p>
    <w:p>
      <w:pPr>
        <w:ind w:left="4" w:right="20" w:hanging="4"/>
        <w:spacing w:after="0" w:line="253" w:lineRule="auto"/>
        <w:tabs>
          <w:tab w:leader="none" w:pos="31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to the Company’s knowledge, threatened administrative, regulatory or judicial actions, suits, demands, demand letters, claims, liens, notices of noncompliance or violation, investigation or proceedings relating to any Environmental Law against the Company or any of its subsidiaries and (iv) there are no events or circumstances that might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w:t>
      </w:r>
    </w:p>
    <w:p>
      <w:pPr>
        <w:spacing w:after="0" w:line="186" w:lineRule="exact"/>
        <w:rPr>
          <w:rFonts w:ascii="Times New Roman" w:cs="Times New Roman" w:eastAsia="Times New Roman" w:hAnsi="Times New Roman"/>
          <w:sz w:val="18"/>
          <w:szCs w:val="18"/>
          <w:color w:val="auto"/>
        </w:rPr>
      </w:pPr>
    </w:p>
    <w:p>
      <w:pPr>
        <w:ind w:left="4" w:firstLine="436"/>
        <w:spacing w:after="0" w:line="261" w:lineRule="auto"/>
        <w:tabs>
          <w:tab w:leader="none" w:pos="789"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 Compliance</w:t>
      </w:r>
      <w:r>
        <w:rPr>
          <w:rFonts w:ascii="Times New Roman" w:cs="Times New Roman" w:eastAsia="Times New Roman" w:hAnsi="Times New Roman"/>
          <w:sz w:val="18"/>
          <w:szCs w:val="18"/>
          <w:color w:val="auto"/>
        </w:rPr>
        <w:t>. Except as otherwise disclosed in the Prospectus, the Company and its subsidiaries and any “employee benefit plan” (as defined under the Employee Retirement Income Security Act of 1974, as amended, and the regulations and published interpretations thereunder (collectively,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established or maintained by the Company, its subsidiaries or their “ERISA Affiliates” (as defined below) are in compliance in all material respects with</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4"/>
          </w:cols>
          <w:pgMar w:left="436" w:top="270" w:right="4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ERISA. “</w:t>
      </w:r>
      <w:r>
        <w:rPr>
          <w:rFonts w:ascii="Times New Roman" w:cs="Times New Roman" w:eastAsia="Times New Roman" w:hAnsi="Times New Roman"/>
          <w:sz w:val="18"/>
          <w:szCs w:val="18"/>
          <w:b w:val="1"/>
          <w:bCs w:val="1"/>
          <w:color w:val="auto"/>
        </w:rPr>
        <w:t>ERISA Affiliate</w:t>
      </w:r>
      <w:r>
        <w:rPr>
          <w:rFonts w:ascii="Times New Roman" w:cs="Times New Roman" w:eastAsia="Times New Roman" w:hAnsi="Times New Roman"/>
          <w:sz w:val="18"/>
          <w:szCs w:val="18"/>
          <w:color w:val="auto"/>
        </w:rPr>
        <w:t>” means, with respect to the Company or any of its subsidiaries, any member of any group of organizations described in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Sections 414(b), (c), (m) or (o) of the Internal Revenue Code of 1986, as amended, and the regulations and published interpretations thereunder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of which the Company or such subsidiary is a member. Except as would not reasonably be expected, individually or in the aggregate, to have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Adverse Change, (i) no “reportable event” (as defined under ERISA) has occurred or is reasonably expected to occur with respect to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benefit plan” established or maintained by the Company, its subsidiaries or any of their ERISA Affiliates; (ii) no “employee benefit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established or maintained by the Company, its subsidiaries or any of their ERISA Affiliates, if such “employee benefit plan” were terminated, would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any “amount of unfunded benefit liabilities” (as defined under ERISA); and (iii) neither the Company, its subsidiaries nor any of their ERISA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Affiliates has incurred or reasonably expects to incur any liability under (x) Title IV of ERISA with respect to termination of, or withdrawal from,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benefit plan” or (y) Sections 412, 4971, 4975 or 4980B of the Code. Each “employee benefit plan” established or maintained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its subsidiaries or any of their ERISA Affiliates that is intended to be qualified under Section 401(a) of the Code has received a favorable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determination or opinion letter from the Internal Revenue Service or has time remaining to do so and, to the knowledge of the Company, nothing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occurred, whether by action or failure to act, which would cause the loss of such qualification.</w:t>
      </w:r>
    </w:p>
    <w:p>
      <w:pPr>
        <w:spacing w:after="0" w:line="207" w:lineRule="exact"/>
        <w:rPr>
          <w:sz w:val="20"/>
          <w:szCs w:val="20"/>
          <w:color w:val="auto"/>
        </w:rPr>
      </w:pPr>
    </w:p>
    <w:p>
      <w:pPr>
        <w:ind w:firstLine="436"/>
        <w:spacing w:after="0" w:line="282" w:lineRule="auto"/>
        <w:tabs>
          <w:tab w:leader="none" w:pos="78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Except as otherwise disclosed in the Prospectus, there is no broker, finder or other party that is entitled to receive from the Company any brokerage or finder’s fee or other fee or commission as a result of any transactions contemplated by this Agreement.</w:t>
      </w:r>
    </w:p>
    <w:p>
      <w:pPr>
        <w:spacing w:after="0" w:line="161" w:lineRule="exact"/>
        <w:rPr>
          <w:rFonts w:ascii="Times New Roman" w:cs="Times New Roman" w:eastAsia="Times New Roman" w:hAnsi="Times New Roman"/>
          <w:sz w:val="18"/>
          <w:szCs w:val="18"/>
          <w:color w:val="auto"/>
        </w:rPr>
      </w:pPr>
    </w:p>
    <w:p>
      <w:pPr>
        <w:ind w:right="340" w:firstLine="436"/>
        <w:spacing w:after="0" w:line="266" w:lineRule="auto"/>
        <w:tabs>
          <w:tab w:leader="none" w:pos="70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Outstanding Loans or Other Extensions of Credit</w:t>
      </w:r>
      <w:r>
        <w:rPr>
          <w:rFonts w:ascii="Times New Roman" w:cs="Times New Roman" w:eastAsia="Times New Roman" w:hAnsi="Times New Roman"/>
          <w:sz w:val="18"/>
          <w:szCs w:val="18"/>
          <w:color w:val="auto"/>
        </w:rPr>
        <w:t>. The Company does not have any outstanding extension of credit, in the form of a personal loan, to or for any director or executive officer (or equivalent thereof) of the Company except for such extensions of credit as are expressly permitted by Section 13(k) of the Exchange Act.</w:t>
      </w:r>
    </w:p>
    <w:p>
      <w:pPr>
        <w:spacing w:after="0" w:line="175" w:lineRule="exact"/>
        <w:rPr>
          <w:rFonts w:ascii="Times New Roman" w:cs="Times New Roman" w:eastAsia="Times New Roman" w:hAnsi="Times New Roman"/>
          <w:sz w:val="18"/>
          <w:szCs w:val="18"/>
          <w:color w:val="auto"/>
        </w:rPr>
      </w:pPr>
    </w:p>
    <w:p>
      <w:pPr>
        <w:ind w:right="80" w:firstLine="436"/>
        <w:spacing w:after="0" w:line="312" w:lineRule="auto"/>
        <w:tabs>
          <w:tab w:leader="none" w:pos="705"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with Laws</w:t>
      </w:r>
      <w:r>
        <w:rPr>
          <w:rFonts w:ascii="Times New Roman" w:cs="Times New Roman" w:eastAsia="Times New Roman" w:hAnsi="Times New Roman"/>
          <w:sz w:val="17"/>
          <w:szCs w:val="17"/>
          <w:color w:val="auto"/>
        </w:rPr>
        <w:t>. The Company and its subsidiaries have been and are in compliance with all applicable laws, rules and regulations, except where failure to be so in compliance would not reasonably be expected, individually or in the aggregate, to result in a Material Adverse Change.</w:t>
      </w:r>
    </w:p>
    <w:p>
      <w:pPr>
        <w:spacing w:after="0" w:line="139" w:lineRule="exact"/>
        <w:rPr>
          <w:rFonts w:ascii="Times New Roman" w:cs="Times New Roman" w:eastAsia="Times New Roman" w:hAnsi="Times New Roman"/>
          <w:sz w:val="17"/>
          <w:szCs w:val="17"/>
          <w:color w:val="auto"/>
        </w:rPr>
      </w:pPr>
    </w:p>
    <w:p>
      <w:pPr>
        <w:ind w:right="40" w:firstLine="436"/>
        <w:spacing w:after="0" w:line="258" w:lineRule="auto"/>
        <w:tabs>
          <w:tab w:leader="none" w:pos="78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Restrictions</w:t>
      </w:r>
      <w:r>
        <w:rPr>
          <w:rFonts w:ascii="Times New Roman" w:cs="Times New Roman" w:eastAsia="Times New Roman" w:hAnsi="Times New Roman"/>
          <w:sz w:val="18"/>
          <w:szCs w:val="18"/>
          <w:color w:val="auto"/>
        </w:rPr>
        <w:t>. Except as disclosed in the Prospectus or as required under applicable state corporation law, no subsidiary of the Company is prohibited or restricted, directly or indirectly, from paying dividends to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w:t>
      </w:r>
    </w:p>
    <w:p>
      <w:pPr>
        <w:spacing w:after="0" w:line="183" w:lineRule="exact"/>
        <w:rPr>
          <w:rFonts w:ascii="Times New Roman" w:cs="Times New Roman" w:eastAsia="Times New Roman" w:hAnsi="Times New Roman"/>
          <w:sz w:val="18"/>
          <w:szCs w:val="18"/>
          <w:color w:val="auto"/>
        </w:rPr>
      </w:pPr>
    </w:p>
    <w:p>
      <w:pPr>
        <w:ind w:right="60" w:firstLine="436"/>
        <w:spacing w:after="0" w:line="261" w:lineRule="auto"/>
        <w:tabs>
          <w:tab w:leader="none" w:pos="70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Anti-Corruption and Anti-Bribery Laws</w:t>
      </w:r>
      <w:r>
        <w:rPr>
          <w:rFonts w:ascii="Times New Roman" w:cs="Times New Roman" w:eastAsia="Times New Roman" w:hAnsi="Times New Roman"/>
          <w:sz w:val="18"/>
          <w:szCs w:val="18"/>
          <w:color w:val="auto"/>
        </w:rPr>
        <w:t>. Neither the Company nor any of its subsidiaries nor any director or officer of the Company or any of its subsidiaries, nor to the knowledge of the Company, any employee, agent, affiliate or other person acting on behalf of the Company or any of its subsidiaries has, in the course of its actions for, or on behalf of, the Company or any of its subsidiaries (i) used any corporate funds for any unlawful contribution, gift,</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66" w:right="479" w:bottom="1440" w:gutter="0" w:footer="0" w:header="0"/>
        </w:sectPr>
      </w:pPr>
    </w:p>
    <w:bookmarkStart w:id="75" w:name="page76"/>
    <w:bookmarkEnd w:id="75"/>
    <w:p>
      <w:pPr>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entertainment or other unlawful expenses relating to political activity; (ii) made or taken any act in furtherance of an offer, promise, or authorization of any direct or indirect unlawful payment or benefit to any domestic government official or “foreign official” as defined in the U.S. Foreign Corrupt Practices Act of 1977, as amended (the “</w:t>
      </w:r>
      <w:r>
        <w:rPr>
          <w:rFonts w:ascii="Times New Roman" w:cs="Times New Roman" w:eastAsia="Times New Roman" w:hAnsi="Times New Roman"/>
          <w:sz w:val="17"/>
          <w:szCs w:val="17"/>
          <w:b w:val="1"/>
          <w:bCs w:val="1"/>
          <w:color w:val="auto"/>
        </w:rPr>
        <w:t>FCPA</w:t>
      </w:r>
      <w:r>
        <w:rPr>
          <w:rFonts w:ascii="Times New Roman" w:cs="Times New Roman" w:eastAsia="Times New Roman" w:hAnsi="Times New Roman"/>
          <w:sz w:val="17"/>
          <w:szCs w:val="17"/>
          <w:color w:val="auto"/>
        </w:rPr>
        <w:t>”); (iii) violated or is in violation of any provision of the FCPA, the UK Bribery Act 2010, or any other applicable anti-bribery or anti-corruption law; or (iv) made, offered, authorized, requested, or taken an act in furtherance of any unlawful bribe, rebate, payoff, influence payment, kickback or other unlawful payment or benefit. The Company and its subsidiaries and, to the knowledge of the Company, the Company’s affiliates have conducted their respective businesses in compliance with the FCPA and have instituted and maintain policies and procedures which it believes is reasonably designed to ensure, and which are reasonably expected to continue to ensure, continued compliance therewith.</w:t>
      </w:r>
    </w:p>
    <w:p>
      <w:pPr>
        <w:spacing w:after="0" w:line="171" w:lineRule="exact"/>
        <w:rPr>
          <w:sz w:val="20"/>
          <w:szCs w:val="20"/>
          <w:color w:val="auto"/>
        </w:rPr>
      </w:pPr>
    </w:p>
    <w:p>
      <w:pPr>
        <w:ind w:right="20" w:firstLine="436"/>
        <w:spacing w:after="0" w:line="256" w:lineRule="auto"/>
        <w:tabs>
          <w:tab w:leader="none" w:pos="88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83" w:lineRule="exact"/>
        <w:rPr>
          <w:rFonts w:ascii="Times New Roman" w:cs="Times New Roman" w:eastAsia="Times New Roman" w:hAnsi="Times New Roman"/>
          <w:sz w:val="18"/>
          <w:szCs w:val="18"/>
          <w:color w:val="auto"/>
        </w:rPr>
      </w:pPr>
    </w:p>
    <w:p>
      <w:pPr>
        <w:ind w:firstLine="436"/>
        <w:spacing w:after="0" w:line="253" w:lineRule="auto"/>
        <w:tabs>
          <w:tab w:leader="none" w:pos="78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Clinical Data and Regulatory Compliance</w:t>
      </w:r>
      <w:r>
        <w:rPr>
          <w:rFonts w:ascii="Times New Roman" w:cs="Times New Roman" w:eastAsia="Times New Roman" w:hAnsi="Times New Roman"/>
          <w:sz w:val="18"/>
          <w:szCs w:val="18"/>
          <w:color w:val="auto"/>
        </w:rPr>
        <w:t>. The clinical trials, and other studies (collectively, “</w:t>
      </w:r>
      <w:r>
        <w:rPr>
          <w:rFonts w:ascii="Times New Roman" w:cs="Times New Roman" w:eastAsia="Times New Roman" w:hAnsi="Times New Roman"/>
          <w:sz w:val="18"/>
          <w:szCs w:val="18"/>
          <w:b w:val="1"/>
          <w:bCs w:val="1"/>
          <w:color w:val="auto"/>
        </w:rPr>
        <w:t>Studies</w:t>
      </w:r>
      <w:r>
        <w:rPr>
          <w:rFonts w:ascii="Times New Roman" w:cs="Times New Roman" w:eastAsia="Times New Roman" w:hAnsi="Times New Roman"/>
          <w:sz w:val="18"/>
          <w:szCs w:val="18"/>
          <w:color w:val="auto"/>
        </w:rPr>
        <w:t>”) of the product candidates of the Company and its subsidiaries that are described in the Registration Statement or the Prospectus were and, if still pending, are being conducted in all material respects in accordance with the protocols, procedures and controls designed for such Studies and with standard medical and scientific research procedures; each description of the results of such Studies is accurate in all material respects and fairly presents the data derived from such Studies, and the Company and its subsidiaries have no knowledge of any other studies the results of which are inconsistent with, or otherwise call into question, the results of such Studies described or referred to in the Registration Statement or the Prospectus; the Company and its subsidiaries have made all such filings and obtained all such approvals and authorizations to conduct such Studies as may be required by the Food and Drug Administration of the U.S. Department of Health and Human Services or from any other U.S. or foreign government or drug or medical device regulatory agency, or health care facility Institutional Review Board (collectively, the “</w:t>
      </w:r>
      <w:r>
        <w:rPr>
          <w:rFonts w:ascii="Times New Roman" w:cs="Times New Roman" w:eastAsia="Times New Roman" w:hAnsi="Times New Roman"/>
          <w:sz w:val="18"/>
          <w:szCs w:val="18"/>
          <w:b w:val="1"/>
          <w:bCs w:val="1"/>
          <w:color w:val="auto"/>
        </w:rPr>
        <w:t>Regulatory Agencies</w:t>
      </w:r>
      <w:r>
        <w:rPr>
          <w:rFonts w:ascii="Times New Roman" w:cs="Times New Roman" w:eastAsia="Times New Roman" w:hAnsi="Times New Roman"/>
          <w:sz w:val="18"/>
          <w:szCs w:val="18"/>
          <w:color w:val="auto"/>
        </w:rPr>
        <w:t>”); neither the Company nor any of its subsidiaries has received any notice of, or correspondence from, any Regulatory Agency requiring the termination, suspension or material modification of any clinical trials of the product candidates of the Company and its subsidiaries that are described or referred to in the Registration Statement or the Prospectus; and the Company and its subsidiaries have each operated and currently are in compliance in all material respects with all applicable rules and regulations of the Regulatory Agencies.</w:t>
      </w:r>
    </w:p>
    <w:p>
      <w:pPr>
        <w:spacing w:after="0" w:line="191" w:lineRule="exact"/>
        <w:rPr>
          <w:rFonts w:ascii="Times New Roman" w:cs="Times New Roman" w:eastAsia="Times New Roman" w:hAnsi="Times New Roman"/>
          <w:sz w:val="18"/>
          <w:szCs w:val="18"/>
          <w:color w:val="auto"/>
        </w:rPr>
      </w:pPr>
    </w:p>
    <w:p>
      <w:pPr>
        <w:ind w:right="20" w:firstLine="436"/>
        <w:spacing w:after="0" w:line="266" w:lineRule="auto"/>
        <w:tabs>
          <w:tab w:leader="none" w:pos="78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Neither the Company nor any of its subsidiaries, nor, to the knowledge of the Company, after due inquiry, any agent, affiliate, directors, officers, employees, or other person acting on behalf of the Company or any of its subsidiaries is currently the subject or the target of any U.S. sanctions administered by the Office of Foreign Assets Control of the U.S.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76" w:name="page77"/>
    <w:bookmarkEnd w:id="76"/>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Department of the Treasury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or the U.S. Department of State, the United Nations Security Council, the European Union, Her Majesty’s Treasury of the United Kingdom,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nor is the Company or any of its subsidiaries located, organized or resident in a country or territory that is the subject or the target of Sanctions, including, without limitation, the Crimea region of Ukraine, Cuba, Iran, North Korea, Syria, the so-called Donetsk People’s Republic, and the so-called Luhansk People’s Republic;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at the time of such financing, is the subject or the target of Sanctions or in any other manner that will result in a violation by any person (including any person participating in the transaction whether as underwriter, advisor, investor or otherwise) of applicable Sanctions. For the past five years,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189" w:lineRule="exact"/>
        <w:rPr>
          <w:sz w:val="20"/>
          <w:szCs w:val="20"/>
          <w:color w:val="auto"/>
        </w:rPr>
      </w:pPr>
    </w:p>
    <w:p>
      <w:pPr>
        <w:ind w:right="560" w:firstLine="436"/>
        <w:spacing w:after="0" w:line="312" w:lineRule="auto"/>
        <w:tabs>
          <w:tab w:leader="none" w:pos="785"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Sarbanes-Oxley</w:t>
      </w:r>
      <w:r>
        <w:rPr>
          <w:rFonts w:ascii="Times New Roman" w:cs="Times New Roman" w:eastAsia="Times New Roman" w:hAnsi="Times New Roman"/>
          <w:sz w:val="17"/>
          <w:szCs w:val="17"/>
          <w:color w:val="auto"/>
        </w:rPr>
        <w:t>. There is, and has been, no failure on the part of the Company or any of the Company’s directors or officers, in their capacities as such, to comply with applicable provision of the Sarbanes-Oxley Act of 2002 and the rules and regulations promulgated thereunder.</w:t>
      </w:r>
    </w:p>
    <w:p>
      <w:pPr>
        <w:spacing w:after="0" w:line="139" w:lineRule="exact"/>
        <w:rPr>
          <w:rFonts w:ascii="Times New Roman" w:cs="Times New Roman" w:eastAsia="Times New Roman" w:hAnsi="Times New Roman"/>
          <w:sz w:val="17"/>
          <w:szCs w:val="17"/>
          <w:color w:val="auto"/>
        </w:rPr>
      </w:pPr>
    </w:p>
    <w:p>
      <w:pPr>
        <w:jc w:val="both"/>
        <w:ind w:firstLine="436"/>
        <w:spacing w:after="0" w:line="266" w:lineRule="auto"/>
        <w:tabs>
          <w:tab w:leader="none" w:pos="78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Duties, Transfer Taxes, Etc</w:t>
      </w:r>
      <w:r>
        <w:rPr>
          <w:rFonts w:ascii="Times New Roman" w:cs="Times New Roman" w:eastAsia="Times New Roman" w:hAnsi="Times New Roman"/>
          <w:sz w:val="18"/>
          <w:szCs w:val="18"/>
          <w:color w:val="auto"/>
        </w:rPr>
        <w:t>. No stamp or other issuance or transfer taxes or duties and no capital gains, income, withholding or other taxes are payable by the Agent in the United States or any political subdivision or taxing authority thereof or therein in connection with the execution, delivery or performance of this Agreement by the Company or the sale and delivery by the Company of the Shares.</w:t>
      </w:r>
    </w:p>
    <w:p>
      <w:pPr>
        <w:spacing w:after="0" w:line="175" w:lineRule="exact"/>
        <w:rPr>
          <w:rFonts w:ascii="Times New Roman" w:cs="Times New Roman" w:eastAsia="Times New Roman" w:hAnsi="Times New Roman"/>
          <w:sz w:val="18"/>
          <w:szCs w:val="18"/>
          <w:color w:val="auto"/>
        </w:rPr>
      </w:pPr>
    </w:p>
    <w:p>
      <w:pPr>
        <w:ind w:right="80" w:firstLine="436"/>
        <w:spacing w:after="0" w:line="253" w:lineRule="auto"/>
        <w:tabs>
          <w:tab w:leader="none" w:pos="72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The Company’s and its subsidiaries’ information technology assets and equipment, computers, systems, networks, hardware, software, websites, applications, and databases (collectively, “</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are adequate for, and operate and perform in all material respects as required in connection with the operation of the business of the Company and its subsidiaries as currently conducted, free and clear of all material bugs, errors, defects, Trojan horses, time bombs, malware and other corruptants.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used in connection with their businesses. “</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any information which would qualify as “protected health information” under the Health Insurance Portability and Accountability Act of 1996, as amended by the Health Information Technology for Economic and Clinical Health Act (collectively, “</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and (v) any other piece of information that allows the identification of such natural person, or his or her family, or permits the collection or analysis of any data related to an identified person’s health or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66" w:right="459" w:bottom="1440" w:gutter="0" w:footer="0" w:header="0"/>
        </w:sectPr>
      </w:pPr>
    </w:p>
    <w:bookmarkStart w:id="77" w:name="page78"/>
    <w:bookmarkEnd w:id="77"/>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sexual orientation.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187" w:lineRule="exact"/>
        <w:rPr>
          <w:sz w:val="20"/>
          <w:szCs w:val="20"/>
          <w:color w:val="auto"/>
        </w:rPr>
      </w:pPr>
    </w:p>
    <w:p>
      <w:pPr>
        <w:ind w:right="40" w:firstLine="436"/>
        <w:spacing w:after="0" w:line="269" w:lineRule="auto"/>
        <w:tabs>
          <w:tab w:leader="none" w:pos="745"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with Data Privacy Laws</w:t>
      </w:r>
      <w:r>
        <w:rPr>
          <w:rFonts w:ascii="Times New Roman" w:cs="Times New Roman" w:eastAsia="Times New Roman" w:hAnsi="Times New Roman"/>
          <w:sz w:val="17"/>
          <w:szCs w:val="17"/>
          <w:color w:val="auto"/>
        </w:rPr>
        <w:t>. The Company and its subsidiaries are, and at all prior times since January 1, 2016 were, in material compliance with all applicable state and federal data privacy and security laws and regulations, including without limitation HIPAA, and the Company and its subsidiaries have taken commercially reasonable actions to prepare to comply with, and have been and currently are, in compliance with, the European Union General Data Protection Regulation (“</w:t>
      </w:r>
      <w:r>
        <w:rPr>
          <w:rFonts w:ascii="Times New Roman" w:cs="Times New Roman" w:eastAsia="Times New Roman" w:hAnsi="Times New Roman"/>
          <w:sz w:val="17"/>
          <w:szCs w:val="17"/>
          <w:b w:val="1"/>
          <w:bCs w:val="1"/>
          <w:color w:val="auto"/>
        </w:rPr>
        <w:t>GDPR</w:t>
      </w:r>
      <w:r>
        <w:rPr>
          <w:rFonts w:ascii="Times New Roman" w:cs="Times New Roman" w:eastAsia="Times New Roman" w:hAnsi="Times New Roman"/>
          <w:sz w:val="17"/>
          <w:szCs w:val="17"/>
          <w:color w:val="auto"/>
        </w:rPr>
        <w:t>”) (EU 2016/679), since becoming subject to GDPR (collectively, the “</w:t>
      </w:r>
      <w:r>
        <w:rPr>
          <w:rFonts w:ascii="Times New Roman" w:cs="Times New Roman" w:eastAsia="Times New Roman" w:hAnsi="Times New Roman"/>
          <w:sz w:val="17"/>
          <w:szCs w:val="17"/>
          <w:b w:val="1"/>
          <w:bCs w:val="1"/>
          <w:color w:val="auto"/>
        </w:rPr>
        <w:t>Privacy Laws</w:t>
      </w:r>
      <w:r>
        <w:rPr>
          <w:rFonts w:ascii="Times New Roman" w:cs="Times New Roman" w:eastAsia="Times New Roman" w:hAnsi="Times New Roman"/>
          <w:sz w:val="17"/>
          <w:szCs w:val="17"/>
          <w:color w:val="auto"/>
        </w:rPr>
        <w:t>”). In furtherance of its efforts to comply with the Privacy Laws, the Company and its subsidiaries have in place, comply with, and take appropriate steps reasonably designed to ensure compliance in all material respects with their policies and procedures relating to data privacy and security and the collection, storage, use, disclosure, handling, and analysis of Personal Data (the “</w:t>
      </w:r>
      <w:r>
        <w:rPr>
          <w:rFonts w:ascii="Times New Roman" w:cs="Times New Roman" w:eastAsia="Times New Roman" w:hAnsi="Times New Roman"/>
          <w:sz w:val="17"/>
          <w:szCs w:val="17"/>
          <w:b w:val="1"/>
          <w:bCs w:val="1"/>
          <w:color w:val="auto"/>
        </w:rPr>
        <w:t>Policies</w:t>
      </w:r>
      <w:r>
        <w:rPr>
          <w:rFonts w:ascii="Times New Roman" w:cs="Times New Roman" w:eastAsia="Times New Roman" w:hAnsi="Times New Roman"/>
          <w:sz w:val="17"/>
          <w:szCs w:val="17"/>
          <w:color w:val="auto"/>
        </w:rPr>
        <w:t>”). The Company and its subsidiaries have at all times since January 1, 2016 made all disclosures to users or customers required by applicable Privacy Laws, and none of such disclosures made or contained in any Policy have, to the knowledge of the Company, been inaccurate or in violation of any applicable laws and regulatory rules or requirements in any material respect. The Company further certifies that neither it nor any subsidiary: (i) has received notice of any actual or potential liability under or relating to,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spacing w:after="0" w:line="175" w:lineRule="exact"/>
        <w:rPr>
          <w:rFonts w:ascii="Times New Roman" w:cs="Times New Roman" w:eastAsia="Times New Roman" w:hAnsi="Times New Roman"/>
          <w:sz w:val="17"/>
          <w:szCs w:val="17"/>
          <w:color w:val="auto"/>
        </w:rPr>
      </w:pPr>
    </w:p>
    <w:p>
      <w:pPr>
        <w:ind w:right="140" w:firstLine="436"/>
        <w:spacing w:after="0" w:line="282" w:lineRule="auto"/>
        <w:tabs>
          <w:tab w:leader="none" w:pos="70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Underwriting Agreements</w:t>
      </w:r>
      <w:r>
        <w:rPr>
          <w:rFonts w:ascii="Times New Roman" w:cs="Times New Roman" w:eastAsia="Times New Roman" w:hAnsi="Times New Roman"/>
          <w:sz w:val="18"/>
          <w:szCs w:val="18"/>
          <w:color w:val="auto"/>
        </w:rPr>
        <w:t>. The Company is not a party to any agreement with an agent or underwriter for any other “at the market” or continuous equity transaction.</w:t>
      </w:r>
    </w:p>
    <w:p>
      <w:pPr>
        <w:spacing w:after="0" w:line="162"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Any certificate signed by any officer or representative of the Company or any of its subsidiaries and delivered to the Agent or counsel for the Agent in connection with an issuance of Shares shall be deemed a representation and warranty by the Company to the Agent as to the matters covered thereby on the date of such certificate.</w:t>
      </w:r>
    </w:p>
    <w:p>
      <w:pPr>
        <w:spacing w:after="0" w:line="176" w:lineRule="exact"/>
        <w:rPr>
          <w:sz w:val="20"/>
          <w:szCs w:val="20"/>
          <w:color w:val="auto"/>
        </w:rPr>
      </w:pPr>
    </w:p>
    <w:p>
      <w:pPr>
        <w:ind w:right="120" w:firstLine="440"/>
        <w:spacing w:after="0" w:line="312" w:lineRule="auto"/>
        <w:rPr>
          <w:sz w:val="20"/>
          <w:szCs w:val="20"/>
          <w:color w:val="auto"/>
        </w:rPr>
      </w:pPr>
      <w:r>
        <w:rPr>
          <w:rFonts w:ascii="Times New Roman" w:cs="Times New Roman" w:eastAsia="Times New Roman" w:hAnsi="Times New Roman"/>
          <w:sz w:val="17"/>
          <w:szCs w:val="17"/>
          <w:color w:val="auto"/>
        </w:rPr>
        <w:t xml:space="preserve">The Company acknowledges that the Agent and, for purposes of the opinions to be delivered pursuant to </w:t>
      </w:r>
      <w:r>
        <w:rPr>
          <w:rFonts w:ascii="Times New Roman" w:cs="Times New Roman" w:eastAsia="Times New Roman" w:hAnsi="Times New Roman"/>
          <w:sz w:val="17"/>
          <w:szCs w:val="17"/>
          <w:u w:val="single" w:color="auto"/>
          <w:color w:val="auto"/>
        </w:rPr>
        <w:t>Section 4(o)</w:t>
      </w:r>
      <w:r>
        <w:rPr>
          <w:rFonts w:ascii="Times New Roman" w:cs="Times New Roman" w:eastAsia="Times New Roman" w:hAnsi="Times New Roman"/>
          <w:sz w:val="17"/>
          <w:szCs w:val="17"/>
          <w:color w:val="auto"/>
        </w:rPr>
        <w:t xml:space="preserve"> hereof, counsel to the Company and counsel to the Agent, will rely upon the accuracy and truthfulness of the foregoing representations and hereby consents to such reliance.</w:t>
      </w:r>
    </w:p>
    <w:p>
      <w:pPr>
        <w:spacing w:after="0" w:line="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60"/>
          </w:cols>
          <w:pgMar w:left="440" w:top="270" w:right="499" w:bottom="1440" w:gutter="0" w:footer="0" w:header="0"/>
        </w:sectPr>
      </w:pPr>
    </w:p>
    <w:bookmarkStart w:id="78" w:name="page79"/>
    <w:bookmarkEnd w:id="78"/>
    <w:p>
      <w:pPr>
        <w:ind w:left="4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 ISSUANCE AND SALE OF COMMON SHARES</w:t>
      </w:r>
    </w:p>
    <w:p>
      <w:pPr>
        <w:spacing w:after="0" w:line="121" w:lineRule="exact"/>
        <w:rPr>
          <w:sz w:val="20"/>
          <w:szCs w:val="20"/>
          <w:color w:val="auto"/>
        </w:rPr>
      </w:pPr>
    </w:p>
    <w:p>
      <w:pPr>
        <w:ind w:left="4" w:right="40" w:firstLine="436"/>
        <w:spacing w:after="0" w:line="261" w:lineRule="auto"/>
        <w:tabs>
          <w:tab w:leader="none" w:pos="68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Securities</w:t>
      </w:r>
      <w:r>
        <w:rPr>
          <w:rFonts w:ascii="Times New Roman" w:cs="Times New Roman" w:eastAsia="Times New Roman" w:hAnsi="Times New Roman"/>
          <w:sz w:val="18"/>
          <w:szCs w:val="18"/>
          <w:color w:val="auto"/>
        </w:rPr>
        <w:t>. On the basis of the representations, warranties and agreements herein contained, but subject to the terms and conditions herein set forth, the Company and the Agent agree that the Company may from time to time seek to sell Shares through the Agent, acting as sales agent, or directly to the Agent, acting as principal, as follows, with an aggregate Sales Price of up to the Maximum Program Amount, based on and in accordance with Issuance Notices as the Company may deliver, during the Agency Period.</w:t>
      </w:r>
    </w:p>
    <w:p>
      <w:pPr>
        <w:spacing w:after="0" w:line="179"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Issuances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60" w:firstLine="436"/>
        <w:spacing w:after="0" w:line="272" w:lineRule="auto"/>
        <w:tabs>
          <w:tab w:leader="none" w:pos="659"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Issuance Notice</w:t>
      </w:r>
      <w:r>
        <w:rPr>
          <w:rFonts w:ascii="Times New Roman" w:cs="Times New Roman" w:eastAsia="Times New Roman" w:hAnsi="Times New Roman"/>
          <w:sz w:val="17"/>
          <w:szCs w:val="17"/>
          <w:color w:val="auto"/>
        </w:rPr>
        <w:t xml:space="preserve">. Upon the terms and subject to the conditions set forth herein, on any Trading Day during the Agency Period on which the conditions set forth in </w:t>
      </w:r>
      <w:r>
        <w:rPr>
          <w:rFonts w:ascii="Times New Roman" w:cs="Times New Roman" w:eastAsia="Times New Roman" w:hAnsi="Times New Roman"/>
          <w:sz w:val="17"/>
          <w:szCs w:val="17"/>
          <w:u w:val="single" w:color="auto"/>
          <w:color w:val="auto"/>
        </w:rPr>
        <w:t>Section 5(a)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5(b)</w:t>
      </w:r>
      <w:r>
        <w:rPr>
          <w:rFonts w:ascii="Times New Roman" w:cs="Times New Roman" w:eastAsia="Times New Roman" w:hAnsi="Times New Roman"/>
          <w:sz w:val="17"/>
          <w:szCs w:val="17"/>
          <w:color w:val="auto"/>
        </w:rPr>
        <w:t xml:space="preserve"> shall have been satisfied, the Company may exercise its right to request an issuance of Shares by delivering to the Agent an Issuance Notice; provided, however, that (A) in no event may the Company deliver an Issuance Notice to the extent that</w:t>
      </w:r>
    </w:p>
    <w:p>
      <w:pPr>
        <w:spacing w:after="0" w:line="1" w:lineRule="exact"/>
        <w:rPr>
          <w:rFonts w:ascii="Times New Roman" w:cs="Times New Roman" w:eastAsia="Times New Roman" w:hAnsi="Times New Roman"/>
          <w:sz w:val="17"/>
          <w:szCs w:val="17"/>
          <w:color w:val="auto"/>
        </w:rPr>
      </w:pPr>
    </w:p>
    <w:p>
      <w:pPr>
        <w:ind w:left="4" w:right="120" w:hanging="4"/>
        <w:spacing w:after="0" w:line="252" w:lineRule="auto"/>
        <w:tabs>
          <w:tab w:leader="none" w:pos="22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(x) the aggregate Sales Price of the requested Issuance Amount, plus (y) the aggregate Sales Price of all Shares issued under all previous Issuance Notices effected pursuant to this Agreement, would exceed the Maximum Program Amount; and (B) prior to delivery of any Issuance Notice, the period set forth for any previous Issuance Notice shall have expired or been terminated. An Issuance Notice shall be considered delivered on the Trading Day that it is received by e-mail to the persons set forth in Schedule A hereto and confirmed by the Company by telephone (including a voicemail message to the persons so identified), with the understanding that, with adequate prior written notice, the Agent may modify the list of such persons from time to time.</w:t>
      </w:r>
    </w:p>
    <w:p>
      <w:pPr>
        <w:spacing w:after="0" w:line="189" w:lineRule="exact"/>
        <w:rPr>
          <w:rFonts w:ascii="Times New Roman" w:cs="Times New Roman" w:eastAsia="Times New Roman" w:hAnsi="Times New Roman"/>
          <w:sz w:val="18"/>
          <w:szCs w:val="18"/>
          <w:color w:val="auto"/>
        </w:rPr>
      </w:pPr>
    </w:p>
    <w:p>
      <w:pPr>
        <w:ind w:left="4" w:firstLine="436"/>
        <w:spacing w:after="0" w:line="258" w:lineRule="auto"/>
        <w:tabs>
          <w:tab w:leader="none" w:pos="709"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 Efforts</w:t>
      </w:r>
      <w:r>
        <w:rPr>
          <w:rFonts w:ascii="Times New Roman" w:cs="Times New Roman" w:eastAsia="Times New Roman" w:hAnsi="Times New Roman"/>
          <w:sz w:val="18"/>
          <w:szCs w:val="18"/>
          <w:color w:val="auto"/>
        </w:rPr>
        <w:t>. Upon the terms and subject to the conditions set forth in this Agreement, upon the receipt of an Issuance Notice, the Agent will use its commercially reasonable efforts consistent with its normal sales and trading practices to place the Shares with respect to which the Agent has agreed to act as sales agent, subject to, and in accordance with the information specified in, the Issuance Notice, unless the sale of the Shares described therein has been suspended, cancelled or otherwise terminated in accordance with the terms of this Agreement. For the avoidance of doubt, the parties to this Agreement may modify an Issuance Notice at any time provided they both agree in writing to any such modification.</w:t>
      </w:r>
    </w:p>
    <w:p>
      <w:pPr>
        <w:spacing w:after="0" w:line="183" w:lineRule="exact"/>
        <w:rPr>
          <w:rFonts w:ascii="Times New Roman" w:cs="Times New Roman" w:eastAsia="Times New Roman" w:hAnsi="Times New Roman"/>
          <w:sz w:val="18"/>
          <w:szCs w:val="18"/>
          <w:color w:val="auto"/>
        </w:rPr>
      </w:pPr>
    </w:p>
    <w:p>
      <w:pPr>
        <w:ind w:left="4" w:right="40" w:firstLine="436"/>
        <w:spacing w:after="0" w:line="258" w:lineRule="auto"/>
        <w:tabs>
          <w:tab w:leader="none" w:pos="759"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Offer and Sale</w:t>
      </w:r>
      <w:r>
        <w:rPr>
          <w:rFonts w:ascii="Times New Roman" w:cs="Times New Roman" w:eastAsia="Times New Roman" w:hAnsi="Times New Roman"/>
          <w:sz w:val="18"/>
          <w:szCs w:val="18"/>
          <w:color w:val="auto"/>
        </w:rPr>
        <w:t>. The Shares may be offered and sold (A) in negotiated transactions with the consent of the Company; or (B) by any other method permitted by law deemed to be an “</w:t>
      </w:r>
      <w:r>
        <w:rPr>
          <w:rFonts w:ascii="Times New Roman" w:cs="Times New Roman" w:eastAsia="Times New Roman" w:hAnsi="Times New Roman"/>
          <w:sz w:val="18"/>
          <w:szCs w:val="18"/>
          <w:b w:val="1"/>
          <w:bCs w:val="1"/>
          <w:color w:val="auto"/>
        </w:rPr>
        <w:t>at the market offering</w:t>
      </w:r>
      <w:r>
        <w:rPr>
          <w:rFonts w:ascii="Times New Roman" w:cs="Times New Roman" w:eastAsia="Times New Roman" w:hAnsi="Times New Roman"/>
          <w:sz w:val="18"/>
          <w:szCs w:val="18"/>
          <w:color w:val="auto"/>
        </w:rPr>
        <w:t>” as defined in Rule 415(a)(4) under the Securities Act, including block transactions, sales made directly on the Principal Market or sales made into any other existing trading market of the Common Shares. Nothing in this Agreement shall be deemed to require either party to agree to the method of offer and sale specified in the preceding sentence, and (except as specified in clause (A) above) the method of placement of any Shares by the Agent shall be at the Agent’s discretion.</w:t>
      </w:r>
    </w:p>
    <w:p>
      <w:pPr>
        <w:spacing w:after="0" w:line="183" w:lineRule="exact"/>
        <w:rPr>
          <w:rFonts w:ascii="Times New Roman" w:cs="Times New Roman" w:eastAsia="Times New Roman" w:hAnsi="Times New Roman"/>
          <w:sz w:val="18"/>
          <w:szCs w:val="18"/>
          <w:color w:val="auto"/>
        </w:rPr>
      </w:pPr>
    </w:p>
    <w:p>
      <w:pPr>
        <w:ind w:left="4" w:right="60" w:firstLine="436"/>
        <w:spacing w:after="0" w:line="266" w:lineRule="auto"/>
        <w:tabs>
          <w:tab w:leader="none" w:pos="749"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Confirmation to the Company</w:t>
      </w:r>
      <w:r>
        <w:rPr>
          <w:rFonts w:ascii="Times New Roman" w:cs="Times New Roman" w:eastAsia="Times New Roman" w:hAnsi="Times New Roman"/>
          <w:sz w:val="18"/>
          <w:szCs w:val="18"/>
          <w:color w:val="auto"/>
        </w:rPr>
        <w:t>. If acting as sales agent hereunder, the Agent will provide written confirmation to the Company no later than the opening of the Trading Day next following the Trading Day on which it has placed Shares hereunder setting forth the number of shares sold on such Trading Day, the corresponding Sales Price and the Issuance Price payable to the Company in respect thereof.</w:t>
      </w:r>
    </w:p>
    <w:p>
      <w:pPr>
        <w:spacing w:after="0" w:line="35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4"/>
          </w:cols>
          <w:pgMar w:left="436" w:top="266" w:right="479" w:bottom="1440" w:gutter="0" w:footer="0" w:header="0"/>
        </w:sectPr>
      </w:pPr>
    </w:p>
    <w:bookmarkStart w:id="79" w:name="page80"/>
    <w:bookmarkEnd w:id="79"/>
    <w:p>
      <w:pPr>
        <w:ind w:left="-20" w:right="20" w:firstLine="436"/>
        <w:spacing w:after="0" w:line="273" w:lineRule="auto"/>
        <w:tabs>
          <w:tab w:leader="none" w:pos="675"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Settlement</w:t>
      </w:r>
      <w:r>
        <w:rPr>
          <w:rFonts w:ascii="Times New Roman" w:cs="Times New Roman" w:eastAsia="Times New Roman" w:hAnsi="Times New Roman"/>
          <w:sz w:val="17"/>
          <w:szCs w:val="17"/>
          <w:color w:val="auto"/>
        </w:rPr>
        <w:t xml:space="preserve">. Each issuance of Shares will be settled on the applicable Settlement Date for such issuance of Shares and, subject to the provisions of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on or before each Settlement Date, the Company will, or will cause its transfer agent to, electronically transfer the Shares being sold by crediting the Agent or its designee’s account at The Depository Trust Company through its Deposit/Withdrawal At Custodian (DWAC) System, or by such other means of delivery as may be mutually agreed upon by the parties hereto and, upon receipt of such Shares, which in all cases shall be freely tradable, transferable, registered shares in good deliverable form, the Agent will deliver, by wire transfer of immediately available funds, the related Issuance Price in same day funds delivered to an account designated by the Company prior to the Settlement Date. The Company may sell Shares to the Agent as principal at a price agreed upon by the parties at each relevant time Shares are sold pursuant to this Agreement (each, a “</w:t>
      </w:r>
      <w:r>
        <w:rPr>
          <w:rFonts w:ascii="Times New Roman" w:cs="Times New Roman" w:eastAsia="Times New Roman" w:hAnsi="Times New Roman"/>
          <w:sz w:val="17"/>
          <w:szCs w:val="17"/>
          <w:b w:val="1"/>
          <w:bCs w:val="1"/>
          <w:color w:val="auto"/>
        </w:rPr>
        <w:t>Time of Sale</w:t>
      </w:r>
      <w:r>
        <w:rPr>
          <w:rFonts w:ascii="Times New Roman" w:cs="Times New Roman" w:eastAsia="Times New Roman" w:hAnsi="Times New Roman"/>
          <w:sz w:val="17"/>
          <w:szCs w:val="17"/>
          <w:color w:val="auto"/>
        </w:rPr>
        <w:t>”).</w:t>
      </w:r>
    </w:p>
    <w:p>
      <w:pPr>
        <w:spacing w:after="0" w:line="171" w:lineRule="exact"/>
        <w:rPr>
          <w:rFonts w:ascii="Times New Roman" w:cs="Times New Roman" w:eastAsia="Times New Roman" w:hAnsi="Times New Roman"/>
          <w:sz w:val="17"/>
          <w:szCs w:val="17"/>
          <w:color w:val="auto"/>
        </w:rPr>
      </w:pPr>
    </w:p>
    <w:p>
      <w:pPr>
        <w:ind w:left="-20" w:firstLine="436"/>
        <w:spacing w:after="0" w:line="253" w:lineRule="auto"/>
        <w:tabs>
          <w:tab w:leader="none" w:pos="72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Suspension or Termination of Sales</w:t>
      </w:r>
      <w:r>
        <w:rPr>
          <w:rFonts w:ascii="Times New Roman" w:cs="Times New Roman" w:eastAsia="Times New Roman" w:hAnsi="Times New Roman"/>
          <w:sz w:val="18"/>
          <w:szCs w:val="18"/>
          <w:color w:val="auto"/>
        </w:rPr>
        <w:t xml:space="preserve">. Consistent with standard market settlement practices, the Company or the Agent may, upon notice to the other party hereto in writing or by telephone (confirmed immediately by verifiable email), suspend any sale of Shares, and the period set forth in an Issuance Notice shall immediately terminate; provided, however, that (A) such suspension and termination shall not affect or impair either party’s obligations with respect to any Shares placed or sold hereunder prior to the receipt of such notice; (B) if the Company suspends or terminates any sale of Shares after the Agent confirms such sale to the Company, the Company shall still be obligated to comply with </w:t>
      </w:r>
      <w:r>
        <w:rPr>
          <w:rFonts w:ascii="Times New Roman" w:cs="Times New Roman" w:eastAsia="Times New Roman" w:hAnsi="Times New Roman"/>
          <w:sz w:val="18"/>
          <w:szCs w:val="18"/>
          <w:u w:val="single" w:color="auto"/>
          <w:color w:val="auto"/>
        </w:rPr>
        <w:t>Section 3(b)(v)</w:t>
      </w:r>
      <w:r>
        <w:rPr>
          <w:rFonts w:ascii="Times New Roman" w:cs="Times New Roman" w:eastAsia="Times New Roman" w:hAnsi="Times New Roman"/>
          <w:sz w:val="18"/>
          <w:szCs w:val="18"/>
          <w:color w:val="auto"/>
        </w:rPr>
        <w:t xml:space="preserve"> with respect to such Shares; and (C) if the Company defaults in its obligation to deliver Shares on a Settlement Date, the Company agrees that it will hold the Agent harmless against any loss, claim, damage or expense (including, without limitation, penalties, interest and reasonable legal fees and expenses), as incurred, arising out of or in connection with such default by the Company. The parties hereto acknowledge and agree that, in performing its obligations under this Agreement as set forth in subsections (A), (B) or (C) of this Section 3(b)(vi), the Agent may borrow Common Shares from stock lenders in the event that the Company has not delivered Shares to settle sales as required by subsection (v) above, and may use the Shares to settle or close out such borrowings. The Company agrees that no such notice shall be effective against the Agent unless it is made to the persons identified in writing by the Agent pursuant to </w:t>
      </w:r>
      <w:r>
        <w:rPr>
          <w:rFonts w:ascii="Times New Roman" w:cs="Times New Roman" w:eastAsia="Times New Roman" w:hAnsi="Times New Roman"/>
          <w:sz w:val="18"/>
          <w:szCs w:val="18"/>
          <w:u w:val="single" w:color="auto"/>
          <w:color w:val="auto"/>
        </w:rPr>
        <w:t>Section 3(b)(i)</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left="-20" w:firstLine="436"/>
        <w:spacing w:after="0" w:line="261" w:lineRule="auto"/>
        <w:tabs>
          <w:tab w:leader="none" w:pos="77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Guarantee of Placement, Etc</w:t>
      </w:r>
      <w:r>
        <w:rPr>
          <w:rFonts w:ascii="Times New Roman" w:cs="Times New Roman" w:eastAsia="Times New Roman" w:hAnsi="Times New Roman"/>
          <w:sz w:val="18"/>
          <w:szCs w:val="18"/>
          <w:color w:val="auto"/>
        </w:rPr>
        <w:t>. The Company acknowledges and agrees that (A) there can be no assurance that the Agent will be successful in placing Shares; (B) the Agent will incur no liability or obligation to the Company or any other Person if it does not sell Shares; and (C) the Agent shall be under no obligation to purchase Shares on a principal basis pursuant to this Agreement, except as otherwise specifically agreed by the Agent and the Company.</w:t>
      </w:r>
    </w:p>
    <w:p>
      <w:pPr>
        <w:spacing w:after="0" w:line="179" w:lineRule="exact"/>
        <w:rPr>
          <w:rFonts w:ascii="Times New Roman" w:cs="Times New Roman" w:eastAsia="Times New Roman" w:hAnsi="Times New Roman"/>
          <w:sz w:val="18"/>
          <w:szCs w:val="18"/>
          <w:color w:val="auto"/>
        </w:rPr>
      </w:pPr>
    </w:p>
    <w:p>
      <w:pPr>
        <w:ind w:left="-20" w:right="220" w:firstLine="436"/>
        <w:spacing w:after="0" w:line="266" w:lineRule="auto"/>
        <w:tabs>
          <w:tab w:leader="none" w:pos="82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Non-Public Information</w:t>
      </w:r>
      <w:r>
        <w:rPr>
          <w:rFonts w:ascii="Times New Roman" w:cs="Times New Roman" w:eastAsia="Times New Roman" w:hAnsi="Times New Roman"/>
          <w:sz w:val="18"/>
          <w:szCs w:val="18"/>
          <w:color w:val="auto"/>
        </w:rPr>
        <w:t>. Notwithstanding any other provision of this Agreement, the Company and the Agent agree that the Company shall not deliver any Issuance Notice to the Agent, and the Agent shall not be obligated to place any Shares, during any period in which the Company is in possession of material non-public information.</w:t>
      </w:r>
    </w:p>
    <w:p>
      <w:pPr>
        <w:spacing w:after="0" w:line="176" w:lineRule="exact"/>
        <w:rPr>
          <w:sz w:val="20"/>
          <w:szCs w:val="20"/>
          <w:color w:val="auto"/>
        </w:rPr>
      </w:pPr>
    </w:p>
    <w:p>
      <w:pPr>
        <w:jc w:val="both"/>
        <w:ind w:left="-20" w:right="20" w:firstLine="436"/>
        <w:spacing w:after="0" w:line="266" w:lineRule="auto"/>
        <w:tabs>
          <w:tab w:leader="none" w:pos="66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xml:space="preserve">. As compensation for services rendered, the Company shall pay to the Agent, on the applicable Settlement Date, the Selling Commission for the applicable Issuance Amount (including with respect to any suspended or terminated sale pursuant to </w:t>
      </w:r>
      <w:r>
        <w:rPr>
          <w:rFonts w:ascii="Times New Roman" w:cs="Times New Roman" w:eastAsia="Times New Roman" w:hAnsi="Times New Roman"/>
          <w:sz w:val="18"/>
          <w:szCs w:val="18"/>
          <w:u w:val="single" w:color="auto"/>
          <w:color w:val="auto"/>
        </w:rPr>
        <w:t>Section 3(b)(vi)</w:t>
      </w:r>
      <w:r>
        <w:rPr>
          <w:rFonts w:ascii="Times New Roman" w:cs="Times New Roman" w:eastAsia="Times New Roman" w:hAnsi="Times New Roman"/>
          <w:sz w:val="18"/>
          <w:szCs w:val="18"/>
          <w:color w:val="auto"/>
        </w:rPr>
        <w:t>) by the Agent deducting the Selling Commission from the applicable Issuance Amount.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0"/>
          </w:cols>
          <w:pgMar w:left="460" w:top="270" w:right="479" w:bottom="1440" w:gutter="0" w:footer="0" w:header="0"/>
        </w:sectPr>
      </w:pPr>
    </w:p>
    <w:bookmarkStart w:id="80" w:name="page81"/>
    <w:bookmarkEnd w:id="80"/>
    <w:p>
      <w:pPr>
        <w:ind w:firstLine="436"/>
        <w:spacing w:after="0" w:line="251" w:lineRule="auto"/>
        <w:tabs>
          <w:tab w:leader="none" w:pos="69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Expenses</w:t>
      </w:r>
      <w:r>
        <w:rPr>
          <w:rFonts w:ascii="Times New Roman" w:cs="Times New Roman" w:eastAsia="Times New Roman" w:hAnsi="Times New Roman"/>
          <w:sz w:val="18"/>
          <w:szCs w:val="18"/>
          <w:color w:val="auto"/>
        </w:rPr>
        <w:t>. The Company agrees to pay all costs, fees and expenses incurred in connection with the performance of its obligations hereunder and in connection with the transactions contemplated hereby, including without limitation (i) all expenses incident to the issuance and delivery of the Shares (including all printing and engraving costs); (ii) all fees and expenses of the registrar and transfer agent of the Shares; (iii) all necessary issue, transfer and other stamp taxes in connection with the issuance and sale of the Shares; (iv) all fees and expenses of the Company’s counsel, independent public or certified public accountants and other advisors; (v) all costs and expenses incurred in connection with the preparation, printing, filing, shipping and distribution of the Registration Statement (including financial statements, exhibits, schedules, consents and certificates of experts), the Prospectus, any Free Writing Prospectus (as defined below) prepared by or on behalf of, used by, or referred to by the Company, and all amendments and supplements thereto, and this Agreement; (vi) all filing fees, attorneys’ fees and expenses incurred by the Company or the Agent in connection with qualifying or registering (or obtaining exemptions from the qualification or registration of) all or any part of the Shares for offer and sale under the state securities or blue sky laws or the provincial securities laws of Canada, and, if requested by the Agent, preparing and printing a “</w:t>
      </w:r>
      <w:r>
        <w:rPr>
          <w:rFonts w:ascii="Times New Roman" w:cs="Times New Roman" w:eastAsia="Times New Roman" w:hAnsi="Times New Roman"/>
          <w:sz w:val="18"/>
          <w:szCs w:val="18"/>
          <w:b w:val="1"/>
          <w:bCs w:val="1"/>
          <w:color w:val="auto"/>
        </w:rPr>
        <w:t>Blue Sky Survey</w:t>
      </w:r>
      <w:r>
        <w:rPr>
          <w:rFonts w:ascii="Times New Roman" w:cs="Times New Roman" w:eastAsia="Times New Roman" w:hAnsi="Times New Roman"/>
          <w:sz w:val="18"/>
          <w:szCs w:val="18"/>
          <w:color w:val="auto"/>
        </w:rPr>
        <w:t xml:space="preserve">” or memorandum and a “Canadian wrapper”, and any supplements thereto, advising the Agent of such qualifications, registrations, determinations and exemptions; (vii) the reasonable and documented fees and disbursements of the Agent’s counsel, including the reasonable and documented fees and expenses of counsel for the Agent in connection with, FINRA review, if any, and approval of the Agent’s participation in the offering and distribution of the Shares; (viii) the filing fees incident to FINRA review, if any; (ix)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of the Agent and any such consultants, and the cost of any aircraft chartered in connection with the road show; and (x) the fees and expenses associated with listing the Shares on the Principal Market. The fees and disbursements of Agent’s counsel pursuant to subsections (vi) and (vii) above shall not exceed (A) $75,000 in connection with the execution of this Agreement; (B) $25,000 in connection with each Triggering Event Date (as defined below) involving the filing of a Form 10-K on which the Company is required to provide a certificate pursuant to </w:t>
      </w:r>
      <w:r>
        <w:rPr>
          <w:rFonts w:ascii="Times New Roman" w:cs="Times New Roman" w:eastAsia="Times New Roman" w:hAnsi="Times New Roman"/>
          <w:sz w:val="18"/>
          <w:szCs w:val="18"/>
          <w:u w:val="single" w:color="auto"/>
          <w:color w:val="auto"/>
        </w:rPr>
        <w:t>Section 4(o)</w:t>
      </w:r>
      <w:r>
        <w:rPr>
          <w:rFonts w:ascii="Times New Roman" w:cs="Times New Roman" w:eastAsia="Times New Roman" w:hAnsi="Times New Roman"/>
          <w:sz w:val="18"/>
          <w:szCs w:val="18"/>
          <w:color w:val="auto"/>
        </w:rPr>
        <w:t xml:space="preserve"> and (C) $15,000 in connection with each other Triggering Event Date (as defined below) on which the Company is required to provide a certificate pursuant to </w:t>
      </w:r>
      <w:r>
        <w:rPr>
          <w:rFonts w:ascii="Times New Roman" w:cs="Times New Roman" w:eastAsia="Times New Roman" w:hAnsi="Times New Roman"/>
          <w:sz w:val="18"/>
          <w:szCs w:val="18"/>
          <w:u w:val="single" w:color="auto"/>
          <w:color w:val="auto"/>
        </w:rPr>
        <w:t>Section 4(o)</w:t>
      </w:r>
      <w:r>
        <w:rPr>
          <w:rFonts w:ascii="Times New Roman" w:cs="Times New Roman" w:eastAsia="Times New Roman" w:hAnsi="Times New Roman"/>
          <w:sz w:val="18"/>
          <w:szCs w:val="18"/>
          <w:color w:val="auto"/>
        </w:rPr>
        <w:t>.</w:t>
      </w:r>
    </w:p>
    <w:p>
      <w:pPr>
        <w:spacing w:after="0" w:line="2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4. ADDITIONAL COVENANTS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covenants and agrees with the Agent as follows, in addition to any other covenants and agreements made elsewhere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ind w:right="20" w:firstLine="436"/>
        <w:spacing w:after="0" w:line="261" w:lineRule="auto"/>
        <w:tabs>
          <w:tab w:leader="none" w:pos="68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Act Compliance</w:t>
      </w:r>
      <w:r>
        <w:rPr>
          <w:rFonts w:ascii="Times New Roman" w:cs="Times New Roman" w:eastAsia="Times New Roman" w:hAnsi="Times New Roman"/>
          <w:sz w:val="18"/>
          <w:szCs w:val="18"/>
          <w:color w:val="auto"/>
        </w:rPr>
        <w:t>. During the Agency Period, the Company shall (i) file, on a timely basis, with the Commission all reports and documents required to be filed under Section 13, 14 or 15 of the Exchange Act in the manner and within the time periods required by the Exchange Act; and (ii) either (A) include in its quarterly reports on Form 10-Q and its annual reports on Form 10-K, a summary detailing, for the relevant reporting period, (1) the number of Shares sold through the Agent pursuant to this Agreement and (2) the net proceeds received by the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70" w:right="479" w:bottom="1440" w:gutter="0" w:footer="0" w:header="0"/>
        </w:sectPr>
      </w:pPr>
    </w:p>
    <w:bookmarkStart w:id="81" w:name="page82"/>
    <w:bookmarkEnd w:id="81"/>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from such sales or (B) prepare a prospectus supplement containing, or include in such other filing permitted by the Securities Act or Exchange Act (each an “</w:t>
      </w:r>
      <w:r>
        <w:rPr>
          <w:rFonts w:ascii="Times New Roman" w:cs="Times New Roman" w:eastAsia="Times New Roman" w:hAnsi="Times New Roman"/>
          <w:sz w:val="18"/>
          <w:szCs w:val="18"/>
          <w:b w:val="1"/>
          <w:bCs w:val="1"/>
          <w:color w:val="auto"/>
        </w:rPr>
        <w:t>Interim Prospectus Supplement</w:t>
      </w:r>
      <w:r>
        <w:rPr>
          <w:rFonts w:ascii="Times New Roman" w:cs="Times New Roman" w:eastAsia="Times New Roman" w:hAnsi="Times New Roman"/>
          <w:sz w:val="18"/>
          <w:szCs w:val="18"/>
          <w:color w:val="auto"/>
        </w:rPr>
        <w:t xml:space="preserve">”), such summary information and, at least once a quarter and subject to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file such Interim Prospectus Supplement pursuant to Rule 424(b) under the Securities Act (and within the time periods required by Rule 424(b) and Rule 430B under the Securities Act).</w:t>
      </w:r>
    </w:p>
    <w:p>
      <w:pPr>
        <w:spacing w:after="0" w:line="180" w:lineRule="exact"/>
        <w:rPr>
          <w:sz w:val="20"/>
          <w:szCs w:val="20"/>
          <w:color w:val="auto"/>
        </w:rPr>
      </w:pPr>
    </w:p>
    <w:p>
      <w:pPr>
        <w:ind w:firstLine="436"/>
        <w:spacing w:after="0" w:line="253" w:lineRule="auto"/>
        <w:tabs>
          <w:tab w:leader="none" w:pos="69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 Compliance</w:t>
      </w:r>
      <w:r>
        <w:rPr>
          <w:rFonts w:ascii="Times New Roman" w:cs="Times New Roman" w:eastAsia="Times New Roman" w:hAnsi="Times New Roman"/>
          <w:sz w:val="18"/>
          <w:szCs w:val="18"/>
          <w:color w:val="auto"/>
        </w:rPr>
        <w:t>. After the date of this Agreement, the Company shall promptly advise the Agent in writing (i) of the receipt of any comments of, or requests for additional or supplemental information from, the Commission; (ii) of the time and date of any filing of any post-effective amendment to the Registration Statement, any Rule 462(b) Registration Statement or any amendment or supplement to the Prospectus, any Free Writing Prospectus; (iii) of the time and date that any post-effective amendment to the Registration Statement or any Rule 462(b) Registration Statement becomes effective; and (iv) of the issuance by the Commission of any stop order suspending the effectiveness of the Registration Statement or any post-effective amendment thereto, any Rule 462(b) Registration Statement or any amendment or supplement to the Prospectus or of any order preventing or suspending the use of any Free Writing Prospectus or the Prospectus, or of any proceedings to remove, suspend or terminate from listing or quotation the Common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 the lifting of such order as soon as practicable. Additionally, the Company agrees that it shall comply with the provisions of Rule 424(b) and Rule 433, as applicable, under the Securities Act and will use its reasonable efforts to confirm that any filings made by the Company under such Rule 424(b) or Rule 433 were received in a timely manner by the Commission.</w:t>
      </w:r>
    </w:p>
    <w:p>
      <w:pPr>
        <w:spacing w:after="0" w:line="189" w:lineRule="exact"/>
        <w:rPr>
          <w:rFonts w:ascii="Times New Roman" w:cs="Times New Roman" w:eastAsia="Times New Roman" w:hAnsi="Times New Roman"/>
          <w:sz w:val="18"/>
          <w:szCs w:val="18"/>
          <w:color w:val="auto"/>
        </w:rPr>
      </w:pPr>
    </w:p>
    <w:p>
      <w:pPr>
        <w:ind w:right="40" w:firstLine="436"/>
        <w:spacing w:after="0" w:line="269" w:lineRule="auto"/>
        <w:tabs>
          <w:tab w:leader="none" w:pos="685"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Amendments and Supplements to the Prospectus and Other Securities Act Matters</w:t>
      </w:r>
      <w:r>
        <w:rPr>
          <w:rFonts w:ascii="Times New Roman" w:cs="Times New Roman" w:eastAsia="Times New Roman" w:hAnsi="Times New Roman"/>
          <w:sz w:val="17"/>
          <w:szCs w:val="17"/>
          <w:color w:val="auto"/>
        </w:rPr>
        <w:t xml:space="preserve">.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to a purchaser, not misleading, or if in the opinion of the Agent or counsel for the Agent it is otherwise necessary to amend or supplement the Prospectus to comply with applicable law, including the Securities Act, the Company agrees (subject to </w:t>
      </w:r>
      <w:r>
        <w:rPr>
          <w:rFonts w:ascii="Times New Roman" w:cs="Times New Roman" w:eastAsia="Times New Roman" w:hAnsi="Times New Roman"/>
          <w:sz w:val="17"/>
          <w:szCs w:val="17"/>
          <w:u w:val="single" w:color="auto"/>
          <w:color w:val="auto"/>
        </w:rPr>
        <w:t>Section 4(d)</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4(f)</w:t>
      </w:r>
      <w:r>
        <w:rPr>
          <w:rFonts w:ascii="Times New Roman" w:cs="Times New Roman" w:eastAsia="Times New Roman" w:hAnsi="Times New Roman"/>
          <w:sz w:val="17"/>
          <w:szCs w:val="17"/>
          <w:color w:val="auto"/>
        </w:rPr>
        <w:t xml:space="preserve">) to promptly prepare, file with the Commission and furnish at its own expense to the Agent,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to a purchaser, be misleading or so that the Prospectus, as amended or supplemented, will comply with applicable law including the Securities Act. Neither the Agent’s consent to, or delivery of, any such amendment or supplement shall constitute a waiver of any of the Company’s obligations under </w:t>
      </w:r>
      <w:r>
        <w:rPr>
          <w:rFonts w:ascii="Times New Roman" w:cs="Times New Roman" w:eastAsia="Times New Roman" w:hAnsi="Times New Roman"/>
          <w:sz w:val="17"/>
          <w:szCs w:val="17"/>
          <w:u w:val="single" w:color="auto"/>
          <w:color w:val="auto"/>
        </w:rPr>
        <w:t>Section 4(d)</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4(f)</w:t>
      </w:r>
      <w:r>
        <w:rPr>
          <w:rFonts w:ascii="Times New Roman" w:cs="Times New Roman" w:eastAsia="Times New Roman" w:hAnsi="Times New Roman"/>
          <w:sz w:val="17"/>
          <w:szCs w:val="17"/>
          <w:color w:val="auto"/>
        </w:rPr>
        <w:t>. Notwithstanding the foregoing, the Company shall not be required to file such amendment or supplement if there is no pending Issuance Notice and the Company believes that it is in its best interest not to file such amendment or supplement; provided, however, the Company agrees not to provide an Issuance Notice or otherwise sell under this Agreement until such amendment or supplement is filed or it is determined that such amendment or supplement is no longer required.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70" w:right="439" w:bottom="1440" w:gutter="0" w:footer="0" w:header="0"/>
        </w:sectPr>
      </w:pPr>
    </w:p>
    <w:bookmarkStart w:id="82" w:name="page83"/>
    <w:bookmarkEnd w:id="82"/>
    <w:p>
      <w:pPr>
        <w:ind w:firstLine="436"/>
        <w:spacing w:after="0" w:line="255" w:lineRule="auto"/>
        <w:tabs>
          <w:tab w:leader="none" w:pos="69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Agent’s Review of Proposed Amendments and Supplements</w:t>
      </w:r>
      <w:r>
        <w:rPr>
          <w:rFonts w:ascii="Times New Roman" w:cs="Times New Roman" w:eastAsia="Times New Roman" w:hAnsi="Times New Roman"/>
          <w:sz w:val="18"/>
          <w:szCs w:val="18"/>
          <w:color w:val="auto"/>
        </w:rPr>
        <w:t>. Prior to amending or supplementing the Registration Statement (including any registration statement filed under Rule 462(b) under the Securities Act) or the Prospectus (excluding any amendment or supplement through incorporation of any report filed under the Exchange Act), other than any amendment or supplement that does not relate the sale of the Common Shares under this Agreement, the Company shall furnish to the Agent for review, a reasonable amount of time prior to the proposed time of filing or use thereof, a copy of each such proposed amendment or supplement, and the Company shall not file or use any such proposed amendment or supplement without the Agent’s prior consent, and to file with the Commission within the applicable period specified in Rule 424(b) under the Securities Act any prospectus required to be filed pursuant to such Rule.</w:t>
      </w:r>
    </w:p>
    <w:p>
      <w:pPr>
        <w:spacing w:after="0" w:line="188" w:lineRule="exact"/>
        <w:rPr>
          <w:rFonts w:ascii="Times New Roman" w:cs="Times New Roman" w:eastAsia="Times New Roman" w:hAnsi="Times New Roman"/>
          <w:sz w:val="18"/>
          <w:szCs w:val="18"/>
          <w:color w:val="auto"/>
        </w:rPr>
      </w:pPr>
    </w:p>
    <w:p>
      <w:pPr>
        <w:jc w:val="both"/>
        <w:ind w:right="80" w:firstLine="436"/>
        <w:spacing w:after="0" w:line="261" w:lineRule="auto"/>
        <w:tabs>
          <w:tab w:leader="none" w:pos="68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Free Writing Prospectus</w:t>
      </w:r>
      <w:r>
        <w:rPr>
          <w:rFonts w:ascii="Times New Roman" w:cs="Times New Roman" w:eastAsia="Times New Roman" w:hAnsi="Times New Roman"/>
          <w:sz w:val="18"/>
          <w:szCs w:val="18"/>
          <w:color w:val="auto"/>
        </w:rPr>
        <w:t>. Neither the Company nor the Agent has prepared, used, referred to or distributed, or will prepare, use, refer to or distribute, without the other party’s prior written consent, any “written communication” that constitutes a “free writing prospectus” as such terms are defined in Rule 405 under the Securities Act with respect to the offering contemplated by this Agreement (any such free writing prospectus being referred to herein as a “</w:t>
      </w:r>
      <w:r>
        <w:rPr>
          <w:rFonts w:ascii="Times New Roman" w:cs="Times New Roman" w:eastAsia="Times New Roman" w:hAnsi="Times New Roman"/>
          <w:sz w:val="18"/>
          <w:szCs w:val="18"/>
          <w:b w:val="1"/>
          <w:bCs w:val="1"/>
          <w:color w:val="auto"/>
        </w:rPr>
        <w:t>Free Writing Prospectus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20" w:firstLine="436"/>
        <w:spacing w:after="0" w:line="252" w:lineRule="auto"/>
        <w:tabs>
          <w:tab w:leader="none" w:pos="66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Free Writing Prospectuses</w:t>
      </w:r>
      <w:r>
        <w:rPr>
          <w:rFonts w:ascii="Times New Roman" w:cs="Times New Roman" w:eastAsia="Times New Roman" w:hAnsi="Times New Roman"/>
          <w:sz w:val="18"/>
          <w:szCs w:val="18"/>
          <w:color w:val="auto"/>
        </w:rPr>
        <w:t>. On and after August 12, 2024, when the Company is no longer an “ineligible issuer,” the Company shall furnish to the Agent for review, a reasonable amount of time prior to the proposed time of filing or use thereof, a copy of each proposed free writing prospectus or any amendment or supplement thereto to be prepared by or on behalf of, used by, or referred to by the Company and the Company shall not file, use or refer to any proposed free writing prospectus or any amendment or supplement thereto without the Agent’s consent, which consent shall not be unreasonably withheld, conditioned or delayed. The Company shall furnish to the Agent, without charge, as many copies of any free writing prospectus prepared by or on behalf of, or used by the Company, as the Agent may reasonably request. If at any time when a prospectus is required by the Securities Act (including, without limitation, pursuant to Rule 173(d)) to be delivered in connection with sales of the Shares (but in any event if at any time through and including the date of this Agreement)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subsequent time, not misleading, as the case may be; provided, however, that prior to amending or supplementing any such free writing prospectus, the Company shall furnish to the Agent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Agent’s consent, which consent shall not be unreasonably withheld, conditioned or delayed.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0"/>
          </w:cols>
          <w:pgMar w:left="440" w:top="270" w:right="439" w:bottom="1440" w:gutter="0" w:footer="0" w:header="0"/>
        </w:sectPr>
      </w:pPr>
    </w:p>
    <w:bookmarkStart w:id="83" w:name="page84"/>
    <w:bookmarkEnd w:id="83"/>
    <w:p>
      <w:pPr>
        <w:ind w:right="220" w:firstLine="436"/>
        <w:spacing w:after="0" w:line="266" w:lineRule="auto"/>
        <w:tabs>
          <w:tab w:leader="none" w:pos="69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Filing of Agent Free Writing Prospectuses</w:t>
      </w:r>
      <w:r>
        <w:rPr>
          <w:rFonts w:ascii="Times New Roman" w:cs="Times New Roman" w:eastAsia="Times New Roman" w:hAnsi="Times New Roman"/>
          <w:sz w:val="18"/>
          <w:szCs w:val="18"/>
          <w:color w:val="auto"/>
        </w:rPr>
        <w:t>. The Company shall not take any action that would result in the Agent or the Company being required to file with the Commission pursuant to Rule 433(d) under the Securities Act a free writing prospectus prepared by or on behalf of the Agent that the Agent otherwise would not have been required to file thereunder.</w:t>
      </w:r>
    </w:p>
    <w:p>
      <w:pPr>
        <w:spacing w:after="0" w:line="175" w:lineRule="exact"/>
        <w:rPr>
          <w:rFonts w:ascii="Times New Roman" w:cs="Times New Roman" w:eastAsia="Times New Roman" w:hAnsi="Times New Roman"/>
          <w:sz w:val="18"/>
          <w:szCs w:val="18"/>
          <w:color w:val="auto"/>
        </w:rPr>
      </w:pPr>
    </w:p>
    <w:p>
      <w:pPr>
        <w:ind w:right="60" w:firstLine="436"/>
        <w:spacing w:after="0" w:line="252" w:lineRule="auto"/>
        <w:tabs>
          <w:tab w:leader="none" w:pos="69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Copies of Registration Statement and Prospectus</w:t>
      </w:r>
      <w:r>
        <w:rPr>
          <w:rFonts w:ascii="Times New Roman" w:cs="Times New Roman" w:eastAsia="Times New Roman" w:hAnsi="Times New Roman"/>
          <w:sz w:val="18"/>
          <w:szCs w:val="18"/>
          <w:color w:val="auto"/>
        </w:rPr>
        <w:t>. After the date of this Agreement through the last time that a prospectus is required by the Securities Act (including, without limitation, pursuant to Rule 173(d)) to be delivered in connection with sales of the Shares, the Company agrees to furnish the Agent with copies (which may be electronic copies) of the Registration Statement and each amendment thereto, and with copies of the Prospectus and each amendment or supplement thereto in the form in which it is filed with the Commission pursuant to the Securities Act or Rule 424(b) under the Securities Act, both in such quantities as the Agent may reasonably request from time to time; and, if the delivery of a prospectus is required under the Securities Act or under the blue sky or securities laws of any jurisdiction at any time on or prior to the applicable Settlement Date for any period set forth in an Issuance Notice in connection with the offering or sale of the Shares and if at such time any event has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the Agent and to request that the Agent suspend offers to sell Shares (and, if so notified, the Agent shall cease such offers as soon as practicable); and if the Company decides to amend or supplement the Registration Statement or the Prospectus as then amended or supplemented, to advise the Agent promptly by telephone (with confirmation in writing) and to prepare and cause to be filed promptly with the Commission an amendment or supplement to the Registration Statement or the Prospectus as then amended or supplemented that will correct such statement or omission or effect such compliance; provided, however, that if during such same period the Agent is required to deliver a prospectus in respect of transactions in the Shares, the Company shall promptly prepare and file with the Commission such an amendment or supplement.</w:t>
      </w:r>
    </w:p>
    <w:p>
      <w:pPr>
        <w:spacing w:after="0" w:line="193" w:lineRule="exact"/>
        <w:rPr>
          <w:rFonts w:ascii="Times New Roman" w:cs="Times New Roman" w:eastAsia="Times New Roman" w:hAnsi="Times New Roman"/>
          <w:sz w:val="18"/>
          <w:szCs w:val="18"/>
          <w:color w:val="auto"/>
        </w:rPr>
      </w:pPr>
    </w:p>
    <w:p>
      <w:pPr>
        <w:ind w:firstLine="436"/>
        <w:spacing w:after="0" w:line="254" w:lineRule="auto"/>
        <w:tabs>
          <w:tab w:leader="none" w:pos="6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Blue Sky Compliance</w:t>
      </w:r>
      <w:r>
        <w:rPr>
          <w:rFonts w:ascii="Times New Roman" w:cs="Times New Roman" w:eastAsia="Times New Roman" w:hAnsi="Times New Roman"/>
          <w:sz w:val="18"/>
          <w:szCs w:val="18"/>
          <w:color w:val="auto"/>
        </w:rPr>
        <w:t>. The Company shall cooperate with the Agent and counsel for the Agent to qualify or register the Shares for sale under (or obtain exemptions from the application of) the state securities or blue sky laws or Canadian provincial securities laws of those jurisdictions designated by the Agent, shall comply with such laws and shall continue such qualifications, registrations and exemptions in effect so long as required for the distribution of the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its reasonable best efforts to obtain the withdrawal thereof as soon as practicable.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84" w:name="page85"/>
    <w:bookmarkEnd w:id="84"/>
    <w:p>
      <w:pPr>
        <w:ind w:left="-40" w:right="20" w:firstLine="436"/>
        <w:spacing w:after="0" w:line="261" w:lineRule="auto"/>
        <w:tabs>
          <w:tab w:leader="none" w:pos="61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Earnings Statement</w:t>
      </w:r>
      <w:r>
        <w:rPr>
          <w:rFonts w:ascii="Times New Roman" w:cs="Times New Roman" w:eastAsia="Times New Roman" w:hAnsi="Times New Roman"/>
          <w:sz w:val="18"/>
          <w:szCs w:val="18"/>
          <w:color w:val="auto"/>
        </w:rPr>
        <w:t>. As soon as reasonably practicable, the Company will make generally available to its security holders and to the Agent an earnings statement (which need not be audited) covering a period of at least twelve months beginning with the first fiscal quarter of the Company occurring after the date of this Agreement which shall satisfy the provisions of Section 11(a) of the Securities Act and Rule 158 under the Securities Act which requirement may be satisfied by publicly filing the required information on EDGAR.</w:t>
      </w:r>
    </w:p>
    <w:p>
      <w:pPr>
        <w:spacing w:after="0" w:line="179" w:lineRule="exact"/>
        <w:rPr>
          <w:rFonts w:ascii="Times New Roman" w:cs="Times New Roman" w:eastAsia="Times New Roman" w:hAnsi="Times New Roman"/>
          <w:sz w:val="18"/>
          <w:szCs w:val="18"/>
          <w:color w:val="auto"/>
        </w:rPr>
      </w:pPr>
    </w:p>
    <w:p>
      <w:pPr>
        <w:ind w:left="-40" w:right="80" w:firstLine="436"/>
        <w:spacing w:after="0" w:line="266" w:lineRule="auto"/>
        <w:tabs>
          <w:tab w:leader="none" w:pos="6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Reservation of Shares</w:t>
      </w:r>
      <w:r>
        <w:rPr>
          <w:rFonts w:ascii="Times New Roman" w:cs="Times New Roman" w:eastAsia="Times New Roman" w:hAnsi="Times New Roman"/>
          <w:sz w:val="18"/>
          <w:szCs w:val="18"/>
          <w:color w:val="auto"/>
        </w:rPr>
        <w:t>. (a) The Company will use its reasonable best efforts to maintain the listing of the Shares on the Principal Market; and (b) the Company will reserve and keep available at all times, free of preemptive rights, Shares for the purpose of enabling the Company to satisfy its obligations under this Agreement.</w:t>
      </w:r>
    </w:p>
    <w:p>
      <w:pPr>
        <w:spacing w:after="0" w:line="175" w:lineRule="exact"/>
        <w:rPr>
          <w:rFonts w:ascii="Times New Roman" w:cs="Times New Roman" w:eastAsia="Times New Roman" w:hAnsi="Times New Roman"/>
          <w:sz w:val="18"/>
          <w:szCs w:val="18"/>
          <w:color w:val="auto"/>
        </w:rPr>
      </w:pPr>
    </w:p>
    <w:p>
      <w:pPr>
        <w:ind w:left="620" w:hanging="224"/>
        <w:spacing w:after="0"/>
        <w:tabs>
          <w:tab w:leader="none" w:pos="6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The Company shall engage and maintain, at its expense, a registrar and transfer agent for the Shares.</w:t>
      </w:r>
    </w:p>
    <w:p>
      <w:pPr>
        <w:spacing w:after="0" w:line="225" w:lineRule="exact"/>
        <w:rPr>
          <w:rFonts w:ascii="Times New Roman" w:cs="Times New Roman" w:eastAsia="Times New Roman" w:hAnsi="Times New Roman"/>
          <w:sz w:val="18"/>
          <w:szCs w:val="18"/>
          <w:color w:val="auto"/>
        </w:rPr>
      </w:pPr>
    </w:p>
    <w:p>
      <w:pPr>
        <w:ind w:left="-40" w:right="120" w:firstLine="436"/>
        <w:spacing w:after="0" w:line="261" w:lineRule="auto"/>
        <w:tabs>
          <w:tab w:leader="none" w:pos="70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Diligence</w:t>
      </w:r>
      <w:r>
        <w:rPr>
          <w:rFonts w:ascii="Times New Roman" w:cs="Times New Roman" w:eastAsia="Times New Roman" w:hAnsi="Times New Roman"/>
          <w:sz w:val="18"/>
          <w:szCs w:val="18"/>
          <w:color w:val="auto"/>
        </w:rPr>
        <w:t>. During the term of this Agreement, the Company will reasonably cooperate with any reasonable due diligence review conducted by the Agent in connection with the transactions contemplated hereby, including, without limitation, providing information and making available documents and senior corporate officers, during normal business hours and at the Company’s principal offices, or virtually, as the Agent may reasonably request from time to time.</w:t>
      </w:r>
    </w:p>
    <w:p>
      <w:pPr>
        <w:spacing w:after="0" w:line="179" w:lineRule="exact"/>
        <w:rPr>
          <w:rFonts w:ascii="Times New Roman" w:cs="Times New Roman" w:eastAsia="Times New Roman" w:hAnsi="Times New Roman"/>
          <w:sz w:val="18"/>
          <w:szCs w:val="18"/>
          <w:color w:val="auto"/>
        </w:rPr>
      </w:pPr>
    </w:p>
    <w:p>
      <w:pPr>
        <w:ind w:left="-40" w:firstLine="436"/>
        <w:spacing w:after="0" w:line="273" w:lineRule="auto"/>
        <w:tabs>
          <w:tab w:leader="none" w:pos="655"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Warranties</w:t>
      </w:r>
      <w:r>
        <w:rPr>
          <w:rFonts w:ascii="Times New Roman" w:cs="Times New Roman" w:eastAsia="Times New Roman" w:hAnsi="Times New Roman"/>
          <w:sz w:val="17"/>
          <w:szCs w:val="17"/>
          <w:color w:val="auto"/>
        </w:rPr>
        <w:t>. The Company acknowledges that each delivery of an Issuance Notice and each delivery of Shares on a Settlement Date shall be deemed to be (i) an affirmation to the Agent that the representations and warranties of the Company contained in or made pursuant to this Agreement are true and correct as of the date of such Issuance Notice or of such Settlement Date, as the case may be, as though made at and as of each such date, except as may be disclosed in the Prospectus (including any documents incorporated by reference therein and any supplements thereto); and (ii) an undertaking that the Company will advise the Agent if any of such representations and warranties will not be true and correct as of the Settlement Date for the Shares relating to such Issuance Notice, as though made at and as of each such date (except that such representations and warranties shall be deemed to relate to the Registration Statement and the Prospectus as amended and supplemented relating to such Shares).</w:t>
      </w:r>
    </w:p>
    <w:p>
      <w:pPr>
        <w:spacing w:after="0" w:line="171" w:lineRule="exact"/>
        <w:rPr>
          <w:rFonts w:ascii="Times New Roman" w:cs="Times New Roman" w:eastAsia="Times New Roman" w:hAnsi="Times New Roman"/>
          <w:sz w:val="17"/>
          <w:szCs w:val="17"/>
          <w:color w:val="auto"/>
        </w:rPr>
      </w:pPr>
    </w:p>
    <w:p>
      <w:pPr>
        <w:ind w:left="-40" w:right="140" w:firstLine="436"/>
        <w:spacing w:after="0" w:line="282" w:lineRule="auto"/>
        <w:tabs>
          <w:tab w:leader="none" w:pos="6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Deliverables at Triggering Event Dates; Certificates</w:t>
      </w:r>
      <w:r>
        <w:rPr>
          <w:rFonts w:ascii="Times New Roman" w:cs="Times New Roman" w:eastAsia="Times New Roman" w:hAnsi="Times New Roman"/>
          <w:sz w:val="18"/>
          <w:szCs w:val="18"/>
          <w:color w:val="auto"/>
        </w:rPr>
        <w:t>. The Company agrees that on or prior to the date of the first Issuance Notice and, during the term of this Agreement after the date of the first Issuance Notice, upon:</w:t>
      </w:r>
    </w:p>
    <w:p>
      <w:pPr>
        <w:spacing w:after="0" w:line="54" w:lineRule="exact"/>
        <w:rPr>
          <w:sz w:val="20"/>
          <w:szCs w:val="20"/>
          <w:color w:val="auto"/>
        </w:rPr>
      </w:pPr>
    </w:p>
    <w:p>
      <w:pPr>
        <w:ind w:left="-40" w:right="20" w:firstLine="436"/>
        <w:spacing w:after="0" w:line="289" w:lineRule="auto"/>
        <w:tabs>
          <w:tab w:leader="none" w:pos="695"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filing of the Prospectus or the amendment or supplement of any Registration Statement or Prospectus (other than a prospectus supplement relating solely to an offering of securities other than the Shares or a prospectus filed pursuant to </w:t>
      </w:r>
      <w:r>
        <w:rPr>
          <w:rFonts w:ascii="Times New Roman" w:cs="Times New Roman" w:eastAsia="Times New Roman" w:hAnsi="Times New Roman"/>
          <w:sz w:val="17"/>
          <w:szCs w:val="17"/>
          <w:u w:val="single" w:color="auto"/>
          <w:color w:val="auto"/>
        </w:rPr>
        <w:t>Section 4(a)(ii)(B)</w:t>
      </w:r>
      <w:r>
        <w:rPr>
          <w:rFonts w:ascii="Times New Roman" w:cs="Times New Roman" w:eastAsia="Times New Roman" w:hAnsi="Times New Roman"/>
          <w:sz w:val="17"/>
          <w:szCs w:val="17"/>
          <w:color w:val="auto"/>
        </w:rPr>
        <w:t>), by means of a post-effective amendment, sticker or supplement, but not by means of incorporation of documents by reference into the Registration Statement or Prospectus;</w:t>
      </w:r>
    </w:p>
    <w:p>
      <w:pPr>
        <w:spacing w:after="0" w:line="157" w:lineRule="exact"/>
        <w:rPr>
          <w:rFonts w:ascii="Times New Roman" w:cs="Times New Roman" w:eastAsia="Times New Roman" w:hAnsi="Times New Roman"/>
          <w:sz w:val="17"/>
          <w:szCs w:val="17"/>
          <w:color w:val="auto"/>
        </w:rPr>
      </w:pPr>
    </w:p>
    <w:p>
      <w:pPr>
        <w:jc w:val="both"/>
        <w:ind w:left="-40" w:right="200" w:firstLine="436"/>
        <w:spacing w:after="0" w:line="266" w:lineRule="auto"/>
        <w:tabs>
          <w:tab w:leader="none" w:pos="68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with the Commission of an annual report on Form 10-K or a quarterly report on Form 10-Q (including any Form 10-K/A or Form 10-Q/A containing amended financial information or a material amendment to the previously filed annual report on Form 10-K or quarterly report on Form 10-Q), in each case, of the Company; 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20"/>
          </w:cols>
          <w:pgMar w:left="480" w:top="270" w:right="499" w:bottom="1440" w:gutter="0" w:footer="0" w:header="0"/>
        </w:sectPr>
      </w:pPr>
    </w:p>
    <w:bookmarkStart w:id="85" w:name="page86"/>
    <w:bookmarkEnd w:id="85"/>
    <w:p>
      <w:pPr>
        <w:ind w:left="4" w:right="600" w:firstLine="436"/>
        <w:spacing w:after="0" w:line="261" w:lineRule="auto"/>
        <w:tabs>
          <w:tab w:leader="none" w:pos="72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filing with the Commission of a current report on Form 8-K of the Company containing amended financial information (other than information “furnished” pursuant to Item 2.02 or 7.01 of Form 8-K or to provide disclosure pursuant to Item 8.01 of Form 8-K relating to reclassification of certain properties as discontinued operations in accordance with Statement of Financial Accounting Standards No. 144) that is material to the offering of securities of the Company in the Agent’s reasonable discretion;</w:t>
      </w:r>
    </w:p>
    <w:p>
      <w:pPr>
        <w:spacing w:after="0" w:line="176" w:lineRule="exact"/>
        <w:rPr>
          <w:sz w:val="20"/>
          <w:szCs w:val="20"/>
          <w:color w:val="auto"/>
        </w:rPr>
      </w:pPr>
    </w:p>
    <w:p>
      <w:pPr>
        <w:ind w:left="4" w:right="120"/>
        <w:spacing w:after="0" w:line="254" w:lineRule="auto"/>
        <w:rPr>
          <w:sz w:val="20"/>
          <w:szCs w:val="20"/>
          <w:color w:val="auto"/>
        </w:rPr>
      </w:pPr>
      <w:r>
        <w:rPr>
          <w:rFonts w:ascii="Times New Roman" w:cs="Times New Roman" w:eastAsia="Times New Roman" w:hAnsi="Times New Roman"/>
          <w:sz w:val="18"/>
          <w:szCs w:val="18"/>
          <w:color w:val="auto"/>
        </w:rPr>
        <w:t>(any such event, a “</w:t>
      </w:r>
      <w:r>
        <w:rPr>
          <w:rFonts w:ascii="Times New Roman" w:cs="Times New Roman" w:eastAsia="Times New Roman" w:hAnsi="Times New Roman"/>
          <w:sz w:val="18"/>
          <w:szCs w:val="18"/>
          <w:b w:val="1"/>
          <w:bCs w:val="1"/>
          <w:color w:val="auto"/>
        </w:rPr>
        <w:t>Triggering Event Date</w:t>
      </w:r>
      <w:r>
        <w:rPr>
          <w:rFonts w:ascii="Times New Roman" w:cs="Times New Roman" w:eastAsia="Times New Roman" w:hAnsi="Times New Roman"/>
          <w:sz w:val="18"/>
          <w:szCs w:val="18"/>
          <w:color w:val="auto"/>
        </w:rPr>
        <w:t xml:space="preserve">”), the Company shall furnish the Agent (but in the case of clause (C) above only if the Agent reasonably determines that the information contained in such current report on Form 8-K of the Company is material) with a certificate as of the Triggering Event Date, in the form and substance satisfactory to the Agent and its counsel, substantially similar to the form previously provided to the Agent and its counsel, modified, as necessary, to relate to the Registration Statement and the Prospectus as amended or supplemented, (A) confirming that the representations and warranties of the Company contained in this Agreement are true and correct, (B) confirming that the Company has performed all of its obligations hereunder to be performed on or prior to the date of such certificate and as to the matters set forth in </w:t>
      </w:r>
      <w:r>
        <w:rPr>
          <w:rFonts w:ascii="Times New Roman" w:cs="Times New Roman" w:eastAsia="Times New Roman" w:hAnsi="Times New Roman"/>
          <w:sz w:val="18"/>
          <w:szCs w:val="18"/>
          <w:u w:val="single" w:color="auto"/>
          <w:color w:val="auto"/>
        </w:rPr>
        <w:t>Section 5(a)(iii)</w:t>
      </w:r>
      <w:r>
        <w:rPr>
          <w:rFonts w:ascii="Times New Roman" w:cs="Times New Roman" w:eastAsia="Times New Roman" w:hAnsi="Times New Roman"/>
          <w:sz w:val="18"/>
          <w:szCs w:val="18"/>
          <w:color w:val="auto"/>
        </w:rPr>
        <w:t xml:space="preserve"> hereof, and</w:t>
      </w:r>
    </w:p>
    <w:p>
      <w:pPr>
        <w:spacing w:after="0" w:line="4" w:lineRule="exact"/>
        <w:rPr>
          <w:sz w:val="20"/>
          <w:szCs w:val="20"/>
          <w:color w:val="auto"/>
        </w:rPr>
      </w:pPr>
    </w:p>
    <w:p>
      <w:pPr>
        <w:ind w:left="4" w:hanging="4"/>
        <w:spacing w:after="0" w:line="250" w:lineRule="auto"/>
        <w:tabs>
          <w:tab w:leader="none" w:pos="28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containing any other certification that the Agent shall reasonably request. The requirement to provide a certificate under this </w:t>
      </w:r>
      <w:r>
        <w:rPr>
          <w:rFonts w:ascii="Times New Roman" w:cs="Times New Roman" w:eastAsia="Times New Roman" w:hAnsi="Times New Roman"/>
          <w:sz w:val="18"/>
          <w:szCs w:val="18"/>
          <w:u w:val="single" w:color="auto"/>
          <w:color w:val="auto"/>
        </w:rPr>
        <w:t>Section 4(o)</w:t>
      </w:r>
      <w:r>
        <w:rPr>
          <w:rFonts w:ascii="Times New Roman" w:cs="Times New Roman" w:eastAsia="Times New Roman" w:hAnsi="Times New Roman"/>
          <w:sz w:val="18"/>
          <w:szCs w:val="18"/>
          <w:color w:val="auto"/>
        </w:rPr>
        <w:t xml:space="preserve"> shall be waived for any Triggering Event Date occurring at a time when no Issuance Notice is pending or a suspension is in effect, which waiver shall continue until the earlier to occur of the date the Company delivers instructions for the sale of Shares hereunder (which for such calendar quarter shall be considered a Triggering Event Date) and the next occurring Triggering Event Date. Notwithstanding the foregoing, if the Company subsequently decides to sell Shares following a Triggering Event Date when a suspension was in effect and did not provide the Agent with a certificate under this</w:t>
      </w:r>
    </w:p>
    <w:p>
      <w:pPr>
        <w:spacing w:after="0" w:line="1" w:lineRule="exact"/>
        <w:rPr>
          <w:rFonts w:ascii="Times New Roman" w:cs="Times New Roman" w:eastAsia="Times New Roman" w:hAnsi="Times New Roman"/>
          <w:sz w:val="18"/>
          <w:szCs w:val="18"/>
          <w:color w:val="auto"/>
        </w:rPr>
      </w:pPr>
    </w:p>
    <w:p>
      <w:pPr>
        <w:ind w:left="4" w:right="2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4(o)</w:t>
      </w:r>
      <w:r>
        <w:rPr>
          <w:rFonts w:ascii="Times New Roman" w:cs="Times New Roman" w:eastAsia="Times New Roman" w:hAnsi="Times New Roman"/>
          <w:sz w:val="18"/>
          <w:szCs w:val="18"/>
          <w:color w:val="auto"/>
        </w:rPr>
        <w:t xml:space="preserve">, then before the Company delivers the instructions for the sale of Shares or the Agent sells any Shares pursuant to such instructions, the Company shall provide the Agent with a certificate in conformity with this </w:t>
      </w:r>
      <w:r>
        <w:rPr>
          <w:rFonts w:ascii="Times New Roman" w:cs="Times New Roman" w:eastAsia="Times New Roman" w:hAnsi="Times New Roman"/>
          <w:sz w:val="18"/>
          <w:szCs w:val="18"/>
          <w:u w:val="single" w:color="auto"/>
          <w:color w:val="auto"/>
        </w:rPr>
        <w:t>Section 4(o)</w:t>
      </w:r>
      <w:r>
        <w:rPr>
          <w:rFonts w:ascii="Times New Roman" w:cs="Times New Roman" w:eastAsia="Times New Roman" w:hAnsi="Times New Roman"/>
          <w:sz w:val="18"/>
          <w:szCs w:val="18"/>
          <w:color w:val="auto"/>
        </w:rPr>
        <w:t xml:space="preserve"> dated as of the date that the instructions for the sale of Shares are issued.</w:t>
      </w:r>
    </w:p>
    <w:p>
      <w:pPr>
        <w:spacing w:after="0" w:line="185" w:lineRule="exact"/>
        <w:rPr>
          <w:rFonts w:ascii="Times New Roman" w:cs="Times New Roman" w:eastAsia="Times New Roman" w:hAnsi="Times New Roman"/>
          <w:sz w:val="18"/>
          <w:szCs w:val="18"/>
          <w:color w:val="auto"/>
        </w:rPr>
      </w:pPr>
    </w:p>
    <w:p>
      <w:pPr>
        <w:ind w:left="4" w:right="40" w:firstLine="436"/>
        <w:spacing w:after="0" w:line="254" w:lineRule="auto"/>
        <w:tabs>
          <w:tab w:leader="none" w:pos="699"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Opinions</w:t>
      </w:r>
      <w:r>
        <w:rPr>
          <w:rFonts w:ascii="Times New Roman" w:cs="Times New Roman" w:eastAsia="Times New Roman" w:hAnsi="Times New Roman"/>
          <w:sz w:val="18"/>
          <w:szCs w:val="18"/>
          <w:color w:val="auto"/>
        </w:rPr>
        <w:t xml:space="preserve">. On or prior to the date of the first Issuance Notice and on each Triggering Event Date with respect to which the Company is obligated to deliver a certificate pursuant to </w:t>
      </w:r>
      <w:r>
        <w:rPr>
          <w:rFonts w:ascii="Times New Roman" w:cs="Times New Roman" w:eastAsia="Times New Roman" w:hAnsi="Times New Roman"/>
          <w:sz w:val="18"/>
          <w:szCs w:val="18"/>
          <w:u w:val="single" w:color="auto"/>
          <w:color w:val="auto"/>
        </w:rPr>
        <w:t>Section 4(o)</w:t>
      </w:r>
      <w:r>
        <w:rPr>
          <w:rFonts w:ascii="Times New Roman" w:cs="Times New Roman" w:eastAsia="Times New Roman" w:hAnsi="Times New Roman"/>
          <w:sz w:val="18"/>
          <w:szCs w:val="18"/>
          <w:color w:val="auto"/>
        </w:rPr>
        <w:t xml:space="preserve"> for which no waiver is applicable and excluding the date of this Agreement, a negative assurances letter and the written legal opinion of Goodwin Procter LLP, counsel to the Company, and intellectual property counsel to the Company, each dated the date of delivery, in form and substance reasonably satisfactory to Agent and its counsel, substantially similar to the form previously provided to the Agent and its counsel, modified, as necessary, to relate to the Registration Statement and the Prospectus as then amended or supplemented. In lieu of such opinions for subsequent periodic filings, in the discretion of the Agent, the Company may furnish a reliance letter from such counsel to the Agent, permitting the Agent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4"/>
          </w:cols>
          <w:pgMar w:left="436" w:top="270" w:right="439" w:bottom="1440" w:gutter="0" w:footer="0" w:header="0"/>
        </w:sectPr>
      </w:pPr>
    </w:p>
    <w:bookmarkStart w:id="86" w:name="page87"/>
    <w:bookmarkEnd w:id="86"/>
    <w:p>
      <w:pPr>
        <w:ind w:left="4" w:right="40" w:firstLine="436"/>
        <w:spacing w:after="0" w:line="253" w:lineRule="auto"/>
        <w:tabs>
          <w:tab w:leader="none" w:pos="699"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Comfort Letter</w:t>
      </w:r>
      <w:r>
        <w:rPr>
          <w:rFonts w:ascii="Times New Roman" w:cs="Times New Roman" w:eastAsia="Times New Roman" w:hAnsi="Times New Roman"/>
          <w:sz w:val="18"/>
          <w:szCs w:val="18"/>
          <w:color w:val="auto"/>
        </w:rPr>
        <w:t xml:space="preserve">. On or prior to the date of the first Issuance Notice and on each Triggering Event Date with respect to which the Company is obligated to deliver a certificate pursuant to </w:t>
      </w:r>
      <w:r>
        <w:rPr>
          <w:rFonts w:ascii="Times New Roman" w:cs="Times New Roman" w:eastAsia="Times New Roman" w:hAnsi="Times New Roman"/>
          <w:sz w:val="18"/>
          <w:szCs w:val="18"/>
          <w:u w:val="single" w:color="auto"/>
          <w:color w:val="auto"/>
        </w:rPr>
        <w:t>Section 4(o)</w:t>
      </w:r>
      <w:r>
        <w:rPr>
          <w:rFonts w:ascii="Times New Roman" w:cs="Times New Roman" w:eastAsia="Times New Roman" w:hAnsi="Times New Roman"/>
          <w:sz w:val="18"/>
          <w:szCs w:val="18"/>
          <w:color w:val="auto"/>
        </w:rPr>
        <w:t xml:space="preserve"> for which no waiver is applicable and excluding the date of this Agreement, the Company shall cause PricewaterhouseCoopers LLP, the independent registered public accounting firm who has audited the financial statements included or incorporated by reference in the Registration Statement, to furnish the Agent a comfort letter, dated the date of delivery, in form and substance reasonably satisfactory to the Agent and its counsel, substantially similar to the form previously provided to the Agent and its counsel; provided, however, that any such comfort letter will only be required on the Triggering Event Date specified to the extent that it contains financial statements filed with the Commission under the Exchange Act and incorporated or deemed to be incorporated by reference into a Prospectus. If requested by the Agent, the Company shall also cause a comfort letter to be furnished to the Agent promptly following the date of occurrence of any material transaction or event requiring the filing of a current report on Form 8-K containing material amended financial information of the Company, including the restatement of the Company’s financial statements. The Company shall be required to furnish no more than one comfort letter hereunder per each filing of an annual report on Form 10-K or a quarterly report on Form 10-Q.</w:t>
      </w:r>
    </w:p>
    <w:p>
      <w:pPr>
        <w:spacing w:after="0" w:line="191" w:lineRule="exact"/>
        <w:rPr>
          <w:rFonts w:ascii="Times New Roman" w:cs="Times New Roman" w:eastAsia="Times New Roman" w:hAnsi="Times New Roman"/>
          <w:sz w:val="18"/>
          <w:szCs w:val="18"/>
          <w:color w:val="auto"/>
        </w:rPr>
      </w:pPr>
    </w:p>
    <w:p>
      <w:pPr>
        <w:ind w:left="4" w:firstLine="436"/>
        <w:spacing w:after="0" w:line="257" w:lineRule="auto"/>
        <w:tabs>
          <w:tab w:leader="none" w:pos="669"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 On or prior to the date of the first Issuance Notice and on or prior to each Triggering Event Date with respect to which the Company is obligated to deliver a certificate pursuant to Section 4(o) for which no waiver is applicable and excluding the date of this Agreement, the Company shall furnish the Agent a certificate executed by the Secretary of the Company, signing in such capacity, dated the date of delivery</w:t>
      </w:r>
    </w:p>
    <w:p>
      <w:pPr>
        <w:spacing w:after="0" w:line="1" w:lineRule="exact"/>
        <w:rPr>
          <w:rFonts w:ascii="Times New Roman" w:cs="Times New Roman" w:eastAsia="Times New Roman" w:hAnsi="Times New Roman"/>
          <w:sz w:val="18"/>
          <w:szCs w:val="18"/>
          <w:color w:val="auto"/>
        </w:rPr>
      </w:pPr>
    </w:p>
    <w:p>
      <w:pPr>
        <w:ind w:left="4" w:hanging="4"/>
        <w:spacing w:after="0" w:line="253" w:lineRule="auto"/>
        <w:tabs>
          <w:tab w:leader="none" w:pos="21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certifying that attached thereto are true and complete copies of the resolutions duly adopted by the Board of Directors of the Company authorizing the execution and delivery of this Agreement and the consummation of the transactions contemplated hereby (including, without limitation, the issuance of the Shares pursuant to this Agreement), which authorization shall be in full force and effect on and as of the date of such certificate, (ii) certifying and attesting to the office, incumbency, due authority and specimen signatures of each Person who executed this Agreement for or on behalf of the Company, and (iii) containing any other certification that the Agent shall reasonably request.</w:t>
      </w:r>
    </w:p>
    <w:p>
      <w:pPr>
        <w:spacing w:after="0" w:line="186" w:lineRule="exact"/>
        <w:rPr>
          <w:rFonts w:ascii="Times New Roman" w:cs="Times New Roman" w:eastAsia="Times New Roman" w:hAnsi="Times New Roman"/>
          <w:sz w:val="18"/>
          <w:szCs w:val="18"/>
          <w:color w:val="auto"/>
        </w:rPr>
      </w:pPr>
    </w:p>
    <w:p>
      <w:pPr>
        <w:ind w:left="4" w:right="380" w:firstLine="436"/>
        <w:spacing w:after="0" w:line="312" w:lineRule="auto"/>
        <w:tabs>
          <w:tab w:leader="none" w:pos="679"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Agent’s Own Account; Clients’ Account</w:t>
      </w:r>
      <w:r>
        <w:rPr>
          <w:rFonts w:ascii="Times New Roman" w:cs="Times New Roman" w:eastAsia="Times New Roman" w:hAnsi="Times New Roman"/>
          <w:sz w:val="17"/>
          <w:szCs w:val="17"/>
          <w:color w:val="auto"/>
        </w:rPr>
        <w:t>. The Company consents to the Agent trading, in compliance with applicable law, in the Common Shares for the Agent’s own account and for the account of its clients at the same time as sales of the Shares occur pursuant to this Agreement.</w:t>
      </w:r>
    </w:p>
    <w:p>
      <w:pPr>
        <w:spacing w:after="0" w:line="139" w:lineRule="exact"/>
        <w:rPr>
          <w:rFonts w:ascii="Times New Roman" w:cs="Times New Roman" w:eastAsia="Times New Roman" w:hAnsi="Times New Roman"/>
          <w:sz w:val="17"/>
          <w:szCs w:val="17"/>
          <w:color w:val="auto"/>
        </w:rPr>
      </w:pPr>
    </w:p>
    <w:p>
      <w:pPr>
        <w:ind w:left="4" w:right="280" w:firstLine="436"/>
        <w:spacing w:after="0" w:line="282" w:lineRule="auto"/>
        <w:tabs>
          <w:tab w:leader="none" w:pos="659"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Limitation</w:t>
      </w:r>
      <w:r>
        <w:rPr>
          <w:rFonts w:ascii="Times New Roman" w:cs="Times New Roman" w:eastAsia="Times New Roman" w:hAnsi="Times New Roman"/>
          <w:sz w:val="18"/>
          <w:szCs w:val="18"/>
          <w:color w:val="auto"/>
        </w:rPr>
        <w:t>. The Company shall not invest, or otherwise use the proceeds received by the Company from its sale of the Shares in such a manner as would require the Company or any of its subsidiaries to register as an investment company under the Investment Company Act.</w:t>
      </w:r>
    </w:p>
    <w:p>
      <w:pPr>
        <w:spacing w:after="0" w:line="161" w:lineRule="exact"/>
        <w:rPr>
          <w:rFonts w:ascii="Times New Roman" w:cs="Times New Roman" w:eastAsia="Times New Roman" w:hAnsi="Times New Roman"/>
          <w:sz w:val="18"/>
          <w:szCs w:val="18"/>
          <w:color w:val="auto"/>
        </w:rPr>
      </w:pPr>
    </w:p>
    <w:p>
      <w:pPr>
        <w:ind w:left="4" w:right="120" w:firstLine="436"/>
        <w:spacing w:after="0" w:line="261" w:lineRule="auto"/>
        <w:tabs>
          <w:tab w:leader="none" w:pos="699"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Activities</w:t>
      </w:r>
      <w:r>
        <w:rPr>
          <w:rFonts w:ascii="Times New Roman" w:cs="Times New Roman" w:eastAsia="Times New Roman" w:hAnsi="Times New Roman"/>
          <w:sz w:val="18"/>
          <w:szCs w:val="18"/>
          <w:color w:val="auto"/>
        </w:rPr>
        <w:t>. The Company will not take, directly or indirectly, any action designed to or that might be reasonably expected to cause or result in stabilization or manipulation of the price of the Shares or any other reference security, whether to facilitate the sale or resale of the Shares or otherwise, and the Company will, and shall use commercially reasonable efforts to cause each of its Affiliates to, comply with all applicable provisions of Regulation M. If the limitations of Rule 102 of Regulation M (“</w:t>
      </w:r>
      <w:r>
        <w:rPr>
          <w:rFonts w:ascii="Times New Roman" w:cs="Times New Roman" w:eastAsia="Times New Roman" w:hAnsi="Times New Roman"/>
          <w:sz w:val="18"/>
          <w:szCs w:val="18"/>
          <w:b w:val="1"/>
          <w:bCs w:val="1"/>
          <w:color w:val="auto"/>
        </w:rPr>
        <w:t>Rule 102</w:t>
      </w:r>
      <w:r>
        <w:rPr>
          <w:rFonts w:ascii="Times New Roman" w:cs="Times New Roman" w:eastAsia="Times New Roman" w:hAnsi="Times New Roman"/>
          <w:sz w:val="18"/>
          <w:szCs w:val="18"/>
          <w:color w:val="auto"/>
        </w:rPr>
        <w:t>”) do not apply with respect to the Shares or</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4"/>
          </w:cols>
          <w:pgMar w:left="436" w:top="270" w:right="459" w:bottom="1440" w:gutter="0" w:footer="0" w:header="0"/>
        </w:sectPr>
      </w:pPr>
    </w:p>
    <w:bookmarkStart w:id="87" w:name="page88"/>
    <w:bookmarkEnd w:id="87"/>
    <w:p>
      <w:pPr>
        <w:ind w:left="4"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other reference security pursuant to any exception set forth in Section (d) of Rule 102, then promptly upon notice from the Agent (or, if later, at the time stated in the notice), the Company will, and shall use commercially reasonable efforts to cause each of its Affiliates to, comply with Rule 102 as though such exception were not available but the other provisions of Rule 102 (as interpreted by the Commission) did apply. The Company shall promptly notify the Agent if it no longer meets the requirements set forth in Section (d) of Rule 102.</w:t>
      </w:r>
    </w:p>
    <w:p>
      <w:pPr>
        <w:spacing w:after="0" w:line="180" w:lineRule="exact"/>
        <w:rPr>
          <w:sz w:val="20"/>
          <w:szCs w:val="20"/>
          <w:color w:val="auto"/>
        </w:rPr>
      </w:pPr>
    </w:p>
    <w:p>
      <w:pPr>
        <w:ind w:left="4" w:firstLine="436"/>
        <w:spacing w:after="0" w:line="267" w:lineRule="auto"/>
        <w:tabs>
          <w:tab w:leader="none" w:pos="699"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of Other Sale</w:t>
      </w:r>
      <w:r>
        <w:rPr>
          <w:rFonts w:ascii="Times New Roman" w:cs="Times New Roman" w:eastAsia="Times New Roman" w:hAnsi="Times New Roman"/>
          <w:sz w:val="17"/>
          <w:szCs w:val="17"/>
          <w:color w:val="auto"/>
        </w:rPr>
        <w:t>. Without the written consent of the Agent, the Company will not, directly or indirectly, offer to sell, sell, contract to sell, grant any option to sell or otherwise dispose of any Common Shares or securities convertible into or exchangeable for Common Shares (other than Shares hereunder), warrants or any rights to purchase or acquire Common Shares, or effect a reverse stock split, recapitalization, share consolidation, reclassification or similar transaction affecting the outstanding Common Shares, during the period beginning on the third Trading Day immediately prior to the date on which any Issuance Notice is delivered to the Agent hereunder and ending on the third Trading Day immediately following the Settlement Date with respect to Shares sold pursuant to such Issuance Notice; and will not directly or indirectly enter into any other “at the market” or continuous equity transaction offer to sell, sell, contract to sell, grant any option to sell or otherwise dispose of any Common Shares (other than the Shares offered pursuant to this Agreement) or securities convertible into or exchangeable for Common Shares, warrants or any rights to purchase or acquire, Common Shares prior to the termination of this Agreement; provided, however, that such restrictions will not be required in connection with the Company’s</w:t>
      </w:r>
    </w:p>
    <w:p>
      <w:pPr>
        <w:spacing w:after="0" w:line="5" w:lineRule="exact"/>
        <w:rPr>
          <w:rFonts w:ascii="Times New Roman" w:cs="Times New Roman" w:eastAsia="Times New Roman" w:hAnsi="Times New Roman"/>
          <w:sz w:val="17"/>
          <w:szCs w:val="17"/>
          <w:color w:val="auto"/>
        </w:rPr>
      </w:pPr>
    </w:p>
    <w:p>
      <w:pPr>
        <w:ind w:left="4" w:right="20" w:hanging="4"/>
        <w:spacing w:after="0" w:line="252" w:lineRule="auto"/>
        <w:tabs>
          <w:tab w:leader="none" w:pos="21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or sale of Common Shares, options to purchase Common Shares or Common Shares issuable upon the exercise of options or other equity awards pursuant to any employee or director share option, incentive or benefit plan, share purchase or ownership plan, long-term incentive plan, dividend reinvestment plan, inducement award under Nasdaq rules or other compensation plan of the Company or its subsidiaries, as in effect on the date of this Agreement, (ii) issuance or sale of Common Shares issuable upon exchange, conversion or redemption of securities or the exercise or vesting of warrants, options or other equity awards outstanding at the date of this Agreement, and (iii) modification of any outstanding options, warrants of any rights to purchase or acquire Common Shares.</w:t>
      </w:r>
    </w:p>
    <w:p>
      <w:pPr>
        <w:spacing w:after="0" w:line="1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5. CONDITIONS TO DELIVERY OF ISSUANCE NOTICES AND TO SETTLEMENT</w:t>
      </w:r>
    </w:p>
    <w:p>
      <w:pPr>
        <w:spacing w:after="0" w:line="229" w:lineRule="exact"/>
        <w:rPr>
          <w:sz w:val="20"/>
          <w:szCs w:val="20"/>
          <w:color w:val="auto"/>
        </w:rPr>
      </w:pPr>
    </w:p>
    <w:p>
      <w:pPr>
        <w:ind w:left="4" w:right="40" w:firstLine="436"/>
        <w:spacing w:after="0" w:line="261" w:lineRule="auto"/>
        <w:tabs>
          <w:tab w:leader="none" w:pos="68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Precedent to the Right of the Company to Deliver an Issuance Notice and the Obligation of the Agent to Sell Shares</w:t>
      </w:r>
      <w:r>
        <w:rPr>
          <w:rFonts w:ascii="Times New Roman" w:cs="Times New Roman" w:eastAsia="Times New Roman" w:hAnsi="Times New Roman"/>
          <w:sz w:val="18"/>
          <w:szCs w:val="18"/>
          <w:color w:val="auto"/>
        </w:rPr>
        <w:t>. The right of the Company to deliver an Issuance Notice hereunder is subject to the satisfaction, on the date of delivery of such Issuance Notice, and the obligation of the Agent to use its commercially reasonable efforts to place Shares during the applicable period set forth in the Issuance Notice is subject to the satisfaction, on each Trading Day during the applicable period set forth in the Issuance Notice, of each of the following conditions:</w:t>
      </w:r>
    </w:p>
    <w:p>
      <w:pPr>
        <w:spacing w:after="0" w:line="72" w:lineRule="exact"/>
        <w:rPr>
          <w:sz w:val="20"/>
          <w:szCs w:val="20"/>
          <w:color w:val="auto"/>
        </w:rPr>
      </w:pPr>
    </w:p>
    <w:p>
      <w:pPr>
        <w:ind w:left="4" w:right="120" w:firstLine="436"/>
        <w:spacing w:after="0" w:line="258" w:lineRule="auto"/>
        <w:tabs>
          <w:tab w:leader="none" w:pos="65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of the Company’s Representations and Warranties; Performance by the Company</w:t>
      </w:r>
      <w:r>
        <w:rPr>
          <w:rFonts w:ascii="Times New Roman" w:cs="Times New Roman" w:eastAsia="Times New Roman" w:hAnsi="Times New Roman"/>
          <w:sz w:val="18"/>
          <w:szCs w:val="18"/>
          <w:color w:val="auto"/>
        </w:rPr>
        <w:t xml:space="preserve">. The Company shall have delivered the certificate required to be delivered pursuant to </w:t>
      </w:r>
      <w:r>
        <w:rPr>
          <w:rFonts w:ascii="Times New Roman" w:cs="Times New Roman" w:eastAsia="Times New Roman" w:hAnsi="Times New Roman"/>
          <w:sz w:val="18"/>
          <w:szCs w:val="18"/>
          <w:u w:val="single" w:color="auto"/>
          <w:color w:val="auto"/>
        </w:rPr>
        <w:t>Section 4(o)</w:t>
      </w:r>
      <w:r>
        <w:rPr>
          <w:rFonts w:ascii="Times New Roman" w:cs="Times New Roman" w:eastAsia="Times New Roman" w:hAnsi="Times New Roman"/>
          <w:sz w:val="18"/>
          <w:szCs w:val="18"/>
          <w:color w:val="auto"/>
        </w:rPr>
        <w:t xml:space="preserve"> on or before the date on which delivery of such certificate is required pursuant to </w:t>
      </w:r>
      <w:r>
        <w:rPr>
          <w:rFonts w:ascii="Times New Roman" w:cs="Times New Roman" w:eastAsia="Times New Roman" w:hAnsi="Times New Roman"/>
          <w:sz w:val="18"/>
          <w:szCs w:val="18"/>
          <w:u w:val="single" w:color="auto"/>
          <w:color w:val="auto"/>
        </w:rPr>
        <w:t>Section 4(o)</w:t>
      </w:r>
      <w:r>
        <w:rPr>
          <w:rFonts w:ascii="Times New Roman" w:cs="Times New Roman" w:eastAsia="Times New Roman" w:hAnsi="Times New Roman"/>
          <w:sz w:val="18"/>
          <w:szCs w:val="18"/>
          <w:color w:val="auto"/>
        </w:rPr>
        <w:t xml:space="preserve">. The Company shall have performed, satisfied and complied with all covenants, agreements and conditions required by this Agreement to be performed, satisfied or complied with by the Company at or prior to such date, including, but not limited to, the covenants contained in </w:t>
      </w:r>
      <w:r>
        <w:rPr>
          <w:rFonts w:ascii="Times New Roman" w:cs="Times New Roman" w:eastAsia="Times New Roman" w:hAnsi="Times New Roman"/>
          <w:sz w:val="18"/>
          <w:szCs w:val="18"/>
          <w:u w:val="single" w:color="auto"/>
          <w:color w:val="auto"/>
        </w:rPr>
        <w:t>Section 4(p)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4(q)</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4(r)</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4"/>
          </w:cols>
          <w:pgMar w:left="436" w:top="270" w:right="479" w:bottom="1440" w:gutter="0" w:footer="0" w:header="0"/>
        </w:sectPr>
      </w:pPr>
    </w:p>
    <w:bookmarkStart w:id="88" w:name="page89"/>
    <w:bookmarkEnd w:id="88"/>
    <w:p>
      <w:pPr>
        <w:ind w:left="-40" w:firstLine="436"/>
        <w:spacing w:after="0" w:line="258" w:lineRule="auto"/>
        <w:tabs>
          <w:tab w:leader="none" w:pos="66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Injunction</w:t>
      </w:r>
      <w:r>
        <w:rPr>
          <w:rFonts w:ascii="Times New Roman" w:cs="Times New Roman" w:eastAsia="Times New Roman" w:hAnsi="Times New Roman"/>
          <w:sz w:val="18"/>
          <w:szCs w:val="18"/>
          <w:color w:val="auto"/>
        </w:rPr>
        <w:t>.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w:t>
      </w:r>
    </w:p>
    <w:p>
      <w:pPr>
        <w:spacing w:after="0" w:line="183" w:lineRule="exact"/>
        <w:rPr>
          <w:rFonts w:ascii="Times New Roman" w:cs="Times New Roman" w:eastAsia="Times New Roman" w:hAnsi="Times New Roman"/>
          <w:sz w:val="18"/>
          <w:szCs w:val="18"/>
          <w:color w:val="auto"/>
        </w:rPr>
      </w:pPr>
    </w:p>
    <w:p>
      <w:pPr>
        <w:ind w:left="-40" w:right="140" w:firstLine="436"/>
        <w:spacing w:after="0" w:line="258" w:lineRule="auto"/>
        <w:tabs>
          <w:tab w:leader="none" w:pos="71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Adverse Changes</w:t>
      </w:r>
      <w:r>
        <w:rPr>
          <w:rFonts w:ascii="Times New Roman" w:cs="Times New Roman" w:eastAsia="Times New Roman" w:hAnsi="Times New Roman"/>
          <w:sz w:val="18"/>
          <w:szCs w:val="18"/>
          <w:color w:val="auto"/>
        </w:rPr>
        <w:t>. Except as disclosed in the Prospectus and the Time of Sale Information, (a) in the judgment of the Agent there shall not have occurred any Material Adverse Change; and (b) 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such term is defined for purposes of Section 3(a)(62) of the Exchange Act.</w:t>
      </w:r>
    </w:p>
    <w:p>
      <w:pPr>
        <w:spacing w:after="0" w:line="183" w:lineRule="exact"/>
        <w:rPr>
          <w:rFonts w:ascii="Times New Roman" w:cs="Times New Roman" w:eastAsia="Times New Roman" w:hAnsi="Times New Roman"/>
          <w:sz w:val="18"/>
          <w:szCs w:val="18"/>
          <w:color w:val="auto"/>
        </w:rPr>
      </w:pPr>
    </w:p>
    <w:p>
      <w:pPr>
        <w:ind w:left="-40" w:right="20" w:firstLine="436"/>
        <w:spacing w:after="0" w:line="253" w:lineRule="auto"/>
        <w:tabs>
          <w:tab w:leader="none" w:pos="70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Suspension of Trading in or Delisting of Common Shares; Other Events</w:t>
      </w:r>
      <w:r>
        <w:rPr>
          <w:rFonts w:ascii="Times New Roman" w:cs="Times New Roman" w:eastAsia="Times New Roman" w:hAnsi="Times New Roman"/>
          <w:sz w:val="18"/>
          <w:szCs w:val="18"/>
          <w:color w:val="auto"/>
        </w:rPr>
        <w:t>. The trading of the Common Shares (including without limitation the Shares) shall not have been suspended by the Commission, the Principal Market or FINRA and the Common Shares (including without limitation the Shares) shall have been approved for listing or quotation on and shall not have been delisted from the Nasdaq Stock Market, the New York Stock Exchange or any of their constituent markets. There shall not have occurred (and be continuing in the case of occurrences under clauses (i) and (ii) below) any of the following: (i) trading or quotation in any of the Company’s securities shall have been suspended or limited by the Commission or by the Principal Market or trading in securities generally on either the Principal Market shall have been suspended or limited, or minimum or maximum prices shall have been generally established on any of such stock exchanges by the Commission or the FINRA; (ii) a general banking moratorium shall have been declared by any of federal or New York, authorities; or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Agent is material and adverse and makes it impracticable to market the Shares in the manner and on the terms described in the Prospectus or to enforce contracts for the sale of securities.</w:t>
      </w:r>
    </w:p>
    <w:p>
      <w:pPr>
        <w:spacing w:after="0" w:line="190" w:lineRule="exact"/>
        <w:rPr>
          <w:sz w:val="20"/>
          <w:szCs w:val="20"/>
          <w:color w:val="auto"/>
        </w:rPr>
      </w:pPr>
    </w:p>
    <w:p>
      <w:pPr>
        <w:ind w:left="-40" w:right="20" w:firstLine="436"/>
        <w:spacing w:after="0" w:line="258" w:lineRule="auto"/>
        <w:tabs>
          <w:tab w:leader="none" w:pos="65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Documents Required to be Delivered on each Issuance Notice Date</w:t>
      </w:r>
      <w:r>
        <w:rPr>
          <w:rFonts w:ascii="Times New Roman" w:cs="Times New Roman" w:eastAsia="Times New Roman" w:hAnsi="Times New Roman"/>
          <w:sz w:val="18"/>
          <w:szCs w:val="18"/>
          <w:color w:val="auto"/>
        </w:rPr>
        <w:t>. The Agent’s obligation to use its commercially reasonable efforts to place Shares hereunder shall additionally be conditioned upon the delivery to the Agent on or before the Issuance Notice Date of a certificate in form and substance reasonably satisfactory to the Agent, executed by the Chief Executive Officer, President or Chief Financial Officer of the Company, to the effect that all conditions to the delivery of such Issuance Notice shall have been satisfied as at the date of such certificate (which certificate shall not be required if the foregoing representations shall be set forth in the Issuance Notice).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20"/>
          </w:cols>
          <w:pgMar w:left="480" w:top="270" w:right="499" w:bottom="1440" w:gutter="0" w:footer="0" w:header="0"/>
        </w:sectPr>
      </w:pPr>
    </w:p>
    <w:bookmarkStart w:id="89" w:name="page90"/>
    <w:bookmarkEnd w:id="89"/>
    <w:p>
      <w:pPr>
        <w:jc w:val="both"/>
        <w:ind w:left="4" w:right="20" w:firstLine="436"/>
        <w:spacing w:after="0" w:line="261" w:lineRule="auto"/>
        <w:tabs>
          <w:tab w:leader="none" w:pos="68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Misstatement or Material Omission</w:t>
      </w:r>
      <w:r>
        <w:rPr>
          <w:rFonts w:ascii="Times New Roman" w:cs="Times New Roman" w:eastAsia="Times New Roman" w:hAnsi="Times New Roman"/>
          <w:sz w:val="18"/>
          <w:szCs w:val="18"/>
          <w:color w:val="auto"/>
        </w:rPr>
        <w:t>. Agent shall not have advised the Company that the Registration Statement, the Prospectus or the Time of Sale Information,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179" w:lineRule="exact"/>
        <w:rPr>
          <w:rFonts w:ascii="Times New Roman" w:cs="Times New Roman" w:eastAsia="Times New Roman" w:hAnsi="Times New Roman"/>
          <w:sz w:val="18"/>
          <w:szCs w:val="18"/>
          <w:color w:val="auto"/>
        </w:rPr>
      </w:pPr>
    </w:p>
    <w:p>
      <w:pPr>
        <w:jc w:val="both"/>
        <w:ind w:left="4" w:right="40" w:firstLine="436"/>
        <w:spacing w:after="0" w:line="266" w:lineRule="auto"/>
        <w:tabs>
          <w:tab w:leader="none" w:pos="69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 Counsel Legal Opinion</w:t>
      </w:r>
      <w:r>
        <w:rPr>
          <w:rFonts w:ascii="Times New Roman" w:cs="Times New Roman" w:eastAsia="Times New Roman" w:hAnsi="Times New Roman"/>
          <w:sz w:val="18"/>
          <w:szCs w:val="18"/>
          <w:color w:val="auto"/>
        </w:rPr>
        <w:t xml:space="preserve">. Agent shall have received from Cooley LLP, counsel for Agent, such opinion or opinions, on or before the date on which the delivery of the Company counsel legal opinion is required pursuant to </w:t>
      </w:r>
      <w:r>
        <w:rPr>
          <w:rFonts w:ascii="Times New Roman" w:cs="Times New Roman" w:eastAsia="Times New Roman" w:hAnsi="Times New Roman"/>
          <w:sz w:val="18"/>
          <w:szCs w:val="18"/>
          <w:u w:val="single" w:color="auto"/>
          <w:color w:val="auto"/>
        </w:rPr>
        <w:t>Section 4(p)</w:t>
      </w:r>
      <w:r>
        <w:rPr>
          <w:rFonts w:ascii="Times New Roman" w:cs="Times New Roman" w:eastAsia="Times New Roman" w:hAnsi="Times New Roman"/>
          <w:sz w:val="18"/>
          <w:szCs w:val="18"/>
          <w:color w:val="auto"/>
        </w:rPr>
        <w:t>, with respect to such matters as Agent may reasonably require, and the Company shall have furnished to such counsel such documents as they request for enabling them to pass upon such matters.</w:t>
      </w:r>
    </w:p>
    <w:p>
      <w:pPr>
        <w:spacing w:after="0" w:line="17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6. INDEMNIFICATION AND CONTRIBUTION</w:t>
      </w:r>
    </w:p>
    <w:p>
      <w:pPr>
        <w:spacing w:after="0" w:line="229" w:lineRule="exact"/>
        <w:rPr>
          <w:sz w:val="20"/>
          <w:szCs w:val="20"/>
          <w:color w:val="auto"/>
        </w:rPr>
      </w:pPr>
    </w:p>
    <w:p>
      <w:pPr>
        <w:ind w:left="4" w:right="100" w:firstLine="436"/>
        <w:spacing w:after="0" w:line="253" w:lineRule="auto"/>
        <w:tabs>
          <w:tab w:leader="none" w:pos="689"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of the Agent</w:t>
      </w:r>
      <w:r>
        <w:rPr>
          <w:rFonts w:ascii="Times New Roman" w:cs="Times New Roman" w:eastAsia="Times New Roman" w:hAnsi="Times New Roman"/>
          <w:sz w:val="18"/>
          <w:szCs w:val="18"/>
          <w:color w:val="auto"/>
        </w:rPr>
        <w:t>. The Company agrees to indemnify and hold harmless the Agent, its officers and employees, and each person, if any, who controls the Agent within the meaning of the Securities Act or the Exchange Act against any loss, claim, damage, liability or expense, as incurred, to which the Agent or such officer, employee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w:t>
      </w:r>
    </w:p>
    <w:p>
      <w:pPr>
        <w:ind w:left="4" w:hanging="4"/>
        <w:spacing w:after="0" w:line="251" w:lineRule="auto"/>
        <w:tabs>
          <w:tab w:leader="none" w:pos="26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and to reimburse the Agent and each such officer, employee and controlling person for any and all expenses (including the reasonable and documented fees and disbursements of counsel chosen by the Agent) as such expenses are reasonably incurred by the Agent or such officer, employee or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described in subsection (b) below. The indemnity agreement set forth in this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shall be in addition to any liabilities that the Company may otherwise have.</w:t>
      </w:r>
    </w:p>
    <w:p>
      <w:pPr>
        <w:spacing w:after="0" w:line="1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4"/>
          </w:cols>
          <w:pgMar w:left="436" w:top="270" w:right="479" w:bottom="1440" w:gutter="0" w:footer="0" w:header="0"/>
        </w:sectPr>
      </w:pPr>
    </w:p>
    <w:bookmarkStart w:id="90" w:name="page91"/>
    <w:bookmarkEnd w:id="90"/>
    <w:p>
      <w:pPr>
        <w:ind w:firstLine="436"/>
        <w:spacing w:after="0" w:line="252" w:lineRule="auto"/>
        <w:tabs>
          <w:tab w:leader="none" w:pos="69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Indemnification of the Company, its Directors and Officers</w:t>
      </w:r>
      <w:r>
        <w:rPr>
          <w:rFonts w:ascii="Times New Roman" w:cs="Times New Roman" w:eastAsia="Times New Roman" w:hAnsi="Times New Roman"/>
          <w:sz w:val="18"/>
          <w:szCs w:val="18"/>
          <w:color w:val="auto"/>
        </w:rPr>
        <w:t xml:space="preserve">. The Agent agrees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the laws or regulations of foreign jurisdictions where Shares have been offered or sold or at common law or otherwise (including in settlement of any litigation),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but, for each of (i) and (ii) above,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set forth in the first sentence of the ninth paragraph under the caption “Plan of Distribution” in the Prospectus, and to reimburse the Company and each such director, officer and controlling person for any and all expenses (including the reasonable and documented fees and disbursements of one counsel chosen by the Company) as such expenses are reasonably incurred by the Company or such officer, director or controlling person in connection with investigating, defending, settling, compromising or paying any such loss, claim, damage, liability, expense or action. The indemnity agreement set forth in this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shall be in addition to any liabilities that the Agent or the Company may otherwise have.</w:t>
      </w:r>
    </w:p>
    <w:p>
      <w:pPr>
        <w:spacing w:after="0" w:line="189" w:lineRule="exact"/>
        <w:rPr>
          <w:rFonts w:ascii="Times New Roman" w:cs="Times New Roman" w:eastAsia="Times New Roman" w:hAnsi="Times New Roman"/>
          <w:sz w:val="18"/>
          <w:szCs w:val="18"/>
          <w:color w:val="auto"/>
        </w:rPr>
      </w:pPr>
    </w:p>
    <w:p>
      <w:pPr>
        <w:ind w:right="20" w:firstLine="436"/>
        <w:spacing w:after="0" w:line="253" w:lineRule="auto"/>
        <w:tabs>
          <w:tab w:leader="none" w:pos="68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Notifications and Other Indemnification Procedures</w:t>
      </w:r>
      <w:r>
        <w:rPr>
          <w:rFonts w:ascii="Times New Roman" w:cs="Times New Roman" w:eastAsia="Times New Roman" w:hAnsi="Times New Roman"/>
          <w:sz w:val="18"/>
          <w:szCs w:val="18"/>
          <w:color w:val="auto"/>
        </w:rPr>
        <w:t xml:space="preserve">. Promptly after receipt by an indemnified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notice of the commencement of any action, such indemnified party will, if a claim in respect thereof is to be made against an indemnifying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notify the indemnifying party in writing of the commencement thereof, but the omission so to notify the indemnifying party will not relieve it from any liability which it may have to any indemnified party for contribution or otherwise than under the indemnity agreement contained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if the defendants in any such action include both the indemnified party and the indemnifying party and the indemnified party shall have reasonably concluded that a conflict may arise between the positions of the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91" w:name="page92"/>
    <w:bookmarkEnd w:id="91"/>
    <w:p>
      <w:pPr>
        <w:ind w:left="4"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indemnified party (in the case of counsel for the indemnified parties referred to in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above),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197" w:lineRule="exact"/>
        <w:rPr>
          <w:sz w:val="20"/>
          <w:szCs w:val="20"/>
          <w:color w:val="auto"/>
        </w:rPr>
      </w:pPr>
    </w:p>
    <w:p>
      <w:pPr>
        <w:ind w:left="4" w:firstLine="436"/>
        <w:spacing w:after="0" w:line="269" w:lineRule="auto"/>
        <w:tabs>
          <w:tab w:leader="none" w:pos="699" w:val="left"/>
        </w:tabs>
        <w:numPr>
          <w:ilvl w:val="1"/>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Settlements</w:t>
      </w:r>
      <w:r>
        <w:rPr>
          <w:rFonts w:ascii="Times New Roman" w:cs="Times New Roman" w:eastAsia="Times New Roman" w:hAnsi="Times New Roman"/>
          <w:sz w:val="17"/>
          <w:szCs w:val="17"/>
          <w:color w:val="auto"/>
        </w:rPr>
        <w:t xml:space="preserve">. The indemnifying party under this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w:t>
      </w:r>
      <w:r>
        <w:rPr>
          <w:rFonts w:ascii="Times New Roman" w:cs="Times New Roman" w:eastAsia="Times New Roman" w:hAnsi="Times New Roman"/>
          <w:sz w:val="17"/>
          <w:szCs w:val="17"/>
          <w:u w:val="single" w:color="auto"/>
          <w:color w:val="auto"/>
        </w:rPr>
        <w:t>Section 6(c)</w:t>
      </w:r>
      <w:r>
        <w:rPr>
          <w:rFonts w:ascii="Times New Roman" w:cs="Times New Roman" w:eastAsia="Times New Roman" w:hAnsi="Times New Roman"/>
          <w:sz w:val="17"/>
          <w:szCs w:val="17"/>
          <w:color w:val="auto"/>
        </w:rPr>
        <w:t xml:space="preserve"> hereof, the indemnifying party agrees that it shall be liable for any settlement of any proceeding effected without its written consent if</w:t>
      </w:r>
    </w:p>
    <w:p>
      <w:pPr>
        <w:spacing w:after="0" w:line="2" w:lineRule="exact"/>
        <w:rPr>
          <w:rFonts w:ascii="Times New Roman" w:cs="Times New Roman" w:eastAsia="Times New Roman" w:hAnsi="Times New Roman"/>
          <w:sz w:val="17"/>
          <w:szCs w:val="17"/>
          <w:color w:val="auto"/>
        </w:rPr>
      </w:pPr>
    </w:p>
    <w:p>
      <w:pPr>
        <w:ind w:left="4" w:right="60" w:hanging="4"/>
        <w:spacing w:after="0" w:line="252" w:lineRule="auto"/>
        <w:tabs>
          <w:tab w:leader="none" w:pos="21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w:t>
      </w:r>
    </w:p>
    <w:p>
      <w:pPr>
        <w:spacing w:after="0" w:line="189" w:lineRule="exact"/>
        <w:rPr>
          <w:rFonts w:ascii="Times New Roman" w:cs="Times New Roman" w:eastAsia="Times New Roman" w:hAnsi="Times New Roman"/>
          <w:sz w:val="18"/>
          <w:szCs w:val="18"/>
          <w:color w:val="auto"/>
        </w:rPr>
      </w:pPr>
    </w:p>
    <w:p>
      <w:pPr>
        <w:ind w:left="4" w:right="200" w:firstLine="436"/>
        <w:spacing w:after="0" w:line="258" w:lineRule="auto"/>
        <w:tabs>
          <w:tab w:leader="none" w:pos="689"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If the indemnification provided for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Agent, on the other hand, from the offering of the Shares pursuant to this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24"/>
          </w:cols>
          <w:pgMar w:left="436" w:top="270" w:right="439" w:bottom="1440" w:gutter="0" w:footer="0" w:header="0"/>
        </w:sectPr>
      </w:pPr>
    </w:p>
    <w:bookmarkStart w:id="92" w:name="page93"/>
    <w:bookmarkEnd w:id="9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or (ii) if the allocation provided by clause (i) above is not permitted by applicable law, in such proportion as is appropriate to reflect not only the relative benefits referred to in clause (i) above but also the relative fault of the Company, on the one hand, and the Agent, on the other hand, in connection with the statements or omissions which resulted in such losses, claims, damages, liabilities or expenses, as well as any other relevant equitable considerations. The relative benefits received by the Company, on the one hand, and the Agent, on the other hand, in connection with the offering of the Shares pursuant to this Agreement shall be deemed to be in the same respective proportions as the total gross proceeds from the offering of the Shares (before deducting expenses) received by the Company bear to the total Selling Commissions received by the Agent. The relative fault of the Company, on the one hand, and the Agent, on the other hand, shall be determined by reference to, among other things, whether any such untrue or alleged untrue statement of a material fact or omission or alleged omission to state a material fact relates to information supplied by the Company, on the one hand, or the Agent, on the other hand, and the parties’ relative intent, knowledge, access to information and opportunity to correct or prevent such statement or omission.</w:t>
      </w:r>
    </w:p>
    <w:p>
      <w:pPr>
        <w:spacing w:after="0" w:line="194"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amount paid or payable by a party as a result of the losses, claims, damages, liabilities and expenses referred to above shall be deemed to include, subject to the limitations set forth in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xml:space="preserve">, any documented legal or other fees or expenses reasonably incurred by such party in connection with investigating or defending any action or claim. The provisions set forth in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xml:space="preserve"> with respect to notice of commencement of any action shall apply if a claim for contribution is to be made under this </w:t>
      </w:r>
      <w:r>
        <w:rPr>
          <w:rFonts w:ascii="Times New Roman" w:cs="Times New Roman" w:eastAsia="Times New Roman" w:hAnsi="Times New Roman"/>
          <w:sz w:val="18"/>
          <w:szCs w:val="18"/>
          <w:u w:val="single" w:color="auto"/>
          <w:color w:val="auto"/>
        </w:rPr>
        <w:t>Section 6(e)</w:t>
      </w:r>
      <w:r>
        <w:rPr>
          <w:rFonts w:ascii="Times New Roman" w:cs="Times New Roman" w:eastAsia="Times New Roman" w:hAnsi="Times New Roman"/>
          <w:sz w:val="18"/>
          <w:szCs w:val="18"/>
          <w:color w:val="auto"/>
        </w:rPr>
        <w:t xml:space="preserve">; provided, however, that no additional notice shall be required with respect to any action for which notice has been given under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xml:space="preserve"> for purposes of indemnification.</w:t>
      </w:r>
    </w:p>
    <w:p>
      <w:pPr>
        <w:spacing w:after="0" w:line="183"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Company and the Agent agree that it would not be just and equitable if contribution pursuant to this </w:t>
      </w:r>
      <w:r>
        <w:rPr>
          <w:rFonts w:ascii="Times New Roman" w:cs="Times New Roman" w:eastAsia="Times New Roman" w:hAnsi="Times New Roman"/>
          <w:sz w:val="18"/>
          <w:szCs w:val="18"/>
          <w:u w:val="single" w:color="auto"/>
          <w:color w:val="auto"/>
        </w:rPr>
        <w:t>Section 6(e)</w:t>
      </w:r>
      <w:r>
        <w:rPr>
          <w:rFonts w:ascii="Times New Roman" w:cs="Times New Roman" w:eastAsia="Times New Roman" w:hAnsi="Times New Roman"/>
          <w:sz w:val="18"/>
          <w:szCs w:val="18"/>
          <w:color w:val="auto"/>
        </w:rPr>
        <w:t xml:space="preserve"> were determined by pro rata allocation or by any other method of allocation which does not take account of the equitable considerations referred to in this </w:t>
      </w:r>
      <w:r>
        <w:rPr>
          <w:rFonts w:ascii="Times New Roman" w:cs="Times New Roman" w:eastAsia="Times New Roman" w:hAnsi="Times New Roman"/>
          <w:sz w:val="18"/>
          <w:szCs w:val="18"/>
          <w:u w:val="single" w:color="auto"/>
          <w:color w:val="auto"/>
        </w:rPr>
        <w:t>Section 6(e)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the provisions of this </w:t>
      </w:r>
      <w:r>
        <w:rPr>
          <w:rFonts w:ascii="Times New Roman" w:cs="Times New Roman" w:eastAsia="Times New Roman" w:hAnsi="Times New Roman"/>
          <w:sz w:val="18"/>
          <w:szCs w:val="18"/>
          <w:u w:val="single" w:color="auto"/>
          <w:color w:val="auto"/>
        </w:rPr>
        <w:t>Section 6(e)</w:t>
      </w:r>
      <w:r>
        <w:rPr>
          <w:rFonts w:ascii="Times New Roman" w:cs="Times New Roman" w:eastAsia="Times New Roman" w:hAnsi="Times New Roman"/>
          <w:sz w:val="18"/>
          <w:szCs w:val="18"/>
          <w:color w:val="auto"/>
        </w:rPr>
        <w:t xml:space="preserve">, the Agent shall not be required to contribute any amount in excess of the Selling Commission received by the Agent in connection with the offering contemplated hereby. No person guilty of fraudulent misrepresentation (within the meaning of Section 11(f) of the Securities Act) shall be entitled to contribution from any person who was not guilty of such fraudulent misrepresentation. For purposes of this </w:t>
      </w:r>
      <w:r>
        <w:rPr>
          <w:rFonts w:ascii="Times New Roman" w:cs="Times New Roman" w:eastAsia="Times New Roman" w:hAnsi="Times New Roman"/>
          <w:sz w:val="18"/>
          <w:szCs w:val="18"/>
          <w:u w:val="single" w:color="auto"/>
          <w:color w:val="auto"/>
        </w:rPr>
        <w:t>Section 6(e)</w:t>
      </w:r>
      <w:r>
        <w:rPr>
          <w:rFonts w:ascii="Times New Roman" w:cs="Times New Roman" w:eastAsia="Times New Roman" w:hAnsi="Times New Roman"/>
          <w:sz w:val="18"/>
          <w:szCs w:val="18"/>
          <w:color w:val="auto"/>
        </w:rPr>
        <w:t>, each officer and employee of the Agent and each person, if any, who controls the Agent within the meaning of the Securities Act or the Exchange Act shall have the same rights to contribution as the Agent,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7. TERMINATION &amp; SURVIVAL</w:t>
      </w:r>
    </w:p>
    <w:p>
      <w:pPr>
        <w:spacing w:after="0" w:line="229" w:lineRule="exact"/>
        <w:rPr>
          <w:sz w:val="20"/>
          <w:szCs w:val="20"/>
          <w:color w:val="auto"/>
        </w:rPr>
      </w:pPr>
    </w:p>
    <w:p>
      <w:pPr>
        <w:ind w:right="40" w:firstLine="436"/>
        <w:spacing w:after="0" w:line="282" w:lineRule="auto"/>
        <w:tabs>
          <w:tab w:leader="none" w:pos="68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Subject to the provisions of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the term of this Agreement shall continue from the date of this Agreement until the end of the Agency Period, unless earlier terminated by the parties to this Agreement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Survival Following Termination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0"/>
          </w:cols>
          <w:pgMar w:left="440" w:top="270" w:right="439" w:bottom="1440" w:gutter="0" w:footer="0" w:header="0"/>
        </w:sectPr>
      </w:pPr>
    </w:p>
    <w:bookmarkStart w:id="93" w:name="page94"/>
    <w:bookmarkEnd w:id="93"/>
    <w:p>
      <w:pPr>
        <w:ind w:right="60" w:firstLine="436"/>
        <w:spacing w:after="0" w:line="255" w:lineRule="auto"/>
        <w:tabs>
          <w:tab w:leader="none" w:pos="65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Either party may terminate this Agreement prior to the end of the Agency Period, by giving written notice as required by this Agreement, upon ten (10) Trading Days’ notice to the other party; provided that, (A) if the Company terminates this Agreement after the Agent confirms to the Company any sale of Shares, the Company shall remain obligated to comply with </w:t>
      </w:r>
      <w:r>
        <w:rPr>
          <w:rFonts w:ascii="Times New Roman" w:cs="Times New Roman" w:eastAsia="Times New Roman" w:hAnsi="Times New Roman"/>
          <w:sz w:val="18"/>
          <w:szCs w:val="18"/>
          <w:u w:val="single" w:color="auto"/>
          <w:color w:val="auto"/>
        </w:rPr>
        <w:t>Section 3(b)(v)</w:t>
      </w:r>
      <w:r>
        <w:rPr>
          <w:rFonts w:ascii="Times New Roman" w:cs="Times New Roman" w:eastAsia="Times New Roman" w:hAnsi="Times New Roman"/>
          <w:sz w:val="18"/>
          <w:szCs w:val="18"/>
          <w:color w:val="auto"/>
        </w:rPr>
        <w:t xml:space="preserve"> with respect to such Shares and (B)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survive termination of this Agreement. If termination shall occur prior to the Settlement Date for any sale of Shares, such sale shall nevertheless settle in accordance with the terms of this Agreement. Upon termination of this Agreement, the Company shall not have any liability to the Agent for any discount, commission or other compensation with respect to any Shares not otherwise sold by the Agent under this Agreement.</w:t>
      </w:r>
    </w:p>
    <w:p>
      <w:pPr>
        <w:spacing w:after="0" w:line="188" w:lineRule="exact"/>
        <w:rPr>
          <w:rFonts w:ascii="Times New Roman" w:cs="Times New Roman" w:eastAsia="Times New Roman" w:hAnsi="Times New Roman"/>
          <w:sz w:val="18"/>
          <w:szCs w:val="18"/>
          <w:color w:val="auto"/>
        </w:rPr>
      </w:pPr>
    </w:p>
    <w:p>
      <w:pPr>
        <w:ind w:firstLine="436"/>
        <w:spacing w:after="0" w:line="258" w:lineRule="auto"/>
        <w:tabs>
          <w:tab w:leader="none" w:pos="70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survival provision of </w:t>
      </w:r>
      <w:r>
        <w:rPr>
          <w:rFonts w:ascii="Times New Roman" w:cs="Times New Roman" w:eastAsia="Times New Roman" w:hAnsi="Times New Roman"/>
          <w:sz w:val="18"/>
          <w:szCs w:val="18"/>
          <w:u w:val="single" w:color="auto"/>
          <w:color w:val="auto"/>
        </w:rPr>
        <w:t>Section 7(b)(i)</w:t>
      </w:r>
      <w:r>
        <w:rPr>
          <w:rFonts w:ascii="Times New Roman" w:cs="Times New Roman" w:eastAsia="Times New Roman" w:hAnsi="Times New Roman"/>
          <w:sz w:val="18"/>
          <w:szCs w:val="18"/>
          <w:color w:val="auto"/>
        </w:rPr>
        <w:t>, the respective indemnities, agreements, representations, warranties and other statements of the Company, of its officers and of the Agent set forth in or made pursuant to this Agreement will remain in full force and effect, regardless of any investigation made by or on behalf of the Agent or the Company or any of its or their partners, officers or directors or any controlling person, as the case may be, and, anything herein to the contrary notwithstanding, will survive delivery of and payment for the Shares sold hereunder and any termination of this Agreement.</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8. MISCELLANEOUS</w:t>
      </w:r>
    </w:p>
    <w:p>
      <w:pPr>
        <w:spacing w:after="0" w:line="229" w:lineRule="exact"/>
        <w:rPr>
          <w:sz w:val="20"/>
          <w:szCs w:val="20"/>
          <w:color w:val="auto"/>
        </w:rPr>
      </w:pPr>
    </w:p>
    <w:p>
      <w:pPr>
        <w:ind w:firstLine="436"/>
        <w:spacing w:after="0" w:line="253" w:lineRule="auto"/>
        <w:tabs>
          <w:tab w:leader="none" w:pos="68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Press Releases and Disclosure</w:t>
      </w:r>
      <w:r>
        <w:rPr>
          <w:rFonts w:ascii="Times New Roman" w:cs="Times New Roman" w:eastAsia="Times New Roman" w:hAnsi="Times New Roman"/>
          <w:sz w:val="18"/>
          <w:szCs w:val="18"/>
          <w:color w:val="auto"/>
        </w:rPr>
        <w:t>. The Company may issue a press release describing the material terms of the transactions contemplated hereby as soon as practicable following the date of this Agreement, and may file with the Commission a Current Report on Form 8 K, with this Agreement attached as an exhibit thereto, describing the material terms of the transactions contemplated hereby, and the Company shall consult with the Agent prior to making such disclosures, and the parties hereto shall use all commercially reasonable efforts, acting in good faith, to agree upon a text for such disclosures that is reasonably satisfactory to all parties hereto. No party hereto shall issue thereafter any press release or like public statement (including, without limitation, any disclosure required in reports filed with the Commission pursuant to the Exchange Act) related to this Agreement or any of the transactions contemplated hereby without the prior written approval of the other party hereto, except as may be necessary or appropriate in the reasonable opinion of the party seeking to make disclosure to comply with the requirements of applicable law or stock exchange rules. If any such press release or like public statement is so required, the party making such disclosure shall consult with the other party prior to making such disclosure, and the parties shall use all commercially reasonable efforts, acting in good faith, to agree upon a text for such disclosure that is reasonably satisfactory to all parties hereto.</w:t>
      </w:r>
    </w:p>
    <w:p>
      <w:pPr>
        <w:spacing w:after="0" w:line="191" w:lineRule="exact"/>
        <w:rPr>
          <w:rFonts w:ascii="Times New Roman" w:cs="Times New Roman" w:eastAsia="Times New Roman" w:hAnsi="Times New Roman"/>
          <w:sz w:val="18"/>
          <w:szCs w:val="18"/>
          <w:color w:val="auto"/>
        </w:rPr>
      </w:pPr>
    </w:p>
    <w:p>
      <w:pPr>
        <w:ind w:right="160" w:firstLine="436"/>
        <w:spacing w:after="0" w:line="258" w:lineRule="auto"/>
        <w:tabs>
          <w:tab w:leader="none" w:pos="69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Advisory or Fiduciary Relationship</w:t>
      </w:r>
      <w:r>
        <w:rPr>
          <w:rFonts w:ascii="Times New Roman" w:cs="Times New Roman" w:eastAsia="Times New Roman" w:hAnsi="Times New Roman"/>
          <w:sz w:val="18"/>
          <w:szCs w:val="18"/>
          <w:color w:val="auto"/>
        </w:rPr>
        <w:t>. The Company acknowledges and agrees that (i) the transactions contemplated by this Agreement, including the determination of any fees, are arm’s-length commercial transactions between the Company and the Agent, (ii) when acting as a principal under this Agreement, the Agent is and has been acting solely as a principal is not the agent or fiduciary of the Company, or its stockholders, creditors, employees or any other party, (iii) the Agent has not assumed nor will assume an advisory or fiduciary responsibility in favor of the Company with respect to the transactions contemplated hereby or the process leading thereto</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94" w:name="page95"/>
    <w:bookmarkEnd w:id="94"/>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(irrespective of whether the Agent has advised or is currently advising the Company on other matters) and the Agent does not have any obligation to the Company with respect to the transactions contemplated hereby except the obligations expressly set forth in this Agreement, (iv) the Agent and its Affiliates may be engaged in a broad range of transactions that involve interests that differ from those of the Company, and (v) the Agent has not provided any legal, accounting, regulatory or tax advice with respect to the transactions contemplated hereby and the Company has consulted its own legal, accounting, regulatory and tax advisors to the extent it deemed appropriate.</w:t>
      </w:r>
    </w:p>
    <w:p>
      <w:pPr>
        <w:spacing w:after="0" w:line="183" w:lineRule="exact"/>
        <w:rPr>
          <w:sz w:val="20"/>
          <w:szCs w:val="20"/>
          <w:color w:val="auto"/>
        </w:rPr>
      </w:pPr>
    </w:p>
    <w:p>
      <w:pPr>
        <w:ind w:right="60" w:firstLine="436"/>
        <w:spacing w:after="0" w:line="255" w:lineRule="auto"/>
        <w:tabs>
          <w:tab w:leader="none" w:pos="68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Research Analyst Independence</w:t>
      </w:r>
      <w:r>
        <w:rPr>
          <w:rFonts w:ascii="Times New Roman" w:cs="Times New Roman" w:eastAsia="Times New Roman" w:hAnsi="Times New Roman"/>
          <w:sz w:val="18"/>
          <w:szCs w:val="18"/>
          <w:color w:val="auto"/>
        </w:rPr>
        <w:t>. The Company acknowledges that the Agent’s research analysts and research departments are required to and should be independent from their respective investment banking divisions and are subject to certain regulations and internal policies, and as such the Agent’s research analysts may hold views and make statements or investment recommendations and/or publish research reports with respect to the Company or the offering that differ from the views of their respective investment banking divisions. The Company understands that the Agent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88" w:lineRule="exact"/>
        <w:rPr>
          <w:rFonts w:ascii="Times New Roman" w:cs="Times New Roman" w:eastAsia="Times New Roman" w:hAnsi="Times New Roman"/>
          <w:sz w:val="18"/>
          <w:szCs w:val="18"/>
          <w:color w:val="auto"/>
        </w:rPr>
      </w:pPr>
    </w:p>
    <w:p>
      <w:pPr>
        <w:ind w:right="420" w:firstLine="436"/>
        <w:spacing w:after="0" w:line="282" w:lineRule="auto"/>
        <w:tabs>
          <w:tab w:leader="none" w:pos="69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communications hereunder shall be in writing and shall be mailed, hand delivered or telecopied and confirmed to the parties hereto as follows: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Agent: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jc w:val="both"/>
        <w:ind w:left="980" w:right="8000" w:firstLine="7"/>
        <w:spacing w:after="0" w:line="273" w:lineRule="auto"/>
        <w:tabs>
          <w:tab w:leader="none" w:pos="1295"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Madison Avenue New York, NY 10022 Facsimile: (646) 619-4437 Attention: General Counsel</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Cooley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55 Hudson Yards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Daniel I. Goldberg, Esq.</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Facsimile: (212) 479-6275</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Tango Therapeutics,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201 Brookline Ave., Suite 901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Boston, MA 02215 Attention: Daniella Beckman</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60"/>
          </w:cols>
          <w:pgMar w:left="440" w:top="270" w:right="499" w:bottom="1440" w:gutter="0" w:footer="0" w:header="0"/>
        </w:sectPr>
      </w:pPr>
    </w:p>
    <w:bookmarkStart w:id="95" w:name="page96"/>
    <w:bookmarkEnd w:id="9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a copy (which shall not constitute notice) to:</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Boston, MA 02210</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Attention: William Collins, Esq.</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Facsimile: (617) 570-1447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Any party hereto may change the address for receipt of communications by giving written notice to the others in accordance with this </w:t>
      </w:r>
      <w:r>
        <w:rPr>
          <w:rFonts w:ascii="Times New Roman" w:cs="Times New Roman" w:eastAsia="Times New Roman" w:hAnsi="Times New Roman"/>
          <w:sz w:val="18"/>
          <w:szCs w:val="18"/>
          <w:u w:val="single" w:color="auto"/>
          <w:color w:val="auto"/>
        </w:rPr>
        <w:t>Section 8(d)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40" w:firstLine="436"/>
        <w:spacing w:after="0" w:line="289" w:lineRule="auto"/>
        <w:tabs>
          <w:tab w:leader="none" w:pos="685"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Successors</w:t>
      </w:r>
      <w:r>
        <w:rPr>
          <w:rFonts w:ascii="Times New Roman" w:cs="Times New Roman" w:eastAsia="Times New Roman" w:hAnsi="Times New Roman"/>
          <w:sz w:val="17"/>
          <w:szCs w:val="17"/>
          <w:color w:val="auto"/>
        </w:rPr>
        <w:t xml:space="preserve">. This Agreement will inure to the benefit of and be binding upon the parties hereto, and to the benefit of the employees, officers and directors and controlling persons referred to in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and in each case their respective successors, and no other person will have any right or obligation hereunder. The term “successors” shall not include any purchaser of the Shares as such from the Agent merely by reason of such purchase.</w:t>
      </w:r>
    </w:p>
    <w:p>
      <w:pPr>
        <w:spacing w:after="0" w:line="157" w:lineRule="exact"/>
        <w:rPr>
          <w:rFonts w:ascii="Times New Roman" w:cs="Times New Roman" w:eastAsia="Times New Roman" w:hAnsi="Times New Roman"/>
          <w:sz w:val="17"/>
          <w:szCs w:val="17"/>
          <w:color w:val="auto"/>
        </w:rPr>
      </w:pPr>
    </w:p>
    <w:p>
      <w:pPr>
        <w:ind w:right="220" w:firstLine="436"/>
        <w:spacing w:after="0" w:line="261" w:lineRule="auto"/>
        <w:tabs>
          <w:tab w:leader="none" w:pos="66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Partial Unenforceability</w:t>
      </w:r>
      <w:r>
        <w:rPr>
          <w:rFonts w:ascii="Times New Roman" w:cs="Times New Roman" w:eastAsia="Times New Roman" w:hAnsi="Times New Roman"/>
          <w:sz w:val="18"/>
          <w:szCs w:val="18"/>
          <w:color w:val="auto"/>
        </w:rPr>
        <w:t>.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 to be made such minor changes (and only such minor changes) as are necessary to make it valid and enforceable.</w:t>
      </w:r>
    </w:p>
    <w:p>
      <w:pPr>
        <w:spacing w:after="0" w:line="179"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Provisions</w:t>
      </w:r>
      <w:r>
        <w:rPr>
          <w:rFonts w:ascii="Times New Roman" w:cs="Times New Roman" w:eastAsia="Times New Roman" w:hAnsi="Times New Roman"/>
          <w:sz w:val="18"/>
          <w:szCs w:val="18"/>
          <w:color w:val="auto"/>
        </w:rPr>
        <w:t>.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 w:cs="Times New Roman" w:eastAsia="Times New Roman" w:hAnsi="Times New Roman"/>
          <w:sz w:val="18"/>
          <w:szCs w:val="18"/>
          <w:b w:val="1"/>
          <w:bCs w:val="1"/>
          <w:color w:val="auto"/>
        </w:rPr>
        <w:t>Specified Courts</w:t>
      </w:r>
      <w:r>
        <w:rPr>
          <w:rFonts w:ascii="Times New Roman" w:cs="Times New Roman" w:eastAsia="Times New Roman" w:hAnsi="Times New Roman"/>
          <w:sz w:val="18"/>
          <w:szCs w:val="18"/>
          <w:color w:val="auto"/>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94" w:lineRule="exact"/>
        <w:rPr>
          <w:rFonts w:ascii="Times New Roman" w:cs="Times New Roman" w:eastAsia="Times New Roman" w:hAnsi="Times New Roman"/>
          <w:sz w:val="18"/>
          <w:szCs w:val="18"/>
          <w:color w:val="auto"/>
        </w:rPr>
      </w:pPr>
    </w:p>
    <w:p>
      <w:pPr>
        <w:ind w:right="60" w:firstLine="436"/>
        <w:spacing w:after="0" w:line="256" w:lineRule="auto"/>
        <w:tabs>
          <w:tab w:leader="none" w:pos="69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facsimile transmission or by electronic delivery of a portable document format (PDF) file (including any electronic signature covered by the U.S. federal ESIGN Act of 2000, Uniform Electronic Transactions Act, the Electronic Signatures and Records Act or other applicable law, e.g., www.docusign.com). This Agreement may not be amended or modified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96" w:name="page97"/>
    <w:bookmarkEnd w:id="96"/>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in writing by all of the parties hereto, and no condition herein (express or implied) may be waived unless waived in writing by each party whom the condition is meant to benefit. The Article and Section headings herein are for the convenience of the parties only and shall not affect the construction or interpretation of this Agreement.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Immediately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80"/>
          </w:cols>
          <w:pgMar w:left="440" w:top="270" w:right="479" w:bottom="1440" w:gutter="0" w:footer="0" w:header="0"/>
        </w:sectPr>
      </w:pPr>
    </w:p>
    <w:bookmarkStart w:id="97" w:name="page98"/>
    <w:bookmarkEnd w:id="97"/>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Barbara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tabs>
          <w:tab w:leader="none" w:pos="76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Barbara Weber</w:t>
      </w:r>
    </w:p>
    <w:p>
      <w:pPr>
        <w:spacing w:after="0" w:line="23" w:lineRule="exact"/>
        <w:rPr>
          <w:sz w:val="20"/>
          <w:szCs w:val="20"/>
          <w:color w:val="auto"/>
        </w:rPr>
      </w:pPr>
    </w:p>
    <w:p>
      <w:pPr>
        <w:ind w:left="6980"/>
        <w:spacing w:after="0"/>
        <w:tabs>
          <w:tab w:leader="none" w:pos="76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foregoing Agreement is hereby confirmed and accepted by the Agent in New York, New York as of the date first above written.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JEFFERIES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Donald Lynaugh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tabs>
          <w:tab w:leader="none" w:pos="10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Donald Lynaugh</w:t>
      </w:r>
    </w:p>
    <w:p>
      <w:pPr>
        <w:spacing w:after="0" w:line="23" w:lineRule="exact"/>
        <w:rPr>
          <w:sz w:val="20"/>
          <w:szCs w:val="20"/>
          <w:color w:val="auto"/>
        </w:rPr>
      </w:pPr>
    </w:p>
    <w:p>
      <w:pPr>
        <w:ind w:left="360"/>
        <w:spacing w:after="0"/>
        <w:tabs>
          <w:tab w:leader="none" w:pos="1000" w:val="left"/>
        </w:tabs>
        <w:rPr>
          <w:sz w:val="20"/>
          <w:szCs w:val="20"/>
          <w:color w:val="auto"/>
        </w:rPr>
      </w:pPr>
      <w:r>
        <w:rPr>
          <w:rFonts w:ascii="Times New Roman" w:cs="Times New Roman" w:eastAsia="Times New Roman" w:hAnsi="Times New Roman"/>
          <w:sz w:val="18"/>
          <w:szCs w:val="18"/>
          <w:color w:val="auto"/>
        </w:rPr>
        <w:t>Title:</w:t>
        <w:tab/>
        <w:t>Managing Director</w:t>
      </w:r>
    </w:p>
    <w:p>
      <w:pPr>
        <w:sectPr>
          <w:pgSz w:w="11900" w:h="16838" w:orient="portrait"/>
          <w:cols w:equalWidth="0" w:num="1">
            <w:col w:w="10700"/>
          </w:cols>
          <w:pgMar w:left="440" w:top="270" w:right="759" w:bottom="1440" w:gutter="0" w:footer="0" w:header="0"/>
        </w:sectPr>
      </w:pPr>
    </w:p>
    <w:bookmarkStart w:id="98" w:name="page99"/>
    <w:bookmarkEnd w:id="98"/>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ISSUANCE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[__________]</w:t>
      </w:r>
    </w:p>
    <w:p>
      <w:pPr>
        <w:spacing w:after="0" w:line="221"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8"/>
          <w:szCs w:val="18"/>
          <w:color w:val="auto"/>
        </w:rPr>
        <w:t>Reference is made to the Open Market Sale Agreement</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between Tango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Jefferies LLC (the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dated as of September [•], 2022. The Company confirms that all conditions to the delivery of this Issuance Notice are satisfied as of the date hereof.</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of Delivery of Issuance Notice (determined pursuant to </w:t>
      </w:r>
      <w:r>
        <w:rPr>
          <w:rFonts w:ascii="Times New Roman" w:cs="Times New Roman" w:eastAsia="Times New Roman" w:hAnsi="Times New Roman"/>
          <w:sz w:val="18"/>
          <w:szCs w:val="18"/>
          <w:u w:val="single" w:color="auto"/>
          <w:color w:val="auto"/>
        </w:rPr>
        <w:t>Section 3(b)(i)</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188595</wp:posOffset>
            </wp:positionV>
            <wp:extent cx="7715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Amount (equal to the total Sales Price for such Shares):</w:t>
      </w:r>
    </w:p>
    <w:p>
      <w:pPr>
        <w:spacing w:after="0" w:line="1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ectPr>
          <w:pgSz w:w="11900" w:h="16838" w:orient="portrait"/>
          <w:cols w:equalWidth="0" w:num="1">
            <w:col w:w="10900"/>
          </w:cols>
          <w:pgMar w:left="440" w:top="266" w:right="559" w:bottom="1440" w:gutter="0" w:footer="0" w:header="0"/>
        </w:sectPr>
      </w:pP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Number of days in selling period:</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w:t>
      </w:r>
    </w:p>
    <w:p>
      <w:pPr>
        <w:spacing w:after="0" w:line="117" w:lineRule="exact"/>
        <w:rPr>
          <w:sz w:val="20"/>
          <w:szCs w:val="20"/>
          <w:color w:val="auto"/>
        </w:rPr>
      </w:pPr>
    </w:p>
    <w:p>
      <w:pPr>
        <w:sectPr>
          <w:pgSz w:w="11900" w:h="16838" w:orient="portrait"/>
          <w:cols w:equalWidth="0" w:num="2">
            <w:col w:w="4900" w:space="720"/>
            <w:col w:w="5280"/>
          </w:cols>
          <w:pgMar w:left="440" w:top="266"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First date of selling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w:t>
      </w:r>
    </w:p>
    <w:p>
      <w:pPr>
        <w:spacing w:after="0" w:line="117" w:lineRule="exact"/>
        <w:rPr>
          <w:sz w:val="20"/>
          <w:szCs w:val="20"/>
          <w:color w:val="auto"/>
        </w:rPr>
      </w:pPr>
    </w:p>
    <w:p>
      <w:pPr>
        <w:sectPr>
          <w:pgSz w:w="11900" w:h="16838" w:orient="portrait"/>
          <w:cols w:equalWidth="0" w:num="2">
            <w:col w:w="4900" w:space="720"/>
            <w:col w:w="5280"/>
          </w:cols>
          <w:pgMar w:left="440" w:top="266"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Last date of selling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w:t>
      </w:r>
    </w:p>
    <w:p>
      <w:pPr>
        <w:spacing w:after="0" w:line="117" w:lineRule="exact"/>
        <w:rPr>
          <w:sz w:val="20"/>
          <w:szCs w:val="20"/>
          <w:color w:val="auto"/>
        </w:rPr>
      </w:pPr>
    </w:p>
    <w:p>
      <w:pPr>
        <w:sectPr>
          <w:pgSz w:w="11900" w:h="16838" w:orient="portrait"/>
          <w:cols w:equalWidth="0" w:num="2">
            <w:col w:w="4900" w:space="720"/>
            <w:col w:w="5280"/>
          </w:cols>
          <w:pgMar w:left="440" w:top="266" w:right="5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Settlement Date(s) if other than standard T+2 settlement: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w:t>
      </w:r>
    </w:p>
    <w:p>
      <w:pPr>
        <w:spacing w:after="0" w:line="200" w:lineRule="exact"/>
        <w:rPr>
          <w:sz w:val="20"/>
          <w:szCs w:val="20"/>
          <w:color w:val="auto"/>
        </w:rPr>
      </w:pPr>
    </w:p>
    <w:p>
      <w:pPr>
        <w:sectPr>
          <w:pgSz w:w="11900" w:h="16838" w:orient="portrait"/>
          <w:cols w:equalWidth="0" w:num="2">
            <w:col w:w="4900" w:space="720"/>
            <w:col w:w="5280"/>
          </w:cols>
          <w:pgMar w:left="440" w:top="266" w:right="559" w:bottom="1440" w:gutter="0" w:footer="0" w:header="0"/>
          <w:type w:val="continuous"/>
        </w:sectPr>
      </w:pPr>
    </w:p>
    <w:p>
      <w:pPr>
        <w:spacing w:after="0" w:line="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Floor Price Limitation (in no event less than $1.00 without the prior written consent of the Agent, which consent may be withheld in the Agent’s sole discretion): $ ____ per share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Comments: _________________________________________________________________________________________</w:t>
      </w:r>
    </w:p>
    <w:p>
      <w:pPr>
        <w:spacing w:after="0" w:line="252"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u w:val="single" w:color="auto"/>
          <w:color w:val="auto"/>
        </w:rPr>
        <w:t>Tango Therapeutics,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900"/>
          </w:cols>
          <w:pgMar w:left="440" w:top="266" w:right="559" w:bottom="1440" w:gutter="0" w:footer="0" w:header="0"/>
          <w:type w:val="continuous"/>
        </w:sectPr>
      </w:pPr>
    </w:p>
    <w:bookmarkStart w:id="99" w:name="page100"/>
    <w:bookmarkEnd w:id="99"/>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117"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Notice Parties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Barbara Weber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Daniella Beckman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Barry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Donald Lynaugh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Magarro</w:t>
      </w:r>
    </w:p>
    <w:p>
      <w:pPr>
        <w:sectPr>
          <w:pgSz w:w="11900" w:h="16838" w:orient="portrait"/>
          <w:cols w:equalWidth="0" w:num="1">
            <w:col w:w="10019"/>
          </w:cols>
          <w:pgMar w:left="440" w:top="266" w:right="1440"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TANGO THERAPEUTICS, INC.</w:t>
      </w:r>
    </w:p>
    <w:p>
      <w:pPr>
        <w:spacing w:after="0" w:line="4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20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228600</wp:posOffset>
            </wp:positionV>
            <wp:extent cx="14744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Dated as of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202[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251460</wp:posOffset>
            </wp:positionV>
            <wp:extent cx="14744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Senior Debt Securities</w:t>
      </w:r>
    </w:p>
    <w:p>
      <w:pPr>
        <w:sectPr>
          <w:pgSz w:w="11900" w:h="16838" w:orient="portrait"/>
          <w:cols w:equalWidth="0" w:num="1">
            <w:col w:w="10020"/>
          </w:cols>
          <w:pgMar w:left="1440" w:top="117" w:right="439" w:bottom="1440" w:gutter="0" w:footer="0" w:header="0"/>
        </w:sectPr>
      </w:pPr>
    </w:p>
    <w:bookmarkStart w:id="101" w:name="page102"/>
    <w:bookmarkEnd w:id="101"/>
    <w:p>
      <w:pPr>
        <w:jc w:val="center"/>
        <w:ind w:right="-4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r>
        <w:rPr>
          <w:rFonts w:ascii="Times New Roman" w:cs="Times New Roman" w:eastAsia="Times New Roman" w:hAnsi="Times New Roman"/>
          <w:sz w:val="26"/>
          <w:szCs w:val="26"/>
          <w:b w:val="1"/>
          <w:bCs w:val="1"/>
          <w:u w:val="single" w:color="auto"/>
          <w:color w:val="auto"/>
          <w:vertAlign w:val="superscript"/>
        </w:rPr>
        <w:t>1</w:t>
      </w:r>
    </w:p>
    <w:p>
      <w:pPr>
        <w:spacing w:after="0" w:line="158"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10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Article 1 DEFINITIONS</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28"/>
        </w:trPr>
        <w:tc>
          <w:tcPr>
            <w:tcW w:w="10660" w:type="dxa"/>
            <w:vAlign w:val="bottom"/>
            <w:gridSpan w:val="2"/>
            <w:vMerge w:val="continue"/>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1.01</w:t>
            </w: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Definitions of Terms.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ISSUE, DESCRIPTION, TERMS, EXECUTION, REGISTRATION AND EXCHANGE OF SECURITIES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0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2.01</w:t>
            </w: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Designation and Terms of Securities.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2.02</w:t>
            </w: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Form of Securities and Trustee’s Certificate.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2.03</w:t>
            </w: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Denominations: Provisions for Payment.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2.04</w:t>
            </w: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Execution and Authentications.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2.05</w:t>
            </w: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Registration of Transfer and Exchange.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2.06</w:t>
            </w: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Temporary Securities.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2.07</w:t>
            </w: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Mutilated, Destroyed, Lost or Stolen Securities.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2.08</w:t>
            </w: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Cancellation.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2.09</w:t>
            </w: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Benefits of Indenture.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2.10</w:t>
            </w: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Authenticating Agent.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4"/>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2.11</w:t>
            </w: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Global Securities.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3 REDEMPTION OF SECURITIES AND SINKING FUND PROVISIONS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30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3.01</w:t>
            </w: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Redemption.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3.02</w:t>
            </w: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Notice of Redemption.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3.03</w:t>
            </w: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 Upon Redemption.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3.04</w:t>
            </w: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Sinking Fund.</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3.05</w:t>
            </w: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Satisfaction of Sinking Fund Payments with Securities.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4"/>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3.06</w:t>
            </w: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Redemption of Securities for Sinking Fund.</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4 COVENANTS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30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4.01</w:t>
            </w: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 of Principal, Premium and Interest.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4.02</w:t>
            </w: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Maintenance of Office or Agency.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4.03</w:t>
            </w: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Paying Agents.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4.04</w:t>
            </w: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Appointment to Fill Vacancy in Office of Trustee.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4"/>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4.05</w:t>
            </w: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Compliance with Consolidation Provisions.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SECURITYHOLDERS’ LISTS AND REPORTS BY THE COMPANY AND THE TRUSTEE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30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5.01</w:t>
            </w: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Company to Furnish Trustee Names and Addresses of Securityholders.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5.02</w:t>
            </w: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Preservation Of Information; Communications With Securityholders.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5.03</w:t>
            </w: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Reports by the Company.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4"/>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5.04</w:t>
            </w: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Reports by the Trustee.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6 REMEDIES OF THE TRUSTEE AND SECURITYHOLDERS ON EVENT OF DEFAULT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30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6.01</w:t>
            </w: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Events of Default.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6.02</w:t>
            </w: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Collection of Indebtedness and Suits for Enforcement by Trustee.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6.03</w:t>
            </w: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Application of Moneys Collected.</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6.04</w:t>
            </w: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Limitation on Suits.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6.05</w:t>
            </w: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Rights and Remedies Cumulative; Delay or Omission Not Waiver.</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6.06</w:t>
            </w: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Control by Securityholders.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4"/>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6.07</w:t>
            </w: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Undertaking to Pay Costs.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7 CONCERNING THE TRUSTEE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306"/>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7.01</w:t>
            </w: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Certain Duties and Responsibilities of Trustee.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4"/>
        </w:trPr>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7.02</w:t>
            </w:r>
          </w:p>
        </w:tc>
        <w:tc>
          <w:tcPr>
            <w:tcW w:w="9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Certain Rights of Trustee.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75" w:lineRule="exact"/>
        <w:rPr>
          <w:sz w:val="20"/>
          <w:szCs w:val="20"/>
          <w:color w:val="auto"/>
        </w:rPr>
      </w:pPr>
    </w:p>
    <w:p>
      <w:pPr>
        <w:ind w:left="224" w:hanging="224"/>
        <w:spacing w:after="0"/>
        <w:tabs>
          <w:tab w:leader="none" w:pos="224" w:val="left"/>
        </w:tabs>
        <w:numPr>
          <w:ilvl w:val="0"/>
          <w:numId w:val="10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This Table of Contents does not constitute part of the Indenture and shall not have any bearing on the interpretation of any of its terms or provisions.</w:t>
      </w:r>
    </w:p>
    <w:p>
      <w:pPr>
        <w:spacing w:after="0" w:line="130" w:lineRule="exact"/>
        <w:rPr>
          <w:rFonts w:ascii="Times New Roman" w:cs="Times New Roman" w:eastAsia="Times New Roman" w:hAnsi="Times New Roman"/>
          <w:sz w:val="27"/>
          <w:szCs w:val="27"/>
          <w:color w:val="auto"/>
          <w:vertAlign w:val="superscript"/>
        </w:rPr>
      </w:pPr>
    </w:p>
    <w:p>
      <w:pPr>
        <w:ind w:left="5484"/>
        <w:spacing w:after="0"/>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w:t>
      </w:r>
    </w:p>
    <w:p>
      <w:pPr>
        <w:sectPr>
          <w:pgSz w:w="11900" w:h="16838" w:orient="portrait"/>
          <w:cols w:equalWidth="0" w:num="1">
            <w:col w:w="10964"/>
          </w:cols>
          <w:pgMar w:left="436" w:top="266" w:right="49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73"/>
        </w:trPr>
        <w:tc>
          <w:tcPr>
            <w:tcW w:w="14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Section 7.03</w:t>
            </w:r>
          </w:p>
        </w:tc>
        <w:tc>
          <w:tcPr>
            <w:tcW w:w="92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Trustee Not Responsible for Recitals or Issuance or Securities.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91"/>
        </w:trPr>
        <w:tc>
          <w:tcPr>
            <w:tcW w:w="1400" w:type="dxa"/>
            <w:vAlign w:val="bottom"/>
            <w:vMerge w:val="continue"/>
          </w:tcPr>
          <w:p>
            <w:pPr>
              <w:spacing w:after="0"/>
              <w:rPr>
                <w:sz w:val="16"/>
                <w:szCs w:val="16"/>
                <w:color w:val="auto"/>
              </w:rPr>
            </w:pPr>
          </w:p>
        </w:tc>
        <w:tc>
          <w:tcPr>
            <w:tcW w:w="9260" w:type="dxa"/>
            <w:vAlign w:val="bottom"/>
            <w:vMerge w:val="continue"/>
          </w:tcPr>
          <w:p>
            <w:pPr>
              <w:spacing w:after="0"/>
              <w:rPr>
                <w:sz w:val="16"/>
                <w:szCs w:val="16"/>
                <w:color w:val="auto"/>
              </w:rPr>
            </w:pPr>
          </w:p>
        </w:tc>
        <w:tc>
          <w:tcPr>
            <w:tcW w:w="3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7.04</w:t>
            </w:r>
          </w:p>
        </w:tc>
        <w:tc>
          <w:tcPr>
            <w:tcW w:w="9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May Hold Securities.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7.05</w:t>
            </w:r>
          </w:p>
        </w:tc>
        <w:tc>
          <w:tcPr>
            <w:tcW w:w="9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Moneys Held in Trust.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7.06</w:t>
            </w:r>
          </w:p>
        </w:tc>
        <w:tc>
          <w:tcPr>
            <w:tcW w:w="9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Compensation and Reimbursement.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7.07</w:t>
            </w:r>
          </w:p>
        </w:tc>
        <w:tc>
          <w:tcPr>
            <w:tcW w:w="9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Reliance on Officer’s Certificate.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7.08</w:t>
            </w:r>
          </w:p>
        </w:tc>
        <w:tc>
          <w:tcPr>
            <w:tcW w:w="9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Disqualification; Conflicting Interests.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7.09</w:t>
            </w:r>
          </w:p>
        </w:tc>
        <w:tc>
          <w:tcPr>
            <w:tcW w:w="9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Trustee Required; Eligibility.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7.10</w:t>
            </w:r>
          </w:p>
        </w:tc>
        <w:tc>
          <w:tcPr>
            <w:tcW w:w="9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Resignation and Removal; Appointment of Successor.</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7.11</w:t>
            </w:r>
          </w:p>
        </w:tc>
        <w:tc>
          <w:tcPr>
            <w:tcW w:w="9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Acceptance of Appointment By Successor.</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7.12</w:t>
            </w:r>
          </w:p>
        </w:tc>
        <w:tc>
          <w:tcPr>
            <w:tcW w:w="9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Merger, Conversion, Consolidation or Succession to Business.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7.13</w:t>
            </w:r>
          </w:p>
        </w:tc>
        <w:tc>
          <w:tcPr>
            <w:tcW w:w="9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Preferential Collection of Claims Against the Company.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4"/>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7.14</w:t>
            </w:r>
          </w:p>
        </w:tc>
        <w:tc>
          <w:tcPr>
            <w:tcW w:w="9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Notice of Default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8 CONCERNING THE SECURITYHOLDERS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0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8.01</w:t>
            </w:r>
          </w:p>
        </w:tc>
        <w:tc>
          <w:tcPr>
            <w:tcW w:w="9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Evidence of Action by Securityholders.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8.02</w:t>
            </w:r>
          </w:p>
        </w:tc>
        <w:tc>
          <w:tcPr>
            <w:tcW w:w="9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Proof of Execution by Securityholders.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8.03</w:t>
            </w:r>
          </w:p>
        </w:tc>
        <w:tc>
          <w:tcPr>
            <w:tcW w:w="9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Who May be Deemed Owners.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8.04</w:t>
            </w:r>
          </w:p>
        </w:tc>
        <w:tc>
          <w:tcPr>
            <w:tcW w:w="9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Certain Securities Owned by Company Disregarded.</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4"/>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8.05</w:t>
            </w:r>
          </w:p>
        </w:tc>
        <w:tc>
          <w:tcPr>
            <w:tcW w:w="9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Actions Binding on Future Securityholders.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9 SUPPLEMENTAL INDENTURES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0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9.01</w:t>
            </w:r>
          </w:p>
        </w:tc>
        <w:tc>
          <w:tcPr>
            <w:tcW w:w="9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Supplemental Indentures Without the Consent of Securityholders.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9.02</w:t>
            </w:r>
          </w:p>
        </w:tc>
        <w:tc>
          <w:tcPr>
            <w:tcW w:w="9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Supplemental Indentures With Consent of Securityholders.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9.03</w:t>
            </w:r>
          </w:p>
        </w:tc>
        <w:tc>
          <w:tcPr>
            <w:tcW w:w="9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Effect of Supplemental Indentures.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9.04</w:t>
            </w:r>
          </w:p>
        </w:tc>
        <w:tc>
          <w:tcPr>
            <w:tcW w:w="9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Securities Affected by Supplemental Indentures.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4"/>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9.05</w:t>
            </w:r>
          </w:p>
        </w:tc>
        <w:tc>
          <w:tcPr>
            <w:tcW w:w="9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Execution of Supplemental Indentures.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10 SUCCESSOR ENTITY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0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10.01</w:t>
            </w:r>
          </w:p>
        </w:tc>
        <w:tc>
          <w:tcPr>
            <w:tcW w:w="9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Company May Consolidate, Etc.</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4"/>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10.02</w:t>
            </w:r>
          </w:p>
        </w:tc>
        <w:tc>
          <w:tcPr>
            <w:tcW w:w="9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Successor Entity Substituted.</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11 SATISFACTION AND DISCHARGE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0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11.01</w:t>
            </w:r>
          </w:p>
        </w:tc>
        <w:tc>
          <w:tcPr>
            <w:tcW w:w="9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Satisfaction and Discharge of Indenture.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11.02</w:t>
            </w:r>
          </w:p>
        </w:tc>
        <w:tc>
          <w:tcPr>
            <w:tcW w:w="9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Discharge of Obligations.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11.03</w:t>
            </w:r>
          </w:p>
        </w:tc>
        <w:tc>
          <w:tcPr>
            <w:tcW w:w="9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Deposited Moneys to be Held in Trust.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11.04</w:t>
            </w:r>
          </w:p>
        </w:tc>
        <w:tc>
          <w:tcPr>
            <w:tcW w:w="9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 of Moneys Held by Paying Agents.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4"/>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11.05</w:t>
            </w:r>
          </w:p>
        </w:tc>
        <w:tc>
          <w:tcPr>
            <w:tcW w:w="9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Repayment to Company.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12 IMMUNITY OF INCORPORATORS, STOCKHOLDERS, OFFICERS AND DIRECTORS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324"/>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12.01</w:t>
            </w:r>
          </w:p>
        </w:tc>
        <w:tc>
          <w:tcPr>
            <w:tcW w:w="9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Recourse.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32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13 MISCELLANEOUS PROVISIONS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30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13.01</w:t>
            </w:r>
          </w:p>
        </w:tc>
        <w:tc>
          <w:tcPr>
            <w:tcW w:w="9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Effect on Successors and Assigns.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13.02</w:t>
            </w:r>
          </w:p>
        </w:tc>
        <w:tc>
          <w:tcPr>
            <w:tcW w:w="9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Actions by Successor.</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13.03</w:t>
            </w:r>
          </w:p>
        </w:tc>
        <w:tc>
          <w:tcPr>
            <w:tcW w:w="9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Surrender of Company Powers.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13.04</w:t>
            </w:r>
          </w:p>
        </w:tc>
        <w:tc>
          <w:tcPr>
            <w:tcW w:w="9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Notices.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13.05</w:t>
            </w:r>
          </w:p>
        </w:tc>
        <w:tc>
          <w:tcPr>
            <w:tcW w:w="9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Governing Law.</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13.06</w:t>
            </w:r>
          </w:p>
        </w:tc>
        <w:tc>
          <w:tcPr>
            <w:tcW w:w="9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Treatment of Securities as Debt.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13.07</w:t>
            </w:r>
          </w:p>
        </w:tc>
        <w:tc>
          <w:tcPr>
            <w:tcW w:w="9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Certificates and Opinions as to Conditions Precedent.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13.08</w:t>
            </w:r>
          </w:p>
        </w:tc>
        <w:tc>
          <w:tcPr>
            <w:tcW w:w="9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on Business Days.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13.09</w:t>
            </w:r>
          </w:p>
        </w:tc>
        <w:tc>
          <w:tcPr>
            <w:tcW w:w="9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Conflict with Trust Indenture Act.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13.10</w:t>
            </w:r>
          </w:p>
        </w:tc>
        <w:tc>
          <w:tcPr>
            <w:tcW w:w="9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Counterparts.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13.11</w:t>
            </w:r>
          </w:p>
        </w:tc>
        <w:tc>
          <w:tcPr>
            <w:tcW w:w="9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Separability.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4"/>
        </w:trPr>
        <w:tc>
          <w:tcPr>
            <w:tcW w:w="1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13.12</w:t>
            </w:r>
          </w:p>
        </w:tc>
        <w:tc>
          <w:tcPr>
            <w:tcW w:w="9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Compliance Certificates.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63" w:right="499" w:bottom="1440" w:gutter="0" w:footer="0" w:header="0"/>
        </w:sectPr>
      </w:pPr>
    </w:p>
    <w:bookmarkStart w:id="103" w:name="page104"/>
    <w:bookmarkEnd w:id="10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INDENTURE</w:t>
      </w:r>
    </w:p>
    <w:p>
      <w:pPr>
        <w:spacing w:after="0" w:line="225"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dated as of [●], 202 , among</w:t>
      </w:r>
      <w:r>
        <w:rPr>
          <w:rFonts w:ascii="Times New Roman" w:cs="Times New Roman" w:eastAsia="Times New Roman" w:hAnsi="Times New Roman"/>
          <w:sz w:val="18"/>
          <w:szCs w:val="18"/>
          <w:b w:val="1"/>
          <w:bCs w:val="1"/>
          <w:color w:val="auto"/>
        </w:rPr>
        <w:t xml:space="preserve"> TANGO THERAPEUTICS, INC.</w:t>
      </w:r>
      <w:r>
        <w:rPr>
          <w:rFonts w:ascii="Times New Roman" w:cs="Times New Roman" w:eastAsia="Times New Roman" w:hAnsi="Times New Roman"/>
          <w:sz w:val="18"/>
          <w:szCs w:val="18"/>
          <w:color w:val="auto"/>
        </w:rPr>
        <w:t>, a Delaware corporation (the “Company”), and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trustee (the “Trustee”):</w:t>
      </w:r>
    </w:p>
    <w:p>
      <w:pPr>
        <w:spacing w:after="0" w:line="155"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for its lawful corporate purposes, the Company has duly authorized the execution and delivery of this Indenture to provide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of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spacing w:after="0" w:line="171"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to provide the terms and conditions upon which the Securities are to be authenticated, issued and delivered, the Company has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the execution of this Indenture; and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all things necessary to make this Indenture a valid agreement of the Company, in accordance with its terms, have been done.</w:t>
      </w:r>
    </w:p>
    <w:p>
      <w:pPr>
        <w:spacing w:after="0" w:line="22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purchase of the Securities by the holders thereof, it is mutually covenanted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agreed as follows for the equal and ratable benefit of the holders of Securities:</w:t>
      </w:r>
    </w:p>
    <w:p>
      <w:pPr>
        <w:spacing w:after="0" w:line="3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1.01</w:t>
      </w:r>
      <w:r>
        <w:rPr>
          <w:sz w:val="20"/>
          <w:szCs w:val="20"/>
          <w:color w:val="auto"/>
        </w:rPr>
        <w:tab/>
      </w:r>
      <w:r>
        <w:rPr>
          <w:rFonts w:ascii="Times New Roman" w:cs="Times New Roman" w:eastAsia="Times New Roman" w:hAnsi="Times New Roman"/>
          <w:sz w:val="17"/>
          <w:szCs w:val="17"/>
          <w:b w:val="1"/>
          <w:bCs w:val="1"/>
          <w:color w:val="auto"/>
        </w:rPr>
        <w:t>Definitions of Terms.</w:t>
      </w:r>
    </w:p>
    <w:p>
      <w:pPr>
        <w:spacing w:after="0" w:line="22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183"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Authenticating Agent</w:t>
      </w:r>
      <w:r>
        <w:rPr>
          <w:rFonts w:ascii="Times New Roman" w:cs="Times New Roman" w:eastAsia="Times New Roman" w:hAnsi="Times New Roman"/>
          <w:sz w:val="18"/>
          <w:szCs w:val="18"/>
          <w:color w:val="auto"/>
        </w:rPr>
        <w:t>” means an authenticating agent with respect to all or any of the series of Securities appointed by the Trustee pursuant to Section 2.10.</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Bankruptcy Law</w:t>
      </w:r>
      <w:r>
        <w:rPr>
          <w:rFonts w:ascii="Times New Roman" w:cs="Times New Roman" w:eastAsia="Times New Roman" w:hAnsi="Times New Roman"/>
          <w:sz w:val="18"/>
          <w:szCs w:val="18"/>
          <w:color w:val="auto"/>
        </w:rPr>
        <w:t>” means Title 11, U.S. Code, or any similar federal or state law for the relief of debtors.</w:t>
      </w:r>
    </w:p>
    <w:p>
      <w:pPr>
        <w:spacing w:after="0" w:line="225"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 of Directors</w:t>
      </w:r>
      <w:r>
        <w:rPr>
          <w:rFonts w:ascii="Times New Roman" w:cs="Times New Roman" w:eastAsia="Times New Roman" w:hAnsi="Times New Roman"/>
          <w:sz w:val="18"/>
          <w:szCs w:val="18"/>
          <w:color w:val="auto"/>
        </w:rPr>
        <w:t>” means the Board of Directors (or the functional equivalent thereof) of the Company or any duly authorized committee of such Board.</w:t>
      </w:r>
    </w:p>
    <w:p>
      <w:pPr>
        <w:spacing w:after="0" w:line="155"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 Resolution</w:t>
      </w:r>
      <w:r>
        <w:rPr>
          <w:rFonts w:ascii="Times New Roman" w:cs="Times New Roman" w:eastAsia="Times New Roman" w:hAnsi="Times New Roman"/>
          <w:sz w:val="18"/>
          <w:szCs w:val="18"/>
          <w:color w:val="auto"/>
        </w:rPr>
        <w:t>” means a copy of a resolution certified by the Secretary or an Assistant Secretary of the Company to have been duly adopted by the Board of Directors and to be in full force and effect on the date of such certification.</w:t>
      </w:r>
    </w:p>
    <w:p>
      <w:pPr>
        <w:spacing w:after="0" w:line="155" w:lineRule="exact"/>
        <w:rPr>
          <w:sz w:val="20"/>
          <w:szCs w:val="20"/>
          <w:color w:val="auto"/>
        </w:rPr>
      </w:pPr>
    </w:p>
    <w:p>
      <w:pPr>
        <w:ind w:right="1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means a certificate signed by any Officer. The Certificate need not comply with the provisions of Section 13.07.</w:t>
      </w:r>
    </w:p>
    <w:p>
      <w:pPr>
        <w:spacing w:after="0" w:line="225"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60"/>
          </w:cols>
          <w:pgMar w:left="440" w:top="266" w:right="499" w:bottom="1440" w:gutter="0" w:footer="0" w:header="0"/>
        </w:sectPr>
      </w:pPr>
    </w:p>
    <w:bookmarkStart w:id="104" w:name="page105"/>
    <w:bookmarkEnd w:id="104"/>
    <w:p>
      <w:pPr>
        <w:ind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Tango Therapeutics, Inc., a corporation duly organized and existing under the laws of the State of Delaware, and, subject to the provisions of Article Ten, shall also include its successors and assigns.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Trust Office</w:t>
      </w:r>
      <w:r>
        <w:rPr>
          <w:rFonts w:ascii="Times New Roman" w:cs="Times New Roman" w:eastAsia="Times New Roman" w:hAnsi="Times New Roman"/>
          <w:sz w:val="18"/>
          <w:szCs w:val="18"/>
          <w:color w:val="auto"/>
        </w:rPr>
        <w:t>” means the office of the Trustee at which, at any particular time, its corporate trust business shall be principally</w:t>
      </w:r>
    </w:p>
    <w:p>
      <w:pPr>
        <w:spacing w:after="0" w:line="31" w:lineRule="exact"/>
        <w:rPr>
          <w:sz w:val="20"/>
          <w:szCs w:val="20"/>
          <w:color w:val="auto"/>
        </w:rPr>
      </w:pPr>
    </w:p>
    <w:p>
      <w:pPr>
        <w:spacing w:after="0"/>
        <w:tabs>
          <w:tab w:leader="none" w:pos="5080" w:val="left"/>
        </w:tabs>
        <w:rPr>
          <w:sz w:val="20"/>
          <w:szCs w:val="20"/>
          <w:color w:val="auto"/>
        </w:rPr>
      </w:pPr>
      <w:r>
        <w:rPr>
          <w:rFonts w:ascii="Times New Roman" w:cs="Times New Roman" w:eastAsia="Times New Roman" w:hAnsi="Times New Roman"/>
          <w:sz w:val="18"/>
          <w:szCs w:val="18"/>
          <w:color w:val="auto"/>
        </w:rPr>
        <w:t>administered, which office at the date hereof is located at</w:t>
      </w:r>
      <w:r>
        <w:rPr>
          <w:sz w:val="20"/>
          <w:szCs w:val="20"/>
          <w:color w:val="auto"/>
        </w:rPr>
        <w:tab/>
      </w:r>
      <w:r>
        <w:rPr>
          <w:rFonts w:ascii="Times New Roman" w:cs="Times New Roman" w:eastAsia="Times New Roman" w:hAnsi="Times New Roman"/>
          <w:sz w:val="16"/>
          <w:szCs w:val="16"/>
          <w:color w:val="auto"/>
        </w:rPr>
        <w:t>.</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Custodian</w:t>
      </w:r>
      <w:r>
        <w:rPr>
          <w:rFonts w:ascii="Times New Roman" w:cs="Times New Roman" w:eastAsia="Times New Roman" w:hAnsi="Times New Roman"/>
          <w:sz w:val="18"/>
          <w:szCs w:val="18"/>
          <w:color w:val="auto"/>
        </w:rPr>
        <w:t>” means any receiver, trustee, assignee, liquidator or similar official under any Bankruptcy Law.</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Defaulted Interest</w:t>
      </w:r>
      <w:r>
        <w:rPr>
          <w:rFonts w:ascii="Times New Roman" w:cs="Times New Roman" w:eastAsia="Times New Roman" w:hAnsi="Times New Roman"/>
          <w:sz w:val="18"/>
          <w:szCs w:val="18"/>
          <w:color w:val="auto"/>
        </w:rPr>
        <w:t>” has the meaning set forth in Section 2.03.</w:t>
      </w:r>
    </w:p>
    <w:p>
      <w:pPr>
        <w:spacing w:after="0" w:line="22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Depositary</w:t>
      </w:r>
      <w:r>
        <w:rPr>
          <w:rFonts w:ascii="Times New Roman" w:cs="Times New Roman" w:eastAsia="Times New Roman" w:hAnsi="Times New Roman"/>
          <w:sz w:val="18"/>
          <w:szCs w:val="18"/>
          <w:color w:val="auto"/>
        </w:rPr>
        <w:t>”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w:t>
      </w:r>
    </w:p>
    <w:p>
      <w:pPr>
        <w:spacing w:after="0" w:line="171"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Event of Default</w:t>
      </w:r>
      <w:r>
        <w:rPr>
          <w:rFonts w:ascii="Times New Roman" w:cs="Times New Roman" w:eastAsia="Times New Roman" w:hAnsi="Times New Roman"/>
          <w:sz w:val="18"/>
          <w:szCs w:val="18"/>
          <w:color w:val="auto"/>
        </w:rPr>
        <w:t>” means, with respect to Securities of a particular series, any event specified in Section 6.01, continued for the period of time, if any, therein designated.</w:t>
      </w:r>
    </w:p>
    <w:p>
      <w:pPr>
        <w:spacing w:after="0" w:line="155"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United States Securities and Exchange Act of 1934, as amended, and the rules and regulations promulgated by the Commission thereunder.</w:t>
      </w:r>
    </w:p>
    <w:p>
      <w:pPr>
        <w:spacing w:after="0" w:line="15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Global Security</w:t>
      </w:r>
      <w:r>
        <w:rPr>
          <w:rFonts w:ascii="Times New Roman" w:cs="Times New Roman" w:eastAsia="Times New Roman" w:hAnsi="Times New Roman"/>
          <w:sz w:val="18"/>
          <w:szCs w:val="18"/>
          <w:color w:val="auto"/>
        </w:rPr>
        <w:t>”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spacing w:after="0" w:line="17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Obligations</w:t>
      </w:r>
      <w:r>
        <w:rPr>
          <w:rFonts w:ascii="Times New Roman" w:cs="Times New Roman" w:eastAsia="Times New Roman" w:hAnsi="Times New Roman"/>
          <w:sz w:val="18"/>
          <w:szCs w:val="18"/>
          <w:color w:val="auto"/>
        </w:rPr>
        <w:t>”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88" w:lineRule="exact"/>
        <w:rPr>
          <w:sz w:val="20"/>
          <w:szCs w:val="20"/>
          <w:color w:val="auto"/>
        </w:rPr>
      </w:pPr>
    </w:p>
    <w:p>
      <w:pPr>
        <w:ind w:right="5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hereof</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hereunder</w:t>
      </w:r>
      <w:r>
        <w:rPr>
          <w:rFonts w:ascii="Times New Roman" w:cs="Times New Roman" w:eastAsia="Times New Roman" w:hAnsi="Times New Roman"/>
          <w:sz w:val="18"/>
          <w:szCs w:val="18"/>
          <w:color w:val="auto"/>
        </w:rPr>
        <w:t>”, and other words of similar import, refer to this Indenture as a whole and not to any particular Article, Section or other subdivision.</w:t>
      </w:r>
    </w:p>
    <w:p>
      <w:pPr>
        <w:spacing w:after="0" w:line="155"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w:t>
      </w:r>
    </w:p>
    <w:p>
      <w:pPr>
        <w:spacing w:after="0" w:line="171" w:lineRule="exact"/>
        <w:rPr>
          <w:sz w:val="20"/>
          <w:szCs w:val="20"/>
          <w:color w:val="auto"/>
        </w:rPr>
      </w:pPr>
    </w:p>
    <w:p>
      <w:pPr>
        <w:jc w:val="both"/>
        <w:ind w:right="2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Interest Payment Date</w:t>
      </w:r>
      <w:r>
        <w:rPr>
          <w:rFonts w:ascii="Times New Roman" w:cs="Times New Roman" w:eastAsia="Times New Roman" w:hAnsi="Times New Roman"/>
          <w:sz w:val="18"/>
          <w:szCs w:val="18"/>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105" w:name="page106"/>
    <w:bookmarkEnd w:id="105"/>
    <w:p>
      <w:pPr>
        <w:ind w:right="18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spacing w:after="0" w:line="171"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Officer’s Certificate</w:t>
      </w:r>
      <w:r>
        <w:rPr>
          <w:rFonts w:ascii="Times New Roman" w:cs="Times New Roman" w:eastAsia="Times New Roman" w:hAnsi="Times New Roman"/>
          <w:sz w:val="18"/>
          <w:szCs w:val="18"/>
          <w:color w:val="auto"/>
        </w:rPr>
        <w:t>” means a certificate signed by any Officer. Each such certificate shall include the statements provided for in Section 13.07, if and to the extent required by the provisions thereof.</w:t>
      </w:r>
    </w:p>
    <w:p>
      <w:pPr>
        <w:spacing w:after="0" w:line="155"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Opinion of Counsel</w:t>
      </w:r>
      <w:r>
        <w:rPr>
          <w:rFonts w:ascii="Times New Roman" w:cs="Times New Roman" w:eastAsia="Times New Roman" w:hAnsi="Times New Roman"/>
          <w:sz w:val="18"/>
          <w:szCs w:val="18"/>
          <w:color w:val="auto"/>
        </w:rPr>
        <w:t>”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w:t>
      </w:r>
    </w:p>
    <w:p>
      <w:pPr>
        <w:spacing w:after="0" w:line="17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Outstanding</w:t>
      </w:r>
      <w:r>
        <w:rPr>
          <w:rFonts w:ascii="Times New Roman" w:cs="Times New Roman" w:eastAsia="Times New Roman" w:hAnsi="Times New Roman"/>
          <w:sz w:val="18"/>
          <w:szCs w:val="18"/>
          <w:color w:val="auto"/>
        </w:rPr>
        <w:t>”,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provided in Article Three, or provision satisfactory to the Trustee shall have been made for giving such notice; and (c) Securities in lieu of or in substitution for which other Securities shall have been authenticated and delivered pursuant to the terms of Section 2.07.</w:t>
      </w:r>
    </w:p>
    <w:p>
      <w:pPr>
        <w:spacing w:after="0" w:line="188" w:lineRule="exact"/>
        <w:rPr>
          <w:sz w:val="20"/>
          <w:szCs w:val="20"/>
          <w:color w:val="auto"/>
        </w:rPr>
      </w:pPr>
    </w:p>
    <w:p>
      <w:pPr>
        <w:jc w:val="center"/>
        <w:ind w:right="20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Person</w:t>
      </w:r>
      <w:r>
        <w:rPr>
          <w:rFonts w:ascii="Times New Roman" w:cs="Times New Roman" w:eastAsia="Times New Roman" w:hAnsi="Times New Roman"/>
          <w:sz w:val="17"/>
          <w:szCs w:val="17"/>
          <w:color w:val="auto"/>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spacing w:after="0" w:line="132"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Predecessor Security</w:t>
      </w:r>
      <w:r>
        <w:rPr>
          <w:rFonts w:ascii="Times New Roman" w:cs="Times New Roman" w:eastAsia="Times New Roman" w:hAnsi="Times New Roman"/>
          <w:sz w:val="18"/>
          <w:szCs w:val="18"/>
          <w:color w:val="auto"/>
        </w:rPr>
        <w:t>”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w:t>
      </w:r>
    </w:p>
    <w:p>
      <w:pPr>
        <w:spacing w:after="0" w:line="171" w:lineRule="exact"/>
        <w:rPr>
          <w:sz w:val="20"/>
          <w:szCs w:val="20"/>
          <w:color w:val="auto"/>
        </w:rPr>
      </w:pPr>
    </w:p>
    <w:p>
      <w:pPr>
        <w:ind w:right="14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Responsible Officer</w:t>
      </w:r>
      <w:r>
        <w:rPr>
          <w:rFonts w:ascii="Times New Roman" w:cs="Times New Roman" w:eastAsia="Times New Roman" w:hAnsi="Times New Roman"/>
          <w:sz w:val="17"/>
          <w:szCs w:val="17"/>
          <w:color w:val="auto"/>
        </w:rPr>
        <w:t>” when used with respect to the Trustee means any officer of the Trustee assigned by the Trustee to administer its corporate trust matters with respect to this Indenture (which, for the avoidance of doubt, includes without limitation any supplemental indenture hereto).</w:t>
      </w:r>
    </w:p>
    <w:p>
      <w:pPr>
        <w:spacing w:after="0" w:line="132"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has the meaning stated in the first recital of this Indenture and more particularly means any Securities authenticated and delivered under this Indenture.</w:t>
      </w:r>
    </w:p>
    <w:p>
      <w:pPr>
        <w:spacing w:after="0" w:line="155" w:lineRule="exact"/>
        <w:rPr>
          <w:sz w:val="20"/>
          <w:szCs w:val="20"/>
          <w:color w:val="auto"/>
        </w:rPr>
      </w:pPr>
    </w:p>
    <w:p>
      <w:pPr>
        <w:ind w:right="4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Securityholder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holder of Securities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registered holder</w:t>
      </w:r>
      <w:r>
        <w:rPr>
          <w:rFonts w:ascii="Times New Roman" w:cs="Times New Roman" w:eastAsia="Times New Roman" w:hAnsi="Times New Roman"/>
          <w:sz w:val="18"/>
          <w:szCs w:val="18"/>
          <w:color w:val="auto"/>
        </w:rPr>
        <w:t>”, or other similar term, means the Person or Persons in whose name or names a particular Security is registered on the Security Register kept for that purpose in accordance with the terms of this Indenture.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 Register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Security Registrar</w:t>
      </w:r>
      <w:r>
        <w:rPr>
          <w:rFonts w:ascii="Times New Roman" w:cs="Times New Roman" w:eastAsia="Times New Roman" w:hAnsi="Times New Roman"/>
          <w:sz w:val="18"/>
          <w:szCs w:val="18"/>
          <w:color w:val="auto"/>
        </w:rPr>
        <w:t>” shall have the meanings as set forth in Section 2.05.</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any Person:</w:t>
      </w:r>
    </w:p>
    <w:p>
      <w:pPr>
        <w:spacing w:after="0" w:line="121" w:lineRule="exact"/>
        <w:rPr>
          <w:sz w:val="20"/>
          <w:szCs w:val="20"/>
          <w:color w:val="auto"/>
        </w:rPr>
      </w:pPr>
    </w:p>
    <w:p>
      <w:pPr>
        <w:jc w:val="both"/>
        <w:ind w:right="160" w:firstLine="436"/>
        <w:spacing w:after="0" w:line="266" w:lineRule="auto"/>
        <w:tabs>
          <w:tab w:leader="none" w:pos="83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or company a majority of whose capital stock with voting power, under ordinary circumstances, to elect directors is, at the date of determination, directly or indirectly, owned by such Person (a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by one or more subsidiaries of such Person or by such Person and one or more subsidiaries of such Person;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6" w:right="479" w:bottom="1440" w:gutter="0" w:footer="0" w:header="0"/>
        </w:sectPr>
      </w:pPr>
    </w:p>
    <w:bookmarkStart w:id="106" w:name="page107"/>
    <w:bookmarkEnd w:id="106"/>
    <w:p>
      <w:pPr>
        <w:ind w:left="820" w:hanging="384"/>
        <w:spacing w:after="0"/>
        <w:tabs>
          <w:tab w:leader="none" w:pos="8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partnership in which such Person or a subsidiary of such Person is, at the date of determination, a general partner of such partnership; or</w:t>
      </w:r>
    </w:p>
    <w:p>
      <w:pPr>
        <w:spacing w:after="0" w:line="225" w:lineRule="exact"/>
        <w:rPr>
          <w:rFonts w:ascii="Times New Roman" w:cs="Times New Roman" w:eastAsia="Times New Roman" w:hAnsi="Times New Roman"/>
          <w:sz w:val="18"/>
          <w:szCs w:val="18"/>
          <w:color w:val="auto"/>
        </w:rPr>
      </w:pPr>
    </w:p>
    <w:p>
      <w:pPr>
        <w:jc w:val="both"/>
        <w:ind w:right="40" w:firstLine="436"/>
        <w:spacing w:after="0" w:line="261" w:lineRule="auto"/>
        <w:tabs>
          <w:tab w:leader="none" w:pos="83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partnership, limited liability company or other Person in which such Person, a subsidiary of such Person or such Person and one or more subsidiaries of such Person, directly or indirectly, at the date of determination, have (x) at least a majority ownership interest or (y) the power to elect or appoint or direct the election or appointment of the managing partner or member of such Person or, if applicable, a majority of the directors or other governing body of such Person.</w:t>
      </w:r>
    </w:p>
    <w:p>
      <w:pPr>
        <w:spacing w:after="0" w:line="176"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means , and, subject to the provisions of Article Seven,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 Indenture Act</w:t>
      </w:r>
      <w:r>
        <w:rPr>
          <w:rFonts w:ascii="Times New Roman" w:cs="Times New Roman" w:eastAsia="Times New Roman" w:hAnsi="Times New Roman"/>
          <w:sz w:val="18"/>
          <w:szCs w:val="18"/>
          <w:color w:val="auto"/>
        </w:rPr>
        <w:t>” means the Trust Indenture Act of 1939, as amended.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5" w:lineRule="exact"/>
        <w:rPr>
          <w:sz w:val="20"/>
          <w:szCs w:val="20"/>
          <w:color w:val="auto"/>
        </w:rPr>
      </w:pPr>
    </w:p>
    <w:p>
      <w:pPr>
        <w:ind w:left="440" w:right="1400" w:firstLine="970"/>
        <w:spacing w:after="0" w:line="503" w:lineRule="auto"/>
        <w:rPr>
          <w:sz w:val="20"/>
          <w:szCs w:val="20"/>
          <w:color w:val="auto"/>
        </w:rPr>
      </w:pPr>
      <w:r>
        <w:rPr>
          <w:rFonts w:ascii="Times New Roman" w:cs="Times New Roman" w:eastAsia="Times New Roman" w:hAnsi="Times New Roman"/>
          <w:sz w:val="18"/>
          <w:szCs w:val="18"/>
          <w:b w:val="1"/>
          <w:bCs w:val="1"/>
          <w:color w:val="auto"/>
        </w:rPr>
        <w:t>ISSUE, DESCRIPTION, TERMS, EXECUTION, REGISTRATION AND EXCHANGE OF SECURITIES Section 2.01 Designation and Terms of Securities.</w:t>
      </w:r>
    </w:p>
    <w:p>
      <w:pPr>
        <w:ind w:right="80" w:firstLine="987"/>
        <w:spacing w:after="0" w:line="258" w:lineRule="auto"/>
        <w:tabs>
          <w:tab w:leader="none" w:pos="1378"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spacing w:after="0" w:line="75" w:lineRule="exact"/>
        <w:rPr>
          <w:rFonts w:ascii="Times New Roman" w:cs="Times New Roman" w:eastAsia="Times New Roman" w:hAnsi="Times New Roman"/>
          <w:sz w:val="18"/>
          <w:szCs w:val="18"/>
          <w:color w:val="auto"/>
        </w:rPr>
      </w:pPr>
    </w:p>
    <w:p>
      <w:pPr>
        <w:ind w:left="1240" w:hanging="381"/>
        <w:spacing w:after="0"/>
        <w:tabs>
          <w:tab w:leader="none" w:pos="12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Securities of the series (which shall distinguish the Securities of that series from all other Securities);</w:t>
      </w:r>
    </w:p>
    <w:p>
      <w:pPr>
        <w:spacing w:after="0" w:line="117" w:lineRule="exact"/>
        <w:rPr>
          <w:rFonts w:ascii="Times New Roman" w:cs="Times New Roman" w:eastAsia="Times New Roman" w:hAnsi="Times New Roman"/>
          <w:sz w:val="18"/>
          <w:szCs w:val="18"/>
          <w:color w:val="auto"/>
        </w:rPr>
      </w:pPr>
    </w:p>
    <w:p>
      <w:pPr>
        <w:ind w:left="440" w:right="280" w:firstLine="419"/>
        <w:spacing w:after="0" w:line="266" w:lineRule="auto"/>
        <w:tabs>
          <w:tab w:leader="none" w:pos="125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Securities of that series which may be authenticated and delivered under this Indenture (except for Securities authenticated and delivered upon registration of transfer of, or in exchange for, or in lieu of, other Securities of that series);</w:t>
      </w:r>
    </w:p>
    <w:p>
      <w:pPr>
        <w:spacing w:after="0" w:line="67" w:lineRule="exact"/>
        <w:rPr>
          <w:rFonts w:ascii="Times New Roman" w:cs="Times New Roman" w:eastAsia="Times New Roman" w:hAnsi="Times New Roman"/>
          <w:sz w:val="18"/>
          <w:szCs w:val="18"/>
          <w:color w:val="auto"/>
        </w:rPr>
      </w:pPr>
    </w:p>
    <w:p>
      <w:pPr>
        <w:ind w:left="1240" w:hanging="381"/>
        <w:spacing w:after="0"/>
        <w:tabs>
          <w:tab w:leader="none" w:pos="12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117" w:lineRule="exact"/>
        <w:rPr>
          <w:rFonts w:ascii="Times New Roman" w:cs="Times New Roman" w:eastAsia="Times New Roman" w:hAnsi="Times New Roman"/>
          <w:sz w:val="18"/>
          <w:szCs w:val="18"/>
          <w:color w:val="auto"/>
        </w:rPr>
      </w:pPr>
    </w:p>
    <w:p>
      <w:pPr>
        <w:ind w:left="440" w:firstLine="419"/>
        <w:spacing w:after="0" w:line="261" w:lineRule="auto"/>
        <w:tabs>
          <w:tab w:leader="none" w:pos="125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spacing w:after="0" w:line="71" w:lineRule="exact"/>
        <w:rPr>
          <w:rFonts w:ascii="Times New Roman" w:cs="Times New Roman" w:eastAsia="Times New Roman" w:hAnsi="Times New Roman"/>
          <w:sz w:val="18"/>
          <w:szCs w:val="18"/>
          <w:color w:val="auto"/>
        </w:rPr>
      </w:pPr>
    </w:p>
    <w:p>
      <w:pPr>
        <w:ind w:left="1240" w:hanging="381"/>
        <w:spacing w:after="0"/>
        <w:tabs>
          <w:tab w:leader="none" w:pos="12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at which the Securities of the series shall bear interest or the manner of calculation of such rate or rates, if any;</w:t>
      </w:r>
    </w:p>
    <w:p>
      <w:pPr>
        <w:spacing w:after="0" w:line="117" w:lineRule="exact"/>
        <w:rPr>
          <w:rFonts w:ascii="Times New Roman" w:cs="Times New Roman" w:eastAsia="Times New Roman" w:hAnsi="Times New Roman"/>
          <w:sz w:val="18"/>
          <w:szCs w:val="18"/>
          <w:color w:val="auto"/>
        </w:rPr>
      </w:pPr>
    </w:p>
    <w:p>
      <w:pPr>
        <w:ind w:left="440" w:firstLine="419"/>
        <w:spacing w:after="0" w:line="266" w:lineRule="auto"/>
        <w:tabs>
          <w:tab w:leader="none" w:pos="1223"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w:t>
      </w:r>
    </w:p>
    <w:p>
      <w:pPr>
        <w:spacing w:after="0" w:line="67" w:lineRule="exact"/>
        <w:rPr>
          <w:rFonts w:ascii="Times New Roman" w:cs="Times New Roman" w:eastAsia="Times New Roman" w:hAnsi="Times New Roman"/>
          <w:sz w:val="18"/>
          <w:szCs w:val="18"/>
          <w:color w:val="auto"/>
        </w:rPr>
      </w:pPr>
    </w:p>
    <w:p>
      <w:pPr>
        <w:ind w:left="1240" w:hanging="381"/>
        <w:spacing w:after="0"/>
        <w:tabs>
          <w:tab w:leader="none" w:pos="12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such extension;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107" w:name="page108"/>
    <w:bookmarkEnd w:id="107"/>
    <w:p>
      <w:pPr>
        <w:ind w:right="180" w:firstLine="419"/>
        <w:spacing w:after="0" w:line="282" w:lineRule="auto"/>
        <w:tabs>
          <w:tab w:leader="none" w:pos="81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period or periods within which, the price or prices at which and the terms and conditions upon which Securities of the series may be redeemed, converted or exchanged, in whole or in part;</w:t>
      </w:r>
    </w:p>
    <w:p>
      <w:pPr>
        <w:spacing w:after="0" w:line="53" w:lineRule="exact"/>
        <w:rPr>
          <w:rFonts w:ascii="Times New Roman" w:cs="Times New Roman" w:eastAsia="Times New Roman" w:hAnsi="Times New Roman"/>
          <w:sz w:val="18"/>
          <w:szCs w:val="18"/>
          <w:color w:val="auto"/>
        </w:rPr>
      </w:pPr>
    </w:p>
    <w:p>
      <w:pPr>
        <w:ind w:right="340" w:firstLine="419"/>
        <w:spacing w:after="0" w:line="261" w:lineRule="auto"/>
        <w:tabs>
          <w:tab w:leader="none" w:pos="77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if any, of the Company to redeem or purchase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71"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Securities of the series including the form of the Certificate of Authentication for such series;</w:t>
      </w:r>
    </w:p>
    <w:p>
      <w:pPr>
        <w:spacing w:after="0" w:line="117" w:lineRule="exact"/>
        <w:rPr>
          <w:rFonts w:ascii="Times New Roman" w:cs="Times New Roman" w:eastAsia="Times New Roman" w:hAnsi="Times New Roman"/>
          <w:sz w:val="18"/>
          <w:szCs w:val="18"/>
          <w:color w:val="auto"/>
        </w:rPr>
      </w:pPr>
    </w:p>
    <w:p>
      <w:pPr>
        <w:ind w:right="360" w:firstLine="419"/>
        <w:spacing w:after="0" w:line="282" w:lineRule="auto"/>
        <w:tabs>
          <w:tab w:leader="none" w:pos="81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denominations of one thousand U.S. dollars ($1,000) or any integral multiple thereof, the denominations in which the Securities of the series shall be issuable;</w:t>
      </w:r>
    </w:p>
    <w:p>
      <w:pPr>
        <w:spacing w:after="0" w:line="53" w:lineRule="exact"/>
        <w:rPr>
          <w:rFonts w:ascii="Times New Roman" w:cs="Times New Roman" w:eastAsia="Times New Roman" w:hAnsi="Times New Roman"/>
          <w:sz w:val="18"/>
          <w:szCs w:val="18"/>
          <w:color w:val="auto"/>
        </w:rPr>
      </w:pPr>
    </w:p>
    <w:p>
      <w:pPr>
        <w:ind w:right="140" w:firstLine="419"/>
        <w:spacing w:after="0" w:line="261" w:lineRule="auto"/>
        <w:tabs>
          <w:tab w:leader="none" w:pos="77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other terms (including terms, to the extent applicable, relating to any auction or remarketing of the Securities of that series and any security for the obligations of the Company with respect to such Securities)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w:t>
      </w:r>
    </w:p>
    <w:p>
      <w:pPr>
        <w:spacing w:after="0" w:line="71" w:lineRule="exact"/>
        <w:rPr>
          <w:rFonts w:ascii="Times New Roman" w:cs="Times New Roman" w:eastAsia="Times New Roman" w:hAnsi="Times New Roman"/>
          <w:sz w:val="18"/>
          <w:szCs w:val="18"/>
          <w:color w:val="auto"/>
        </w:rPr>
      </w:pPr>
    </w:p>
    <w:p>
      <w:pPr>
        <w:jc w:val="both"/>
        <w:ind w:right="280" w:firstLine="419"/>
        <w:spacing w:after="0" w:line="266" w:lineRule="auto"/>
        <w:tabs>
          <w:tab w:leader="none" w:pos="86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67" w:lineRule="exact"/>
        <w:rPr>
          <w:rFonts w:ascii="Times New Roman" w:cs="Times New Roman" w:eastAsia="Times New Roman" w:hAnsi="Times New Roman"/>
          <w:sz w:val="18"/>
          <w:szCs w:val="18"/>
          <w:color w:val="auto"/>
        </w:rPr>
      </w:pPr>
    </w:p>
    <w:p>
      <w:pPr>
        <w:jc w:val="both"/>
        <w:ind w:right="180" w:firstLine="419"/>
        <w:spacing w:after="0" w:line="261" w:lineRule="auto"/>
        <w:tabs>
          <w:tab w:leader="none" w:pos="81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will be convertible into or exchangeable for shares of common stock, preferred stock or other securities of the Company or any other Person and, if so,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and the applicable conversion or exchange period;</w:t>
      </w:r>
    </w:p>
    <w:p>
      <w:pPr>
        <w:spacing w:after="0" w:line="71" w:lineRule="exact"/>
        <w:rPr>
          <w:rFonts w:ascii="Times New Roman" w:cs="Times New Roman" w:eastAsia="Times New Roman" w:hAnsi="Times New Roman"/>
          <w:sz w:val="18"/>
          <w:szCs w:val="18"/>
          <w:color w:val="auto"/>
        </w:rPr>
      </w:pPr>
    </w:p>
    <w:p>
      <w:pPr>
        <w:ind w:right="320" w:firstLine="419"/>
        <w:spacing w:after="0" w:line="282" w:lineRule="auto"/>
        <w:tabs>
          <w:tab w:leader="none" w:pos="81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full principal amount thereof, the portion of the principal amount of Securities of the series which shall be payable upon declaration of acceleration of the maturity thereof pursuant to Section 6.01;</w:t>
      </w:r>
    </w:p>
    <w:p>
      <w:pPr>
        <w:spacing w:after="0" w:line="53" w:lineRule="exact"/>
        <w:rPr>
          <w:rFonts w:ascii="Times New Roman" w:cs="Times New Roman" w:eastAsia="Times New Roman" w:hAnsi="Times New Roman"/>
          <w:sz w:val="18"/>
          <w:szCs w:val="18"/>
          <w:color w:val="auto"/>
        </w:rPr>
      </w:pPr>
    </w:p>
    <w:p>
      <w:pPr>
        <w:ind w:left="800" w:hanging="381"/>
        <w:spacing w:after="0"/>
        <w:tabs>
          <w:tab w:leader="none" w:pos="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or alternative events of default;</w:t>
      </w:r>
    </w:p>
    <w:p>
      <w:pPr>
        <w:spacing w:after="0" w:line="117" w:lineRule="exact"/>
        <w:rPr>
          <w:rFonts w:ascii="Times New Roman" w:cs="Times New Roman" w:eastAsia="Times New Roman" w:hAnsi="Times New Roman"/>
          <w:sz w:val="18"/>
          <w:szCs w:val="18"/>
          <w:color w:val="auto"/>
        </w:rPr>
      </w:pPr>
    </w:p>
    <w:p>
      <w:pPr>
        <w:ind w:firstLine="419"/>
        <w:spacing w:after="0" w:line="254" w:lineRule="auto"/>
        <w:tabs>
          <w:tab w:leader="none" w:pos="81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or alternative covenants (which may include, among other restrictions, restrictions on the Company’s ability or the ability of the Company’s Subsidiaries to: incur additional indebtedness; issue additional securities; create liens; pay dividends or make distributions in respect of the capital stock of the Company or the Company’s Subsidiaries; redeem capital stock; place restrictions on the Company’s Subsidiaries’ ability to pay dividends, make distributions or transfer assets; make investments or other restricted payments; sell or otherwise dispose of assets; enter into sale-leaseback transactions; engage in transactions with stockholders or affiliates; issue or sell stock of the Company’s Subsidiaries; or effect a consolidation or merger) or financial covenants (which may include, among other financial covenants, financial covenants that require the Company and its Subsidiaries to maintain specified interest coverage, fixed charge, cash flow-based, asset-based or other financial ratios) provided for with respect to the Securities of the series;</w:t>
      </w:r>
    </w:p>
    <w:p>
      <w:pPr>
        <w:spacing w:after="0" w:line="83" w:lineRule="exact"/>
        <w:rPr>
          <w:rFonts w:ascii="Times New Roman" w:cs="Times New Roman" w:eastAsia="Times New Roman" w:hAnsi="Times New Roman"/>
          <w:sz w:val="18"/>
          <w:szCs w:val="18"/>
          <w:color w:val="auto"/>
        </w:rPr>
      </w:pPr>
    </w:p>
    <w:p>
      <w:pPr>
        <w:ind w:right="60" w:firstLine="419"/>
        <w:spacing w:after="0" w:line="266" w:lineRule="auto"/>
        <w:tabs>
          <w:tab w:leader="none" w:pos="78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payment of the principal of (and premium, if any) and interest, if any, on such Securities shall be payable (if other than the currency of the United States of America), which unless otherwise specified shall be the currency of the United States of America as at the time of payment is legal tender for payment of public or private debts;</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40"/>
          </w:cols>
          <w:pgMar w:left="880" w:top="270" w:right="479" w:bottom="1440" w:gutter="0" w:footer="0" w:header="0"/>
        </w:sectPr>
      </w:pPr>
    </w:p>
    <w:bookmarkStart w:id="108" w:name="page109"/>
    <w:bookmarkEnd w:id="108"/>
    <w:p>
      <w:pPr>
        <w:ind w:left="440" w:firstLine="419"/>
        <w:spacing w:after="0" w:line="266" w:lineRule="auto"/>
        <w:tabs>
          <w:tab w:leader="none" w:pos="1233"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principal of (and premium, if any) or interest, if any, on such Securities is to be payable, at the election of the Company or any Holder thereof, in a coin or currency other than that in which such Securities are stated to be payable, then the period or periods within which, and the terms and conditions upon which, such election may be made;</w:t>
      </w:r>
    </w:p>
    <w:p>
      <w:pPr>
        <w:spacing w:after="0" w:line="67" w:lineRule="exact"/>
        <w:rPr>
          <w:rFonts w:ascii="Times New Roman" w:cs="Times New Roman" w:eastAsia="Times New Roman" w:hAnsi="Times New Roman"/>
          <w:sz w:val="18"/>
          <w:szCs w:val="18"/>
          <w:color w:val="auto"/>
        </w:rPr>
      </w:pPr>
    </w:p>
    <w:p>
      <w:pPr>
        <w:ind w:left="440" w:right="360" w:firstLine="419"/>
        <w:spacing w:after="0" w:line="282" w:lineRule="auto"/>
        <w:tabs>
          <w:tab w:leader="none" w:pos="1213"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Securities at the Company’s or the Securityholders’ option and the terms and conditions upon which the election may be made;</w:t>
      </w:r>
    </w:p>
    <w:p>
      <w:pPr>
        <w:spacing w:after="0" w:line="53" w:lineRule="exact"/>
        <w:rPr>
          <w:rFonts w:ascii="Times New Roman" w:cs="Times New Roman" w:eastAsia="Times New Roman" w:hAnsi="Times New Roman"/>
          <w:sz w:val="18"/>
          <w:szCs w:val="18"/>
          <w:color w:val="auto"/>
        </w:rPr>
      </w:pPr>
    </w:p>
    <w:p>
      <w:pPr>
        <w:ind w:left="440" w:right="300" w:firstLine="419"/>
        <w:spacing w:after="0" w:line="282" w:lineRule="auto"/>
        <w:tabs>
          <w:tab w:leader="none" w:pos="1253"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the Company shall pay amounts in addition to the stated interest, premium, if any and principal amounts of the Securities of the series to any Securityholder that is not a “United States person” for federal tax purposes;</w:t>
      </w:r>
    </w:p>
    <w:p>
      <w:pPr>
        <w:spacing w:after="0" w:line="53" w:lineRule="exact"/>
        <w:rPr>
          <w:rFonts w:ascii="Times New Roman" w:cs="Times New Roman" w:eastAsia="Times New Roman" w:hAnsi="Times New Roman"/>
          <w:sz w:val="18"/>
          <w:szCs w:val="18"/>
          <w:color w:val="auto"/>
        </w:rPr>
      </w:pPr>
    </w:p>
    <w:p>
      <w:pPr>
        <w:ind w:left="1240" w:hanging="381"/>
        <w:spacing w:after="0"/>
        <w:tabs>
          <w:tab w:leader="none" w:pos="12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or alternative provisions, if any, related to defeasance and discharge of the offered Securities;</w:t>
      </w:r>
    </w:p>
    <w:p>
      <w:pPr>
        <w:spacing w:after="0" w:line="117" w:lineRule="exact"/>
        <w:rPr>
          <w:rFonts w:ascii="Times New Roman" w:cs="Times New Roman" w:eastAsia="Times New Roman" w:hAnsi="Times New Roman"/>
          <w:sz w:val="18"/>
          <w:szCs w:val="18"/>
          <w:color w:val="auto"/>
        </w:rPr>
      </w:pPr>
    </w:p>
    <w:p>
      <w:pPr>
        <w:ind w:left="1280" w:hanging="421"/>
        <w:spacing w:after="0"/>
        <w:tabs>
          <w:tab w:leader="none" w:pos="12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117" w:lineRule="exact"/>
        <w:rPr>
          <w:rFonts w:ascii="Times New Roman" w:cs="Times New Roman" w:eastAsia="Times New Roman" w:hAnsi="Times New Roman"/>
          <w:sz w:val="18"/>
          <w:szCs w:val="18"/>
          <w:color w:val="auto"/>
        </w:rPr>
      </w:pPr>
    </w:p>
    <w:p>
      <w:pPr>
        <w:ind w:left="1240" w:hanging="381"/>
        <w:spacing w:after="0"/>
        <w:tabs>
          <w:tab w:leader="none" w:pos="12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Securities of the series; and</w:t>
      </w:r>
    </w:p>
    <w:p>
      <w:pPr>
        <w:spacing w:after="0" w:line="117" w:lineRule="exact"/>
        <w:rPr>
          <w:rFonts w:ascii="Times New Roman" w:cs="Times New Roman" w:eastAsia="Times New Roman" w:hAnsi="Times New Roman"/>
          <w:sz w:val="18"/>
          <w:szCs w:val="18"/>
          <w:color w:val="auto"/>
        </w:rPr>
      </w:pPr>
    </w:p>
    <w:p>
      <w:pPr>
        <w:ind w:left="1240" w:hanging="381"/>
        <w:spacing w:after="0"/>
        <w:tabs>
          <w:tab w:leader="none" w:pos="12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series.</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All Securities of any one series shall be substantially identical except as may otherwise be provided in or pursuant to any such Board Resolution or in any indentures supplemental hereto.</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76" w:lineRule="exact"/>
        <w:rPr>
          <w:sz w:val="20"/>
          <w:szCs w:val="20"/>
          <w:color w:val="auto"/>
        </w:rPr>
      </w:pPr>
    </w:p>
    <w:p>
      <w:pPr>
        <w:jc w:val="both"/>
        <w:ind w:right="280" w:firstLine="440"/>
        <w:spacing w:after="0" w:line="266" w:lineRule="auto"/>
        <w:rPr>
          <w:sz w:val="20"/>
          <w:szCs w:val="20"/>
          <w:color w:val="auto"/>
        </w:rPr>
      </w:pPr>
      <w:r>
        <w:rPr>
          <w:rFonts w:ascii="Times New Roman" w:cs="Times New Roman" w:eastAsia="Times New Roman" w:hAnsi="Times New Roman"/>
          <w:sz w:val="18"/>
          <w:szCs w:val="18"/>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172"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2.02</w:t>
      </w:r>
      <w:r>
        <w:rPr>
          <w:sz w:val="20"/>
          <w:szCs w:val="20"/>
          <w:color w:val="auto"/>
        </w:rPr>
        <w:tab/>
      </w:r>
      <w:r>
        <w:rPr>
          <w:rFonts w:ascii="Times New Roman" w:cs="Times New Roman" w:eastAsia="Times New Roman" w:hAnsi="Times New Roman"/>
          <w:sz w:val="17"/>
          <w:szCs w:val="17"/>
          <w:b w:val="1"/>
          <w:bCs w:val="1"/>
          <w:color w:val="auto"/>
        </w:rPr>
        <w:t>Form of Securities and Trustee’s Certificate.</w:t>
      </w:r>
    </w:p>
    <w:p>
      <w:pPr>
        <w:spacing w:after="0" w:line="229"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183"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2.03</w:t>
      </w:r>
      <w:r>
        <w:rPr>
          <w:sz w:val="20"/>
          <w:szCs w:val="20"/>
          <w:color w:val="auto"/>
        </w:rPr>
        <w:tab/>
      </w:r>
      <w:r>
        <w:rPr>
          <w:rFonts w:ascii="Times New Roman" w:cs="Times New Roman" w:eastAsia="Times New Roman" w:hAnsi="Times New Roman"/>
          <w:sz w:val="17"/>
          <w:szCs w:val="17"/>
          <w:b w:val="1"/>
          <w:bCs w:val="1"/>
          <w:color w:val="auto"/>
        </w:rPr>
        <w:t>Denominations: Provisions for Payment.</w:t>
      </w:r>
    </w:p>
    <w:p>
      <w:pPr>
        <w:spacing w:after="0" w:line="229"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Securities shall be issuable as registered Securities and in the denominations of one thousand U.S. dollars ($1,000) or any integral multiple thereof, subject to Section 2.01(1)(j). The Securities of a particular series shall bear interest payable on the dates and at the rate specified with respect to that series. Subject to Section 2.01(1)(p), the principal of and the interest on the Securities of any series, as well as any premium thereon in case of redemption thereof prior to maturity, shall be payable in the coin or currency of the United States of America</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70" w:right="499" w:bottom="1440" w:gutter="0" w:footer="0" w:header="0"/>
        </w:sectPr>
      </w:pPr>
    </w:p>
    <w:bookmarkStart w:id="109" w:name="page110"/>
    <w:bookmarkEnd w:id="109"/>
    <w:p>
      <w:pPr>
        <w:ind w:right="32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spacing w:after="0" w:line="140"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spacing w:after="0" w:line="183" w:lineRule="exact"/>
        <w:rPr>
          <w:sz w:val="20"/>
          <w:szCs w:val="20"/>
          <w:color w:val="auto"/>
        </w:rPr>
      </w:pPr>
    </w:p>
    <w:p>
      <w:pPr>
        <w:ind w:right="160" w:firstLine="440"/>
        <w:spacing w:after="0" w:line="289" w:lineRule="auto"/>
        <w:rPr>
          <w:sz w:val="20"/>
          <w:szCs w:val="20"/>
          <w:color w:val="auto"/>
        </w:rPr>
      </w:pPr>
      <w:r>
        <w:rPr>
          <w:rFonts w:ascii="Times New Roman" w:cs="Times New Roman" w:eastAsia="Times New Roman" w:hAnsi="Times New Roman"/>
          <w:sz w:val="17"/>
          <w:szCs w:val="17"/>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50" w:lineRule="exact"/>
        <w:rPr>
          <w:sz w:val="20"/>
          <w:szCs w:val="20"/>
          <w:color w:val="auto"/>
        </w:rPr>
      </w:pPr>
    </w:p>
    <w:p>
      <w:pPr>
        <w:ind w:right="20" w:firstLine="987"/>
        <w:spacing w:after="0" w:line="253" w:lineRule="auto"/>
        <w:tabs>
          <w:tab w:leader="none" w:pos="137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to each Securityholder at his or her address as it appears in the Security Register (as hereinafter defined),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w:t>
      </w:r>
    </w:p>
    <w:p>
      <w:pPr>
        <w:spacing w:after="0" w:line="187" w:lineRule="exact"/>
        <w:rPr>
          <w:rFonts w:ascii="Times New Roman" w:cs="Times New Roman" w:eastAsia="Times New Roman" w:hAnsi="Times New Roman"/>
          <w:sz w:val="18"/>
          <w:szCs w:val="18"/>
          <w:color w:val="auto"/>
        </w:rPr>
      </w:pPr>
    </w:p>
    <w:p>
      <w:pPr>
        <w:ind w:firstLine="987"/>
        <w:spacing w:after="0" w:line="261" w:lineRule="auto"/>
        <w:tabs>
          <w:tab w:leader="none" w:pos="137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80"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w:t>
      </w:r>
    </w:p>
    <w:p>
      <w:pPr>
        <w:spacing w:after="0" w:line="187" w:lineRule="exact"/>
        <w:rPr>
          <w:sz w:val="20"/>
          <w:szCs w:val="20"/>
          <w:color w:val="auto"/>
        </w:rPr>
      </w:pPr>
    </w:p>
    <w:p>
      <w:pPr>
        <w:jc w:val="both"/>
        <w:ind w:right="180" w:firstLine="440"/>
        <w:spacing w:after="0" w:line="312" w:lineRule="auto"/>
        <w:rPr>
          <w:sz w:val="20"/>
          <w:szCs w:val="20"/>
          <w:color w:val="auto"/>
        </w:rPr>
      </w:pPr>
      <w:r>
        <w:rPr>
          <w:rFonts w:ascii="Times New Roman" w:cs="Times New Roman" w:eastAsia="Times New Roman" w:hAnsi="Times New Roman"/>
          <w:sz w:val="17"/>
          <w:szCs w:val="17"/>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110" w:name="page111"/>
    <w:bookmarkEnd w:id="110"/>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2.04</w:t>
      </w:r>
      <w:r>
        <w:rPr>
          <w:sz w:val="20"/>
          <w:szCs w:val="20"/>
          <w:color w:val="auto"/>
        </w:rPr>
        <w:tab/>
      </w:r>
      <w:r>
        <w:rPr>
          <w:rFonts w:ascii="Times New Roman" w:cs="Times New Roman" w:eastAsia="Times New Roman" w:hAnsi="Times New Roman"/>
          <w:sz w:val="17"/>
          <w:szCs w:val="17"/>
          <w:b w:val="1"/>
          <w:bCs w:val="1"/>
          <w:color w:val="auto"/>
        </w:rPr>
        <w:t>Execution and Authentications.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Securities shall be signed on behalf of the Company by one of its Officers. Signatures may be in the form of a manual or facsimile signature.</w:t>
      </w:r>
    </w:p>
    <w:p>
      <w:pPr>
        <w:spacing w:after="0" w:line="225"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The Company may use the facsimile signature of any Person who shall have been an Officer,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spacing w:after="0" w:line="180"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w:t>
      </w:r>
    </w:p>
    <w:p>
      <w:pPr>
        <w:spacing w:after="0" w:line="187"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In authenticating such Securities and accepting the additional responsibilities under this Indenture in relation to such Securities, the Trustee shall be entitled to receive, if requested, and (subject to Section 7.01) shall be fully protected in relying upon, an Opinion of Counsel stating that the form and terms thereof have been established in conformity with the provisions of this Indenture.</w:t>
      </w:r>
    </w:p>
    <w:p>
      <w:pPr>
        <w:spacing w:after="0" w:line="176" w:lineRule="exact"/>
        <w:rPr>
          <w:sz w:val="20"/>
          <w:szCs w:val="20"/>
          <w:color w:val="auto"/>
        </w:rPr>
      </w:pPr>
    </w:p>
    <w:p>
      <w:pPr>
        <w:ind w:right="180" w:firstLine="440"/>
        <w:spacing w:after="0" w:line="312" w:lineRule="auto"/>
        <w:rPr>
          <w:sz w:val="20"/>
          <w:szCs w:val="20"/>
          <w:color w:val="auto"/>
        </w:rPr>
      </w:pPr>
      <w:r>
        <w:rPr>
          <w:rFonts w:ascii="Times New Roman" w:cs="Times New Roman" w:eastAsia="Times New Roman" w:hAnsi="Times New Roman"/>
          <w:sz w:val="17"/>
          <w:szCs w:val="17"/>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36"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2.05</w:t>
      </w:r>
      <w:r>
        <w:rPr>
          <w:sz w:val="20"/>
          <w:szCs w:val="20"/>
          <w:color w:val="auto"/>
        </w:rPr>
        <w:tab/>
      </w:r>
      <w:r>
        <w:rPr>
          <w:rFonts w:ascii="Times New Roman" w:cs="Times New Roman" w:eastAsia="Times New Roman" w:hAnsi="Times New Roman"/>
          <w:sz w:val="17"/>
          <w:szCs w:val="17"/>
          <w:b w:val="1"/>
          <w:bCs w:val="1"/>
          <w:color w:val="auto"/>
        </w:rPr>
        <w:t>Registration of Transfer and Exchange.</w:t>
      </w:r>
    </w:p>
    <w:p>
      <w:pPr>
        <w:spacing w:after="0" w:line="229" w:lineRule="exact"/>
        <w:rPr>
          <w:sz w:val="20"/>
          <w:szCs w:val="20"/>
          <w:color w:val="auto"/>
        </w:rPr>
      </w:pPr>
    </w:p>
    <w:p>
      <w:pPr>
        <w:ind w:right="100" w:firstLine="987"/>
        <w:spacing w:after="0" w:line="277" w:lineRule="auto"/>
        <w:tabs>
          <w:tab w:leader="none" w:pos="1381"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167" w:lineRule="exact"/>
        <w:rPr>
          <w:rFonts w:ascii="Times New Roman" w:cs="Times New Roman" w:eastAsia="Times New Roman" w:hAnsi="Times New Roman"/>
          <w:sz w:val="17"/>
          <w:szCs w:val="17"/>
          <w:color w:val="auto"/>
        </w:rPr>
      </w:pPr>
    </w:p>
    <w:p>
      <w:pPr>
        <w:ind w:right="40" w:firstLine="987"/>
        <w:spacing w:after="0" w:line="258" w:lineRule="auto"/>
        <w:tabs>
          <w:tab w:leader="none" w:pos="137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keep, or cause to be kept, at its office or agency designated for such purpose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“Security Registrar”).</w:t>
      </w:r>
    </w:p>
    <w:p>
      <w:pPr>
        <w:spacing w:after="0" w:line="183"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76"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111" w:name="page112"/>
    <w:bookmarkEnd w:id="111"/>
    <w:p>
      <w:pPr>
        <w:ind w:firstLine="987"/>
        <w:spacing w:after="0" w:line="261" w:lineRule="auto"/>
        <w:tabs>
          <w:tab w:leader="none" w:pos="1381"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Section 2.06, Section 3.03(2) and Section 9.04 not involving any transfer.</w:t>
      </w:r>
    </w:p>
    <w:p>
      <w:pPr>
        <w:spacing w:after="0" w:line="179" w:lineRule="exact"/>
        <w:rPr>
          <w:rFonts w:ascii="Times New Roman" w:cs="Times New Roman" w:eastAsia="Times New Roman" w:hAnsi="Times New Roman"/>
          <w:sz w:val="18"/>
          <w:szCs w:val="18"/>
          <w:color w:val="auto"/>
        </w:rPr>
      </w:pPr>
    </w:p>
    <w:p>
      <w:pPr>
        <w:ind w:right="120" w:firstLine="987"/>
        <w:spacing w:after="0" w:line="258" w:lineRule="auto"/>
        <w:tabs>
          <w:tab w:leader="none" w:pos="137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other than the unredeemed portion of any such Securities being redeemed in part. The provisions of this Section 2.05 are, with respect to any Global Security, subject to Section 2.11 hereof.</w:t>
      </w:r>
    </w:p>
    <w:p>
      <w:pPr>
        <w:spacing w:after="0" w:line="183"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79"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2.06</w:t>
      </w:r>
      <w:r>
        <w:rPr>
          <w:sz w:val="20"/>
          <w:szCs w:val="20"/>
          <w:color w:val="auto"/>
        </w:rPr>
        <w:tab/>
      </w:r>
      <w:r>
        <w:rPr>
          <w:rFonts w:ascii="Times New Roman" w:cs="Times New Roman" w:eastAsia="Times New Roman" w:hAnsi="Times New Roman"/>
          <w:sz w:val="17"/>
          <w:szCs w:val="17"/>
          <w:b w:val="1"/>
          <w:bCs w:val="1"/>
          <w:color w:val="auto"/>
        </w:rPr>
        <w:t>Temporary Securities.</w:t>
      </w:r>
    </w:p>
    <w:p>
      <w:pPr>
        <w:spacing w:after="0" w:line="229"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188"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2.07</w:t>
      </w:r>
      <w:r>
        <w:rPr>
          <w:sz w:val="20"/>
          <w:szCs w:val="20"/>
          <w:color w:val="auto"/>
        </w:rPr>
        <w:tab/>
      </w:r>
      <w:r>
        <w:rPr>
          <w:rFonts w:ascii="Times New Roman" w:cs="Times New Roman" w:eastAsia="Times New Roman" w:hAnsi="Times New Roman"/>
          <w:sz w:val="17"/>
          <w:szCs w:val="17"/>
          <w:b w:val="1"/>
          <w:bCs w:val="1"/>
          <w:color w:val="auto"/>
        </w:rPr>
        <w:t>Mutilated, Destroyed, Lost or Stolen Securities.</w:t>
      </w:r>
    </w:p>
    <w:p>
      <w:pPr>
        <w:spacing w:after="0" w:line="229" w:lineRule="exact"/>
        <w:rPr>
          <w:sz w:val="20"/>
          <w:szCs w:val="20"/>
          <w:color w:val="auto"/>
        </w:rPr>
      </w:pPr>
    </w:p>
    <w:p>
      <w:pPr>
        <w:ind w:firstLine="440"/>
        <w:spacing w:after="0" w:line="271" w:lineRule="auto"/>
        <w:rPr>
          <w:sz w:val="20"/>
          <w:szCs w:val="20"/>
          <w:color w:val="auto"/>
        </w:rPr>
      </w:pPr>
      <w:r>
        <w:rPr>
          <w:rFonts w:ascii="Times New Roman" w:cs="Times New Roman" w:eastAsia="Times New Roman" w:hAnsi="Times New Roman"/>
          <w:sz w:val="17"/>
          <w:szCs w:val="17"/>
          <w:color w:val="auto"/>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173"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In case any Security that has matured or is about to mature shall become mutilated or be destroyed, lost or stolen, the Company may, instead of issuing a substitute Security, pay or authorize the payment of the same (without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12" w:name="page113"/>
    <w:bookmarkEnd w:id="112"/>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76" w:lineRule="exact"/>
        <w:rPr>
          <w:sz w:val="20"/>
          <w:szCs w:val="20"/>
          <w:color w:val="auto"/>
        </w:rPr>
      </w:pPr>
    </w:p>
    <w:p>
      <w:pPr>
        <w:ind w:right="140" w:firstLine="440"/>
        <w:spacing w:after="0" w:line="255" w:lineRule="auto"/>
        <w:rPr>
          <w:sz w:val="20"/>
          <w:szCs w:val="20"/>
          <w:color w:val="auto"/>
        </w:rPr>
      </w:pPr>
      <w:r>
        <w:rPr>
          <w:rFonts w:ascii="Times New Roman" w:cs="Times New Roman" w:eastAsia="Times New Roman" w:hAnsi="Times New Roman"/>
          <w:sz w:val="18"/>
          <w:szCs w:val="18"/>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85"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2.08</w:t>
        <w:tab/>
        <w:t>Cancellation.</w:t>
      </w:r>
    </w:p>
    <w:p>
      <w:pPr>
        <w:spacing w:after="0" w:line="22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185"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2.09</w:t>
      </w:r>
      <w:r>
        <w:rPr>
          <w:sz w:val="20"/>
          <w:szCs w:val="20"/>
          <w:color w:val="auto"/>
        </w:rPr>
        <w:tab/>
      </w:r>
      <w:r>
        <w:rPr>
          <w:rFonts w:ascii="Times New Roman" w:cs="Times New Roman" w:eastAsia="Times New Roman" w:hAnsi="Times New Roman"/>
          <w:sz w:val="17"/>
          <w:szCs w:val="17"/>
          <w:b w:val="1"/>
          <w:bCs w:val="1"/>
          <w:color w:val="auto"/>
        </w:rPr>
        <w:t>Benefits of Indenture.</w:t>
      </w:r>
    </w:p>
    <w:p>
      <w:pPr>
        <w:spacing w:after="0" w:line="22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spacing w:after="0" w:line="176" w:lineRule="exact"/>
        <w:rPr>
          <w:sz w:val="20"/>
          <w:szCs w:val="20"/>
          <w:color w:val="auto"/>
        </w:rPr>
      </w:pPr>
    </w:p>
    <w:p>
      <w:pPr>
        <w:ind w:left="44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Section 2.10</w:t>
      </w:r>
      <w:r>
        <w:rPr>
          <w:sz w:val="20"/>
          <w:szCs w:val="20"/>
          <w:color w:val="auto"/>
        </w:rPr>
        <w:tab/>
      </w:r>
      <w:r>
        <w:rPr>
          <w:rFonts w:ascii="Times New Roman" w:cs="Times New Roman" w:eastAsia="Times New Roman" w:hAnsi="Times New Roman"/>
          <w:sz w:val="17"/>
          <w:szCs w:val="17"/>
          <w:b w:val="1"/>
          <w:bCs w:val="1"/>
          <w:color w:val="auto"/>
        </w:rPr>
        <w:t>Authenticating Agent.</w:t>
      </w:r>
    </w:p>
    <w:p>
      <w:pPr>
        <w:spacing w:after="0" w:line="22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88"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13" w:name="page114"/>
    <w:bookmarkEnd w:id="113"/>
    <w:p>
      <w:pPr>
        <w:ind w:left="44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2.11</w:t>
      </w:r>
      <w:r>
        <w:rPr>
          <w:sz w:val="20"/>
          <w:szCs w:val="20"/>
          <w:color w:val="auto"/>
        </w:rPr>
        <w:tab/>
      </w:r>
      <w:r>
        <w:rPr>
          <w:rFonts w:ascii="Times New Roman" w:cs="Times New Roman" w:eastAsia="Times New Roman" w:hAnsi="Times New Roman"/>
          <w:sz w:val="17"/>
          <w:szCs w:val="17"/>
          <w:b w:val="1"/>
          <w:bCs w:val="1"/>
          <w:color w:val="auto"/>
        </w:rPr>
        <w:t>Global Securities.</w:t>
      </w:r>
    </w:p>
    <w:p>
      <w:pPr>
        <w:spacing w:after="0" w:line="229" w:lineRule="exact"/>
        <w:rPr>
          <w:sz w:val="20"/>
          <w:szCs w:val="20"/>
          <w:color w:val="auto"/>
        </w:rPr>
      </w:pPr>
    </w:p>
    <w:p>
      <w:pPr>
        <w:ind w:firstLine="987"/>
        <w:spacing w:after="0" w:line="255" w:lineRule="auto"/>
        <w:tabs>
          <w:tab w:leader="none" w:pos="138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spacing w:after="0" w:line="188" w:lineRule="exact"/>
        <w:rPr>
          <w:rFonts w:ascii="Times New Roman" w:cs="Times New Roman" w:eastAsia="Times New Roman" w:hAnsi="Times New Roman"/>
          <w:sz w:val="18"/>
          <w:szCs w:val="18"/>
          <w:color w:val="auto"/>
        </w:rPr>
      </w:pPr>
    </w:p>
    <w:p>
      <w:pPr>
        <w:ind w:right="40" w:firstLine="987"/>
        <w:spacing w:after="0" w:line="266" w:lineRule="auto"/>
        <w:tabs>
          <w:tab w:leader="none" w:pos="138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175" w:lineRule="exact"/>
        <w:rPr>
          <w:rFonts w:ascii="Times New Roman" w:cs="Times New Roman" w:eastAsia="Times New Roman" w:hAnsi="Times New Roman"/>
          <w:sz w:val="18"/>
          <w:szCs w:val="18"/>
          <w:color w:val="auto"/>
        </w:rPr>
      </w:pPr>
    </w:p>
    <w:p>
      <w:pPr>
        <w:ind w:right="20" w:firstLine="987"/>
        <w:spacing w:after="0" w:line="252" w:lineRule="auto"/>
        <w:tabs>
          <w:tab w:leader="none" w:pos="138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2.11(3)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REDEMPTION OF SECURITIES AND SINKING FUND PROVISIONS</w:t>
      </w:r>
    </w:p>
    <w:p>
      <w:pPr>
        <w:spacing w:after="0" w:line="225"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3.01</w:t>
      </w:r>
      <w:r>
        <w:rPr>
          <w:sz w:val="20"/>
          <w:szCs w:val="20"/>
          <w:color w:val="auto"/>
        </w:rPr>
        <w:tab/>
      </w:r>
      <w:r>
        <w:rPr>
          <w:rFonts w:ascii="Times New Roman" w:cs="Times New Roman" w:eastAsia="Times New Roman" w:hAnsi="Times New Roman"/>
          <w:sz w:val="17"/>
          <w:szCs w:val="17"/>
          <w:b w:val="1"/>
          <w:bCs w:val="1"/>
          <w:color w:val="auto"/>
        </w:rPr>
        <w:t>Redemption.</w:t>
      </w:r>
    </w:p>
    <w:p>
      <w:pPr>
        <w:spacing w:after="0" w:line="229"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The Company may redeem the Securities of any series issued hereunder on and after the dates and in accordance with the terms established for such series pursuant to Section 2.01 hereof.</w:t>
      </w:r>
    </w:p>
    <w:p>
      <w:pPr>
        <w:spacing w:after="0" w:line="158"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3.02</w:t>
        <w:tab/>
        <w:t>Notice of Redemption.</w:t>
      </w:r>
    </w:p>
    <w:p>
      <w:pPr>
        <w:spacing w:after="0" w:line="229" w:lineRule="exact"/>
        <w:rPr>
          <w:sz w:val="20"/>
          <w:szCs w:val="20"/>
          <w:color w:val="auto"/>
        </w:rPr>
      </w:pPr>
    </w:p>
    <w:p>
      <w:pPr>
        <w:ind w:right="140" w:firstLine="987"/>
        <w:spacing w:after="0" w:line="258" w:lineRule="auto"/>
        <w:tabs>
          <w:tab w:leader="none" w:pos="1381"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first class postage prepaid, a notice of such redemption not less than 30 days and not more than 90 days before the date fixed for redemption of that series to such holders at their last addresses as they shall appear upon the Security Register, unless a shorter period is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6" w:right="459" w:bottom="1440" w:gutter="0" w:footer="0" w:header="0"/>
        </w:sectPr>
      </w:pPr>
    </w:p>
    <w:bookmarkStart w:id="114" w:name="page115"/>
    <w:bookmarkEnd w:id="114"/>
    <w:p>
      <w:pPr>
        <w:ind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87"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Each such notice of redemption shall specify the date fixed for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spacing w:after="0" w:line="187"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176" w:lineRule="exact"/>
        <w:rPr>
          <w:sz w:val="20"/>
          <w:szCs w:val="20"/>
          <w:color w:val="auto"/>
        </w:rPr>
      </w:pPr>
    </w:p>
    <w:p>
      <w:pPr>
        <w:ind w:firstLine="987"/>
        <w:spacing w:after="0" w:line="253" w:lineRule="auto"/>
        <w:tabs>
          <w:tab w:leader="none" w:pos="138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Trustee shall select, by lot or in such other manner as it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186"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3.03</w:t>
        <w:tab/>
        <w:t>Payment Upon Redemption.</w:t>
      </w:r>
    </w:p>
    <w:p>
      <w:pPr>
        <w:spacing w:after="0" w:line="229" w:lineRule="exact"/>
        <w:rPr>
          <w:sz w:val="20"/>
          <w:szCs w:val="20"/>
          <w:color w:val="auto"/>
        </w:rPr>
      </w:pPr>
    </w:p>
    <w:p>
      <w:pPr>
        <w:ind w:firstLine="987"/>
        <w:spacing w:after="0" w:line="254" w:lineRule="auto"/>
        <w:tabs>
          <w:tab w:leader="none" w:pos="138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191" w:lineRule="exact"/>
        <w:rPr>
          <w:rFonts w:ascii="Times New Roman" w:cs="Times New Roman" w:eastAsia="Times New Roman" w:hAnsi="Times New Roman"/>
          <w:sz w:val="18"/>
          <w:szCs w:val="18"/>
          <w:color w:val="auto"/>
        </w:rPr>
      </w:pPr>
    </w:p>
    <w:p>
      <w:pPr>
        <w:ind w:right="80" w:firstLine="987"/>
        <w:spacing w:after="0" w:line="266" w:lineRule="auto"/>
        <w:tabs>
          <w:tab w:leader="none" w:pos="138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presentation of any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115" w:name="page116"/>
    <w:bookmarkEnd w:id="115"/>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3.04</w:t>
      </w:r>
      <w:r>
        <w:rPr>
          <w:sz w:val="20"/>
          <w:szCs w:val="20"/>
          <w:color w:val="auto"/>
        </w:rPr>
        <w:tab/>
      </w:r>
      <w:r>
        <w:rPr>
          <w:rFonts w:ascii="Times New Roman" w:cs="Times New Roman" w:eastAsia="Times New Roman" w:hAnsi="Times New Roman"/>
          <w:sz w:val="17"/>
          <w:szCs w:val="17"/>
          <w:b w:val="1"/>
          <w:bCs w:val="1"/>
          <w:color w:val="auto"/>
        </w:rPr>
        <w:t>Sinking Fund.</w:t>
      </w:r>
    </w:p>
    <w:p>
      <w:pPr>
        <w:spacing w:after="0" w:line="229"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The provisions of Sections 3.04, 3.05 and 3.06 shall be applicable to any sinking fund for the retirement of Securities of a series, except as otherwise specified as contemplated by Section 2.01 for Securities of such series.</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pacing w:after="0" w:line="179"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3.05</w:t>
      </w:r>
      <w:r>
        <w:rPr>
          <w:sz w:val="20"/>
          <w:szCs w:val="20"/>
          <w:color w:val="auto"/>
        </w:rPr>
        <w:tab/>
      </w:r>
      <w:r>
        <w:rPr>
          <w:rFonts w:ascii="Times New Roman" w:cs="Times New Roman" w:eastAsia="Times New Roman" w:hAnsi="Times New Roman"/>
          <w:sz w:val="17"/>
          <w:szCs w:val="17"/>
          <w:b w:val="1"/>
          <w:bCs w:val="1"/>
          <w:color w:val="auto"/>
        </w:rPr>
        <w:t>Satisfaction of Sinking Fund Payments with Securities.</w:t>
      </w:r>
    </w:p>
    <w:p>
      <w:pPr>
        <w:spacing w:after="0" w:line="22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83"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3.06</w:t>
      </w:r>
      <w:r>
        <w:rPr>
          <w:sz w:val="20"/>
          <w:szCs w:val="20"/>
          <w:color w:val="auto"/>
        </w:rPr>
        <w:tab/>
      </w:r>
      <w:r>
        <w:rPr>
          <w:rFonts w:ascii="Times New Roman" w:cs="Times New Roman" w:eastAsia="Times New Roman" w:hAnsi="Times New Roman"/>
          <w:sz w:val="17"/>
          <w:szCs w:val="17"/>
          <w:b w:val="1"/>
          <w:bCs w:val="1"/>
          <w:color w:val="auto"/>
        </w:rPr>
        <w:t>Redemption of Securities for Sinking Fund.</w:t>
      </w:r>
    </w:p>
    <w:p>
      <w:pPr>
        <w:spacing w:after="0" w:line="229"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5"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4.01</w:t>
      </w:r>
      <w:r>
        <w:rPr>
          <w:sz w:val="20"/>
          <w:szCs w:val="20"/>
          <w:color w:val="auto"/>
        </w:rPr>
        <w:tab/>
      </w:r>
      <w:r>
        <w:rPr>
          <w:rFonts w:ascii="Times New Roman" w:cs="Times New Roman" w:eastAsia="Times New Roman" w:hAnsi="Times New Roman"/>
          <w:sz w:val="17"/>
          <w:szCs w:val="17"/>
          <w:b w:val="1"/>
          <w:bCs w:val="1"/>
          <w:color w:val="auto"/>
        </w:rPr>
        <w:t>Payment of Principal, Premium and Interest.</w:t>
      </w:r>
    </w:p>
    <w:p>
      <w:pPr>
        <w:spacing w:after="0" w:line="22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if such Securityholder shall have furnished wire instructions in writing to the Security Registrar and the Trustee no later than 15 days prior to the relevant payment date.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66" w:right="459" w:bottom="1440" w:gutter="0" w:footer="0" w:header="0"/>
        </w:sectPr>
      </w:pPr>
    </w:p>
    <w:bookmarkStart w:id="116" w:name="page117"/>
    <w:bookmarkEnd w:id="116"/>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4.02</w:t>
      </w:r>
      <w:r>
        <w:rPr>
          <w:sz w:val="20"/>
          <w:szCs w:val="20"/>
          <w:color w:val="auto"/>
        </w:rPr>
        <w:tab/>
      </w:r>
      <w:r>
        <w:rPr>
          <w:rFonts w:ascii="Times New Roman" w:cs="Times New Roman" w:eastAsia="Times New Roman" w:hAnsi="Times New Roman"/>
          <w:sz w:val="17"/>
          <w:szCs w:val="17"/>
          <w:b w:val="1"/>
          <w:bCs w:val="1"/>
          <w:color w:val="auto"/>
        </w:rPr>
        <w:t>Maintenance of Office or Agency.</w:t>
      </w:r>
    </w:p>
    <w:p>
      <w:pPr>
        <w:spacing w:after="0" w:line="22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as its paying agent with respect to the Securities.</w:t>
      </w:r>
    </w:p>
    <w:p>
      <w:pPr>
        <w:spacing w:after="0" w:line="184"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4.03</w:t>
      </w:r>
      <w:r>
        <w:rPr>
          <w:sz w:val="20"/>
          <w:szCs w:val="20"/>
          <w:color w:val="auto"/>
        </w:rPr>
        <w:tab/>
      </w:r>
      <w:r>
        <w:rPr>
          <w:rFonts w:ascii="Times New Roman" w:cs="Times New Roman" w:eastAsia="Times New Roman" w:hAnsi="Times New Roman"/>
          <w:sz w:val="17"/>
          <w:szCs w:val="17"/>
          <w:b w:val="1"/>
          <w:bCs w:val="1"/>
          <w:color w:val="auto"/>
        </w:rPr>
        <w:t>Paying Agents.</w:t>
      </w:r>
    </w:p>
    <w:p>
      <w:pPr>
        <w:spacing w:after="0" w:line="229" w:lineRule="exact"/>
        <w:rPr>
          <w:sz w:val="20"/>
          <w:szCs w:val="20"/>
          <w:color w:val="auto"/>
        </w:rPr>
      </w:pPr>
    </w:p>
    <w:p>
      <w:pPr>
        <w:ind w:right="220" w:firstLine="987"/>
        <w:spacing w:after="0" w:line="266" w:lineRule="auto"/>
        <w:tabs>
          <w:tab w:leader="none" w:pos="1381"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67"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243"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67"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253"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53" w:lineRule="exact"/>
        <w:rPr>
          <w:rFonts w:ascii="Times New Roman" w:cs="Times New Roman" w:eastAsia="Times New Roman" w:hAnsi="Times New Roman"/>
          <w:sz w:val="18"/>
          <w:szCs w:val="18"/>
          <w:color w:val="auto"/>
        </w:rPr>
      </w:pPr>
    </w:p>
    <w:p>
      <w:pPr>
        <w:ind w:left="440" w:right="460" w:firstLine="419"/>
        <w:spacing w:after="0" w:line="282" w:lineRule="auto"/>
        <w:tabs>
          <w:tab w:leader="none" w:pos="1243"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at any time during the continuance of any failure referred to in the preceding paragraph (a)(2) above, upon the written request of the Trustee, forthwith pay to the Trustee all sums so held in trust by such paying agent; and</w:t>
      </w:r>
    </w:p>
    <w:p>
      <w:pPr>
        <w:spacing w:after="0" w:line="53" w:lineRule="exact"/>
        <w:rPr>
          <w:rFonts w:ascii="Times New Roman" w:cs="Times New Roman" w:eastAsia="Times New Roman" w:hAnsi="Times New Roman"/>
          <w:sz w:val="18"/>
          <w:szCs w:val="18"/>
          <w:color w:val="auto"/>
        </w:rPr>
      </w:pPr>
    </w:p>
    <w:p>
      <w:pPr>
        <w:ind w:left="1240" w:hanging="381"/>
        <w:spacing w:after="0"/>
        <w:tabs>
          <w:tab w:leader="none" w:pos="12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perform all other duties of paying agent as set forth in this Indenture.</w:t>
      </w:r>
    </w:p>
    <w:p>
      <w:pPr>
        <w:spacing w:after="0" w:line="225" w:lineRule="exact"/>
        <w:rPr>
          <w:rFonts w:ascii="Times New Roman" w:cs="Times New Roman" w:eastAsia="Times New Roman" w:hAnsi="Times New Roman"/>
          <w:sz w:val="18"/>
          <w:szCs w:val="18"/>
          <w:color w:val="auto"/>
        </w:rPr>
      </w:pPr>
    </w:p>
    <w:p>
      <w:pPr>
        <w:ind w:right="20" w:firstLine="987"/>
        <w:spacing w:after="0" w:line="254" w:lineRule="auto"/>
        <w:tabs>
          <w:tab w:leader="none" w:pos="1381"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191" w:lineRule="exact"/>
        <w:rPr>
          <w:rFonts w:ascii="Times New Roman" w:cs="Times New Roman" w:eastAsia="Times New Roman" w:hAnsi="Times New Roman"/>
          <w:sz w:val="18"/>
          <w:szCs w:val="18"/>
          <w:color w:val="auto"/>
        </w:rPr>
      </w:pPr>
    </w:p>
    <w:p>
      <w:pPr>
        <w:ind w:firstLine="987"/>
        <w:spacing w:after="0" w:line="256" w:lineRule="auto"/>
        <w:tabs>
          <w:tab w:leader="none" w:pos="1381"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66" w:right="459" w:bottom="1440" w:gutter="0" w:footer="0" w:header="0"/>
        </w:sectPr>
      </w:pPr>
    </w:p>
    <w:bookmarkStart w:id="117" w:name="page118"/>
    <w:bookmarkEnd w:id="117"/>
    <w:p>
      <w:pPr>
        <w:ind w:left="44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4.04</w:t>
      </w:r>
      <w:r>
        <w:rPr>
          <w:sz w:val="20"/>
          <w:szCs w:val="20"/>
          <w:color w:val="auto"/>
        </w:rPr>
        <w:tab/>
      </w:r>
      <w:r>
        <w:rPr>
          <w:rFonts w:ascii="Times New Roman" w:cs="Times New Roman" w:eastAsia="Times New Roman" w:hAnsi="Times New Roman"/>
          <w:sz w:val="17"/>
          <w:szCs w:val="17"/>
          <w:b w:val="1"/>
          <w:bCs w:val="1"/>
          <w:color w:val="auto"/>
        </w:rPr>
        <w:t>Appointment to Fill Vacancy in Office of Trustee.</w:t>
      </w:r>
    </w:p>
    <w:p>
      <w:pPr>
        <w:spacing w:after="0" w:line="229"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The Company, whenever necessary to avoid or fill a vacancy in the office of Trustee, will appoint, in the manner provided in Section 7.10, a Trustee, so that there shall at all times be a Trustee hereunder.</w:t>
      </w:r>
    </w:p>
    <w:p>
      <w:pPr>
        <w:spacing w:after="0" w:line="158" w:lineRule="exact"/>
        <w:rPr>
          <w:sz w:val="20"/>
          <w:szCs w:val="20"/>
          <w:color w:val="auto"/>
        </w:rPr>
      </w:pPr>
    </w:p>
    <w:p>
      <w:pPr>
        <w:ind w:left="44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Section 4.05</w:t>
      </w:r>
      <w:r>
        <w:rPr>
          <w:sz w:val="20"/>
          <w:szCs w:val="20"/>
          <w:color w:val="auto"/>
        </w:rPr>
        <w:tab/>
      </w:r>
      <w:r>
        <w:rPr>
          <w:rFonts w:ascii="Times New Roman" w:cs="Times New Roman" w:eastAsia="Times New Roman" w:hAnsi="Times New Roman"/>
          <w:sz w:val="17"/>
          <w:szCs w:val="17"/>
          <w:b w:val="1"/>
          <w:bCs w:val="1"/>
          <w:color w:val="auto"/>
        </w:rPr>
        <w:t>Compliance with Consolidation Provisions.</w:t>
      </w:r>
    </w:p>
    <w:p>
      <w:pPr>
        <w:spacing w:after="0" w:line="229"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The Company will not, while any of the Securities remain Outstanding, consolidate with or merge into any other Person, in either case where the Company is not the survivor of such transaction, or sell or convey all or substantially all of its property to any other Person unless the provisions of Article Ten hereof are complied with.</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2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SECURITYHOLDERS’ LISTS AND REPORTS BY THE COMPANY AND THE TRUSTEE</w:t>
      </w:r>
    </w:p>
    <w:p>
      <w:pPr>
        <w:spacing w:after="0" w:line="225"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5.01</w:t>
      </w:r>
      <w:r>
        <w:rPr>
          <w:sz w:val="20"/>
          <w:szCs w:val="20"/>
          <w:color w:val="auto"/>
        </w:rPr>
        <w:tab/>
      </w:r>
      <w:r>
        <w:rPr>
          <w:rFonts w:ascii="Times New Roman" w:cs="Times New Roman" w:eastAsia="Times New Roman" w:hAnsi="Times New Roman"/>
          <w:sz w:val="17"/>
          <w:szCs w:val="17"/>
          <w:b w:val="1"/>
          <w:bCs w:val="1"/>
          <w:color w:val="auto"/>
        </w:rPr>
        <w:t>Company to Furnish Trustee Names and Addresses of Securityholders.</w:t>
      </w:r>
    </w:p>
    <w:p>
      <w:pPr>
        <w:spacing w:after="0" w:line="229"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183"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5.02</w:t>
      </w:r>
      <w:r>
        <w:rPr>
          <w:sz w:val="20"/>
          <w:szCs w:val="20"/>
          <w:color w:val="auto"/>
        </w:rPr>
        <w:tab/>
      </w:r>
      <w:r>
        <w:rPr>
          <w:rFonts w:ascii="Times New Roman" w:cs="Times New Roman" w:eastAsia="Times New Roman" w:hAnsi="Times New Roman"/>
          <w:sz w:val="17"/>
          <w:szCs w:val="17"/>
          <w:b w:val="1"/>
          <w:bCs w:val="1"/>
          <w:color w:val="auto"/>
        </w:rPr>
        <w:t>Preservation Of Information; Communications With Securityholders.</w:t>
      </w:r>
    </w:p>
    <w:p>
      <w:pPr>
        <w:spacing w:after="0" w:line="229" w:lineRule="exact"/>
        <w:rPr>
          <w:sz w:val="20"/>
          <w:szCs w:val="20"/>
          <w:color w:val="auto"/>
        </w:rPr>
      </w:pPr>
    </w:p>
    <w:p>
      <w:pPr>
        <w:ind w:right="380" w:firstLine="987"/>
        <w:spacing w:after="0" w:line="266" w:lineRule="auto"/>
        <w:tabs>
          <w:tab w:leader="none" w:pos="137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w:t>
      </w:r>
    </w:p>
    <w:p>
      <w:pPr>
        <w:spacing w:after="0" w:line="175"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destroy any list furnished to it as provided in Section 5.01 upon receipt of a new list so furnished.</w:t>
      </w:r>
    </w:p>
    <w:p>
      <w:pPr>
        <w:spacing w:after="0" w:line="225" w:lineRule="exact"/>
        <w:rPr>
          <w:rFonts w:ascii="Times New Roman" w:cs="Times New Roman" w:eastAsia="Times New Roman" w:hAnsi="Times New Roman"/>
          <w:sz w:val="18"/>
          <w:szCs w:val="18"/>
          <w:color w:val="auto"/>
        </w:rPr>
      </w:pPr>
    </w:p>
    <w:p>
      <w:pPr>
        <w:ind w:right="140" w:firstLine="987"/>
        <w:spacing w:after="0" w:line="266" w:lineRule="auto"/>
        <w:tabs>
          <w:tab w:leader="none" w:pos="1381"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spacing w:after="0" w:line="172"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5.03</w:t>
      </w:r>
      <w:r>
        <w:rPr>
          <w:sz w:val="20"/>
          <w:szCs w:val="20"/>
          <w:color w:val="auto"/>
        </w:rPr>
        <w:tab/>
      </w:r>
      <w:r>
        <w:rPr>
          <w:rFonts w:ascii="Times New Roman" w:cs="Times New Roman" w:eastAsia="Times New Roman" w:hAnsi="Times New Roman"/>
          <w:sz w:val="17"/>
          <w:szCs w:val="17"/>
          <w:b w:val="1"/>
          <w:bCs w:val="1"/>
          <w:color w:val="auto"/>
        </w:rPr>
        <w:t>Reports by the Company.</w:t>
      </w:r>
    </w:p>
    <w:p>
      <w:pPr>
        <w:spacing w:after="0" w:line="229" w:lineRule="exact"/>
        <w:rPr>
          <w:sz w:val="20"/>
          <w:szCs w:val="20"/>
          <w:color w:val="auto"/>
        </w:rPr>
      </w:pPr>
    </w:p>
    <w:p>
      <w:pPr>
        <w:ind w:firstLine="987"/>
        <w:spacing w:after="0" w:line="253" w:lineRule="auto"/>
        <w:tabs>
          <w:tab w:leader="none" w:pos="137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provided, however, the Company shall not be required to deliver to the Trustee any materials for which the Company has sought and received confidential treatment by the Commission; and provided further, that so long as such filings by the Company are available on the Commission’s Electronic Data Gathering, Analysis and Retrieval System (EDGAR), or Interactive Data Electronic Applications (IDEA), or any successor system, such filings shall be deemed to have been filed with the Trustee for purposes hereof without any further action required by the Company; provided that an electronic link to such filing, together with an electronic notice of such filing have been sent to the Trustee. For the avoidance of doubt, a failure by the Company to file annual reports, information and other reports with the SEC within the time period prescribed thereof by the Commission shall not be deemed a breach of this Section 5.03.</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66" w:right="479" w:bottom="1440" w:gutter="0" w:footer="0" w:header="0"/>
        </w:sectPr>
      </w:pPr>
    </w:p>
    <w:bookmarkStart w:id="118" w:name="page119"/>
    <w:bookmarkEnd w:id="118"/>
    <w:p>
      <w:pPr>
        <w:ind w:left="-20" w:right="40" w:firstLine="987"/>
        <w:spacing w:after="0" w:line="261" w:lineRule="auto"/>
        <w:tabs>
          <w:tab w:leader="none" w:pos="1361"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w:t>
      </w:r>
    </w:p>
    <w:p>
      <w:pPr>
        <w:spacing w:after="0" w:line="176" w:lineRule="exact"/>
        <w:rPr>
          <w:sz w:val="20"/>
          <w:szCs w:val="20"/>
          <w:color w:val="auto"/>
        </w:rPr>
      </w:pPr>
    </w:p>
    <w:p>
      <w:pPr>
        <w:ind w:left="42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Section 5.04</w:t>
      </w:r>
      <w:r>
        <w:rPr>
          <w:sz w:val="20"/>
          <w:szCs w:val="20"/>
          <w:color w:val="auto"/>
        </w:rPr>
        <w:tab/>
      </w:r>
      <w:r>
        <w:rPr>
          <w:rFonts w:ascii="Times New Roman" w:cs="Times New Roman" w:eastAsia="Times New Roman" w:hAnsi="Times New Roman"/>
          <w:sz w:val="17"/>
          <w:szCs w:val="17"/>
          <w:b w:val="1"/>
          <w:bCs w:val="1"/>
          <w:color w:val="auto"/>
        </w:rPr>
        <w:t>Reports by the Trustee.</w:t>
      </w:r>
    </w:p>
    <w:p>
      <w:pPr>
        <w:spacing w:after="0" w:line="229" w:lineRule="exact"/>
        <w:rPr>
          <w:sz w:val="20"/>
          <w:szCs w:val="20"/>
          <w:color w:val="auto"/>
        </w:rPr>
      </w:pPr>
    </w:p>
    <w:p>
      <w:pPr>
        <w:jc w:val="both"/>
        <w:ind w:left="-20" w:right="60" w:firstLine="987"/>
        <w:spacing w:after="0" w:line="266" w:lineRule="auto"/>
        <w:tabs>
          <w:tab w:leader="none" w:pos="1361"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by Section 313(a) of the Trust Indenture Act, the Trustee, within sixty (60) days after each May 1, shall transmit by mail, first class postage prepaid, to the Securityholders, as their names and addresses appear upon the Security Register, a brief report dated as of such May 1, which complies with Section 313(a) of the Trust Indenture Act.</w:t>
      </w:r>
    </w:p>
    <w:p>
      <w:pPr>
        <w:spacing w:after="0" w:line="175" w:lineRule="exact"/>
        <w:rPr>
          <w:rFonts w:ascii="Times New Roman" w:cs="Times New Roman" w:eastAsia="Times New Roman" w:hAnsi="Times New Roman"/>
          <w:sz w:val="18"/>
          <w:szCs w:val="18"/>
          <w:color w:val="auto"/>
        </w:rPr>
      </w:pPr>
    </w:p>
    <w:p>
      <w:pPr>
        <w:ind w:left="1360" w:hanging="393"/>
        <w:spacing w:after="0"/>
        <w:tabs>
          <w:tab w:leader="none" w:pos="13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comply with Section 313(b) and 313(c) of the Trust Indenture Act.</w:t>
      </w:r>
    </w:p>
    <w:p>
      <w:pPr>
        <w:spacing w:after="0" w:line="225" w:lineRule="exact"/>
        <w:rPr>
          <w:rFonts w:ascii="Times New Roman" w:cs="Times New Roman" w:eastAsia="Times New Roman" w:hAnsi="Times New Roman"/>
          <w:sz w:val="18"/>
          <w:szCs w:val="18"/>
          <w:color w:val="auto"/>
        </w:rPr>
      </w:pPr>
    </w:p>
    <w:p>
      <w:pPr>
        <w:ind w:left="-20" w:right="100" w:firstLine="987"/>
        <w:spacing w:after="0" w:line="266" w:lineRule="auto"/>
        <w:tabs>
          <w:tab w:leader="none" w:pos="1351"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2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REMEDIES OF THE TRUSTEE AND SECURITYHOLDERS ON EVENT OF DEFAULT</w:t>
      </w:r>
    </w:p>
    <w:p>
      <w:pPr>
        <w:spacing w:after="0" w:line="225" w:lineRule="exact"/>
        <w:rPr>
          <w:sz w:val="20"/>
          <w:szCs w:val="20"/>
          <w:color w:val="auto"/>
        </w:rPr>
      </w:pPr>
    </w:p>
    <w:p>
      <w:pPr>
        <w:ind w:left="42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Section 6.01</w:t>
        <w:tab/>
        <w:t>Events of Default.</w:t>
      </w:r>
    </w:p>
    <w:p>
      <w:pPr>
        <w:spacing w:after="0" w:line="229" w:lineRule="exact"/>
        <w:rPr>
          <w:sz w:val="20"/>
          <w:szCs w:val="20"/>
          <w:color w:val="auto"/>
        </w:rPr>
      </w:pPr>
    </w:p>
    <w:p>
      <w:pPr>
        <w:ind w:left="-20" w:right="280" w:firstLine="987"/>
        <w:spacing w:after="0" w:line="282" w:lineRule="auto"/>
        <w:tabs>
          <w:tab w:leader="none" w:pos="1358"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used herein with respect to Securities of a particular series, “Event of Default” means any one or more of the following events that has occurred and is continuing:</w:t>
      </w:r>
    </w:p>
    <w:p>
      <w:pPr>
        <w:spacing w:after="0" w:line="53" w:lineRule="exact"/>
        <w:rPr>
          <w:rFonts w:ascii="Times New Roman" w:cs="Times New Roman" w:eastAsia="Times New Roman" w:hAnsi="Times New Roman"/>
          <w:sz w:val="18"/>
          <w:szCs w:val="18"/>
          <w:color w:val="auto"/>
        </w:rPr>
      </w:pPr>
    </w:p>
    <w:p>
      <w:pPr>
        <w:ind w:left="420" w:right="20" w:firstLine="419"/>
        <w:spacing w:after="0" w:line="261" w:lineRule="auto"/>
        <w:tabs>
          <w:tab w:leader="none" w:pos="122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71" w:lineRule="exact"/>
        <w:rPr>
          <w:rFonts w:ascii="Times New Roman" w:cs="Times New Roman" w:eastAsia="Times New Roman" w:hAnsi="Times New Roman"/>
          <w:sz w:val="18"/>
          <w:szCs w:val="18"/>
          <w:color w:val="auto"/>
        </w:rPr>
      </w:pPr>
    </w:p>
    <w:p>
      <w:pPr>
        <w:ind w:left="420" w:firstLine="419"/>
        <w:spacing w:after="0" w:line="261" w:lineRule="auto"/>
        <w:tabs>
          <w:tab w:leader="none" w:pos="123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71" w:lineRule="exact"/>
        <w:rPr>
          <w:rFonts w:ascii="Times New Roman" w:cs="Times New Roman" w:eastAsia="Times New Roman" w:hAnsi="Times New Roman"/>
          <w:sz w:val="18"/>
          <w:szCs w:val="18"/>
          <w:color w:val="auto"/>
        </w:rPr>
      </w:pPr>
    </w:p>
    <w:p>
      <w:pPr>
        <w:ind w:left="420" w:right="40" w:firstLine="419"/>
        <w:spacing w:after="0" w:line="256" w:lineRule="auto"/>
        <w:tabs>
          <w:tab w:leader="none" w:pos="1223"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60" w:top="270" w:right="459" w:bottom="1440" w:gutter="0" w:footer="0" w:header="0"/>
        </w:sectPr>
      </w:pPr>
    </w:p>
    <w:bookmarkStart w:id="119" w:name="page120"/>
    <w:bookmarkEnd w:id="119"/>
    <w:p>
      <w:pPr>
        <w:ind w:left="444" w:firstLine="419"/>
        <w:spacing w:after="0" w:line="266" w:lineRule="auto"/>
        <w:tabs>
          <w:tab w:leader="none" w:pos="1257"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spacing w:after="0" w:line="67" w:lineRule="exact"/>
        <w:rPr>
          <w:rFonts w:ascii="Times New Roman" w:cs="Times New Roman" w:eastAsia="Times New Roman" w:hAnsi="Times New Roman"/>
          <w:sz w:val="18"/>
          <w:szCs w:val="18"/>
          <w:color w:val="auto"/>
        </w:rPr>
      </w:pPr>
    </w:p>
    <w:p>
      <w:pPr>
        <w:ind w:left="444" w:right="80" w:firstLine="419"/>
        <w:spacing w:after="0" w:line="266" w:lineRule="auto"/>
        <w:tabs>
          <w:tab w:leader="none" w:pos="1247"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spacing w:after="0" w:line="175" w:lineRule="exact"/>
        <w:rPr>
          <w:rFonts w:ascii="Times New Roman" w:cs="Times New Roman" w:eastAsia="Times New Roman" w:hAnsi="Times New Roman"/>
          <w:sz w:val="18"/>
          <w:szCs w:val="18"/>
          <w:color w:val="auto"/>
        </w:rPr>
      </w:pPr>
    </w:p>
    <w:p>
      <w:pPr>
        <w:ind w:left="4" w:right="60" w:firstLine="987"/>
        <w:spacing w:after="0" w:line="269" w:lineRule="auto"/>
        <w:tabs>
          <w:tab w:leader="none" w:pos="1385" w:val="left"/>
        </w:tabs>
        <w:numPr>
          <w:ilvl w:val="2"/>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w:t>
      </w:r>
    </w:p>
    <w:p>
      <w:pPr>
        <w:spacing w:after="0" w:line="2" w:lineRule="exact"/>
        <w:rPr>
          <w:rFonts w:ascii="Times New Roman" w:cs="Times New Roman" w:eastAsia="Times New Roman" w:hAnsi="Times New Roman"/>
          <w:sz w:val="17"/>
          <w:szCs w:val="17"/>
          <w:color w:val="auto"/>
        </w:rPr>
      </w:pPr>
    </w:p>
    <w:p>
      <w:pPr>
        <w:ind w:left="4" w:right="40" w:hanging="4"/>
        <w:spacing w:after="0" w:line="260" w:lineRule="auto"/>
        <w:tabs>
          <w:tab w:leader="none" w:pos="25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clause (5) 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181" w:lineRule="exact"/>
        <w:rPr>
          <w:rFonts w:ascii="Times New Roman" w:cs="Times New Roman" w:eastAsia="Times New Roman" w:hAnsi="Times New Roman"/>
          <w:sz w:val="18"/>
          <w:szCs w:val="18"/>
          <w:color w:val="auto"/>
        </w:rPr>
      </w:pPr>
    </w:p>
    <w:p>
      <w:pPr>
        <w:ind w:left="4" w:firstLine="987"/>
        <w:spacing w:after="0" w:line="253" w:lineRule="auto"/>
        <w:tabs>
          <w:tab w:leader="none" w:pos="1375" w:val="left"/>
        </w:tabs>
        <w:numPr>
          <w:ilvl w:val="2"/>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spacing w:after="0" w:line="19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No such rescission and annulment shall extend to or shall affect any subsequent default or impair any right consequent thereon.</w:t>
      </w:r>
    </w:p>
    <w:p>
      <w:pPr>
        <w:spacing w:after="0" w:line="225" w:lineRule="exact"/>
        <w:rPr>
          <w:sz w:val="20"/>
          <w:szCs w:val="20"/>
          <w:color w:val="auto"/>
        </w:rPr>
      </w:pPr>
    </w:p>
    <w:p>
      <w:pPr>
        <w:ind w:left="4" w:right="40" w:firstLine="987"/>
        <w:spacing w:after="0" w:line="258" w:lineRule="auto"/>
        <w:tabs>
          <w:tab w:leader="none" w:pos="138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79" w:lineRule="exact"/>
        <w:rPr>
          <w:sz w:val="20"/>
          <w:szCs w:val="20"/>
          <w:color w:val="auto"/>
        </w:rPr>
      </w:pPr>
    </w:p>
    <w:p>
      <w:pPr>
        <w:ind w:left="444"/>
        <w:spacing w:after="0"/>
        <w:tabs>
          <w:tab w:leader="none" w:pos="1524" w:val="left"/>
        </w:tabs>
        <w:rPr>
          <w:sz w:val="20"/>
          <w:szCs w:val="20"/>
          <w:color w:val="auto"/>
        </w:rPr>
      </w:pPr>
      <w:r>
        <w:rPr>
          <w:rFonts w:ascii="Times New Roman" w:cs="Times New Roman" w:eastAsia="Times New Roman" w:hAnsi="Times New Roman"/>
          <w:sz w:val="18"/>
          <w:szCs w:val="18"/>
          <w:b w:val="1"/>
          <w:bCs w:val="1"/>
          <w:color w:val="auto"/>
        </w:rPr>
        <w:t>Section 6.02</w:t>
      </w:r>
      <w:r>
        <w:rPr>
          <w:sz w:val="20"/>
          <w:szCs w:val="20"/>
          <w:color w:val="auto"/>
        </w:rPr>
        <w:tab/>
      </w:r>
      <w:r>
        <w:rPr>
          <w:rFonts w:ascii="Times New Roman" w:cs="Times New Roman" w:eastAsia="Times New Roman" w:hAnsi="Times New Roman"/>
          <w:sz w:val="17"/>
          <w:szCs w:val="17"/>
          <w:b w:val="1"/>
          <w:bCs w:val="1"/>
          <w:color w:val="auto"/>
        </w:rPr>
        <w:t>Collection of Indebtedness and Suits for Enforcement by Trustee.</w:t>
      </w:r>
    </w:p>
    <w:p>
      <w:pPr>
        <w:spacing w:after="0" w:line="229" w:lineRule="exact"/>
        <w:rPr>
          <w:sz w:val="20"/>
          <w:szCs w:val="20"/>
          <w:color w:val="auto"/>
        </w:rPr>
      </w:pPr>
    </w:p>
    <w:p>
      <w:pPr>
        <w:ind w:left="4" w:right="80" w:firstLine="987"/>
        <w:spacing w:after="0" w:line="274" w:lineRule="auto"/>
        <w:tabs>
          <w:tab w:leader="none" w:pos="1382"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w:t>
      </w:r>
    </w:p>
    <w:p>
      <w:pPr>
        <w:spacing w:after="0" w:line="10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70" w:right="459" w:bottom="1440" w:gutter="0" w:footer="0" w:header="0"/>
        </w:sectPr>
      </w:pPr>
    </w:p>
    <w:bookmarkStart w:id="120" w:name="page121"/>
    <w:bookmarkEnd w:id="120"/>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spacing w:after="0" w:line="180" w:lineRule="exact"/>
        <w:rPr>
          <w:sz w:val="20"/>
          <w:szCs w:val="20"/>
          <w:color w:val="auto"/>
        </w:rPr>
      </w:pPr>
    </w:p>
    <w:p>
      <w:pPr>
        <w:jc w:val="both"/>
        <w:ind w:right="20" w:firstLine="987"/>
        <w:spacing w:after="0" w:line="258" w:lineRule="auto"/>
        <w:tabs>
          <w:tab w:leader="none" w:pos="1381"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183" w:lineRule="exact"/>
        <w:rPr>
          <w:rFonts w:ascii="Times New Roman" w:cs="Times New Roman" w:eastAsia="Times New Roman" w:hAnsi="Times New Roman"/>
          <w:sz w:val="18"/>
          <w:szCs w:val="18"/>
          <w:color w:val="auto"/>
        </w:rPr>
      </w:pPr>
    </w:p>
    <w:p>
      <w:pPr>
        <w:ind w:right="80" w:firstLine="987"/>
        <w:spacing w:after="0" w:line="253" w:lineRule="auto"/>
        <w:tabs>
          <w:tab w:leader="none" w:pos="1381"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194" w:lineRule="exact"/>
        <w:rPr>
          <w:rFonts w:ascii="Times New Roman" w:cs="Times New Roman" w:eastAsia="Times New Roman" w:hAnsi="Times New Roman"/>
          <w:sz w:val="18"/>
          <w:szCs w:val="18"/>
          <w:color w:val="auto"/>
        </w:rPr>
      </w:pPr>
    </w:p>
    <w:p>
      <w:pPr>
        <w:ind w:right="60" w:firstLine="987"/>
        <w:spacing w:after="0" w:line="258" w:lineRule="auto"/>
        <w:tabs>
          <w:tab w:leader="none" w:pos="1371"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183"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spacing w:after="0" w:line="180"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spacing w:after="0" w:line="172" w:lineRule="exact"/>
        <w:rPr>
          <w:sz w:val="20"/>
          <w:szCs w:val="20"/>
          <w:color w:val="auto"/>
        </w:rPr>
      </w:pPr>
    </w:p>
    <w:p>
      <w:pPr>
        <w:ind w:left="44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Section 6.03</w:t>
        <w:tab/>
        <w:t>Application of Moneys Collected.</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FIRST: To the payment of reasonable costs and expenses of collection and of all amounts payable to the Trustee under Section 7.06;</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70" w:right="439" w:bottom="1440" w:gutter="0" w:footer="0" w:header="0"/>
        </w:sectPr>
      </w:pPr>
    </w:p>
    <w:bookmarkStart w:id="121" w:name="page122"/>
    <w:bookmarkEnd w:id="121"/>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THIRD: To the payment of the remainder, if any, to the Company or any other Person lawfully entitled thereto.</w:t>
      </w:r>
    </w:p>
    <w:p>
      <w:pPr>
        <w:spacing w:after="0" w:line="221"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6.04</w:t>
      </w:r>
      <w:r>
        <w:rPr>
          <w:sz w:val="20"/>
          <w:szCs w:val="20"/>
          <w:color w:val="auto"/>
        </w:rPr>
        <w:tab/>
      </w:r>
      <w:r>
        <w:rPr>
          <w:rFonts w:ascii="Times New Roman" w:cs="Times New Roman" w:eastAsia="Times New Roman" w:hAnsi="Times New Roman"/>
          <w:sz w:val="17"/>
          <w:szCs w:val="17"/>
          <w:b w:val="1"/>
          <w:bCs w:val="1"/>
          <w:color w:val="auto"/>
        </w:rPr>
        <w:t>Limitation on Suits.</w:t>
      </w:r>
    </w:p>
    <w:p>
      <w:pPr>
        <w:spacing w:after="0" w:line="229"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No holder of any Security of any series shall have any right by virtue or by availing of any provision of this Indenture or any Security to institute any suit, action or proceeding in equity or at law upon or under or with respect to this Indenture, any Security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holder or holders shall have offered to the Trustee such reasonable indemnity as it may require against the costs, expenses and liabilities to be incurred therein or thereby;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spacing w:after="0" w:line="188"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190"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6.05</w:t>
      </w:r>
      <w:r>
        <w:rPr>
          <w:sz w:val="20"/>
          <w:szCs w:val="20"/>
          <w:color w:val="auto"/>
        </w:rPr>
        <w:tab/>
      </w:r>
      <w:r>
        <w:rPr>
          <w:rFonts w:ascii="Times New Roman" w:cs="Times New Roman" w:eastAsia="Times New Roman" w:hAnsi="Times New Roman"/>
          <w:sz w:val="17"/>
          <w:szCs w:val="17"/>
          <w:b w:val="1"/>
          <w:bCs w:val="1"/>
          <w:color w:val="auto"/>
        </w:rPr>
        <w:t>Rights and Remedies Cumulative; Delay or Omission Not Waiver.</w:t>
      </w:r>
    </w:p>
    <w:p>
      <w:pPr>
        <w:spacing w:after="0" w:line="229" w:lineRule="exact"/>
        <w:rPr>
          <w:sz w:val="20"/>
          <w:szCs w:val="20"/>
          <w:color w:val="auto"/>
        </w:rPr>
      </w:pPr>
    </w:p>
    <w:p>
      <w:pPr>
        <w:ind w:firstLine="987"/>
        <w:spacing w:after="0" w:line="261" w:lineRule="auto"/>
        <w:tabs>
          <w:tab w:leader="none" w:pos="1381"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179" w:lineRule="exact"/>
        <w:rPr>
          <w:rFonts w:ascii="Times New Roman" w:cs="Times New Roman" w:eastAsia="Times New Roman" w:hAnsi="Times New Roman"/>
          <w:sz w:val="18"/>
          <w:szCs w:val="18"/>
          <w:color w:val="auto"/>
        </w:rPr>
      </w:pPr>
    </w:p>
    <w:p>
      <w:pPr>
        <w:ind w:right="120" w:firstLine="987"/>
        <w:spacing w:after="0" w:line="261" w:lineRule="auto"/>
        <w:tabs>
          <w:tab w:leader="none" w:pos="1381"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440" w:top="270" w:right="439" w:bottom="1440" w:gutter="0" w:footer="0" w:header="0"/>
        </w:sectPr>
      </w:pPr>
    </w:p>
    <w:bookmarkStart w:id="122" w:name="page123"/>
    <w:bookmarkEnd w:id="122"/>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6.06</w:t>
      </w:r>
      <w:r>
        <w:rPr>
          <w:sz w:val="20"/>
          <w:szCs w:val="20"/>
          <w:color w:val="auto"/>
        </w:rPr>
        <w:tab/>
      </w:r>
      <w:r>
        <w:rPr>
          <w:rFonts w:ascii="Times New Roman" w:cs="Times New Roman" w:eastAsia="Times New Roman" w:hAnsi="Times New Roman"/>
          <w:sz w:val="17"/>
          <w:szCs w:val="17"/>
          <w:b w:val="1"/>
          <w:bCs w:val="1"/>
          <w:color w:val="auto"/>
        </w:rPr>
        <w:t>Control by Securityholders.</w:t>
      </w:r>
    </w:p>
    <w:p>
      <w:pPr>
        <w:spacing w:after="0" w:line="22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subject the Trustee in its sole discretion to personal liability. Subject to the provisions of Section 7.01, the 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6.01(3)).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192"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6.07</w:t>
      </w:r>
      <w:r>
        <w:rPr>
          <w:sz w:val="20"/>
          <w:szCs w:val="20"/>
          <w:color w:val="auto"/>
        </w:rPr>
        <w:tab/>
      </w:r>
      <w:r>
        <w:rPr>
          <w:rFonts w:ascii="Times New Roman" w:cs="Times New Roman" w:eastAsia="Times New Roman" w:hAnsi="Times New Roman"/>
          <w:sz w:val="17"/>
          <w:szCs w:val="17"/>
          <w:b w:val="1"/>
          <w:bCs w:val="1"/>
          <w:color w:val="auto"/>
        </w:rPr>
        <w:t>Undertaking to Pay Costs.</w:t>
      </w:r>
    </w:p>
    <w:p>
      <w:pPr>
        <w:spacing w:after="0" w:line="229" w:lineRule="exact"/>
        <w:rPr>
          <w:sz w:val="20"/>
          <w:szCs w:val="20"/>
          <w:color w:val="auto"/>
        </w:rPr>
      </w:pPr>
    </w:p>
    <w:p>
      <w:pPr>
        <w:ind w:right="40" w:firstLine="440"/>
        <w:spacing w:after="0" w:line="272" w:lineRule="auto"/>
        <w:rPr>
          <w:sz w:val="20"/>
          <w:szCs w:val="20"/>
          <w:color w:val="auto"/>
        </w:rPr>
      </w:pPr>
      <w:r>
        <w:rPr>
          <w:rFonts w:ascii="Times New Roman" w:cs="Times New Roman" w:eastAsia="Times New Roman" w:hAnsi="Times New Roman"/>
          <w:sz w:val="17"/>
          <w:szCs w:val="17"/>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225"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7.01</w:t>
      </w:r>
      <w:r>
        <w:rPr>
          <w:sz w:val="20"/>
          <w:szCs w:val="20"/>
          <w:color w:val="auto"/>
        </w:rPr>
        <w:tab/>
      </w:r>
      <w:r>
        <w:rPr>
          <w:rFonts w:ascii="Times New Roman" w:cs="Times New Roman" w:eastAsia="Times New Roman" w:hAnsi="Times New Roman"/>
          <w:sz w:val="17"/>
          <w:szCs w:val="17"/>
          <w:b w:val="1"/>
          <w:bCs w:val="1"/>
          <w:color w:val="auto"/>
        </w:rPr>
        <w:t>Certain Duties and Responsibilities of Trustee.</w:t>
      </w:r>
    </w:p>
    <w:p>
      <w:pPr>
        <w:spacing w:after="0" w:line="229" w:lineRule="exact"/>
        <w:rPr>
          <w:sz w:val="20"/>
          <w:szCs w:val="20"/>
          <w:color w:val="auto"/>
        </w:rPr>
      </w:pPr>
    </w:p>
    <w:p>
      <w:pPr>
        <w:ind w:right="80" w:firstLine="987"/>
        <w:spacing w:after="0" w:line="256" w:lineRule="auto"/>
        <w:tabs>
          <w:tab w:leader="none" w:pos="137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own affairs.</w:t>
      </w:r>
    </w:p>
    <w:p>
      <w:pPr>
        <w:spacing w:after="0" w:line="187" w:lineRule="exact"/>
        <w:rPr>
          <w:rFonts w:ascii="Times New Roman" w:cs="Times New Roman" w:eastAsia="Times New Roman" w:hAnsi="Times New Roman"/>
          <w:sz w:val="18"/>
          <w:szCs w:val="18"/>
          <w:color w:val="auto"/>
        </w:rPr>
      </w:pPr>
    </w:p>
    <w:p>
      <w:pPr>
        <w:ind w:right="180" w:firstLine="987"/>
        <w:spacing w:after="0" w:line="282" w:lineRule="auto"/>
        <w:tabs>
          <w:tab w:leader="none" w:pos="1381"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be construed to relieve the Trustee from liability for its own negligent action, its own negligent failure to act, or its own willful misconduct, except that: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66" w:right="459" w:bottom="1440" w:gutter="0" w:footer="0" w:header="0"/>
        </w:sectPr>
      </w:pPr>
    </w:p>
    <w:bookmarkStart w:id="123" w:name="page124"/>
    <w:bookmarkEnd w:id="123"/>
    <w:p>
      <w:pPr>
        <w:ind w:left="420" w:right="520" w:firstLine="419"/>
        <w:spacing w:after="0" w:line="282" w:lineRule="auto"/>
        <w:tabs>
          <w:tab w:leader="none" w:pos="122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prior to the occurrence of an Event of Default with respect to the Securities of a series and after the curing or waiving of all such Events of Default with respect to that series that may have occurred:</w:t>
      </w:r>
    </w:p>
    <w:p>
      <w:pPr>
        <w:spacing w:after="0" w:line="53" w:lineRule="exact"/>
        <w:rPr>
          <w:rFonts w:ascii="Times New Roman" w:cs="Times New Roman" w:eastAsia="Times New Roman" w:hAnsi="Times New Roman"/>
          <w:sz w:val="18"/>
          <w:szCs w:val="18"/>
          <w:color w:val="auto"/>
        </w:rPr>
      </w:pPr>
    </w:p>
    <w:p>
      <w:pPr>
        <w:jc w:val="both"/>
        <w:ind w:left="960" w:right="140" w:firstLine="408"/>
        <w:spacing w:after="0" w:line="261" w:lineRule="auto"/>
        <w:tabs>
          <w:tab w:leader="none" w:pos="179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71" w:lineRule="exact"/>
        <w:rPr>
          <w:rFonts w:ascii="Times New Roman" w:cs="Times New Roman" w:eastAsia="Times New Roman" w:hAnsi="Times New Roman"/>
          <w:sz w:val="18"/>
          <w:szCs w:val="18"/>
          <w:color w:val="auto"/>
        </w:rPr>
      </w:pPr>
    </w:p>
    <w:p>
      <w:pPr>
        <w:ind w:left="960" w:right="100" w:firstLine="408"/>
        <w:spacing w:after="0" w:line="258" w:lineRule="auto"/>
        <w:tabs>
          <w:tab w:leader="none" w:pos="1781"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w:t>
      </w:r>
    </w:p>
    <w:p>
      <w:pPr>
        <w:spacing w:after="0" w:line="75" w:lineRule="exact"/>
        <w:rPr>
          <w:rFonts w:ascii="Times New Roman" w:cs="Times New Roman" w:eastAsia="Times New Roman" w:hAnsi="Times New Roman"/>
          <w:sz w:val="18"/>
          <w:szCs w:val="18"/>
          <w:color w:val="auto"/>
        </w:rPr>
      </w:pPr>
    </w:p>
    <w:p>
      <w:pPr>
        <w:ind w:left="420" w:right="320" w:firstLine="419"/>
        <w:spacing w:after="0" w:line="282" w:lineRule="auto"/>
        <w:tabs>
          <w:tab w:leader="none" w:pos="123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53" w:lineRule="exact"/>
        <w:rPr>
          <w:rFonts w:ascii="Times New Roman" w:cs="Times New Roman" w:eastAsia="Times New Roman" w:hAnsi="Times New Roman"/>
          <w:sz w:val="18"/>
          <w:szCs w:val="18"/>
          <w:color w:val="auto"/>
        </w:rPr>
      </w:pPr>
    </w:p>
    <w:p>
      <w:pPr>
        <w:ind w:left="420" w:firstLine="419"/>
        <w:spacing w:after="0" w:line="261" w:lineRule="auto"/>
        <w:tabs>
          <w:tab w:leader="none" w:pos="122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spacing w:after="0" w:line="71" w:lineRule="exact"/>
        <w:rPr>
          <w:rFonts w:ascii="Times New Roman" w:cs="Times New Roman" w:eastAsia="Times New Roman" w:hAnsi="Times New Roman"/>
          <w:sz w:val="18"/>
          <w:szCs w:val="18"/>
          <w:color w:val="auto"/>
        </w:rPr>
      </w:pPr>
    </w:p>
    <w:p>
      <w:pPr>
        <w:jc w:val="both"/>
        <w:ind w:left="420" w:right="80" w:firstLine="419"/>
        <w:spacing w:after="0" w:line="261" w:lineRule="auto"/>
        <w:tabs>
          <w:tab w:leader="none" w:pos="1233"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76" w:lineRule="exact"/>
        <w:rPr>
          <w:sz w:val="20"/>
          <w:szCs w:val="20"/>
          <w:color w:val="auto"/>
        </w:rPr>
      </w:pPr>
    </w:p>
    <w:p>
      <w:pPr>
        <w:ind w:left="42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Section 7.02</w:t>
      </w:r>
      <w:r>
        <w:rPr>
          <w:sz w:val="20"/>
          <w:szCs w:val="20"/>
          <w:color w:val="auto"/>
        </w:rPr>
        <w:tab/>
      </w:r>
      <w:r>
        <w:rPr>
          <w:rFonts w:ascii="Times New Roman" w:cs="Times New Roman" w:eastAsia="Times New Roman" w:hAnsi="Times New Roman"/>
          <w:sz w:val="17"/>
          <w:szCs w:val="17"/>
          <w:b w:val="1"/>
          <w:bCs w:val="1"/>
          <w:color w:val="auto"/>
        </w:rPr>
        <w:t>Certain Rights of Trustee.</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Except as otherwise provided in Section 7.01:</w:t>
      </w:r>
    </w:p>
    <w:p>
      <w:pPr>
        <w:spacing w:after="0" w:line="117" w:lineRule="exact"/>
        <w:rPr>
          <w:sz w:val="20"/>
          <w:szCs w:val="20"/>
          <w:color w:val="auto"/>
        </w:rPr>
      </w:pPr>
    </w:p>
    <w:p>
      <w:pPr>
        <w:jc w:val="both"/>
        <w:ind w:left="-20" w:firstLine="987"/>
        <w:spacing w:after="0" w:line="266" w:lineRule="auto"/>
        <w:tabs>
          <w:tab w:leader="none" w:pos="135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175" w:lineRule="exact"/>
        <w:rPr>
          <w:rFonts w:ascii="Times New Roman" w:cs="Times New Roman" w:eastAsia="Times New Roman" w:hAnsi="Times New Roman"/>
          <w:sz w:val="18"/>
          <w:szCs w:val="18"/>
          <w:color w:val="auto"/>
        </w:rPr>
      </w:pPr>
    </w:p>
    <w:p>
      <w:pPr>
        <w:ind w:left="-20" w:right="160" w:firstLine="987"/>
        <w:spacing w:after="0" w:line="266" w:lineRule="auto"/>
        <w:tabs>
          <w:tab w:leader="none" w:pos="1351"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spacing w:after="0" w:line="175" w:lineRule="exact"/>
        <w:rPr>
          <w:rFonts w:ascii="Times New Roman" w:cs="Times New Roman" w:eastAsia="Times New Roman" w:hAnsi="Times New Roman"/>
          <w:sz w:val="18"/>
          <w:szCs w:val="18"/>
          <w:color w:val="auto"/>
        </w:rPr>
      </w:pPr>
    </w:p>
    <w:p>
      <w:pPr>
        <w:ind w:left="-20" w:right="260" w:firstLine="987"/>
        <w:spacing w:after="0" w:line="282" w:lineRule="auto"/>
        <w:tabs>
          <w:tab w:leader="none" w:pos="135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and the written advice of such counsel or, if requested, any Opinion of Counsel shall be full and complete authorization and protection in respect of any action taken or suffered or omitted hereunder in good faith and in reliance thereon;</w:t>
      </w:r>
    </w:p>
    <w:p>
      <w:pPr>
        <w:spacing w:after="0" w:line="161" w:lineRule="exact"/>
        <w:rPr>
          <w:rFonts w:ascii="Times New Roman" w:cs="Times New Roman" w:eastAsia="Times New Roman" w:hAnsi="Times New Roman"/>
          <w:sz w:val="18"/>
          <w:szCs w:val="18"/>
          <w:color w:val="auto"/>
        </w:rPr>
      </w:pPr>
    </w:p>
    <w:p>
      <w:pPr>
        <w:ind w:left="-20" w:right="140" w:firstLine="987"/>
        <w:spacing w:after="0" w:line="261" w:lineRule="auto"/>
        <w:tabs>
          <w:tab w:leader="none" w:pos="135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may be incurred therein or thereby; nothing contained herein shall, however, relieve the Trustee of the obligation, upon the occurrence of an Event of Default with respect to a series of the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60" w:top="270" w:right="459" w:bottom="1440" w:gutter="0" w:footer="0" w:header="0"/>
        </w:sectPr>
      </w:pPr>
    </w:p>
    <w:bookmarkStart w:id="124" w:name="page125"/>
    <w:bookmarkEnd w:id="124"/>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own affairs;</w:t>
      </w:r>
    </w:p>
    <w:p>
      <w:pPr>
        <w:spacing w:after="0" w:line="176" w:lineRule="exact"/>
        <w:rPr>
          <w:sz w:val="20"/>
          <w:szCs w:val="20"/>
          <w:color w:val="auto"/>
        </w:rPr>
      </w:pPr>
    </w:p>
    <w:p>
      <w:pPr>
        <w:ind w:right="260" w:firstLine="987"/>
        <w:spacing w:after="0" w:line="282" w:lineRule="auto"/>
        <w:tabs>
          <w:tab w:leader="none" w:pos="137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taken or omitted to be taken by it in good faith and believed by it to be authorized or within the discretion or rights or powers conferred upon it by this Indenture;</w:t>
      </w:r>
    </w:p>
    <w:p>
      <w:pPr>
        <w:spacing w:after="0" w:line="161" w:lineRule="exact"/>
        <w:rPr>
          <w:rFonts w:ascii="Times New Roman" w:cs="Times New Roman" w:eastAsia="Times New Roman" w:hAnsi="Times New Roman"/>
          <w:sz w:val="18"/>
          <w:szCs w:val="18"/>
          <w:color w:val="auto"/>
        </w:rPr>
      </w:pPr>
    </w:p>
    <w:p>
      <w:pPr>
        <w:ind w:right="60" w:firstLine="987"/>
        <w:spacing w:after="0" w:line="273" w:lineRule="auto"/>
        <w:tabs>
          <w:tab w:leader="none" w:pos="1378"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not be bound to make any investigation into the facts or matters stated in any resolution, certificate, statement, instrument, opinion, report, notice, request, consent, order, approval, bond, security, or other papers or documents,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costs, expenses or liabilities as a condition to so proceeding. The reasonable expense of every such examination shall be paid by the Company or, if paid by the Trustee, shall be repaid by the Company upon demand;</w:t>
      </w:r>
    </w:p>
    <w:p>
      <w:pPr>
        <w:spacing w:after="0" w:line="171" w:lineRule="exact"/>
        <w:rPr>
          <w:rFonts w:ascii="Times New Roman" w:cs="Times New Roman" w:eastAsia="Times New Roman" w:hAnsi="Times New Roman"/>
          <w:sz w:val="17"/>
          <w:szCs w:val="17"/>
          <w:color w:val="auto"/>
        </w:rPr>
      </w:pPr>
    </w:p>
    <w:p>
      <w:pPr>
        <w:ind w:right="280" w:firstLine="987"/>
        <w:spacing w:after="0" w:line="266" w:lineRule="auto"/>
        <w:tabs>
          <w:tab w:leader="none" w:pos="137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75" w:lineRule="exact"/>
        <w:rPr>
          <w:rFonts w:ascii="Times New Roman" w:cs="Times New Roman" w:eastAsia="Times New Roman" w:hAnsi="Times New Roman"/>
          <w:sz w:val="18"/>
          <w:szCs w:val="18"/>
          <w:color w:val="auto"/>
        </w:rPr>
      </w:pPr>
    </w:p>
    <w:p>
      <w:pPr>
        <w:ind w:right="180" w:firstLine="987"/>
        <w:spacing w:after="0" w:line="258" w:lineRule="auto"/>
        <w:tabs>
          <w:tab w:leader="none" w:pos="1381"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83" w:lineRule="exact"/>
        <w:rPr>
          <w:rFonts w:ascii="Times New Roman" w:cs="Times New Roman" w:eastAsia="Times New Roman" w:hAnsi="Times New Roman"/>
          <w:sz w:val="18"/>
          <w:szCs w:val="18"/>
          <w:color w:val="auto"/>
        </w:rPr>
      </w:pPr>
    </w:p>
    <w:p>
      <w:pPr>
        <w:ind w:right="20" w:firstLine="987"/>
        <w:spacing w:after="0" w:line="266" w:lineRule="auto"/>
        <w:tabs>
          <w:tab w:leader="none" w:pos="1381"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 and</w:t>
      </w:r>
    </w:p>
    <w:p>
      <w:pPr>
        <w:spacing w:after="0" w:line="175" w:lineRule="exact"/>
        <w:rPr>
          <w:rFonts w:ascii="Times New Roman" w:cs="Times New Roman" w:eastAsia="Times New Roman" w:hAnsi="Times New Roman"/>
          <w:sz w:val="18"/>
          <w:szCs w:val="18"/>
          <w:color w:val="auto"/>
        </w:rPr>
      </w:pPr>
    </w:p>
    <w:p>
      <w:pPr>
        <w:ind w:firstLine="987"/>
        <w:spacing w:after="0" w:line="253" w:lineRule="auto"/>
        <w:tabs>
          <w:tab w:leader="none" w:pos="146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agrees to accept and act upon instructions or directions pursuant to this Indenture sent by unsecured e-mail, facsimile transmission or other similar unsecured electronic methods; provided, however, that (a) the party providing such written instructions, subsequent to such transmission of written instructions, shall provide the originally executed instructions or directions to the Trustee in a timely manner, and (b) such originally executed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w:t>
      </w:r>
    </w:p>
    <w:p>
      <w:pPr>
        <w:spacing w:after="0" w:line="194"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In addition, the Trustee shall not be deemed to have knowledge of any Default or Event of Default until the Trustee shall have received written notification in the manner set forth in this Indenture or a Responsible Officer of the Trustee shall have obtained actual knowledge.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70" w:right="479" w:bottom="1440" w:gutter="0" w:footer="0" w:header="0"/>
        </w:sectPr>
      </w:pPr>
    </w:p>
    <w:bookmarkStart w:id="125" w:name="page126"/>
    <w:bookmarkEnd w:id="125"/>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7.03</w:t>
      </w:r>
      <w:r>
        <w:rPr>
          <w:sz w:val="20"/>
          <w:szCs w:val="20"/>
          <w:color w:val="auto"/>
        </w:rPr>
        <w:tab/>
      </w:r>
      <w:r>
        <w:rPr>
          <w:rFonts w:ascii="Times New Roman" w:cs="Times New Roman" w:eastAsia="Times New Roman" w:hAnsi="Times New Roman"/>
          <w:sz w:val="17"/>
          <w:szCs w:val="17"/>
          <w:b w:val="1"/>
          <w:bCs w:val="1"/>
          <w:color w:val="auto"/>
        </w:rPr>
        <w:t>Trustee Not Responsible for Recitals or Issuance or Securities.</w:t>
      </w:r>
    </w:p>
    <w:p>
      <w:pPr>
        <w:spacing w:after="0" w:line="229" w:lineRule="exact"/>
        <w:rPr>
          <w:sz w:val="20"/>
          <w:szCs w:val="20"/>
          <w:color w:val="auto"/>
        </w:rPr>
      </w:pPr>
    </w:p>
    <w:p>
      <w:pPr>
        <w:ind w:right="500" w:firstLine="987"/>
        <w:spacing w:after="0" w:line="282" w:lineRule="auto"/>
        <w:tabs>
          <w:tab w:leader="none" w:pos="137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recitals contained herein and in the Securities shall be taken as the statements of the Company, and the Trustee assumes no responsibility for the correctness of the same.</w:t>
      </w:r>
    </w:p>
    <w:p>
      <w:pPr>
        <w:spacing w:after="0" w:line="161"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makes no representations as to the validity or sufficiency of this Indenture or of the Securities.</w:t>
      </w:r>
    </w:p>
    <w:p>
      <w:pPr>
        <w:spacing w:after="0" w:line="225"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172"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7.04</w:t>
        <w:tab/>
        <w:t>May Hold Securities.</w:t>
      </w:r>
    </w:p>
    <w:p>
      <w:pPr>
        <w:spacing w:after="0" w:line="229"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158"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7.05</w:t>
      </w:r>
      <w:r>
        <w:rPr>
          <w:sz w:val="20"/>
          <w:szCs w:val="20"/>
          <w:color w:val="auto"/>
        </w:rPr>
        <w:tab/>
      </w:r>
      <w:r>
        <w:rPr>
          <w:rFonts w:ascii="Times New Roman" w:cs="Times New Roman" w:eastAsia="Times New Roman" w:hAnsi="Times New Roman"/>
          <w:sz w:val="17"/>
          <w:szCs w:val="17"/>
          <w:b w:val="1"/>
          <w:bCs w:val="1"/>
          <w:color w:val="auto"/>
        </w:rPr>
        <w:t>Moneys Held in Trust.</w:t>
      </w:r>
    </w:p>
    <w:p>
      <w:pPr>
        <w:spacing w:after="0" w:line="229"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172"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7.06</w:t>
      </w:r>
      <w:r>
        <w:rPr>
          <w:sz w:val="20"/>
          <w:szCs w:val="20"/>
          <w:color w:val="auto"/>
        </w:rPr>
        <w:tab/>
      </w:r>
      <w:r>
        <w:rPr>
          <w:rFonts w:ascii="Times New Roman" w:cs="Times New Roman" w:eastAsia="Times New Roman" w:hAnsi="Times New Roman"/>
          <w:sz w:val="17"/>
          <w:szCs w:val="17"/>
          <w:b w:val="1"/>
          <w:bCs w:val="1"/>
          <w:color w:val="auto"/>
        </w:rPr>
        <w:t>Compensation and Reimbursement.</w:t>
      </w:r>
    </w:p>
    <w:p>
      <w:pPr>
        <w:spacing w:after="0" w:line="229" w:lineRule="exact"/>
        <w:rPr>
          <w:sz w:val="20"/>
          <w:szCs w:val="20"/>
          <w:color w:val="auto"/>
        </w:rPr>
      </w:pPr>
    </w:p>
    <w:p>
      <w:pPr>
        <w:ind w:firstLine="987"/>
        <w:spacing w:after="0" w:line="253" w:lineRule="auto"/>
        <w:tabs>
          <w:tab w:leader="none" w:pos="137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to pay to the Trustee, and the Trustee shall be entitled to, such reasonable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or bad faith and except as the Company and Trustee may from time to time agree in writing. The Company also covenants to indemnify the Trustee (and its officers, agents, directors and employees) for, and to hold it harmless against, any loss, liability or expense incurred without negligence or bad faith on the part of the Trustee and arising out of or in connection with the acceptance or administration of this trust, including the reasonable costs and expenses of defending itself against any claim of liability in the premises.</w:t>
      </w:r>
    </w:p>
    <w:p>
      <w:pPr>
        <w:spacing w:after="0" w:line="191" w:lineRule="exact"/>
        <w:rPr>
          <w:rFonts w:ascii="Times New Roman" w:cs="Times New Roman" w:eastAsia="Times New Roman" w:hAnsi="Times New Roman"/>
          <w:sz w:val="18"/>
          <w:szCs w:val="18"/>
          <w:color w:val="auto"/>
        </w:rPr>
      </w:pPr>
    </w:p>
    <w:p>
      <w:pPr>
        <w:jc w:val="both"/>
        <w:ind w:right="80" w:firstLine="987"/>
        <w:spacing w:after="0" w:line="261" w:lineRule="auto"/>
        <w:tabs>
          <w:tab w:leader="none" w:pos="137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under this Section to compensate and indemnify the Trustee and to pay or reimburse the Trustee for reasonable expenses, disbursements and advances shall constitute additional indebtedness hereunder. Such additional indebtedness shall be secured by a lien prior to that of the Securities upon all property and funds held or collected by the Trustee as such, except funds held in trust for the benefit of the holders of particular Securities.</w:t>
      </w:r>
    </w:p>
    <w:p>
      <w:pPr>
        <w:spacing w:after="0" w:line="179" w:lineRule="exact"/>
        <w:rPr>
          <w:rFonts w:ascii="Times New Roman" w:cs="Times New Roman" w:eastAsia="Times New Roman" w:hAnsi="Times New Roman"/>
          <w:sz w:val="18"/>
          <w:szCs w:val="18"/>
          <w:color w:val="auto"/>
        </w:rPr>
      </w:pPr>
    </w:p>
    <w:p>
      <w:pPr>
        <w:ind w:right="40" w:firstLine="987"/>
        <w:spacing w:after="0" w:line="258" w:lineRule="auto"/>
        <w:tabs>
          <w:tab w:leader="none" w:pos="137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ensure the Company’s payment obligations in this Section, the Trustee shall have a lien prior to the Securities on all funds or property held or collected by the Trustee, except that held in trust to pay principal of or interest on particular Securities. When the Trustee incurs expenses or renders services in connection with an Event of Default specified in Section 6.01(1)(d) or (1)(e),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440" w:top="266" w:right="439" w:bottom="1440" w:gutter="0" w:footer="0" w:header="0"/>
        </w:sectPr>
      </w:pPr>
    </w:p>
    <w:bookmarkStart w:id="126" w:name="page127"/>
    <w:bookmarkEnd w:id="126"/>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7.07</w:t>
      </w:r>
      <w:r>
        <w:rPr>
          <w:sz w:val="20"/>
          <w:szCs w:val="20"/>
          <w:color w:val="auto"/>
        </w:rPr>
        <w:tab/>
      </w:r>
      <w:r>
        <w:rPr>
          <w:rFonts w:ascii="Times New Roman" w:cs="Times New Roman" w:eastAsia="Times New Roman" w:hAnsi="Times New Roman"/>
          <w:sz w:val="17"/>
          <w:szCs w:val="17"/>
          <w:b w:val="1"/>
          <w:bCs w:val="1"/>
          <w:color w:val="auto"/>
        </w:rPr>
        <w:t>Reliance on Officer’s Certificate.</w:t>
      </w:r>
    </w:p>
    <w:p>
      <w:pPr>
        <w:spacing w:after="0" w:line="229"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183"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7.08</w:t>
      </w:r>
      <w:r>
        <w:rPr>
          <w:sz w:val="20"/>
          <w:szCs w:val="20"/>
          <w:color w:val="auto"/>
        </w:rPr>
        <w:tab/>
      </w:r>
      <w:r>
        <w:rPr>
          <w:rFonts w:ascii="Times New Roman" w:cs="Times New Roman" w:eastAsia="Times New Roman" w:hAnsi="Times New Roman"/>
          <w:sz w:val="17"/>
          <w:szCs w:val="17"/>
          <w:b w:val="1"/>
          <w:bCs w:val="1"/>
          <w:color w:val="auto"/>
        </w:rPr>
        <w:t>Disqualification; Conflicting Interests.</w:t>
      </w:r>
    </w:p>
    <w:p>
      <w:pPr>
        <w:spacing w:after="0" w:line="229"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158"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7.09</w:t>
      </w:r>
      <w:r>
        <w:rPr>
          <w:sz w:val="20"/>
          <w:szCs w:val="20"/>
          <w:color w:val="auto"/>
        </w:rPr>
        <w:tab/>
      </w:r>
      <w:r>
        <w:rPr>
          <w:rFonts w:ascii="Times New Roman" w:cs="Times New Roman" w:eastAsia="Times New Roman" w:hAnsi="Times New Roman"/>
          <w:sz w:val="17"/>
          <w:szCs w:val="17"/>
          <w:b w:val="1"/>
          <w:bCs w:val="1"/>
          <w:color w:val="auto"/>
        </w:rPr>
        <w:t>Corporate Trustee Required; Eligibility.</w:t>
      </w:r>
    </w:p>
    <w:p>
      <w:pPr>
        <w:spacing w:after="0" w:line="229" w:lineRule="exact"/>
        <w:rPr>
          <w:sz w:val="20"/>
          <w:szCs w:val="20"/>
          <w:color w:val="auto"/>
        </w:rPr>
      </w:pPr>
    </w:p>
    <w:p>
      <w:pPr>
        <w:jc w:val="both"/>
        <w:ind w:right="60" w:firstLine="440"/>
        <w:spacing w:after="0" w:line="281" w:lineRule="auto"/>
        <w:rPr>
          <w:sz w:val="20"/>
          <w:szCs w:val="20"/>
          <w:color w:val="auto"/>
        </w:rPr>
      </w:pPr>
      <w:r>
        <w:rPr>
          <w:rFonts w:ascii="Times New Roman" w:cs="Times New Roman" w:eastAsia="Times New Roman" w:hAnsi="Times New Roman"/>
          <w:sz w:val="17"/>
          <w:szCs w:val="17"/>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spacing w:after="0" w:line="164"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183"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7.10</w:t>
      </w:r>
      <w:r>
        <w:rPr>
          <w:sz w:val="20"/>
          <w:szCs w:val="20"/>
          <w:color w:val="auto"/>
        </w:rPr>
        <w:tab/>
      </w:r>
      <w:r>
        <w:rPr>
          <w:rFonts w:ascii="Times New Roman" w:cs="Times New Roman" w:eastAsia="Times New Roman" w:hAnsi="Times New Roman"/>
          <w:sz w:val="17"/>
          <w:szCs w:val="17"/>
          <w:b w:val="1"/>
          <w:bCs w:val="1"/>
          <w:color w:val="auto"/>
        </w:rPr>
        <w:t>Resignation and Removal; Appointment of Successor.</w:t>
      </w:r>
    </w:p>
    <w:p>
      <w:pPr>
        <w:spacing w:after="0" w:line="229" w:lineRule="exact"/>
        <w:rPr>
          <w:sz w:val="20"/>
          <w:szCs w:val="20"/>
          <w:color w:val="auto"/>
        </w:rPr>
      </w:pPr>
    </w:p>
    <w:p>
      <w:pPr>
        <w:ind w:firstLine="987"/>
        <w:spacing w:after="0" w:line="271" w:lineRule="auto"/>
        <w:tabs>
          <w:tab w:leader="none" w:pos="1378"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or any successor hereafter appointed may at any time resign with respect to the Securities of one or more series by giving written notice thereof to the Company and by transmitting notice of resignation by mail, first class postage prepaid,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173" w:lineRule="exact"/>
        <w:rPr>
          <w:rFonts w:ascii="Times New Roman" w:cs="Times New Roman" w:eastAsia="Times New Roman" w:hAnsi="Times New Roman"/>
          <w:sz w:val="17"/>
          <w:szCs w:val="17"/>
          <w:color w:val="auto"/>
        </w:rPr>
      </w:pPr>
    </w:p>
    <w:p>
      <w:pPr>
        <w:ind w:left="1380" w:hanging="393"/>
        <w:spacing w:after="0"/>
        <w:tabs>
          <w:tab w:leader="none" w:pos="13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any one of the following shall occur: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66" w:right="459" w:bottom="1440" w:gutter="0" w:footer="0" w:header="0"/>
        </w:sectPr>
      </w:pPr>
    </w:p>
    <w:bookmarkStart w:id="127" w:name="page128"/>
    <w:bookmarkEnd w:id="127"/>
    <w:p>
      <w:pPr>
        <w:ind w:left="440" w:right="900" w:firstLine="419"/>
        <w:spacing w:after="0" w:line="282" w:lineRule="auto"/>
        <w:tabs>
          <w:tab w:leader="none" w:pos="1243"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shall fail to comply with the provisions of Section 7.08 after written request therefor by the Company or by any Securityholder who has been a bona fide holder of a Security or Securities for at least six months; or</w:t>
      </w:r>
    </w:p>
    <w:p>
      <w:pPr>
        <w:spacing w:after="0" w:line="53" w:lineRule="exact"/>
        <w:rPr>
          <w:rFonts w:ascii="Times New Roman" w:cs="Times New Roman" w:eastAsia="Times New Roman" w:hAnsi="Times New Roman"/>
          <w:sz w:val="18"/>
          <w:szCs w:val="18"/>
          <w:color w:val="auto"/>
        </w:rPr>
      </w:pPr>
    </w:p>
    <w:p>
      <w:pPr>
        <w:ind w:left="440" w:right="400" w:firstLine="419"/>
        <w:spacing w:after="0" w:line="282" w:lineRule="auto"/>
        <w:tabs>
          <w:tab w:leader="none" w:pos="1253"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cease to be eligible in accordance with the provisions of Section 7.09 and shall fail to resign after written request therefor by the Company or by any such Securityholder; or</w:t>
      </w:r>
    </w:p>
    <w:p>
      <w:pPr>
        <w:spacing w:after="0" w:line="53" w:lineRule="exact"/>
        <w:rPr>
          <w:rFonts w:ascii="Times New Roman" w:cs="Times New Roman" w:eastAsia="Times New Roman" w:hAnsi="Times New Roman"/>
          <w:sz w:val="18"/>
          <w:szCs w:val="18"/>
          <w:color w:val="auto"/>
        </w:rPr>
      </w:pPr>
    </w:p>
    <w:p>
      <w:pPr>
        <w:ind w:left="440" w:right="220" w:firstLine="419"/>
        <w:spacing w:after="0" w:line="254" w:lineRule="auto"/>
        <w:tabs>
          <w:tab w:leader="none" w:pos="1243"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 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91" w:lineRule="exact"/>
        <w:rPr>
          <w:rFonts w:ascii="Times New Roman" w:cs="Times New Roman" w:eastAsia="Times New Roman" w:hAnsi="Times New Roman"/>
          <w:sz w:val="18"/>
          <w:szCs w:val="18"/>
          <w:color w:val="auto"/>
        </w:rPr>
      </w:pPr>
    </w:p>
    <w:p>
      <w:pPr>
        <w:ind w:firstLine="987"/>
        <w:spacing w:after="0" w:line="266" w:lineRule="auto"/>
        <w:tabs>
          <w:tab w:leader="none" w:pos="1378"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175" w:lineRule="exact"/>
        <w:rPr>
          <w:rFonts w:ascii="Times New Roman" w:cs="Times New Roman" w:eastAsia="Times New Roman" w:hAnsi="Times New Roman"/>
          <w:sz w:val="18"/>
          <w:szCs w:val="18"/>
          <w:color w:val="auto"/>
        </w:rPr>
      </w:pPr>
    </w:p>
    <w:p>
      <w:pPr>
        <w:ind w:right="40" w:firstLine="987"/>
        <w:spacing w:after="0" w:line="282" w:lineRule="auto"/>
        <w:tabs>
          <w:tab w:leader="none" w:pos="1371"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161" w:lineRule="exact"/>
        <w:rPr>
          <w:rFonts w:ascii="Times New Roman" w:cs="Times New Roman" w:eastAsia="Times New Roman" w:hAnsi="Times New Roman"/>
          <w:sz w:val="18"/>
          <w:szCs w:val="18"/>
          <w:color w:val="auto"/>
        </w:rPr>
      </w:pPr>
    </w:p>
    <w:p>
      <w:pPr>
        <w:ind w:right="140" w:firstLine="987"/>
        <w:spacing w:after="0" w:line="282" w:lineRule="auto"/>
        <w:tabs>
          <w:tab w:leader="none" w:pos="1371"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158" w:lineRule="exact"/>
        <w:rPr>
          <w:sz w:val="20"/>
          <w:szCs w:val="20"/>
          <w:color w:val="auto"/>
        </w:rPr>
      </w:pPr>
    </w:p>
    <w:p>
      <w:pPr>
        <w:ind w:left="44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Section 7.11</w:t>
      </w:r>
      <w:r>
        <w:rPr>
          <w:sz w:val="20"/>
          <w:szCs w:val="20"/>
          <w:color w:val="auto"/>
        </w:rPr>
        <w:tab/>
      </w:r>
      <w:r>
        <w:rPr>
          <w:rFonts w:ascii="Times New Roman" w:cs="Times New Roman" w:eastAsia="Times New Roman" w:hAnsi="Times New Roman"/>
          <w:sz w:val="17"/>
          <w:szCs w:val="17"/>
          <w:b w:val="1"/>
          <w:bCs w:val="1"/>
          <w:color w:val="auto"/>
        </w:rPr>
        <w:t>Acceptance of Appointment By Successor.</w:t>
      </w:r>
    </w:p>
    <w:p>
      <w:pPr>
        <w:spacing w:after="0" w:line="229" w:lineRule="exact"/>
        <w:rPr>
          <w:sz w:val="20"/>
          <w:szCs w:val="20"/>
          <w:color w:val="auto"/>
        </w:rPr>
      </w:pPr>
    </w:p>
    <w:p>
      <w:pPr>
        <w:ind w:right="200" w:firstLine="987"/>
        <w:spacing w:after="0" w:line="255" w:lineRule="auto"/>
        <w:tabs>
          <w:tab w:leader="none" w:pos="1381"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88" w:lineRule="exact"/>
        <w:rPr>
          <w:rFonts w:ascii="Times New Roman" w:cs="Times New Roman" w:eastAsia="Times New Roman" w:hAnsi="Times New Roman"/>
          <w:sz w:val="18"/>
          <w:szCs w:val="18"/>
          <w:color w:val="auto"/>
        </w:rPr>
      </w:pPr>
    </w:p>
    <w:p>
      <w:pPr>
        <w:ind w:right="160" w:firstLine="987"/>
        <w:spacing w:after="0" w:line="254" w:lineRule="auto"/>
        <w:tabs>
          <w:tab w:leader="none" w:pos="1381"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128" w:name="page129"/>
    <w:bookmarkEnd w:id="128"/>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190" w:lineRule="exact"/>
        <w:rPr>
          <w:sz w:val="20"/>
          <w:szCs w:val="20"/>
          <w:color w:val="auto"/>
        </w:rPr>
      </w:pPr>
    </w:p>
    <w:p>
      <w:pPr>
        <w:ind w:firstLine="987"/>
        <w:spacing w:after="0" w:line="282" w:lineRule="auto"/>
        <w:tabs>
          <w:tab w:leader="none" w:pos="1381"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61" w:lineRule="exact"/>
        <w:rPr>
          <w:rFonts w:ascii="Times New Roman" w:cs="Times New Roman" w:eastAsia="Times New Roman" w:hAnsi="Times New Roman"/>
          <w:sz w:val="18"/>
          <w:szCs w:val="18"/>
          <w:color w:val="auto"/>
        </w:rPr>
      </w:pPr>
    </w:p>
    <w:p>
      <w:pPr>
        <w:ind w:right="180" w:firstLine="987"/>
        <w:spacing w:after="0" w:line="282" w:lineRule="auto"/>
        <w:tabs>
          <w:tab w:leader="none" w:pos="1381"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successor trustee shall accept its appointment unless at the time of such acceptance such successor trustee shall be qualified and eligible under this Article.</w:t>
      </w:r>
    </w:p>
    <w:p>
      <w:pPr>
        <w:spacing w:after="0" w:line="161" w:lineRule="exact"/>
        <w:rPr>
          <w:rFonts w:ascii="Times New Roman" w:cs="Times New Roman" w:eastAsia="Times New Roman" w:hAnsi="Times New Roman"/>
          <w:sz w:val="18"/>
          <w:szCs w:val="18"/>
          <w:color w:val="auto"/>
        </w:rPr>
      </w:pPr>
    </w:p>
    <w:p>
      <w:pPr>
        <w:ind w:right="180" w:firstLine="987"/>
        <w:spacing w:after="0" w:line="261" w:lineRule="auto"/>
        <w:tabs>
          <w:tab w:leader="none" w:pos="1381"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spacing w:after="0" w:line="176"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7.12</w:t>
      </w:r>
      <w:r>
        <w:rPr>
          <w:sz w:val="20"/>
          <w:szCs w:val="20"/>
          <w:color w:val="auto"/>
        </w:rPr>
        <w:tab/>
      </w:r>
      <w:r>
        <w:rPr>
          <w:rFonts w:ascii="Times New Roman" w:cs="Times New Roman" w:eastAsia="Times New Roman" w:hAnsi="Times New Roman"/>
          <w:sz w:val="17"/>
          <w:szCs w:val="17"/>
          <w:b w:val="1"/>
          <w:bCs w:val="1"/>
          <w:color w:val="auto"/>
        </w:rPr>
        <w:t>Merger, Conversion, Consolidation or Succession to Business.</w:t>
      </w:r>
    </w:p>
    <w:p>
      <w:pPr>
        <w:spacing w:after="0" w:line="229"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including the administration of the trust created by this Indenture,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85"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7.13</w:t>
      </w:r>
      <w:r>
        <w:rPr>
          <w:sz w:val="20"/>
          <w:szCs w:val="20"/>
          <w:color w:val="auto"/>
        </w:rPr>
        <w:tab/>
      </w:r>
      <w:r>
        <w:rPr>
          <w:rFonts w:ascii="Times New Roman" w:cs="Times New Roman" w:eastAsia="Times New Roman" w:hAnsi="Times New Roman"/>
          <w:sz w:val="17"/>
          <w:szCs w:val="17"/>
          <w:b w:val="1"/>
          <w:bCs w:val="1"/>
          <w:color w:val="auto"/>
        </w:rPr>
        <w:t>Preferential Collection of Claims Against the Company.</w:t>
      </w:r>
    </w:p>
    <w:p>
      <w:pPr>
        <w:spacing w:after="0" w:line="229" w:lineRule="exact"/>
        <w:rPr>
          <w:sz w:val="20"/>
          <w:szCs w:val="20"/>
          <w:color w:val="auto"/>
        </w:rPr>
      </w:pPr>
    </w:p>
    <w:p>
      <w:pPr>
        <w:jc w:val="both"/>
        <w:ind w:right="300" w:firstLine="440"/>
        <w:spacing w:after="0" w:line="266" w:lineRule="auto"/>
        <w:rPr>
          <w:sz w:val="20"/>
          <w:szCs w:val="20"/>
          <w:color w:val="auto"/>
        </w:rPr>
      </w:pPr>
      <w:r>
        <w:rPr>
          <w:rFonts w:ascii="Times New Roman" w:cs="Times New Roman" w:eastAsia="Times New Roman" w:hAnsi="Times New Roman"/>
          <w:sz w:val="18"/>
          <w:szCs w:val="18"/>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72"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7.14</w:t>
      </w:r>
      <w:r>
        <w:rPr>
          <w:sz w:val="20"/>
          <w:szCs w:val="20"/>
          <w:color w:val="auto"/>
        </w:rPr>
        <w:tab/>
      </w:r>
      <w:r>
        <w:rPr>
          <w:rFonts w:ascii="Times New Roman" w:cs="Times New Roman" w:eastAsia="Times New Roman" w:hAnsi="Times New Roman"/>
          <w:sz w:val="17"/>
          <w:szCs w:val="17"/>
          <w:b w:val="1"/>
          <w:bCs w:val="1"/>
          <w:color w:val="auto"/>
        </w:rPr>
        <w:t>Notice of Default.</w:t>
      </w:r>
    </w:p>
    <w:p>
      <w:pPr>
        <w:spacing w:after="0" w:line="22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If any Event of Default occurs and is continuing and if such Event of Default is known to a Responsible Officer of the Trustee, the Trustee shall mail to each Securityholder in the manner and to the extent provided in Section 313(c) of the Trust Indenture Act notice of the Event of Default within the earlier of 90 days after it occurs and 30 days after it is known to a Responsible Officer of the Trustee or written notice of it is received by the Trustee, unless such Event of Default has been cured;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except in the case of a default in the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440" w:top="270" w:right="439" w:bottom="1440" w:gutter="0" w:footer="0" w:header="0"/>
        </w:sectPr>
      </w:pPr>
    </w:p>
    <w:bookmarkStart w:id="129" w:name="page130"/>
    <w:bookmarkEnd w:id="129"/>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of the principal of (or premium, if any) or interest on any Security, the Trustee shall be protected in withholding such notice if and so long as the board of directors, the executive committee or a trust committee of directors and/or Responsible Officers of the Trustee in good faith determine that the withholding of such notice is in the interest of the Securityholders.</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22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CONCERNING THE SECURITYHOLDERS</w:t>
      </w:r>
    </w:p>
    <w:p>
      <w:pPr>
        <w:spacing w:after="0" w:line="225"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8.01</w:t>
      </w:r>
      <w:r>
        <w:rPr>
          <w:sz w:val="20"/>
          <w:szCs w:val="20"/>
          <w:color w:val="auto"/>
        </w:rPr>
        <w:tab/>
      </w:r>
      <w:r>
        <w:rPr>
          <w:rFonts w:ascii="Times New Roman" w:cs="Times New Roman" w:eastAsia="Times New Roman" w:hAnsi="Times New Roman"/>
          <w:sz w:val="17"/>
          <w:szCs w:val="17"/>
          <w:b w:val="1"/>
          <w:bCs w:val="1"/>
          <w:color w:val="auto"/>
        </w:rPr>
        <w:t>Evidence of Action by Securityholders.</w:t>
      </w:r>
    </w:p>
    <w:p>
      <w:pPr>
        <w:spacing w:after="0" w:line="22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83"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190"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8.02</w:t>
      </w:r>
      <w:r>
        <w:rPr>
          <w:sz w:val="20"/>
          <w:szCs w:val="20"/>
          <w:color w:val="auto"/>
        </w:rPr>
        <w:tab/>
      </w:r>
      <w:r>
        <w:rPr>
          <w:rFonts w:ascii="Times New Roman" w:cs="Times New Roman" w:eastAsia="Times New Roman" w:hAnsi="Times New Roman"/>
          <w:sz w:val="17"/>
          <w:szCs w:val="17"/>
          <w:b w:val="1"/>
          <w:bCs w:val="1"/>
          <w:color w:val="auto"/>
        </w:rPr>
        <w:t>Proof of Execution by Securityholders.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Subject to the provisions of Section 7.01, proof of the execution of any instrument by a Securityholder (such proof will not require notarization) or his agent or proxy and proof of the holding by any Person of any of the Securities shall be sufficient if made in the following manner:</w:t>
      </w:r>
    </w:p>
    <w:p>
      <w:pPr>
        <w:spacing w:after="0" w:line="162" w:lineRule="exact"/>
        <w:rPr>
          <w:sz w:val="20"/>
          <w:szCs w:val="20"/>
          <w:color w:val="auto"/>
        </w:rPr>
      </w:pPr>
    </w:p>
    <w:p>
      <w:pPr>
        <w:ind w:left="980"/>
        <w:spacing w:after="0"/>
        <w:tabs>
          <w:tab w:leader="none" w:pos="13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The fact and date of the execution by any such Person of any instrument may be proved in any reasonable manner acceptable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w:t>
      </w:r>
    </w:p>
    <w:p>
      <w:pPr>
        <w:spacing w:after="0" w:line="207" w:lineRule="exact"/>
        <w:rPr>
          <w:sz w:val="20"/>
          <w:szCs w:val="20"/>
          <w:color w:val="auto"/>
        </w:rPr>
      </w:pPr>
    </w:p>
    <w:p>
      <w:pPr>
        <w:ind w:left="980"/>
        <w:spacing w:after="0"/>
        <w:tabs>
          <w:tab w:leader="none" w:pos="136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7"/>
          <w:szCs w:val="17"/>
          <w:color w:val="auto"/>
        </w:rPr>
        <w:t>The ownership of Securities shall be proved by the Security Register of such Securities or by a certificate of the Security Registrar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Trustee may require such additional proof of any matter referred to in this Section as it shall deem necessary.</w:t>
      </w:r>
    </w:p>
    <w:p>
      <w:pPr>
        <w:spacing w:after="0" w:line="221"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8.03</w:t>
      </w:r>
      <w:r>
        <w:rPr>
          <w:sz w:val="20"/>
          <w:szCs w:val="20"/>
          <w:color w:val="auto"/>
        </w:rPr>
        <w:tab/>
      </w:r>
      <w:r>
        <w:rPr>
          <w:rFonts w:ascii="Times New Roman" w:cs="Times New Roman" w:eastAsia="Times New Roman" w:hAnsi="Times New Roman"/>
          <w:sz w:val="17"/>
          <w:szCs w:val="17"/>
          <w:b w:val="1"/>
          <w:bCs w:val="1"/>
          <w:color w:val="auto"/>
        </w:rPr>
        <w:t>Who May be Deemed Owners.</w:t>
      </w:r>
    </w:p>
    <w:p>
      <w:pPr>
        <w:spacing w:after="0" w:line="229"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Prior to the due presentment for registration of transfer of any Security, the Company, the Trustee, any paying agent and any Security Registrar may deem and treat the Person in whose name such Security shall be registered upon the books of the Company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130" w:name="page131"/>
    <w:bookmarkEnd w:id="130"/>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8.04</w:t>
      </w:r>
      <w:r>
        <w:rPr>
          <w:sz w:val="20"/>
          <w:szCs w:val="20"/>
          <w:color w:val="auto"/>
        </w:rPr>
        <w:tab/>
      </w:r>
      <w:r>
        <w:rPr>
          <w:rFonts w:ascii="Times New Roman" w:cs="Times New Roman" w:eastAsia="Times New Roman" w:hAnsi="Times New Roman"/>
          <w:sz w:val="17"/>
          <w:szCs w:val="17"/>
          <w:b w:val="1"/>
          <w:bCs w:val="1"/>
          <w:color w:val="auto"/>
        </w:rPr>
        <w:t>Certain Securities Owned by Company Disregarded.</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184" w:lineRule="exact"/>
        <w:rPr>
          <w:sz w:val="20"/>
          <w:szCs w:val="20"/>
          <w:color w:val="auto"/>
        </w:rPr>
      </w:pPr>
    </w:p>
    <w:p>
      <w:pPr>
        <w:ind w:left="44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Section 8.05</w:t>
      </w:r>
      <w:r>
        <w:rPr>
          <w:sz w:val="20"/>
          <w:szCs w:val="20"/>
          <w:color w:val="auto"/>
        </w:rPr>
        <w:tab/>
      </w:r>
      <w:r>
        <w:rPr>
          <w:rFonts w:ascii="Times New Roman" w:cs="Times New Roman" w:eastAsia="Times New Roman" w:hAnsi="Times New Roman"/>
          <w:sz w:val="17"/>
          <w:szCs w:val="17"/>
          <w:b w:val="1"/>
          <w:bCs w:val="1"/>
          <w:color w:val="auto"/>
        </w:rPr>
        <w:t>Actions Binding on Future Securityholders.</w:t>
      </w:r>
    </w:p>
    <w:p>
      <w:pPr>
        <w:spacing w:after="0" w:line="229"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22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SUPPLEMENTAL INDENTURES</w:t>
      </w:r>
    </w:p>
    <w:p>
      <w:pPr>
        <w:spacing w:after="0" w:line="225"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9.01</w:t>
      </w:r>
      <w:r>
        <w:rPr>
          <w:sz w:val="20"/>
          <w:szCs w:val="20"/>
          <w:color w:val="auto"/>
        </w:rPr>
        <w:tab/>
      </w:r>
      <w:r>
        <w:rPr>
          <w:rFonts w:ascii="Times New Roman" w:cs="Times New Roman" w:eastAsia="Times New Roman" w:hAnsi="Times New Roman"/>
          <w:sz w:val="17"/>
          <w:szCs w:val="17"/>
          <w:b w:val="1"/>
          <w:bCs w:val="1"/>
          <w:color w:val="auto"/>
        </w:rPr>
        <w:t>Supplemental Indentures Without the Consent of Securityholders.</w:t>
      </w:r>
    </w:p>
    <w:p>
      <w:pPr>
        <w:spacing w:after="0" w:line="229"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68" w:lineRule="exact"/>
        <w:rPr>
          <w:sz w:val="20"/>
          <w:szCs w:val="20"/>
          <w:color w:val="auto"/>
        </w:rPr>
      </w:pPr>
    </w:p>
    <w:p>
      <w:pPr>
        <w:ind w:left="1380" w:hanging="393"/>
        <w:spacing w:after="0"/>
        <w:tabs>
          <w:tab w:leader="none" w:pos="13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herein or in the Securities of any series;</w:t>
      </w:r>
    </w:p>
    <w:p>
      <w:pPr>
        <w:spacing w:after="0" w:line="225"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Article Ten;</w:t>
      </w:r>
    </w:p>
    <w:p>
      <w:pPr>
        <w:spacing w:after="0" w:line="225"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225" w:lineRule="exact"/>
        <w:rPr>
          <w:rFonts w:ascii="Times New Roman" w:cs="Times New Roman" w:eastAsia="Times New Roman" w:hAnsi="Times New Roman"/>
          <w:sz w:val="18"/>
          <w:szCs w:val="18"/>
          <w:color w:val="auto"/>
        </w:rPr>
      </w:pPr>
    </w:p>
    <w:p>
      <w:pPr>
        <w:ind w:right="100" w:firstLine="987"/>
        <w:spacing w:after="0" w:line="258" w:lineRule="auto"/>
        <w:tabs>
          <w:tab w:leader="none" w:pos="1381"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66" w:right="459" w:bottom="1440" w:gutter="0" w:footer="0" w:header="0"/>
        </w:sectPr>
      </w:pPr>
    </w:p>
    <w:bookmarkStart w:id="131" w:name="page132"/>
    <w:bookmarkEnd w:id="131"/>
    <w:p>
      <w:pPr>
        <w:ind w:right="300" w:firstLine="987"/>
        <w:spacing w:after="0" w:line="282" w:lineRule="auto"/>
        <w:tabs>
          <w:tab w:leader="none" w:pos="1381"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add to, delete from, or revise the conditions, limitations, and restrictions on the authorized amount, terms, or purposes of issue, authentication, and delivery of Securities, as herein set forth;</w:t>
      </w:r>
    </w:p>
    <w:p>
      <w:pPr>
        <w:spacing w:after="0" w:line="161"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Securityholder in any material respect;</w:t>
      </w:r>
    </w:p>
    <w:p>
      <w:pPr>
        <w:spacing w:after="0" w:line="225"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Securities of any series as provided in</w:t>
      </w:r>
    </w:p>
    <w:p>
      <w:pPr>
        <w:spacing w:after="0" w:line="27"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Section 2.01, to establish the form of any certifications required to be furnished pursuant to the terms of this Indenture or any series of Securities, or to add to the rights of the holders of any series of Securities;</w:t>
      </w:r>
    </w:p>
    <w:p>
      <w:pPr>
        <w:spacing w:after="0" w:line="181" w:lineRule="exact"/>
        <w:rPr>
          <w:sz w:val="20"/>
          <w:szCs w:val="20"/>
          <w:color w:val="auto"/>
        </w:rPr>
      </w:pPr>
    </w:p>
    <w:p>
      <w:pPr>
        <w:ind w:left="1380" w:hanging="393"/>
        <w:spacing w:after="0"/>
        <w:tabs>
          <w:tab w:leader="none" w:pos="13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 or</w:t>
      </w:r>
    </w:p>
    <w:p>
      <w:pPr>
        <w:spacing w:after="0" w:line="225" w:lineRule="exact"/>
        <w:rPr>
          <w:rFonts w:ascii="Times New Roman" w:cs="Times New Roman" w:eastAsia="Times New Roman" w:hAnsi="Times New Roman"/>
          <w:sz w:val="18"/>
          <w:szCs w:val="18"/>
          <w:color w:val="auto"/>
        </w:rPr>
      </w:pPr>
    </w:p>
    <w:p>
      <w:pPr>
        <w:ind w:right="20" w:firstLine="987"/>
        <w:spacing w:after="0" w:line="282" w:lineRule="auto"/>
        <w:tabs>
          <w:tab w:leader="none" w:pos="1381"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Commission or any successor in connection with the qualification of this Indenture under the Trust Indenture Act.</w:t>
      </w:r>
    </w:p>
    <w:p>
      <w:pPr>
        <w:spacing w:after="0" w:line="162" w:lineRule="exact"/>
        <w:rPr>
          <w:sz w:val="20"/>
          <w:szCs w:val="20"/>
          <w:color w:val="auto"/>
        </w:rPr>
      </w:pPr>
    </w:p>
    <w:p>
      <w:pPr>
        <w:ind w:right="600" w:firstLine="440"/>
        <w:spacing w:after="0" w:line="266" w:lineRule="auto"/>
        <w:rPr>
          <w:sz w:val="20"/>
          <w:szCs w:val="20"/>
          <w:color w:val="auto"/>
        </w:rPr>
      </w:pPr>
      <w:r>
        <w:rPr>
          <w:rFonts w:ascii="Times New Roman" w:cs="Times New Roman" w:eastAsia="Times New Roman" w:hAnsi="Times New Roman"/>
          <w:sz w:val="18"/>
          <w:szCs w:val="18"/>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76"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spacing w:after="0" w:line="158"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9.02</w:t>
      </w:r>
      <w:r>
        <w:rPr>
          <w:sz w:val="20"/>
          <w:szCs w:val="20"/>
          <w:color w:val="auto"/>
        </w:rPr>
        <w:tab/>
      </w:r>
      <w:r>
        <w:rPr>
          <w:rFonts w:ascii="Times New Roman" w:cs="Times New Roman" w:eastAsia="Times New Roman" w:hAnsi="Times New Roman"/>
          <w:sz w:val="17"/>
          <w:szCs w:val="17"/>
          <w:b w:val="1"/>
          <w:bCs w:val="1"/>
          <w:color w:val="auto"/>
        </w:rPr>
        <w:t>Supplemental Indentures With Consent of Securityholders.</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spacing w:after="0" w:line="188"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158"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9.03</w:t>
      </w:r>
      <w:r>
        <w:rPr>
          <w:sz w:val="20"/>
          <w:szCs w:val="20"/>
          <w:color w:val="auto"/>
        </w:rPr>
        <w:tab/>
      </w:r>
      <w:r>
        <w:rPr>
          <w:rFonts w:ascii="Times New Roman" w:cs="Times New Roman" w:eastAsia="Times New Roman" w:hAnsi="Times New Roman"/>
          <w:sz w:val="17"/>
          <w:szCs w:val="17"/>
          <w:b w:val="1"/>
          <w:bCs w:val="1"/>
          <w:color w:val="auto"/>
        </w:rPr>
        <w:t>Effect of Supplemental Indentures.</w:t>
      </w:r>
    </w:p>
    <w:p>
      <w:pPr>
        <w:spacing w:after="0" w:line="229"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0"/>
          </w:cols>
          <w:pgMar w:left="440" w:top="270" w:right="479" w:bottom="1440" w:gutter="0" w:footer="0" w:header="0"/>
        </w:sectPr>
      </w:pPr>
    </w:p>
    <w:bookmarkStart w:id="132" w:name="page133"/>
    <w:bookmarkEnd w:id="132"/>
    <w:p>
      <w:pPr>
        <w:ind w:left="444"/>
        <w:spacing w:after="0"/>
        <w:tabs>
          <w:tab w:leader="none" w:pos="15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9.04</w:t>
      </w:r>
      <w:r>
        <w:rPr>
          <w:sz w:val="20"/>
          <w:szCs w:val="20"/>
          <w:color w:val="auto"/>
        </w:rPr>
        <w:tab/>
      </w:r>
      <w:r>
        <w:rPr>
          <w:rFonts w:ascii="Times New Roman" w:cs="Times New Roman" w:eastAsia="Times New Roman" w:hAnsi="Times New Roman"/>
          <w:sz w:val="17"/>
          <w:szCs w:val="17"/>
          <w:b w:val="1"/>
          <w:bCs w:val="1"/>
          <w:color w:val="auto"/>
        </w:rPr>
        <w:t>Securities Affected by Supplemental Indentures.</w:t>
      </w:r>
    </w:p>
    <w:p>
      <w:pPr>
        <w:spacing w:after="0" w:line="229" w:lineRule="exact"/>
        <w:rPr>
          <w:sz w:val="20"/>
          <w:szCs w:val="20"/>
          <w:color w:val="auto"/>
        </w:rPr>
      </w:pPr>
    </w:p>
    <w:p>
      <w:pPr>
        <w:ind w:left="4" w:right="160" w:firstLine="440"/>
        <w:spacing w:after="0" w:line="256" w:lineRule="auto"/>
        <w:rPr>
          <w:sz w:val="20"/>
          <w:szCs w:val="20"/>
          <w:color w:val="auto"/>
        </w:rPr>
      </w:pPr>
      <w:r>
        <w:rPr>
          <w:rFonts w:ascii="Times New Roman" w:cs="Times New Roman" w:eastAsia="Times New Roman" w:hAnsi="Times New Roman"/>
          <w:sz w:val="18"/>
          <w:szCs w:val="18"/>
          <w:color w:val="auto"/>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183" w:lineRule="exact"/>
        <w:rPr>
          <w:sz w:val="20"/>
          <w:szCs w:val="20"/>
          <w:color w:val="auto"/>
        </w:rPr>
      </w:pPr>
    </w:p>
    <w:p>
      <w:pPr>
        <w:ind w:left="444"/>
        <w:spacing w:after="0"/>
        <w:tabs>
          <w:tab w:leader="none" w:pos="1524" w:val="left"/>
        </w:tabs>
        <w:rPr>
          <w:sz w:val="20"/>
          <w:szCs w:val="20"/>
          <w:color w:val="auto"/>
        </w:rPr>
      </w:pPr>
      <w:r>
        <w:rPr>
          <w:rFonts w:ascii="Times New Roman" w:cs="Times New Roman" w:eastAsia="Times New Roman" w:hAnsi="Times New Roman"/>
          <w:sz w:val="18"/>
          <w:szCs w:val="18"/>
          <w:b w:val="1"/>
          <w:bCs w:val="1"/>
          <w:color w:val="auto"/>
        </w:rPr>
        <w:t>Section 9.05</w:t>
      </w:r>
      <w:r>
        <w:rPr>
          <w:sz w:val="20"/>
          <w:szCs w:val="20"/>
          <w:color w:val="auto"/>
        </w:rPr>
        <w:tab/>
      </w:r>
      <w:r>
        <w:rPr>
          <w:rFonts w:ascii="Times New Roman" w:cs="Times New Roman" w:eastAsia="Times New Roman" w:hAnsi="Times New Roman"/>
          <w:sz w:val="17"/>
          <w:szCs w:val="17"/>
          <w:b w:val="1"/>
          <w:bCs w:val="1"/>
          <w:color w:val="auto"/>
        </w:rPr>
        <w:t>Execution of Supplemental Indentures.</w:t>
      </w:r>
    </w:p>
    <w:p>
      <w:pPr>
        <w:spacing w:after="0" w:line="229" w:lineRule="exact"/>
        <w:rPr>
          <w:sz w:val="20"/>
          <w:szCs w:val="20"/>
          <w:color w:val="auto"/>
        </w:rPr>
      </w:pPr>
    </w:p>
    <w:p>
      <w:pPr>
        <w:ind w:left="4" w:firstLine="440"/>
        <w:spacing w:after="0" w:line="272" w:lineRule="auto"/>
        <w:rPr>
          <w:sz w:val="20"/>
          <w:szCs w:val="20"/>
          <w:color w:val="auto"/>
        </w:rPr>
      </w:pPr>
      <w:r>
        <w:rPr>
          <w:rFonts w:ascii="Times New Roman" w:cs="Times New Roman" w:eastAsia="Times New Roman" w:hAnsi="Times New Roman"/>
          <w:sz w:val="17"/>
          <w:szCs w:val="17"/>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 authorized or permitted by the terms of this Article and that all conditions precedent to the execution of the supplemental indenture have been complied with; provided, however, that such Officer’s Certificate or Opinion of Counsel need not be provided in connection with the execution of a supplemental indenture that establishes the terms of a series of Securities pursuant to Section 2.01 hereof.</w:t>
      </w:r>
    </w:p>
    <w:p>
      <w:pPr>
        <w:spacing w:after="0" w:line="172" w:lineRule="exact"/>
        <w:rPr>
          <w:sz w:val="20"/>
          <w:szCs w:val="20"/>
          <w:color w:val="auto"/>
        </w:rPr>
      </w:pPr>
    </w:p>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t>Promptly after the execution by the Company and the Trustee of any supplemental indenture pursuant to the provisions of this Section, the Company shall (or shall direct the Trustee to) transmit by mail, first class postage prepaid, a notice, setting forth in general terms the substance of such supplemental indenture, to the Securityholders of all series affected thereby as their names and addresses appear upon the Security Register. Any failure of the Company to mail, or cause the mailing of, such notice, or any defect therein, shall not, however, in any way impair or affect the validity of any such supplemental indenture.</w:t>
      </w:r>
    </w:p>
    <w:p>
      <w:pPr>
        <w:spacing w:after="0" w:line="39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SUCCESSOR ENTITY</w:t>
      </w:r>
    </w:p>
    <w:p>
      <w:pPr>
        <w:spacing w:after="0" w:line="225" w:lineRule="exact"/>
        <w:rPr>
          <w:sz w:val="20"/>
          <w:szCs w:val="20"/>
          <w:color w:val="auto"/>
        </w:rPr>
      </w:pPr>
    </w:p>
    <w:p>
      <w:pPr>
        <w:ind w:left="444"/>
        <w:spacing w:after="0"/>
        <w:tabs>
          <w:tab w:leader="none" w:pos="1604" w:val="left"/>
        </w:tabs>
        <w:rPr>
          <w:sz w:val="20"/>
          <w:szCs w:val="20"/>
          <w:color w:val="auto"/>
        </w:rPr>
      </w:pPr>
      <w:r>
        <w:rPr>
          <w:rFonts w:ascii="Times New Roman" w:cs="Times New Roman" w:eastAsia="Times New Roman" w:hAnsi="Times New Roman"/>
          <w:sz w:val="18"/>
          <w:szCs w:val="18"/>
          <w:b w:val="1"/>
          <w:bCs w:val="1"/>
          <w:color w:val="auto"/>
        </w:rPr>
        <w:t>Section 10.01</w:t>
        <w:tab/>
        <w:t>Company May Consolidate, Etc.</w:t>
      </w:r>
    </w:p>
    <w:p>
      <w:pPr>
        <w:spacing w:after="0" w:line="229"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provided, however, (a) the Company hereby covenants and agrees that, upon any such consolidation or merger (in each case, if the 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 and</w:t>
      </w:r>
    </w:p>
    <w:p>
      <w:pPr>
        <w:spacing w:after="0" w:line="4" w:lineRule="exact"/>
        <w:rPr>
          <w:sz w:val="20"/>
          <w:szCs w:val="20"/>
          <w:color w:val="auto"/>
        </w:rPr>
      </w:pPr>
    </w:p>
    <w:p>
      <w:pPr>
        <w:ind w:left="4" w:right="100" w:hanging="4"/>
        <w:spacing w:after="0" w:line="260" w:lineRule="auto"/>
        <w:tabs>
          <w:tab w:leader="none" w:pos="259"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Securities of any series then Outstanding are convertible into or exchangeable for shares of common stock or other securities of the Company, such entity shall,</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4"/>
          </w:cols>
          <w:pgMar w:left="436" w:top="266" w:right="459" w:bottom="1440" w:gutter="0" w:footer="0" w:header="0"/>
        </w:sectPr>
      </w:pPr>
    </w:p>
    <w:bookmarkStart w:id="133" w:name="page134"/>
    <w:bookmarkEnd w:id="133"/>
    <w:p>
      <w:pPr>
        <w:ind w:left="4" w:right="3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such supplemental indenture, make provision so that the Securityholders of Securities of that series shall thereafter be entitled to receive upon conversion or exchange of such Securities the number of securities or property to which a holder of the number of shares of common stock or other securities of the Company deliverable upon conversion or exchange of those Securities would have been entitled had such conversion or exchange occurred immediately prior to such consolidation, merger, sale, conveyance, transfer or other disposition.</w:t>
      </w:r>
    </w:p>
    <w:p>
      <w:pPr>
        <w:spacing w:after="0" w:line="176" w:lineRule="exact"/>
        <w:rPr>
          <w:sz w:val="20"/>
          <w:szCs w:val="20"/>
          <w:color w:val="auto"/>
        </w:rPr>
      </w:pPr>
    </w:p>
    <w:p>
      <w:pPr>
        <w:ind w:left="444"/>
        <w:spacing w:after="0"/>
        <w:tabs>
          <w:tab w:leader="none" w:pos="1604" w:val="left"/>
        </w:tabs>
        <w:rPr>
          <w:sz w:val="20"/>
          <w:szCs w:val="20"/>
          <w:color w:val="auto"/>
        </w:rPr>
      </w:pPr>
      <w:r>
        <w:rPr>
          <w:rFonts w:ascii="Times New Roman" w:cs="Times New Roman" w:eastAsia="Times New Roman" w:hAnsi="Times New Roman"/>
          <w:sz w:val="18"/>
          <w:szCs w:val="18"/>
          <w:b w:val="1"/>
          <w:bCs w:val="1"/>
          <w:color w:val="auto"/>
        </w:rPr>
        <w:t>Section 10.02</w:t>
        <w:tab/>
        <w:t>Successor Entity Substituted.</w:t>
      </w:r>
    </w:p>
    <w:p>
      <w:pPr>
        <w:spacing w:after="0" w:line="229" w:lineRule="exact"/>
        <w:rPr>
          <w:sz w:val="20"/>
          <w:szCs w:val="20"/>
          <w:color w:val="auto"/>
        </w:rPr>
      </w:pPr>
    </w:p>
    <w:p>
      <w:pPr>
        <w:ind w:left="4" w:firstLine="987"/>
        <w:spacing w:after="0" w:line="258" w:lineRule="auto"/>
        <w:tabs>
          <w:tab w:leader="none" w:pos="138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183" w:lineRule="exact"/>
        <w:rPr>
          <w:rFonts w:ascii="Times New Roman" w:cs="Times New Roman" w:eastAsia="Times New Roman" w:hAnsi="Times New Roman"/>
          <w:sz w:val="18"/>
          <w:szCs w:val="18"/>
          <w:color w:val="auto"/>
        </w:rPr>
      </w:pPr>
    </w:p>
    <w:p>
      <w:pPr>
        <w:ind w:left="4" w:right="20" w:firstLine="987"/>
        <w:spacing w:after="0" w:line="282" w:lineRule="auto"/>
        <w:tabs>
          <w:tab w:leader="none" w:pos="138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161" w:lineRule="exact"/>
        <w:rPr>
          <w:rFonts w:ascii="Times New Roman" w:cs="Times New Roman" w:eastAsia="Times New Roman" w:hAnsi="Times New Roman"/>
          <w:sz w:val="18"/>
          <w:szCs w:val="18"/>
          <w:color w:val="auto"/>
        </w:rPr>
      </w:pPr>
    </w:p>
    <w:p>
      <w:pPr>
        <w:ind w:left="4" w:firstLine="987"/>
        <w:spacing w:after="0" w:line="266" w:lineRule="auto"/>
        <w:tabs>
          <w:tab w:leader="none" w:pos="138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38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225" w:lineRule="exact"/>
        <w:rPr>
          <w:sz w:val="20"/>
          <w:szCs w:val="20"/>
          <w:color w:val="auto"/>
        </w:rPr>
      </w:pPr>
    </w:p>
    <w:p>
      <w:pPr>
        <w:ind w:left="4064"/>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225" w:lineRule="exact"/>
        <w:rPr>
          <w:sz w:val="20"/>
          <w:szCs w:val="20"/>
          <w:color w:val="auto"/>
        </w:rPr>
      </w:pPr>
    </w:p>
    <w:p>
      <w:pPr>
        <w:ind w:left="444"/>
        <w:spacing w:after="0"/>
        <w:tabs>
          <w:tab w:leader="none" w:pos="1604" w:val="left"/>
        </w:tabs>
        <w:rPr>
          <w:sz w:val="20"/>
          <w:szCs w:val="20"/>
          <w:color w:val="auto"/>
        </w:rPr>
      </w:pPr>
      <w:r>
        <w:rPr>
          <w:rFonts w:ascii="Times New Roman" w:cs="Times New Roman" w:eastAsia="Times New Roman" w:hAnsi="Times New Roman"/>
          <w:sz w:val="18"/>
          <w:szCs w:val="18"/>
          <w:b w:val="1"/>
          <w:bCs w:val="1"/>
          <w:color w:val="auto"/>
        </w:rPr>
        <w:t>Section 11.01</w:t>
      </w:r>
      <w:r>
        <w:rPr>
          <w:sz w:val="20"/>
          <w:szCs w:val="20"/>
          <w:color w:val="auto"/>
        </w:rPr>
        <w:tab/>
      </w:r>
      <w:r>
        <w:rPr>
          <w:rFonts w:ascii="Times New Roman" w:cs="Times New Roman" w:eastAsia="Times New Roman" w:hAnsi="Times New Roman"/>
          <w:sz w:val="17"/>
          <w:szCs w:val="17"/>
          <w:b w:val="1"/>
          <w:bCs w:val="1"/>
          <w:color w:val="auto"/>
        </w:rPr>
        <w:t>Satisfaction and Discharge of Indenture.</w:t>
      </w:r>
    </w:p>
    <w:p>
      <w:pPr>
        <w:spacing w:after="0" w:line="229"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w:t>
      </w:r>
    </w:p>
    <w:p>
      <w:pPr>
        <w:spacing w:after="0" w:line="3" w:lineRule="exact"/>
        <w:rPr>
          <w:sz w:val="20"/>
          <w:szCs w:val="20"/>
          <w:color w:val="auto"/>
        </w:rPr>
      </w:pPr>
    </w:p>
    <w:p>
      <w:pPr>
        <w:ind w:left="4" w:right="120" w:hanging="4"/>
        <w:spacing w:after="0" w:line="251" w:lineRule="auto"/>
        <w:tabs>
          <w:tab w:leader="none" w:pos="25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and 7.10,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188" w:lineRule="exact"/>
        <w:rPr>
          <w:sz w:val="20"/>
          <w:szCs w:val="20"/>
          <w:color w:val="auto"/>
        </w:rPr>
      </w:pPr>
    </w:p>
    <w:p>
      <w:pPr>
        <w:ind w:left="444"/>
        <w:spacing w:after="0"/>
        <w:tabs>
          <w:tab w:leader="none" w:pos="1604" w:val="left"/>
        </w:tabs>
        <w:rPr>
          <w:sz w:val="20"/>
          <w:szCs w:val="20"/>
          <w:color w:val="auto"/>
        </w:rPr>
      </w:pPr>
      <w:r>
        <w:rPr>
          <w:rFonts w:ascii="Times New Roman" w:cs="Times New Roman" w:eastAsia="Times New Roman" w:hAnsi="Times New Roman"/>
          <w:sz w:val="18"/>
          <w:szCs w:val="18"/>
          <w:b w:val="1"/>
          <w:bCs w:val="1"/>
          <w:color w:val="auto"/>
        </w:rPr>
        <w:t>Section 11.02</w:t>
      </w:r>
      <w:r>
        <w:rPr>
          <w:sz w:val="20"/>
          <w:szCs w:val="20"/>
          <w:color w:val="auto"/>
        </w:rPr>
        <w:tab/>
      </w:r>
      <w:r>
        <w:rPr>
          <w:rFonts w:ascii="Times New Roman" w:cs="Times New Roman" w:eastAsia="Times New Roman" w:hAnsi="Times New Roman"/>
          <w:sz w:val="17"/>
          <w:szCs w:val="17"/>
          <w:b w:val="1"/>
          <w:bCs w:val="1"/>
          <w:color w:val="auto"/>
        </w:rPr>
        <w:t>Discharge of Obligations.</w:t>
      </w:r>
    </w:p>
    <w:p>
      <w:pPr>
        <w:spacing w:after="0" w:line="229" w:lineRule="exact"/>
        <w:rPr>
          <w:sz w:val="20"/>
          <w:szCs w:val="20"/>
          <w:color w:val="auto"/>
        </w:rPr>
      </w:pPr>
    </w:p>
    <w:p>
      <w:pPr>
        <w:ind w:left="4" w:right="340" w:firstLine="440"/>
        <w:spacing w:after="0" w:line="282" w:lineRule="auto"/>
        <w:rPr>
          <w:sz w:val="20"/>
          <w:szCs w:val="20"/>
          <w:color w:val="auto"/>
        </w:rPr>
      </w:pPr>
      <w:r>
        <w:rPr>
          <w:rFonts w:ascii="Times New Roman" w:cs="Times New Roman" w:eastAsia="Times New Roman" w:hAnsi="Times New Roman"/>
          <w:sz w:val="18"/>
          <w:szCs w:val="18"/>
          <w:color w:val="auto"/>
        </w:rPr>
        <w:t>If at any time all such Securities of a particular series not heretofore delivered to the Trustee for cancellation or that have not become due and payable as described in Section 11.01 shall have been paid by the</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64"/>
          </w:cols>
          <w:pgMar w:left="436" w:top="270" w:right="499" w:bottom="1440" w:gutter="0" w:footer="0" w:header="0"/>
        </w:sectPr>
      </w:pPr>
    </w:p>
    <w:bookmarkStart w:id="134" w:name="page135"/>
    <w:bookmarkEnd w:id="134"/>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and 11.05 hereof that shall survive until such Securities shall mature and be paid.</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Thereafter, Sections 7.06 and 11.05 shall survive.</w:t>
      </w:r>
    </w:p>
    <w:p>
      <w:pPr>
        <w:spacing w:after="0" w:line="221" w:lineRule="exact"/>
        <w:rPr>
          <w:sz w:val="20"/>
          <w:szCs w:val="20"/>
          <w:color w:val="auto"/>
        </w:rPr>
      </w:pPr>
    </w:p>
    <w:p>
      <w:pPr>
        <w:ind w:left="44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Section 11.03</w:t>
      </w:r>
      <w:r>
        <w:rPr>
          <w:sz w:val="20"/>
          <w:szCs w:val="20"/>
          <w:color w:val="auto"/>
        </w:rPr>
        <w:tab/>
      </w:r>
      <w:r>
        <w:rPr>
          <w:rFonts w:ascii="Times New Roman" w:cs="Times New Roman" w:eastAsia="Times New Roman" w:hAnsi="Times New Roman"/>
          <w:sz w:val="17"/>
          <w:szCs w:val="17"/>
          <w:b w:val="1"/>
          <w:bCs w:val="1"/>
          <w:color w:val="auto"/>
        </w:rPr>
        <w:t>Deposited Moneys to be Held in Trust.</w:t>
      </w:r>
    </w:p>
    <w:p>
      <w:pPr>
        <w:spacing w:after="0" w:line="229" w:lineRule="exact"/>
        <w:rPr>
          <w:sz w:val="20"/>
          <w:szCs w:val="20"/>
          <w:color w:val="auto"/>
        </w:rPr>
      </w:pPr>
    </w:p>
    <w:p>
      <w:pPr>
        <w:ind w:right="100" w:firstLine="440"/>
        <w:spacing w:after="0" w:line="289" w:lineRule="auto"/>
        <w:rPr>
          <w:sz w:val="20"/>
          <w:szCs w:val="20"/>
          <w:color w:val="auto"/>
        </w:rPr>
      </w:pPr>
      <w:r>
        <w:rPr>
          <w:rFonts w:ascii="Times New Roman" w:cs="Times New Roman" w:eastAsia="Times New Roman" w:hAnsi="Times New Roman"/>
          <w:sz w:val="17"/>
          <w:szCs w:val="17"/>
          <w:color w:val="auto"/>
        </w:rPr>
        <w:t>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154" w:lineRule="exact"/>
        <w:rPr>
          <w:sz w:val="20"/>
          <w:szCs w:val="20"/>
          <w:color w:val="auto"/>
        </w:rPr>
      </w:pPr>
    </w:p>
    <w:p>
      <w:pPr>
        <w:ind w:left="44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Section 11.04</w:t>
      </w:r>
      <w:r>
        <w:rPr>
          <w:sz w:val="20"/>
          <w:szCs w:val="20"/>
          <w:color w:val="auto"/>
        </w:rPr>
        <w:tab/>
      </w:r>
      <w:r>
        <w:rPr>
          <w:rFonts w:ascii="Times New Roman" w:cs="Times New Roman" w:eastAsia="Times New Roman" w:hAnsi="Times New Roman"/>
          <w:sz w:val="17"/>
          <w:szCs w:val="17"/>
          <w:b w:val="1"/>
          <w:bCs w:val="1"/>
          <w:color w:val="auto"/>
        </w:rPr>
        <w:t>Payment of Moneys Held by Paying Agents.</w:t>
      </w:r>
    </w:p>
    <w:p>
      <w:pPr>
        <w:spacing w:after="0" w:line="229"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172" w:lineRule="exact"/>
        <w:rPr>
          <w:sz w:val="20"/>
          <w:szCs w:val="20"/>
          <w:color w:val="auto"/>
        </w:rPr>
      </w:pPr>
    </w:p>
    <w:p>
      <w:pPr>
        <w:ind w:left="44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Section 11.05</w:t>
      </w:r>
      <w:r>
        <w:rPr>
          <w:sz w:val="20"/>
          <w:szCs w:val="20"/>
          <w:color w:val="auto"/>
        </w:rPr>
        <w:tab/>
      </w:r>
      <w:r>
        <w:rPr>
          <w:rFonts w:ascii="Times New Roman" w:cs="Times New Roman" w:eastAsia="Times New Roman" w:hAnsi="Times New Roman"/>
          <w:sz w:val="17"/>
          <w:szCs w:val="17"/>
          <w:b w:val="1"/>
          <w:bCs w:val="1"/>
          <w:color w:val="auto"/>
        </w:rPr>
        <w:t>Repayment to Company.</w:t>
      </w:r>
    </w:p>
    <w:p>
      <w:pPr>
        <w:spacing w:after="0" w:line="229"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2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IMMUNITY OF INCORPORATORS, STOCKHOLDERS, OFFICERS AND DIRECTORS</w:t>
      </w:r>
    </w:p>
    <w:p>
      <w:pPr>
        <w:spacing w:after="0" w:line="225" w:lineRule="exact"/>
        <w:rPr>
          <w:sz w:val="20"/>
          <w:szCs w:val="20"/>
          <w:color w:val="auto"/>
        </w:rPr>
      </w:pPr>
    </w:p>
    <w:p>
      <w:pPr>
        <w:ind w:left="44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Section 12.01</w:t>
      </w:r>
      <w:r>
        <w:rPr>
          <w:sz w:val="20"/>
          <w:szCs w:val="20"/>
          <w:color w:val="auto"/>
        </w:rPr>
        <w:tab/>
      </w:r>
      <w:r>
        <w:rPr>
          <w:rFonts w:ascii="Times New Roman" w:cs="Times New Roman" w:eastAsia="Times New Roman" w:hAnsi="Times New Roman"/>
          <w:sz w:val="17"/>
          <w:szCs w:val="17"/>
          <w:b w:val="1"/>
          <w:bCs w:val="1"/>
          <w:color w:val="auto"/>
        </w:rPr>
        <w:t>No Recourse.</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135" w:name="page136"/>
    <w:bookmarkEnd w:id="135"/>
    <w:p>
      <w:pPr>
        <w:ind w:right="2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22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225" w:lineRule="exact"/>
        <w:rPr>
          <w:sz w:val="20"/>
          <w:szCs w:val="20"/>
          <w:color w:val="auto"/>
        </w:rPr>
      </w:pPr>
    </w:p>
    <w:p>
      <w:pPr>
        <w:ind w:left="44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Section 13.01</w:t>
        <w:tab/>
        <w:t>Effect on Successors and Assigns.</w:t>
      </w:r>
    </w:p>
    <w:p>
      <w:pPr>
        <w:spacing w:after="0" w:line="229"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All the covenants, stipulations, promises and agreements in this Indenture made by or on behalf of the Company shall bind its successors and assigns, whether so expressed or not.</w:t>
      </w:r>
    </w:p>
    <w:p>
      <w:pPr>
        <w:spacing w:after="0" w:line="158" w:lineRule="exact"/>
        <w:rPr>
          <w:sz w:val="20"/>
          <w:szCs w:val="20"/>
          <w:color w:val="auto"/>
        </w:rPr>
      </w:pPr>
    </w:p>
    <w:p>
      <w:pPr>
        <w:ind w:left="44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Section 13.02</w:t>
      </w:r>
      <w:r>
        <w:rPr>
          <w:sz w:val="20"/>
          <w:szCs w:val="20"/>
          <w:color w:val="auto"/>
        </w:rPr>
        <w:tab/>
      </w:r>
      <w:r>
        <w:rPr>
          <w:rFonts w:ascii="Times New Roman" w:cs="Times New Roman" w:eastAsia="Times New Roman" w:hAnsi="Times New Roman"/>
          <w:sz w:val="17"/>
          <w:szCs w:val="17"/>
          <w:b w:val="1"/>
          <w:bCs w:val="1"/>
          <w:color w:val="auto"/>
        </w:rPr>
        <w:t>Actions by Successor.</w:t>
      </w:r>
    </w:p>
    <w:p>
      <w:pPr>
        <w:spacing w:after="0" w:line="229"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72" w:lineRule="exact"/>
        <w:rPr>
          <w:sz w:val="20"/>
          <w:szCs w:val="20"/>
          <w:color w:val="auto"/>
        </w:rPr>
      </w:pPr>
    </w:p>
    <w:p>
      <w:pPr>
        <w:ind w:left="44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Section 13.03</w:t>
      </w:r>
      <w:r>
        <w:rPr>
          <w:sz w:val="20"/>
          <w:szCs w:val="20"/>
          <w:color w:val="auto"/>
        </w:rPr>
        <w:tab/>
      </w:r>
      <w:r>
        <w:rPr>
          <w:rFonts w:ascii="Times New Roman" w:cs="Times New Roman" w:eastAsia="Times New Roman" w:hAnsi="Times New Roman"/>
          <w:sz w:val="17"/>
          <w:szCs w:val="17"/>
          <w:b w:val="1"/>
          <w:bCs w:val="1"/>
          <w:color w:val="auto"/>
        </w:rPr>
        <w:t>Surrender of Company Powers.</w:t>
      </w:r>
    </w:p>
    <w:p>
      <w:pPr>
        <w:spacing w:after="0" w:line="229" w:lineRule="exact"/>
        <w:rPr>
          <w:sz w:val="20"/>
          <w:szCs w:val="20"/>
          <w:color w:val="auto"/>
        </w:rPr>
      </w:pPr>
    </w:p>
    <w:p>
      <w:pPr>
        <w:ind w:right="60" w:firstLine="440"/>
        <w:spacing w:after="0" w:line="312" w:lineRule="auto"/>
        <w:rPr>
          <w:sz w:val="20"/>
          <w:szCs w:val="20"/>
          <w:color w:val="auto"/>
        </w:rPr>
      </w:pPr>
      <w:r>
        <w:rPr>
          <w:rFonts w:ascii="Times New Roman" w:cs="Times New Roman" w:eastAsia="Times New Roman" w:hAnsi="Times New Roman"/>
          <w:sz w:val="17"/>
          <w:szCs w:val="17"/>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36" w:lineRule="exact"/>
        <w:rPr>
          <w:sz w:val="20"/>
          <w:szCs w:val="20"/>
          <w:color w:val="auto"/>
        </w:rPr>
      </w:pPr>
    </w:p>
    <w:p>
      <w:pPr>
        <w:ind w:left="44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Section 13.04</w:t>
        <w:tab/>
        <w:t>Notices.</w:t>
      </w:r>
    </w:p>
    <w:p>
      <w:pPr>
        <w:spacing w:after="0" w:line="229"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Except as otherwise expressly provided herein, any notice, request or demand that by any provision of this Indenture is required or permitted to be given, made or served by the Trustee or by the holders of Securities or by any other Person pursuant to this Indenture to or on the Company may be given or served by being deposited in first class mail, postage prepaid, addressed (until another address is filed in writing by the Company with the</w:t>
      </w:r>
    </w:p>
    <w:p>
      <w:pPr>
        <w:spacing w:after="0" w:line="1"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Trustee), as follows: .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spacing w:after="0" w:line="182" w:lineRule="exact"/>
        <w:rPr>
          <w:sz w:val="20"/>
          <w:szCs w:val="20"/>
          <w:color w:val="auto"/>
        </w:rPr>
      </w:pPr>
    </w:p>
    <w:p>
      <w:pPr>
        <w:ind w:left="44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Section 13.05</w:t>
      </w:r>
      <w:r>
        <w:rPr>
          <w:sz w:val="20"/>
          <w:szCs w:val="20"/>
          <w:color w:val="auto"/>
        </w:rPr>
        <w:tab/>
      </w:r>
      <w:r>
        <w:rPr>
          <w:rFonts w:ascii="Times New Roman" w:cs="Times New Roman" w:eastAsia="Times New Roman" w:hAnsi="Times New Roman"/>
          <w:sz w:val="17"/>
          <w:szCs w:val="17"/>
          <w:b w:val="1"/>
          <w:bCs w:val="1"/>
          <w:color w:val="auto"/>
        </w:rPr>
        <w:t>Governing Law.</w:t>
      </w:r>
    </w:p>
    <w:p>
      <w:pPr>
        <w:spacing w:after="0" w:line="229"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This Indenture and each Security shall be deemed to be a contract made under the internal laws of the State of New York, and for all purposes shall be construed in accordance with the laws of said State, except to the extent that the Trust Indenture Act is applicable.</w:t>
      </w:r>
    </w:p>
    <w:p>
      <w:pPr>
        <w:spacing w:after="0" w:line="158" w:lineRule="exact"/>
        <w:rPr>
          <w:sz w:val="20"/>
          <w:szCs w:val="20"/>
          <w:color w:val="auto"/>
        </w:rPr>
      </w:pPr>
    </w:p>
    <w:p>
      <w:pPr>
        <w:ind w:left="44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Section 13.06</w:t>
      </w:r>
      <w:r>
        <w:rPr>
          <w:sz w:val="20"/>
          <w:szCs w:val="20"/>
          <w:color w:val="auto"/>
        </w:rPr>
        <w:tab/>
      </w:r>
      <w:r>
        <w:rPr>
          <w:rFonts w:ascii="Times New Roman" w:cs="Times New Roman" w:eastAsia="Times New Roman" w:hAnsi="Times New Roman"/>
          <w:sz w:val="17"/>
          <w:szCs w:val="17"/>
          <w:b w:val="1"/>
          <w:bCs w:val="1"/>
          <w:color w:val="auto"/>
        </w:rPr>
        <w:t>Treatment of Securities as Debt.</w:t>
      </w:r>
    </w:p>
    <w:p>
      <w:pPr>
        <w:spacing w:after="0" w:line="229"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It is intended that the Securities will be treated as indebtedness and not as equity for federal income tax purposes. The provisions of this Indenture shall be interpreted to further this intention.</w:t>
      </w:r>
    </w:p>
    <w:p>
      <w:pPr>
        <w:spacing w:after="0" w:line="158" w:lineRule="exact"/>
        <w:rPr>
          <w:sz w:val="20"/>
          <w:szCs w:val="20"/>
          <w:color w:val="auto"/>
        </w:rPr>
      </w:pPr>
    </w:p>
    <w:p>
      <w:pPr>
        <w:ind w:left="44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Section 13.07</w:t>
        <w:tab/>
        <w:t>Certificates and Opinions as to Conditions Precedent.</w:t>
      </w:r>
    </w:p>
    <w:p>
      <w:pPr>
        <w:spacing w:after="0" w:line="229" w:lineRule="exact"/>
        <w:rPr>
          <w:sz w:val="20"/>
          <w:szCs w:val="20"/>
          <w:color w:val="auto"/>
        </w:rPr>
      </w:pPr>
    </w:p>
    <w:p>
      <w:pPr>
        <w:ind w:firstLine="987"/>
        <w:spacing w:after="0" w:line="266" w:lineRule="auto"/>
        <w:tabs>
          <w:tab w:leader="none" w:pos="1381"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136" w:name="page137"/>
    <w:bookmarkEnd w:id="136"/>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80" w:lineRule="exact"/>
        <w:rPr>
          <w:sz w:val="20"/>
          <w:szCs w:val="20"/>
          <w:color w:val="auto"/>
        </w:rPr>
      </w:pPr>
    </w:p>
    <w:p>
      <w:pPr>
        <w:ind w:firstLine="987"/>
        <w:spacing w:after="0" w:line="256" w:lineRule="auto"/>
        <w:tabs>
          <w:tab w:leader="none" w:pos="1381"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certificate or opinion provided for in this Indenture and delivered to the Trustee with respect to compliance with a condition or covenant in this Indenture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183" w:lineRule="exact"/>
        <w:rPr>
          <w:sz w:val="20"/>
          <w:szCs w:val="20"/>
          <w:color w:val="auto"/>
        </w:rPr>
      </w:pPr>
    </w:p>
    <w:p>
      <w:pPr>
        <w:ind w:left="44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Section 13.08</w:t>
      </w:r>
      <w:r>
        <w:rPr>
          <w:sz w:val="20"/>
          <w:szCs w:val="20"/>
          <w:color w:val="auto"/>
        </w:rPr>
        <w:tab/>
      </w:r>
      <w:r>
        <w:rPr>
          <w:rFonts w:ascii="Times New Roman" w:cs="Times New Roman" w:eastAsia="Times New Roman" w:hAnsi="Times New Roman"/>
          <w:sz w:val="17"/>
          <w:szCs w:val="17"/>
          <w:b w:val="1"/>
          <w:bCs w:val="1"/>
          <w:color w:val="auto"/>
        </w:rPr>
        <w:t>Payments on Business Days.</w:t>
      </w:r>
    </w:p>
    <w:p>
      <w:pPr>
        <w:spacing w:after="0" w:line="22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179" w:lineRule="exact"/>
        <w:rPr>
          <w:sz w:val="20"/>
          <w:szCs w:val="20"/>
          <w:color w:val="auto"/>
        </w:rPr>
      </w:pPr>
    </w:p>
    <w:p>
      <w:pPr>
        <w:ind w:left="44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Section 13.09</w:t>
      </w:r>
      <w:r>
        <w:rPr>
          <w:sz w:val="20"/>
          <w:szCs w:val="20"/>
          <w:color w:val="auto"/>
        </w:rPr>
        <w:tab/>
      </w:r>
      <w:r>
        <w:rPr>
          <w:rFonts w:ascii="Times New Roman" w:cs="Times New Roman" w:eastAsia="Times New Roman" w:hAnsi="Times New Roman"/>
          <w:sz w:val="17"/>
          <w:szCs w:val="17"/>
          <w:b w:val="1"/>
          <w:bCs w:val="1"/>
          <w:color w:val="auto"/>
        </w:rPr>
        <w:t>Conflict with Trust Indenture Act.</w:t>
      </w:r>
    </w:p>
    <w:p>
      <w:pPr>
        <w:spacing w:after="0" w:line="229"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If and to the extent that any provision of this Indenture limits, qualifies or conflicts with the duties imposed by Sections 310 to 317, inclusive, of the Trust Indenture Act, such imposed duties shall control.</w:t>
      </w:r>
    </w:p>
    <w:p>
      <w:pPr>
        <w:spacing w:after="0" w:line="158" w:lineRule="exact"/>
        <w:rPr>
          <w:sz w:val="20"/>
          <w:szCs w:val="20"/>
          <w:color w:val="auto"/>
        </w:rPr>
      </w:pPr>
    </w:p>
    <w:p>
      <w:pPr>
        <w:ind w:left="44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Section 13.10</w:t>
        <w:tab/>
        <w:t>Counterparts.</w:t>
      </w:r>
    </w:p>
    <w:p>
      <w:pPr>
        <w:spacing w:after="0" w:line="229"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This Indenture may be executed in any number of counterparts, each of which shall be an original, but such counterparts shall together constitute but one and the same instrument.</w:t>
      </w:r>
    </w:p>
    <w:p>
      <w:pPr>
        <w:spacing w:after="0" w:line="158" w:lineRule="exact"/>
        <w:rPr>
          <w:sz w:val="20"/>
          <w:szCs w:val="20"/>
          <w:color w:val="auto"/>
        </w:rPr>
      </w:pPr>
    </w:p>
    <w:p>
      <w:pPr>
        <w:ind w:left="44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Section 13.11</w:t>
      </w:r>
      <w:r>
        <w:rPr>
          <w:sz w:val="20"/>
          <w:szCs w:val="20"/>
          <w:color w:val="auto"/>
        </w:rPr>
        <w:tab/>
      </w:r>
      <w:r>
        <w:rPr>
          <w:rFonts w:ascii="Times New Roman" w:cs="Times New Roman" w:eastAsia="Times New Roman" w:hAnsi="Times New Roman"/>
          <w:sz w:val="17"/>
          <w:szCs w:val="17"/>
          <w:b w:val="1"/>
          <w:bCs w:val="1"/>
          <w:color w:val="auto"/>
        </w:rPr>
        <w:t>Separability.</w:t>
      </w:r>
    </w:p>
    <w:p>
      <w:pPr>
        <w:spacing w:after="0" w:line="229" w:lineRule="exact"/>
        <w:rPr>
          <w:sz w:val="20"/>
          <w:szCs w:val="20"/>
          <w:color w:val="auto"/>
        </w:rPr>
      </w:pPr>
    </w:p>
    <w:p>
      <w:pPr>
        <w:jc w:val="both"/>
        <w:ind w:right="240" w:firstLine="440"/>
        <w:spacing w:after="0" w:line="261" w:lineRule="auto"/>
        <w:rPr>
          <w:sz w:val="20"/>
          <w:szCs w:val="20"/>
          <w:color w:val="auto"/>
        </w:rPr>
      </w:pPr>
      <w:r>
        <w:rPr>
          <w:rFonts w:ascii="Times New Roman" w:cs="Times New Roman" w:eastAsia="Times New Roman" w:hAnsi="Times New Roman"/>
          <w:sz w:val="18"/>
          <w:szCs w:val="18"/>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76" w:lineRule="exact"/>
        <w:rPr>
          <w:sz w:val="20"/>
          <w:szCs w:val="20"/>
          <w:color w:val="auto"/>
        </w:rPr>
      </w:pPr>
    </w:p>
    <w:p>
      <w:pPr>
        <w:ind w:left="44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Section 13.12</w:t>
      </w:r>
      <w:r>
        <w:rPr>
          <w:sz w:val="20"/>
          <w:szCs w:val="20"/>
          <w:color w:val="auto"/>
        </w:rPr>
        <w:tab/>
      </w:r>
      <w:r>
        <w:rPr>
          <w:rFonts w:ascii="Times New Roman" w:cs="Times New Roman" w:eastAsia="Times New Roman" w:hAnsi="Times New Roman"/>
          <w:sz w:val="17"/>
          <w:szCs w:val="17"/>
          <w:b w:val="1"/>
          <w:bCs w:val="1"/>
          <w:color w:val="auto"/>
        </w:rPr>
        <w:t>Compliance Certificates.</w:t>
      </w:r>
    </w:p>
    <w:p>
      <w:pPr>
        <w:spacing w:after="0" w:line="22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13.12,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7"/>
          <w:szCs w:val="17"/>
          <w:color w:val="auto"/>
        </w:rPr>
        <w:t>, the parties hereto have caused this Indenture to be duly executed all as of the day and year first above written.</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37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[TRUSTEE], as Trustee</w:t>
      </w:r>
    </w:p>
    <w:p>
      <w:pPr>
        <w:spacing w:after="0" w:line="24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040"/>
          </w:cols>
          <w:pgMar w:left="880" w:top="266" w:right="979" w:bottom="1440" w:gutter="0" w:footer="0" w:header="0"/>
        </w:sectPr>
      </w:pPr>
    </w:p>
    <w:bookmarkStart w:id="138" w:name="page139"/>
    <w:bookmarkEnd w:id="138"/>
    <w:tbl>
      <w:tblPr>
        <w:tblLayout w:type="fixed"/>
        <w:tblInd w:w="444" w:type="dxa"/>
        <w:tblCellMar>
          <w:top w:w="0" w:type="dxa"/>
          <w:left w:w="0" w:type="dxa"/>
          <w:bottom w:w="0" w:type="dxa"/>
          <w:right w:w="0" w:type="dxa"/>
        </w:tblCellMar>
      </w:tblPr>
      <w:tr>
        <w:trPr>
          <w:trHeight w:val="364"/>
        </w:trPr>
        <w:tc>
          <w:tcPr>
            <w:tcW w:w="3180" w:type="dxa"/>
            <w:vAlign w:val="bottom"/>
          </w:tcPr>
          <w:p>
            <w:pPr>
              <w:spacing w:after="0"/>
              <w:rPr>
                <w:sz w:val="24"/>
                <w:szCs w:val="24"/>
                <w:color w:val="auto"/>
              </w:rPr>
            </w:pPr>
          </w:p>
        </w:tc>
        <w:tc>
          <w:tcPr>
            <w:tcW w:w="694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CROSS-REFERENCE TABLE</w:t>
            </w:r>
            <w:r>
              <w:rPr>
                <w:rFonts w:ascii="Times New Roman" w:cs="Times New Roman" w:eastAsia="Times New Roman" w:hAnsi="Times New Roman"/>
                <w:sz w:val="26"/>
                <w:szCs w:val="26"/>
                <w:b w:val="1"/>
                <w:bCs w:val="1"/>
                <w:color w:val="auto"/>
                <w:vertAlign w:val="superscript"/>
              </w:rPr>
              <w:t>(2)</w:t>
            </w:r>
          </w:p>
        </w:tc>
      </w:tr>
      <w:tr>
        <w:trPr>
          <w:trHeight w:val="286"/>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Section of Trust Indenture Act of 1939, as Amended</w:t>
            </w:r>
          </w:p>
        </w:tc>
        <w:tc>
          <w:tcPr>
            <w:tcW w:w="57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Section of Indenture</w:t>
            </w:r>
          </w:p>
        </w:tc>
      </w:tr>
      <w:tr>
        <w:trPr>
          <w:trHeight w:val="203"/>
        </w:trPr>
        <w:tc>
          <w:tcPr>
            <w:tcW w:w="31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310(a)</w:t>
            </w:r>
          </w:p>
        </w:tc>
        <w:tc>
          <w:tcPr>
            <w:tcW w:w="57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7.09</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310(b)</w:t>
            </w:r>
          </w:p>
        </w:tc>
        <w:tc>
          <w:tcPr>
            <w:tcW w:w="6940" w:type="dxa"/>
            <w:vAlign w:val="bottom"/>
            <w:gridSpan w:val="2"/>
          </w:tcPr>
          <w:p>
            <w:pPr>
              <w:ind w:left="5700"/>
              <w:spacing w:after="0"/>
              <w:rPr>
                <w:sz w:val="20"/>
                <w:szCs w:val="20"/>
                <w:color w:val="auto"/>
              </w:rPr>
            </w:pPr>
            <w:r>
              <w:rPr>
                <w:rFonts w:ascii="Times New Roman" w:cs="Times New Roman" w:eastAsia="Times New Roman" w:hAnsi="Times New Roman"/>
                <w:sz w:val="18"/>
                <w:szCs w:val="18"/>
                <w:color w:val="auto"/>
              </w:rPr>
              <w:t>7.08</w:t>
            </w:r>
          </w:p>
        </w:tc>
      </w:tr>
      <w:tr>
        <w:trPr>
          <w:trHeight w:val="216"/>
        </w:trPr>
        <w:tc>
          <w:tcPr>
            <w:tcW w:w="318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ind w:left="570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310(c)</w:t>
            </w:r>
          </w:p>
        </w:tc>
        <w:tc>
          <w:tcPr>
            <w:tcW w:w="570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311(a)</w:t>
            </w:r>
          </w:p>
        </w:tc>
        <w:tc>
          <w:tcPr>
            <w:tcW w:w="6940" w:type="dxa"/>
            <w:vAlign w:val="bottom"/>
            <w:gridSpan w:val="2"/>
            <w:shd w:val="clear" w:color="auto" w:fill="CCEEFF"/>
          </w:tcPr>
          <w:p>
            <w:pPr>
              <w:ind w:left="5700"/>
              <w:spacing w:after="0"/>
              <w:rPr>
                <w:sz w:val="20"/>
                <w:szCs w:val="20"/>
                <w:color w:val="auto"/>
              </w:rPr>
            </w:pPr>
            <w:r>
              <w:rPr>
                <w:rFonts w:ascii="Times New Roman" w:cs="Times New Roman" w:eastAsia="Times New Roman" w:hAnsi="Times New Roman"/>
                <w:sz w:val="18"/>
                <w:szCs w:val="18"/>
                <w:color w:val="auto"/>
              </w:rPr>
              <w:t>7.13</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311(b)</w:t>
            </w:r>
          </w:p>
        </w:tc>
        <w:tc>
          <w:tcPr>
            <w:tcW w:w="6940" w:type="dxa"/>
            <w:vAlign w:val="bottom"/>
            <w:gridSpan w:val="2"/>
          </w:tcPr>
          <w:p>
            <w:pPr>
              <w:ind w:left="5700"/>
              <w:spacing w:after="0"/>
              <w:rPr>
                <w:sz w:val="20"/>
                <w:szCs w:val="20"/>
                <w:color w:val="auto"/>
              </w:rPr>
            </w:pPr>
            <w:r>
              <w:rPr>
                <w:rFonts w:ascii="Times New Roman" w:cs="Times New Roman" w:eastAsia="Times New Roman" w:hAnsi="Times New Roman"/>
                <w:sz w:val="18"/>
                <w:szCs w:val="18"/>
                <w:color w:val="auto"/>
              </w:rPr>
              <w:t>7.13</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311(c)</w:t>
            </w:r>
          </w:p>
        </w:tc>
        <w:tc>
          <w:tcPr>
            <w:tcW w:w="57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312(a)</w:t>
            </w:r>
          </w:p>
        </w:tc>
        <w:tc>
          <w:tcPr>
            <w:tcW w:w="6940" w:type="dxa"/>
            <w:vAlign w:val="bottom"/>
            <w:gridSpan w:val="2"/>
          </w:tcPr>
          <w:p>
            <w:pPr>
              <w:ind w:left="5700"/>
              <w:spacing w:after="0"/>
              <w:rPr>
                <w:sz w:val="20"/>
                <w:szCs w:val="20"/>
                <w:color w:val="auto"/>
              </w:rPr>
            </w:pPr>
            <w:r>
              <w:rPr>
                <w:rFonts w:ascii="Times New Roman" w:cs="Times New Roman" w:eastAsia="Times New Roman" w:hAnsi="Times New Roman"/>
                <w:sz w:val="18"/>
                <w:szCs w:val="18"/>
                <w:color w:val="auto"/>
              </w:rPr>
              <w:t>5.01</w:t>
            </w:r>
          </w:p>
        </w:tc>
      </w:tr>
      <w:tr>
        <w:trPr>
          <w:trHeight w:val="216"/>
        </w:trPr>
        <w:tc>
          <w:tcPr>
            <w:tcW w:w="318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ind w:left="5700"/>
              <w:spacing w:after="0"/>
              <w:rPr>
                <w:sz w:val="20"/>
                <w:szCs w:val="20"/>
                <w:color w:val="auto"/>
              </w:rPr>
            </w:pPr>
            <w:r>
              <w:rPr>
                <w:rFonts w:ascii="Times New Roman" w:cs="Times New Roman" w:eastAsia="Times New Roman" w:hAnsi="Times New Roman"/>
                <w:sz w:val="18"/>
                <w:szCs w:val="18"/>
                <w:color w:val="auto"/>
              </w:rPr>
              <w:t>5.02(1)</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312(b)</w:t>
            </w:r>
          </w:p>
        </w:tc>
        <w:tc>
          <w:tcPr>
            <w:tcW w:w="6940" w:type="dxa"/>
            <w:vAlign w:val="bottom"/>
            <w:gridSpan w:val="2"/>
          </w:tcPr>
          <w:p>
            <w:pPr>
              <w:ind w:left="5700"/>
              <w:spacing w:after="0"/>
              <w:rPr>
                <w:sz w:val="20"/>
                <w:szCs w:val="20"/>
                <w:color w:val="auto"/>
              </w:rPr>
            </w:pPr>
            <w:r>
              <w:rPr>
                <w:rFonts w:ascii="Times New Roman" w:cs="Times New Roman" w:eastAsia="Times New Roman" w:hAnsi="Times New Roman"/>
                <w:sz w:val="18"/>
                <w:szCs w:val="18"/>
                <w:color w:val="auto"/>
              </w:rPr>
              <w:t>5.02(3)</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312(c)</w:t>
            </w:r>
          </w:p>
        </w:tc>
        <w:tc>
          <w:tcPr>
            <w:tcW w:w="6940" w:type="dxa"/>
            <w:vAlign w:val="bottom"/>
            <w:gridSpan w:val="2"/>
            <w:shd w:val="clear" w:color="auto" w:fill="CCEEFF"/>
          </w:tcPr>
          <w:p>
            <w:pPr>
              <w:ind w:left="5700"/>
              <w:spacing w:after="0"/>
              <w:rPr>
                <w:sz w:val="20"/>
                <w:szCs w:val="20"/>
                <w:color w:val="auto"/>
              </w:rPr>
            </w:pPr>
            <w:r>
              <w:rPr>
                <w:rFonts w:ascii="Times New Roman" w:cs="Times New Roman" w:eastAsia="Times New Roman" w:hAnsi="Times New Roman"/>
                <w:sz w:val="18"/>
                <w:szCs w:val="18"/>
                <w:color w:val="auto"/>
              </w:rPr>
              <w:t>5.02(3)</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313(a)</w:t>
            </w:r>
          </w:p>
        </w:tc>
        <w:tc>
          <w:tcPr>
            <w:tcW w:w="6940" w:type="dxa"/>
            <w:vAlign w:val="bottom"/>
            <w:gridSpan w:val="2"/>
          </w:tcPr>
          <w:p>
            <w:pPr>
              <w:ind w:left="5700"/>
              <w:spacing w:after="0"/>
              <w:rPr>
                <w:sz w:val="20"/>
                <w:szCs w:val="20"/>
                <w:color w:val="auto"/>
              </w:rPr>
            </w:pPr>
            <w:r>
              <w:rPr>
                <w:rFonts w:ascii="Times New Roman" w:cs="Times New Roman" w:eastAsia="Times New Roman" w:hAnsi="Times New Roman"/>
                <w:sz w:val="18"/>
                <w:szCs w:val="18"/>
                <w:color w:val="auto"/>
              </w:rPr>
              <w:t>5.04(1)</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313(b)</w:t>
            </w:r>
          </w:p>
        </w:tc>
        <w:tc>
          <w:tcPr>
            <w:tcW w:w="6940" w:type="dxa"/>
            <w:vAlign w:val="bottom"/>
            <w:gridSpan w:val="2"/>
            <w:shd w:val="clear" w:color="auto" w:fill="CCEEFF"/>
          </w:tcPr>
          <w:p>
            <w:pPr>
              <w:ind w:left="5700"/>
              <w:spacing w:after="0"/>
              <w:rPr>
                <w:sz w:val="20"/>
                <w:szCs w:val="20"/>
                <w:color w:val="auto"/>
              </w:rPr>
            </w:pPr>
            <w:r>
              <w:rPr>
                <w:rFonts w:ascii="Times New Roman" w:cs="Times New Roman" w:eastAsia="Times New Roman" w:hAnsi="Times New Roman"/>
                <w:sz w:val="18"/>
                <w:szCs w:val="18"/>
                <w:color w:val="auto"/>
              </w:rPr>
              <w:t>5.04(2)</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313(c)</w:t>
            </w:r>
          </w:p>
        </w:tc>
        <w:tc>
          <w:tcPr>
            <w:tcW w:w="6940" w:type="dxa"/>
            <w:vAlign w:val="bottom"/>
            <w:gridSpan w:val="2"/>
          </w:tcPr>
          <w:p>
            <w:pPr>
              <w:ind w:left="5700"/>
              <w:spacing w:after="0"/>
              <w:rPr>
                <w:sz w:val="20"/>
                <w:szCs w:val="20"/>
                <w:color w:val="auto"/>
              </w:rPr>
            </w:pPr>
            <w:r>
              <w:rPr>
                <w:rFonts w:ascii="Times New Roman" w:cs="Times New Roman" w:eastAsia="Times New Roman" w:hAnsi="Times New Roman"/>
                <w:sz w:val="18"/>
                <w:szCs w:val="18"/>
                <w:color w:val="auto"/>
              </w:rPr>
              <w:t>5.04(1)</w:t>
            </w:r>
          </w:p>
        </w:tc>
      </w:tr>
      <w:tr>
        <w:trPr>
          <w:trHeight w:val="216"/>
        </w:trPr>
        <w:tc>
          <w:tcPr>
            <w:tcW w:w="318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ind w:left="5700"/>
              <w:spacing w:after="0"/>
              <w:rPr>
                <w:sz w:val="20"/>
                <w:szCs w:val="20"/>
                <w:color w:val="auto"/>
              </w:rPr>
            </w:pPr>
            <w:r>
              <w:rPr>
                <w:rFonts w:ascii="Times New Roman" w:cs="Times New Roman" w:eastAsia="Times New Roman" w:hAnsi="Times New Roman"/>
                <w:sz w:val="18"/>
                <w:szCs w:val="18"/>
                <w:color w:val="auto"/>
              </w:rPr>
              <w:t>5.04(2)</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313(d)</w:t>
            </w:r>
          </w:p>
        </w:tc>
        <w:tc>
          <w:tcPr>
            <w:tcW w:w="6940" w:type="dxa"/>
            <w:vAlign w:val="bottom"/>
            <w:gridSpan w:val="2"/>
          </w:tcPr>
          <w:p>
            <w:pPr>
              <w:ind w:left="5700"/>
              <w:spacing w:after="0"/>
              <w:rPr>
                <w:sz w:val="20"/>
                <w:szCs w:val="20"/>
                <w:color w:val="auto"/>
              </w:rPr>
            </w:pPr>
            <w:r>
              <w:rPr>
                <w:rFonts w:ascii="Times New Roman" w:cs="Times New Roman" w:eastAsia="Times New Roman" w:hAnsi="Times New Roman"/>
                <w:sz w:val="18"/>
                <w:szCs w:val="18"/>
                <w:color w:val="auto"/>
              </w:rPr>
              <w:t>5.04(3)</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314(a)</w:t>
            </w:r>
          </w:p>
        </w:tc>
        <w:tc>
          <w:tcPr>
            <w:tcW w:w="6940" w:type="dxa"/>
            <w:vAlign w:val="bottom"/>
            <w:gridSpan w:val="2"/>
            <w:shd w:val="clear" w:color="auto" w:fill="CCEEFF"/>
          </w:tcPr>
          <w:p>
            <w:pPr>
              <w:ind w:left="5700"/>
              <w:spacing w:after="0"/>
              <w:rPr>
                <w:sz w:val="20"/>
                <w:szCs w:val="20"/>
                <w:color w:val="auto"/>
              </w:rPr>
            </w:pPr>
            <w:r>
              <w:rPr>
                <w:rFonts w:ascii="Times New Roman" w:cs="Times New Roman" w:eastAsia="Times New Roman" w:hAnsi="Times New Roman"/>
                <w:sz w:val="18"/>
                <w:szCs w:val="18"/>
                <w:color w:val="auto"/>
              </w:rPr>
              <w:t>5.03</w:t>
            </w:r>
          </w:p>
        </w:tc>
      </w:tr>
      <w:tr>
        <w:trPr>
          <w:trHeight w:val="216"/>
        </w:trPr>
        <w:tc>
          <w:tcPr>
            <w:tcW w:w="3180" w:type="dxa"/>
            <w:vAlign w:val="bottom"/>
          </w:tcPr>
          <w:p>
            <w:pPr>
              <w:spacing w:after="0"/>
              <w:rPr>
                <w:sz w:val="18"/>
                <w:szCs w:val="18"/>
                <w:color w:val="auto"/>
              </w:rPr>
            </w:pPr>
          </w:p>
        </w:tc>
        <w:tc>
          <w:tcPr>
            <w:tcW w:w="6940" w:type="dxa"/>
            <w:vAlign w:val="bottom"/>
            <w:gridSpan w:val="2"/>
          </w:tcPr>
          <w:p>
            <w:pPr>
              <w:ind w:left="5700"/>
              <w:spacing w:after="0"/>
              <w:rPr>
                <w:sz w:val="20"/>
                <w:szCs w:val="20"/>
                <w:color w:val="auto"/>
              </w:rPr>
            </w:pPr>
            <w:r>
              <w:rPr>
                <w:rFonts w:ascii="Times New Roman" w:cs="Times New Roman" w:eastAsia="Times New Roman" w:hAnsi="Times New Roman"/>
                <w:sz w:val="18"/>
                <w:szCs w:val="18"/>
                <w:color w:val="auto"/>
              </w:rPr>
              <w:t>13.12</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314(b)</w:t>
            </w:r>
          </w:p>
        </w:tc>
        <w:tc>
          <w:tcPr>
            <w:tcW w:w="57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314(c)</w:t>
            </w:r>
          </w:p>
        </w:tc>
        <w:tc>
          <w:tcPr>
            <w:tcW w:w="6940" w:type="dxa"/>
            <w:vAlign w:val="bottom"/>
            <w:gridSpan w:val="2"/>
          </w:tcPr>
          <w:p>
            <w:pPr>
              <w:ind w:left="5700"/>
              <w:spacing w:after="0"/>
              <w:rPr>
                <w:sz w:val="20"/>
                <w:szCs w:val="20"/>
                <w:color w:val="auto"/>
              </w:rPr>
            </w:pPr>
            <w:r>
              <w:rPr>
                <w:rFonts w:ascii="Times New Roman" w:cs="Times New Roman" w:eastAsia="Times New Roman" w:hAnsi="Times New Roman"/>
                <w:sz w:val="18"/>
                <w:szCs w:val="18"/>
                <w:color w:val="auto"/>
              </w:rPr>
              <w:t>13.07(1)</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314(d)</w:t>
            </w:r>
          </w:p>
        </w:tc>
        <w:tc>
          <w:tcPr>
            <w:tcW w:w="57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314(e)</w:t>
            </w:r>
          </w:p>
        </w:tc>
        <w:tc>
          <w:tcPr>
            <w:tcW w:w="6940" w:type="dxa"/>
            <w:vAlign w:val="bottom"/>
            <w:gridSpan w:val="2"/>
          </w:tcPr>
          <w:p>
            <w:pPr>
              <w:ind w:left="5700"/>
              <w:spacing w:after="0"/>
              <w:rPr>
                <w:sz w:val="20"/>
                <w:szCs w:val="20"/>
                <w:color w:val="auto"/>
              </w:rPr>
            </w:pPr>
            <w:r>
              <w:rPr>
                <w:rFonts w:ascii="Times New Roman" w:cs="Times New Roman" w:eastAsia="Times New Roman" w:hAnsi="Times New Roman"/>
                <w:sz w:val="18"/>
                <w:szCs w:val="18"/>
                <w:color w:val="auto"/>
              </w:rPr>
              <w:t>13.07(2)</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314(f)</w:t>
            </w:r>
          </w:p>
        </w:tc>
        <w:tc>
          <w:tcPr>
            <w:tcW w:w="57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315(a)</w:t>
            </w:r>
          </w:p>
        </w:tc>
        <w:tc>
          <w:tcPr>
            <w:tcW w:w="6940" w:type="dxa"/>
            <w:vAlign w:val="bottom"/>
            <w:gridSpan w:val="2"/>
          </w:tcPr>
          <w:p>
            <w:pPr>
              <w:ind w:left="5700"/>
              <w:spacing w:after="0"/>
              <w:rPr>
                <w:sz w:val="20"/>
                <w:szCs w:val="20"/>
                <w:color w:val="auto"/>
              </w:rPr>
            </w:pPr>
            <w:r>
              <w:rPr>
                <w:rFonts w:ascii="Times New Roman" w:cs="Times New Roman" w:eastAsia="Times New Roman" w:hAnsi="Times New Roman"/>
                <w:sz w:val="18"/>
                <w:szCs w:val="18"/>
                <w:color w:val="auto"/>
              </w:rPr>
              <w:t>7.01(1)</w:t>
            </w:r>
          </w:p>
        </w:tc>
      </w:tr>
      <w:tr>
        <w:trPr>
          <w:trHeight w:val="216"/>
        </w:trPr>
        <w:tc>
          <w:tcPr>
            <w:tcW w:w="318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ind w:left="5700"/>
              <w:spacing w:after="0"/>
              <w:rPr>
                <w:sz w:val="20"/>
                <w:szCs w:val="20"/>
                <w:color w:val="auto"/>
              </w:rPr>
            </w:pPr>
            <w:r>
              <w:rPr>
                <w:rFonts w:ascii="Times New Roman" w:cs="Times New Roman" w:eastAsia="Times New Roman" w:hAnsi="Times New Roman"/>
                <w:sz w:val="18"/>
                <w:szCs w:val="18"/>
                <w:color w:val="auto"/>
              </w:rPr>
              <w:t>7.01(2)</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315(b)</w:t>
            </w:r>
          </w:p>
        </w:tc>
        <w:tc>
          <w:tcPr>
            <w:tcW w:w="6940" w:type="dxa"/>
            <w:vAlign w:val="bottom"/>
            <w:gridSpan w:val="2"/>
          </w:tcPr>
          <w:p>
            <w:pPr>
              <w:ind w:left="5700"/>
              <w:spacing w:after="0"/>
              <w:rPr>
                <w:sz w:val="20"/>
                <w:szCs w:val="20"/>
                <w:color w:val="auto"/>
              </w:rPr>
            </w:pPr>
            <w:r>
              <w:rPr>
                <w:rFonts w:ascii="Times New Roman" w:cs="Times New Roman" w:eastAsia="Times New Roman" w:hAnsi="Times New Roman"/>
                <w:sz w:val="18"/>
                <w:szCs w:val="18"/>
                <w:color w:val="auto"/>
              </w:rPr>
              <w:t>7.14</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315(c)</w:t>
            </w:r>
          </w:p>
        </w:tc>
        <w:tc>
          <w:tcPr>
            <w:tcW w:w="6940" w:type="dxa"/>
            <w:vAlign w:val="bottom"/>
            <w:gridSpan w:val="2"/>
            <w:shd w:val="clear" w:color="auto" w:fill="CCEEFF"/>
          </w:tcPr>
          <w:p>
            <w:pPr>
              <w:ind w:left="5700"/>
              <w:spacing w:after="0"/>
              <w:rPr>
                <w:sz w:val="20"/>
                <w:szCs w:val="20"/>
                <w:color w:val="auto"/>
              </w:rPr>
            </w:pPr>
            <w:r>
              <w:rPr>
                <w:rFonts w:ascii="Times New Roman" w:cs="Times New Roman" w:eastAsia="Times New Roman" w:hAnsi="Times New Roman"/>
                <w:sz w:val="18"/>
                <w:szCs w:val="18"/>
                <w:color w:val="auto"/>
              </w:rPr>
              <w:t>7.01</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315(d)</w:t>
            </w:r>
          </w:p>
        </w:tc>
        <w:tc>
          <w:tcPr>
            <w:tcW w:w="6940" w:type="dxa"/>
            <w:vAlign w:val="bottom"/>
            <w:gridSpan w:val="2"/>
          </w:tcPr>
          <w:p>
            <w:pPr>
              <w:ind w:left="5700"/>
              <w:spacing w:after="0"/>
              <w:rPr>
                <w:sz w:val="20"/>
                <w:szCs w:val="20"/>
                <w:color w:val="auto"/>
              </w:rPr>
            </w:pPr>
            <w:r>
              <w:rPr>
                <w:rFonts w:ascii="Times New Roman" w:cs="Times New Roman" w:eastAsia="Times New Roman" w:hAnsi="Times New Roman"/>
                <w:sz w:val="18"/>
                <w:szCs w:val="18"/>
                <w:color w:val="auto"/>
              </w:rPr>
              <w:t>7.01(2)</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315(e)</w:t>
            </w:r>
          </w:p>
        </w:tc>
        <w:tc>
          <w:tcPr>
            <w:tcW w:w="6940" w:type="dxa"/>
            <w:vAlign w:val="bottom"/>
            <w:gridSpan w:val="2"/>
            <w:shd w:val="clear" w:color="auto" w:fill="CCEEFF"/>
          </w:tcPr>
          <w:p>
            <w:pPr>
              <w:ind w:left="5700"/>
              <w:spacing w:after="0"/>
              <w:rPr>
                <w:sz w:val="20"/>
                <w:szCs w:val="20"/>
                <w:color w:val="auto"/>
              </w:rPr>
            </w:pPr>
            <w:r>
              <w:rPr>
                <w:rFonts w:ascii="Times New Roman" w:cs="Times New Roman" w:eastAsia="Times New Roman" w:hAnsi="Times New Roman"/>
                <w:sz w:val="18"/>
                <w:szCs w:val="18"/>
                <w:color w:val="auto"/>
              </w:rPr>
              <w:t>6.07</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316(a)</w:t>
            </w:r>
          </w:p>
        </w:tc>
        <w:tc>
          <w:tcPr>
            <w:tcW w:w="6940" w:type="dxa"/>
            <w:vAlign w:val="bottom"/>
            <w:gridSpan w:val="2"/>
          </w:tcPr>
          <w:p>
            <w:pPr>
              <w:ind w:left="5700"/>
              <w:spacing w:after="0"/>
              <w:rPr>
                <w:sz w:val="20"/>
                <w:szCs w:val="20"/>
                <w:color w:val="auto"/>
              </w:rPr>
            </w:pPr>
            <w:r>
              <w:rPr>
                <w:rFonts w:ascii="Times New Roman" w:cs="Times New Roman" w:eastAsia="Times New Roman" w:hAnsi="Times New Roman"/>
                <w:sz w:val="18"/>
                <w:szCs w:val="18"/>
                <w:color w:val="auto"/>
              </w:rPr>
              <w:t>6.06</w:t>
            </w:r>
          </w:p>
        </w:tc>
      </w:tr>
      <w:tr>
        <w:trPr>
          <w:trHeight w:val="216"/>
        </w:trPr>
        <w:tc>
          <w:tcPr>
            <w:tcW w:w="3180" w:type="dxa"/>
            <w:vAlign w:val="bottom"/>
            <w:shd w:val="clear" w:color="auto" w:fill="CCEEFF"/>
          </w:tcPr>
          <w:p>
            <w:pPr>
              <w:spacing w:after="0"/>
              <w:rPr>
                <w:sz w:val="18"/>
                <w:szCs w:val="18"/>
                <w:color w:val="auto"/>
              </w:rPr>
            </w:pPr>
          </w:p>
        </w:tc>
        <w:tc>
          <w:tcPr>
            <w:tcW w:w="6940" w:type="dxa"/>
            <w:vAlign w:val="bottom"/>
            <w:gridSpan w:val="2"/>
            <w:shd w:val="clear" w:color="auto" w:fill="CCEEFF"/>
          </w:tcPr>
          <w:p>
            <w:pPr>
              <w:ind w:left="5700"/>
              <w:spacing w:after="0"/>
              <w:rPr>
                <w:sz w:val="20"/>
                <w:szCs w:val="20"/>
                <w:color w:val="auto"/>
              </w:rPr>
            </w:pPr>
            <w:r>
              <w:rPr>
                <w:rFonts w:ascii="Times New Roman" w:cs="Times New Roman" w:eastAsia="Times New Roman" w:hAnsi="Times New Roman"/>
                <w:sz w:val="18"/>
                <w:szCs w:val="18"/>
                <w:color w:val="auto"/>
              </w:rPr>
              <w:t>8.04</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316(b)</w:t>
            </w:r>
          </w:p>
        </w:tc>
        <w:tc>
          <w:tcPr>
            <w:tcW w:w="6940" w:type="dxa"/>
            <w:vAlign w:val="bottom"/>
            <w:gridSpan w:val="2"/>
          </w:tcPr>
          <w:p>
            <w:pPr>
              <w:ind w:left="5700"/>
              <w:spacing w:after="0"/>
              <w:rPr>
                <w:sz w:val="20"/>
                <w:szCs w:val="20"/>
                <w:color w:val="auto"/>
              </w:rPr>
            </w:pPr>
            <w:r>
              <w:rPr>
                <w:rFonts w:ascii="Times New Roman" w:cs="Times New Roman" w:eastAsia="Times New Roman" w:hAnsi="Times New Roman"/>
                <w:sz w:val="18"/>
                <w:szCs w:val="18"/>
                <w:color w:val="auto"/>
              </w:rPr>
              <w:t>6.04</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316(c)</w:t>
            </w:r>
          </w:p>
        </w:tc>
        <w:tc>
          <w:tcPr>
            <w:tcW w:w="6940" w:type="dxa"/>
            <w:vAlign w:val="bottom"/>
            <w:gridSpan w:val="2"/>
            <w:shd w:val="clear" w:color="auto" w:fill="CCEEFF"/>
          </w:tcPr>
          <w:p>
            <w:pPr>
              <w:ind w:left="5700"/>
              <w:spacing w:after="0"/>
              <w:rPr>
                <w:sz w:val="20"/>
                <w:szCs w:val="20"/>
                <w:color w:val="auto"/>
              </w:rPr>
            </w:pPr>
            <w:r>
              <w:rPr>
                <w:rFonts w:ascii="Times New Roman" w:cs="Times New Roman" w:eastAsia="Times New Roman" w:hAnsi="Times New Roman"/>
                <w:sz w:val="18"/>
                <w:szCs w:val="18"/>
                <w:color w:val="auto"/>
              </w:rPr>
              <w:t>8.01</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317(a)</w:t>
            </w:r>
          </w:p>
        </w:tc>
        <w:tc>
          <w:tcPr>
            <w:tcW w:w="6940" w:type="dxa"/>
            <w:vAlign w:val="bottom"/>
            <w:gridSpan w:val="2"/>
          </w:tcPr>
          <w:p>
            <w:pPr>
              <w:ind w:left="5700"/>
              <w:spacing w:after="0"/>
              <w:rPr>
                <w:sz w:val="20"/>
                <w:szCs w:val="20"/>
                <w:color w:val="auto"/>
              </w:rPr>
            </w:pPr>
            <w:r>
              <w:rPr>
                <w:rFonts w:ascii="Times New Roman" w:cs="Times New Roman" w:eastAsia="Times New Roman" w:hAnsi="Times New Roman"/>
                <w:sz w:val="18"/>
                <w:szCs w:val="18"/>
                <w:color w:val="auto"/>
              </w:rPr>
              <w:t>6.02</w:t>
            </w: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317(b)</w:t>
            </w:r>
          </w:p>
        </w:tc>
        <w:tc>
          <w:tcPr>
            <w:tcW w:w="6940" w:type="dxa"/>
            <w:vAlign w:val="bottom"/>
            <w:gridSpan w:val="2"/>
            <w:shd w:val="clear" w:color="auto" w:fill="CCEEFF"/>
          </w:tcPr>
          <w:p>
            <w:pPr>
              <w:ind w:left="5700"/>
              <w:spacing w:after="0"/>
              <w:rPr>
                <w:sz w:val="20"/>
                <w:szCs w:val="20"/>
                <w:color w:val="auto"/>
              </w:rPr>
            </w:pPr>
            <w:r>
              <w:rPr>
                <w:rFonts w:ascii="Times New Roman" w:cs="Times New Roman" w:eastAsia="Times New Roman" w:hAnsi="Times New Roman"/>
                <w:sz w:val="18"/>
                <w:szCs w:val="18"/>
                <w:color w:val="auto"/>
              </w:rPr>
              <w:t>4.03</w:t>
            </w:r>
          </w:p>
        </w:tc>
      </w:tr>
      <w:tr>
        <w:trPr>
          <w:trHeight w:val="23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318(a)</w:t>
            </w:r>
          </w:p>
        </w:tc>
        <w:tc>
          <w:tcPr>
            <w:tcW w:w="6940" w:type="dxa"/>
            <w:vAlign w:val="bottom"/>
            <w:gridSpan w:val="2"/>
          </w:tcPr>
          <w:p>
            <w:pPr>
              <w:ind w:left="5700"/>
              <w:spacing w:after="0"/>
              <w:rPr>
                <w:sz w:val="20"/>
                <w:szCs w:val="20"/>
                <w:color w:val="auto"/>
              </w:rPr>
            </w:pPr>
            <w:r>
              <w:rPr>
                <w:rFonts w:ascii="Times New Roman" w:cs="Times New Roman" w:eastAsia="Times New Roman" w:hAnsi="Times New Roman"/>
                <w:sz w:val="18"/>
                <w:szCs w:val="18"/>
                <w:color w:val="auto"/>
              </w:rPr>
              <w:t>13.09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2" w:lineRule="exact"/>
        <w:rPr>
          <w:sz w:val="20"/>
          <w:szCs w:val="20"/>
          <w:color w:val="auto"/>
        </w:rPr>
      </w:pPr>
    </w:p>
    <w:p>
      <w:pPr>
        <w:ind w:left="224" w:right="140" w:hanging="224"/>
        <w:spacing w:after="0" w:line="208" w:lineRule="auto"/>
        <w:tabs>
          <w:tab w:leader="none" w:pos="224" w:val="left"/>
        </w:tabs>
        <w:numPr>
          <w:ilvl w:val="0"/>
          <w:numId w:val="14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This Cross-Reference Table does not constitute part of the Indenture and shall not have any bearing on the interpretation of any of its terms or provisions.</w:t>
      </w:r>
    </w:p>
    <w:p>
      <w:pPr>
        <w:spacing w:after="0" w:line="132" w:lineRule="exact"/>
        <w:rPr>
          <w:sz w:val="20"/>
          <w:szCs w:val="20"/>
          <w:color w:val="auto"/>
        </w:rPr>
      </w:pPr>
    </w:p>
    <w:p>
      <w:pPr>
        <w:jc w:val="center"/>
        <w:ind w:right="-44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564"/>
          </w:cols>
          <w:pgMar w:left="436" w:top="266" w:right="89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TANGO THERAPEUTICS, INC.</w:t>
      </w:r>
    </w:p>
    <w:p>
      <w:pPr>
        <w:spacing w:after="0" w:line="4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20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3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237490</wp:posOffset>
            </wp:positionV>
            <wp:extent cx="14744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Dated as of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202[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242570</wp:posOffset>
            </wp:positionV>
            <wp:extent cx="147447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Subordinated Debt Securities</w:t>
      </w:r>
    </w:p>
    <w:p>
      <w:pPr>
        <w:sectPr>
          <w:pgSz w:w="11900" w:h="16838" w:orient="portrait"/>
          <w:cols w:equalWidth="0" w:num="1">
            <w:col w:w="10020"/>
          </w:cols>
          <w:pgMar w:left="1440" w:top="117" w:right="439" w:bottom="1440" w:gutter="0" w:footer="0" w:header="0"/>
        </w:sectPr>
      </w:pPr>
    </w:p>
    <w:bookmarkStart w:id="140" w:name="page141"/>
    <w:bookmarkEnd w:id="140"/>
    <w:tbl>
      <w:tblPr>
        <w:tblLayout w:type="fixed"/>
        <w:tblInd w:w="4" w:type="dxa"/>
        <w:tblCellMar>
          <w:top w:w="0" w:type="dxa"/>
          <w:left w:w="0" w:type="dxa"/>
          <w:bottom w:w="0" w:type="dxa"/>
          <w:right w:w="0" w:type="dxa"/>
        </w:tblCellMar>
      </w:tblPr>
      <w:tr>
        <w:trPr>
          <w:trHeight w:val="299"/>
        </w:trPr>
        <w:tc>
          <w:tcPr>
            <w:tcW w:w="13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r>
              <w:rPr>
                <w:rFonts w:ascii="Times New Roman" w:cs="Times New Roman" w:eastAsia="Times New Roman" w:hAnsi="Times New Roman"/>
                <w:sz w:val="26"/>
                <w:szCs w:val="26"/>
                <w:b w:val="1"/>
                <w:bCs w:val="1"/>
                <w:color w:val="auto"/>
                <w:vertAlign w:val="superscript"/>
              </w:rPr>
              <w:t>(1)</w:t>
            </w:r>
          </w:p>
        </w:tc>
        <w:tc>
          <w:tcPr>
            <w:tcW w:w="1360" w:type="dxa"/>
            <w:vAlign w:val="bottom"/>
          </w:tcPr>
          <w:p>
            <w:pPr>
              <w:spacing w:after="0"/>
              <w:rPr>
                <w:sz w:val="24"/>
                <w:szCs w:val="24"/>
                <w:color w:val="auto"/>
              </w:rPr>
            </w:pPr>
          </w:p>
        </w:tc>
      </w:tr>
      <w:tr>
        <w:trPr>
          <w:trHeight w:val="480"/>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 DEFINITIONS</w:t>
            </w:r>
          </w:p>
        </w:tc>
        <w:tc>
          <w:tcPr>
            <w:tcW w:w="1920" w:type="dxa"/>
            <w:vAlign w:val="bottom"/>
            <w:tcBorders>
              <w:top w:val="single" w:sz="8" w:color="auto"/>
            </w:tcBorders>
          </w:tcPr>
          <w:p>
            <w:pPr>
              <w:spacing w:after="0"/>
              <w:rPr>
                <w:sz w:val="24"/>
                <w:szCs w:val="24"/>
                <w:color w:val="auto"/>
              </w:rPr>
            </w:pPr>
          </w:p>
        </w:tc>
        <w:tc>
          <w:tcPr>
            <w:tcW w:w="32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9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1.01   Definitions of Terms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9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2 ISSUE, DESCRIPTION, TERMS, EXECUTION, REGISTRATION AND EXCHANGE OF SECURITIES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06"/>
        </w:trPr>
        <w:tc>
          <w:tcPr>
            <w:tcW w:w="9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2.01   Designation and Terms of Securities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9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2.02   Form of Securities and Trustee’s Certificate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9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2.03   Denominations: Provisions for Payment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9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2.04   Execution and Authentications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9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2.05   Registration of Transfer and Exchange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2.06</w:t>
            </w:r>
          </w:p>
        </w:tc>
        <w:tc>
          <w:tcPr>
            <w:tcW w:w="82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Temporary Securities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9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2.07   Mutilated, Destroyed, Lost or Stolen Securities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2.08</w:t>
            </w:r>
          </w:p>
        </w:tc>
        <w:tc>
          <w:tcPr>
            <w:tcW w:w="82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Cancellation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9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2.09   Benefits of Indenture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2.10</w:t>
            </w:r>
          </w:p>
        </w:tc>
        <w:tc>
          <w:tcPr>
            <w:tcW w:w="82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Authenticating Agent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2.11</w:t>
            </w:r>
          </w:p>
        </w:tc>
        <w:tc>
          <w:tcPr>
            <w:tcW w:w="82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Global Securities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9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3 REDEMPTION OF SECURITIES AND SINKING FUND PROVISIONS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0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3.01</w:t>
            </w:r>
          </w:p>
        </w:tc>
        <w:tc>
          <w:tcPr>
            <w:tcW w:w="82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Redemption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9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3.02   Notice of Redemption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9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3.03   Payment Upon Redemption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3.04</w:t>
            </w:r>
          </w:p>
        </w:tc>
        <w:tc>
          <w:tcPr>
            <w:tcW w:w="82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Sinking Fund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9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3.05   Satisfaction of Sinking Fund Payments with Securities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9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3.06   Redemption of Securities for Sinking Fund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9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4 COVENANTS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06"/>
        </w:trPr>
        <w:tc>
          <w:tcPr>
            <w:tcW w:w="9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4.01   Payment of Principal, Premium and Interest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9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4.02   Maintenance of Office or Agency</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4.03</w:t>
            </w:r>
          </w:p>
        </w:tc>
        <w:tc>
          <w:tcPr>
            <w:tcW w:w="82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Paying Agents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9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4.04   Appointment to Fill Vacancy in Office of Trustee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9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4.05   Compliance with Consolidation Provisions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9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5 SECURITYHOLDERS’ LISTS AND REPORTS BY THE COMPANY AND THE TRUSTEE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06"/>
        </w:trPr>
        <w:tc>
          <w:tcPr>
            <w:tcW w:w="9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5.01   Company to Furnish Trustee Names and Addresses of Securityholders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9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5.02   Preservation Of Information; Communications With Securityholders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9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5.03   Reports by the Company</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9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5.04   Reports by the Trustee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9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6 REMEDIES OF THE TRUSTEE AND SECURITYHOLDERS ON EVENT OF DEFAULT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06"/>
        </w:trPr>
        <w:tc>
          <w:tcPr>
            <w:tcW w:w="9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6.01   Events of Default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9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6.02   Collection of Indebtedness and Suits for Enforcement by Trustee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9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6.03   Application of Moneys Collected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9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6.04   Limitation on Suits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9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6.05   Rights and Remedies Cumulative; Delay or Omission Not Waiver</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9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6.06   Control by Securityholders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9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6.07   Undertaking to Pay Costs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9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Article 7 CONCERNING THE TRUSTEE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06"/>
        </w:trPr>
        <w:tc>
          <w:tcPr>
            <w:tcW w:w="9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7.01   Certain Duties and Responsibilities of Trustee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96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Section 7.02   Certain Rights of Trustee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424" w:right="680" w:hanging="424"/>
        <w:spacing w:after="0" w:line="208" w:lineRule="auto"/>
        <w:tabs>
          <w:tab w:leader="none" w:pos="424" w:val="left"/>
        </w:tabs>
        <w:numPr>
          <w:ilvl w:val="0"/>
          <w:numId w:val="14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This Table of Contents does not constitute part of the Indenture and shall not have any bearing on the interpretation of any of its terms or provisions.</w:t>
      </w:r>
    </w:p>
    <w:p>
      <w:pPr>
        <w:spacing w:after="0" w:line="13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4"/>
          </w:cols>
          <w:pgMar w:left="436" w:top="164" w:right="49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7.03</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Trustee Not Responsible for Recitals or Issuance or Securities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7.04</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May Hold Securities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7.05</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Moneys Held in Trust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7.06</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Compensation and Reimbursement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7.07</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Reliance on Officer’s Certificate</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7.08</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Disqualification; Conflicting Interests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7.09</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Trustee Required; Eligibility</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7.10</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Resignation and Removal; Appointment of Successor</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7.11</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Acceptance of Appointment By Successor</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7.12</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Merger, Conversion, Consolidation or Succession to Business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7.13</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Preferential Collection of Claims Against the Company</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7.14</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 of Default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8 CONCERNING THE SECURITYHOLDERS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0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8.01</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Evidence of Action by Securityholders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8.02</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Proof of Execution by Securityholders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8.03</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Who May be Deemed Owners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8.04</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Certain Securities Owned by Company Disregarded</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8.05</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Actions Binding on Future Securityholders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24"/>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9 SUPPLEMENTAL INDENTURES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0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9.01</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Supplemental Indentures Without the Consent of Securityholders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9.02</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Supplemental Indentures With Consent of Securityholders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9.03</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 of Supplemental Indentures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9.04</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Securities Affected by Supplemental Indentures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9.05</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Execution of Supplemental Indentures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24"/>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10 SUCCESSOR ENTITY</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0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10.01</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Company May Consolidate, Etc.</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10.02</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Successor Entity Substituted</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24"/>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11 SATISFACTION AND DISCHARGE</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0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11.01</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Satisfaction and Discharge of Indenture</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11.02</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Discharge of Obligations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11.03</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Deposited Moneys to be Held in Trust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11.04</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 of Moneys Held by Paying Agents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11.05</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Repayment to Company</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12 IMMUNITY OF INCORPORATORS, STOCKHOLDERS, OFFICERS AND DIRECTORS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12.01</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Recourse</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13 MISCELLANEOUS PROVISIONS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0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13.01</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 on Successors and Assigns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13.02</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Actions by Successor</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13.03</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Surrender of Company Powers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13.04</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13.05</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Governing Law</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13.06</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Treatment of Securities as Debt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13.07</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Certificates and Opinions as to Conditions Precedent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13.08</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Payments on Business Days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13.09</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Conflict with Trust Indenture Act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13.10</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Counterparts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13.11</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Separability</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13.12</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Compliance Certificates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14 SUBORDINATION OF SECURITIES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2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14.01</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Subordination Terms.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65"/>
        </w:trPr>
        <w:tc>
          <w:tcPr>
            <w:tcW w:w="1440" w:type="dxa"/>
            <w:vAlign w:val="bottom"/>
          </w:tcPr>
          <w:p>
            <w:pPr>
              <w:spacing w:after="0"/>
              <w:rPr>
                <w:sz w:val="24"/>
                <w:szCs w:val="24"/>
                <w:color w:val="auto"/>
              </w:rPr>
            </w:pPr>
          </w:p>
        </w:tc>
        <w:tc>
          <w:tcPr>
            <w:tcW w:w="7660" w:type="dxa"/>
            <w:vAlign w:val="bottom"/>
          </w:tcPr>
          <w:p>
            <w:pPr>
              <w:ind w:left="4020"/>
              <w:spacing w:after="0"/>
              <w:rPr>
                <w:sz w:val="20"/>
                <w:szCs w:val="20"/>
                <w:color w:val="auto"/>
              </w:rPr>
            </w:pPr>
            <w:r>
              <w:rPr>
                <w:rFonts w:ascii="Times New Roman" w:cs="Times New Roman" w:eastAsia="Times New Roman" w:hAnsi="Times New Roman"/>
                <w:sz w:val="18"/>
                <w:szCs w:val="18"/>
                <w:color w:val="auto"/>
              </w:rPr>
              <w:t>ii</w:t>
            </w:r>
          </w:p>
        </w:tc>
        <w:tc>
          <w:tcPr>
            <w:tcW w:w="18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42" w:name="page143"/>
    <w:bookmarkEnd w:id="14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INDENTURE</w:t>
      </w:r>
    </w:p>
    <w:p>
      <w:pPr>
        <w:spacing w:after="0" w:line="225"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dated as of [●], 202 , among</w:t>
      </w:r>
      <w:r>
        <w:rPr>
          <w:rFonts w:ascii="Times New Roman" w:cs="Times New Roman" w:eastAsia="Times New Roman" w:hAnsi="Times New Roman"/>
          <w:sz w:val="18"/>
          <w:szCs w:val="18"/>
          <w:b w:val="1"/>
          <w:bCs w:val="1"/>
          <w:color w:val="auto"/>
        </w:rPr>
        <w:t xml:space="preserve"> TANGO THERAPEUTICS, INC.</w:t>
      </w:r>
      <w:r>
        <w:rPr>
          <w:rFonts w:ascii="Times New Roman" w:cs="Times New Roman" w:eastAsia="Times New Roman" w:hAnsi="Times New Roman"/>
          <w:sz w:val="18"/>
          <w:szCs w:val="18"/>
          <w:color w:val="auto"/>
        </w:rPr>
        <w:t>, a Delaware corporation (the “Company”), and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trustee (the “Trustee”):</w:t>
      </w:r>
    </w:p>
    <w:p>
      <w:pPr>
        <w:spacing w:after="0" w:line="47"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for its lawful corporate purposes, the Company has duly authorized the execution and delivery of this Indenture to provide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of subordinated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spacing w:after="0" w:line="171"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to provide the terms and conditions upon which the Securities are to be authenticated, issued and delivered, the Company has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the execution of this Indenture; and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all things necessary to make this Indenture a valid agreement of the Company, in accordance with its terms, have been done.</w:t>
      </w:r>
    </w:p>
    <w:p>
      <w:pPr>
        <w:spacing w:after="0" w:line="225"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purchase of the Securities by the holders thereof, it is mutually covenanted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agreed as follows for the equal and ratable benefit of the holders of Securities: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1.01</w:t>
      </w:r>
      <w:r>
        <w:rPr>
          <w:sz w:val="20"/>
          <w:szCs w:val="20"/>
          <w:color w:val="auto"/>
        </w:rPr>
        <w:tab/>
      </w:r>
      <w:r>
        <w:rPr>
          <w:rFonts w:ascii="Times New Roman" w:cs="Times New Roman" w:eastAsia="Times New Roman" w:hAnsi="Times New Roman"/>
          <w:sz w:val="17"/>
          <w:szCs w:val="17"/>
          <w:b w:val="1"/>
          <w:bCs w:val="1"/>
          <w:color w:val="auto"/>
        </w:rPr>
        <w:t>Definitions of Terms.</w:t>
      </w:r>
    </w:p>
    <w:p>
      <w:pPr>
        <w:spacing w:after="0" w:line="229"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183"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Authenticating Agent</w:t>
      </w:r>
      <w:r>
        <w:rPr>
          <w:rFonts w:ascii="Times New Roman" w:cs="Times New Roman" w:eastAsia="Times New Roman" w:hAnsi="Times New Roman"/>
          <w:sz w:val="18"/>
          <w:szCs w:val="18"/>
          <w:color w:val="auto"/>
        </w:rPr>
        <w:t>” means an authenticating agent with respect to all or any of the series of Securities appointed by the Trustee pursuant to Section 2.10.</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Bankruptcy Law</w:t>
      </w:r>
      <w:r>
        <w:rPr>
          <w:rFonts w:ascii="Times New Roman" w:cs="Times New Roman" w:eastAsia="Times New Roman" w:hAnsi="Times New Roman"/>
          <w:sz w:val="18"/>
          <w:szCs w:val="18"/>
          <w:color w:val="auto"/>
        </w:rPr>
        <w:t>” means Title 11, U.S. Code, or any similar federal or state law for the relief of debtors.</w:t>
      </w:r>
    </w:p>
    <w:p>
      <w:pPr>
        <w:spacing w:after="0" w:line="225"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 of Directors</w:t>
      </w:r>
      <w:r>
        <w:rPr>
          <w:rFonts w:ascii="Times New Roman" w:cs="Times New Roman" w:eastAsia="Times New Roman" w:hAnsi="Times New Roman"/>
          <w:sz w:val="18"/>
          <w:szCs w:val="18"/>
          <w:color w:val="auto"/>
        </w:rPr>
        <w:t>” means the Board of Directors (or the functional equivalent thereof) of the Company or any duly authorized committee of such Board.</w:t>
      </w:r>
    </w:p>
    <w:p>
      <w:pPr>
        <w:spacing w:after="0" w:line="15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 Resolution</w:t>
      </w:r>
      <w:r>
        <w:rPr>
          <w:rFonts w:ascii="Times New Roman" w:cs="Times New Roman" w:eastAsia="Times New Roman" w:hAnsi="Times New Roman"/>
          <w:sz w:val="18"/>
          <w:szCs w:val="18"/>
          <w:color w:val="auto"/>
        </w:rPr>
        <w:t>” means a copy of a resolution certified by the Secretary or an Assistant Secretary of the Company to have been duly adopted by the Board of Directors and to be in full force and effect on the date of such certification.</w:t>
      </w:r>
    </w:p>
    <w:p>
      <w:pPr>
        <w:spacing w:after="0" w:line="155" w:lineRule="exact"/>
        <w:rPr>
          <w:sz w:val="20"/>
          <w:szCs w:val="20"/>
          <w:color w:val="auto"/>
        </w:rPr>
      </w:pPr>
    </w:p>
    <w:p>
      <w:pPr>
        <w:ind w:right="2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means a certificate signed by any Officer. The Certificate need not comply with the provisions of Section 13.07.</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143" w:name="page144"/>
    <w:bookmarkEnd w:id="143"/>
    <w:p>
      <w:pPr>
        <w:ind w:right="14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71"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Tango Therapeutics, Inc., a corporation duly organized and existing under the laws of the State of Delaware, and, subject to the provisions of Article Ten, shall also include its successors and assigns.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Trust Office</w:t>
      </w:r>
      <w:r>
        <w:rPr>
          <w:rFonts w:ascii="Times New Roman" w:cs="Times New Roman" w:eastAsia="Times New Roman" w:hAnsi="Times New Roman"/>
          <w:sz w:val="18"/>
          <w:szCs w:val="18"/>
          <w:color w:val="auto"/>
        </w:rPr>
        <w:t>” means the office of the Trustee at which, at any particular time, its corporate trust business shall be principally</w:t>
      </w:r>
    </w:p>
    <w:p>
      <w:pPr>
        <w:spacing w:after="0" w:line="31" w:lineRule="exact"/>
        <w:rPr>
          <w:sz w:val="20"/>
          <w:szCs w:val="20"/>
          <w:color w:val="auto"/>
        </w:rPr>
      </w:pPr>
    </w:p>
    <w:p>
      <w:pPr>
        <w:spacing w:after="0"/>
        <w:tabs>
          <w:tab w:leader="none" w:pos="4860" w:val="left"/>
        </w:tabs>
        <w:rPr>
          <w:sz w:val="20"/>
          <w:szCs w:val="20"/>
          <w:color w:val="auto"/>
        </w:rPr>
      </w:pPr>
      <w:r>
        <w:rPr>
          <w:rFonts w:ascii="Times New Roman" w:cs="Times New Roman" w:eastAsia="Times New Roman" w:hAnsi="Times New Roman"/>
          <w:sz w:val="18"/>
          <w:szCs w:val="18"/>
          <w:color w:val="auto"/>
        </w:rPr>
        <w:t>administered, which office at the date hereof is located at</w:t>
      </w:r>
      <w:r>
        <w:rPr>
          <w:sz w:val="20"/>
          <w:szCs w:val="20"/>
          <w:color w:val="auto"/>
        </w:rPr>
        <w:tab/>
      </w:r>
      <w:r>
        <w:rPr>
          <w:rFonts w:ascii="Times New Roman" w:cs="Times New Roman" w:eastAsia="Times New Roman" w:hAnsi="Times New Roman"/>
          <w:sz w:val="16"/>
          <w:szCs w:val="16"/>
          <w:color w:val="auto"/>
        </w:rPr>
        <w:t>.</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Custodian</w:t>
      </w:r>
      <w:r>
        <w:rPr>
          <w:rFonts w:ascii="Times New Roman" w:cs="Times New Roman" w:eastAsia="Times New Roman" w:hAnsi="Times New Roman"/>
          <w:sz w:val="18"/>
          <w:szCs w:val="18"/>
          <w:color w:val="auto"/>
        </w:rPr>
        <w:t>” means any receiver, trustee, assignee, liquidator or similar official under any Bankruptcy Law.</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Defaulted Interest</w:t>
      </w:r>
      <w:r>
        <w:rPr>
          <w:rFonts w:ascii="Times New Roman" w:cs="Times New Roman" w:eastAsia="Times New Roman" w:hAnsi="Times New Roman"/>
          <w:sz w:val="18"/>
          <w:szCs w:val="18"/>
          <w:color w:val="auto"/>
        </w:rPr>
        <w:t>” has the meaning set forth in Section 2.03.</w:t>
      </w:r>
    </w:p>
    <w:p>
      <w:pPr>
        <w:spacing w:after="0" w:line="22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Depositary</w:t>
      </w:r>
      <w:r>
        <w:rPr>
          <w:rFonts w:ascii="Times New Roman" w:cs="Times New Roman" w:eastAsia="Times New Roman" w:hAnsi="Times New Roman"/>
          <w:sz w:val="18"/>
          <w:szCs w:val="18"/>
          <w:color w:val="auto"/>
        </w:rPr>
        <w:t>”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w:t>
      </w:r>
    </w:p>
    <w:p>
      <w:pPr>
        <w:spacing w:after="0" w:line="171"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Event of Default</w:t>
      </w:r>
      <w:r>
        <w:rPr>
          <w:rFonts w:ascii="Times New Roman" w:cs="Times New Roman" w:eastAsia="Times New Roman" w:hAnsi="Times New Roman"/>
          <w:sz w:val="18"/>
          <w:szCs w:val="18"/>
          <w:color w:val="auto"/>
        </w:rPr>
        <w:t>” means, with respect to Securities of a particular series, any event specified in Section 6.01, continued for the period of time, if any, therein designated.</w:t>
      </w:r>
    </w:p>
    <w:p>
      <w:pPr>
        <w:spacing w:after="0" w:line="155"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United States Securities and Exchange Act of 1934, as amended, and the rules and regulations promulgated by the Commission thereunder.</w:t>
      </w:r>
    </w:p>
    <w:p>
      <w:pPr>
        <w:spacing w:after="0" w:line="15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Global Security</w:t>
      </w:r>
      <w:r>
        <w:rPr>
          <w:rFonts w:ascii="Times New Roman" w:cs="Times New Roman" w:eastAsia="Times New Roman" w:hAnsi="Times New Roman"/>
          <w:sz w:val="18"/>
          <w:szCs w:val="18"/>
          <w:color w:val="auto"/>
        </w:rPr>
        <w:t>”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spacing w:after="0" w:line="17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Obligations</w:t>
      </w:r>
      <w:r>
        <w:rPr>
          <w:rFonts w:ascii="Times New Roman" w:cs="Times New Roman" w:eastAsia="Times New Roman" w:hAnsi="Times New Roman"/>
          <w:sz w:val="18"/>
          <w:szCs w:val="18"/>
          <w:color w:val="auto"/>
        </w:rPr>
        <w:t>”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88" w:lineRule="exact"/>
        <w:rPr>
          <w:sz w:val="20"/>
          <w:szCs w:val="20"/>
          <w:color w:val="auto"/>
        </w:rPr>
      </w:pPr>
    </w:p>
    <w:p>
      <w:pPr>
        <w:ind w:right="5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hereof</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hereunder</w:t>
      </w:r>
      <w:r>
        <w:rPr>
          <w:rFonts w:ascii="Times New Roman" w:cs="Times New Roman" w:eastAsia="Times New Roman" w:hAnsi="Times New Roman"/>
          <w:sz w:val="18"/>
          <w:szCs w:val="18"/>
          <w:color w:val="auto"/>
        </w:rPr>
        <w:t>”, and other words of similar import, refer to this Indenture as a whole and not to any particular Article, Section or other subdivision.</w:t>
      </w:r>
    </w:p>
    <w:p>
      <w:pPr>
        <w:spacing w:after="0" w:line="155"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w:t>
      </w:r>
    </w:p>
    <w:p>
      <w:pPr>
        <w:spacing w:after="0" w:line="171" w:lineRule="exact"/>
        <w:rPr>
          <w:sz w:val="20"/>
          <w:szCs w:val="20"/>
          <w:color w:val="auto"/>
        </w:rPr>
      </w:pPr>
    </w:p>
    <w:p>
      <w:pPr>
        <w:jc w:val="both"/>
        <w:ind w:right="2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Interest Payment Date</w:t>
      </w:r>
      <w:r>
        <w:rPr>
          <w:rFonts w:ascii="Times New Roman" w:cs="Times New Roman" w:eastAsia="Times New Roman" w:hAnsi="Times New Roman"/>
          <w:sz w:val="18"/>
          <w:szCs w:val="18"/>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144" w:name="page145"/>
    <w:bookmarkEnd w:id="144"/>
    <w:p>
      <w:pPr>
        <w:ind w:right="18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spacing w:after="0" w:line="171"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Officer’s Certificate</w:t>
      </w:r>
      <w:r>
        <w:rPr>
          <w:rFonts w:ascii="Times New Roman" w:cs="Times New Roman" w:eastAsia="Times New Roman" w:hAnsi="Times New Roman"/>
          <w:sz w:val="18"/>
          <w:szCs w:val="18"/>
          <w:color w:val="auto"/>
        </w:rPr>
        <w:t>” means a certificate signed by any Officer. Each such certificate shall include the statements provided for in Section 13.07, if and to the extent required by the provisions thereof.</w:t>
      </w:r>
    </w:p>
    <w:p>
      <w:pPr>
        <w:spacing w:after="0" w:line="155"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Opinion of Counsel</w:t>
      </w:r>
      <w:r>
        <w:rPr>
          <w:rFonts w:ascii="Times New Roman" w:cs="Times New Roman" w:eastAsia="Times New Roman" w:hAnsi="Times New Roman"/>
          <w:sz w:val="18"/>
          <w:szCs w:val="18"/>
          <w:color w:val="auto"/>
        </w:rPr>
        <w:t>”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w:t>
      </w:r>
    </w:p>
    <w:p>
      <w:pPr>
        <w:spacing w:after="0" w:line="17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Outstanding</w:t>
      </w:r>
      <w:r>
        <w:rPr>
          <w:rFonts w:ascii="Times New Roman" w:cs="Times New Roman" w:eastAsia="Times New Roman" w:hAnsi="Times New Roman"/>
          <w:sz w:val="18"/>
          <w:szCs w:val="18"/>
          <w:color w:val="auto"/>
        </w:rPr>
        <w:t>”,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provided in Article Three, or provision satisfactory to the Trustee shall have been made for giving such notice; and (c) Securities in lieu of or in substitution for which other Securities shall have been authenticated and delivered pursuant to the terms of Section 2.07.</w:t>
      </w:r>
    </w:p>
    <w:p>
      <w:pPr>
        <w:spacing w:after="0" w:line="188" w:lineRule="exact"/>
        <w:rPr>
          <w:sz w:val="20"/>
          <w:szCs w:val="20"/>
          <w:color w:val="auto"/>
        </w:rPr>
      </w:pPr>
    </w:p>
    <w:p>
      <w:pPr>
        <w:jc w:val="center"/>
        <w:ind w:right="200"/>
        <w:spacing w:after="0" w:line="317" w:lineRule="auto"/>
        <w:rPr>
          <w:sz w:val="20"/>
          <w:szCs w:val="20"/>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Person</w:t>
      </w:r>
      <w:r>
        <w:rPr>
          <w:rFonts w:ascii="Times New Roman" w:cs="Times New Roman" w:eastAsia="Times New Roman" w:hAnsi="Times New Roman"/>
          <w:sz w:val="17"/>
          <w:szCs w:val="17"/>
          <w:color w:val="auto"/>
        </w:rPr>
        <w:t>” means any individual, corporation, partnership, joint venture, joint-stock company, limited liability company, association, trust,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unincorporated organization, any other entity or organization, including a government or political subdivision or an agency or instrumentality thereof.</w:t>
      </w:r>
    </w:p>
    <w:p>
      <w:pPr>
        <w:spacing w:after="0" w:line="132"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Predecessor Security</w:t>
      </w:r>
      <w:r>
        <w:rPr>
          <w:rFonts w:ascii="Times New Roman" w:cs="Times New Roman" w:eastAsia="Times New Roman" w:hAnsi="Times New Roman"/>
          <w:sz w:val="18"/>
          <w:szCs w:val="18"/>
          <w:color w:val="auto"/>
        </w:rPr>
        <w:t>”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w:t>
      </w:r>
    </w:p>
    <w:p>
      <w:pPr>
        <w:spacing w:after="0" w:line="171" w:lineRule="exact"/>
        <w:rPr>
          <w:sz w:val="20"/>
          <w:szCs w:val="20"/>
          <w:color w:val="auto"/>
        </w:rPr>
      </w:pPr>
    </w:p>
    <w:p>
      <w:pPr>
        <w:ind w:right="14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Responsible Officer</w:t>
      </w:r>
      <w:r>
        <w:rPr>
          <w:rFonts w:ascii="Times New Roman" w:cs="Times New Roman" w:eastAsia="Times New Roman" w:hAnsi="Times New Roman"/>
          <w:sz w:val="17"/>
          <w:szCs w:val="17"/>
          <w:color w:val="auto"/>
        </w:rPr>
        <w:t>” when used with respect to the Trustee means any officer of the Trustee assigned by the Trustee to administer its corporate trust matters with respect to this Indenture (which, for the avoidance of doubt, includes without limitation any supplemental indenture hereto).</w:t>
      </w:r>
    </w:p>
    <w:p>
      <w:pPr>
        <w:spacing w:after="0" w:line="132"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has the meaning stated in the first recital of this Indenture and more particularly means any Securities authenticated and delivered under this Indenture.</w:t>
      </w:r>
    </w:p>
    <w:p>
      <w:pPr>
        <w:spacing w:after="0" w:line="155" w:lineRule="exact"/>
        <w:rPr>
          <w:sz w:val="20"/>
          <w:szCs w:val="20"/>
          <w:color w:val="auto"/>
        </w:rPr>
      </w:pPr>
    </w:p>
    <w:p>
      <w:pPr>
        <w:ind w:right="4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Securityholder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holder of Securities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registered holder</w:t>
      </w:r>
      <w:r>
        <w:rPr>
          <w:rFonts w:ascii="Times New Roman" w:cs="Times New Roman" w:eastAsia="Times New Roman" w:hAnsi="Times New Roman"/>
          <w:sz w:val="18"/>
          <w:szCs w:val="18"/>
          <w:color w:val="auto"/>
        </w:rPr>
        <w:t>”, or other similar term, means the Person or Persons in whose name or names a particular Security is registered on the Security Register kept for that purpose in accordance with the terms of this Indenture.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 Register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Security Registrar</w:t>
      </w:r>
      <w:r>
        <w:rPr>
          <w:rFonts w:ascii="Times New Roman" w:cs="Times New Roman" w:eastAsia="Times New Roman" w:hAnsi="Times New Roman"/>
          <w:sz w:val="18"/>
          <w:szCs w:val="18"/>
          <w:color w:val="auto"/>
        </w:rPr>
        <w:t>” shall have the meanings as set forth in Section 2.05.</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any Person:</w:t>
      </w:r>
    </w:p>
    <w:p>
      <w:pPr>
        <w:spacing w:after="0" w:line="121" w:lineRule="exact"/>
        <w:rPr>
          <w:sz w:val="20"/>
          <w:szCs w:val="20"/>
          <w:color w:val="auto"/>
        </w:rPr>
      </w:pPr>
    </w:p>
    <w:p>
      <w:pPr>
        <w:jc w:val="both"/>
        <w:ind w:right="160" w:firstLine="436"/>
        <w:spacing w:after="0" w:line="266" w:lineRule="auto"/>
        <w:tabs>
          <w:tab w:leader="none" w:pos="83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or company a majority of whose capital stock with voting power, under ordinary circumstances, to elect directors is, at the date of determination, directly or indirectly, owned by such Person (a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by one or more subsidiaries of such Person or by such Person and one or more subsidiaries of such Person;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6" w:right="479" w:bottom="1440" w:gutter="0" w:footer="0" w:header="0"/>
        </w:sectPr>
      </w:pPr>
    </w:p>
    <w:bookmarkStart w:id="145" w:name="page146"/>
    <w:bookmarkEnd w:id="145"/>
    <w:p>
      <w:pPr>
        <w:ind w:left="820" w:hanging="384"/>
        <w:spacing w:after="0"/>
        <w:tabs>
          <w:tab w:leader="none" w:pos="8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partnership in which such Person or a subsidiary of such Person is, at the date of determination, a general partner of such partnership; or</w:t>
      </w:r>
    </w:p>
    <w:p>
      <w:pPr>
        <w:spacing w:after="0" w:line="225" w:lineRule="exact"/>
        <w:rPr>
          <w:rFonts w:ascii="Times New Roman" w:cs="Times New Roman" w:eastAsia="Times New Roman" w:hAnsi="Times New Roman"/>
          <w:sz w:val="18"/>
          <w:szCs w:val="18"/>
          <w:color w:val="auto"/>
        </w:rPr>
      </w:pPr>
    </w:p>
    <w:p>
      <w:pPr>
        <w:jc w:val="both"/>
        <w:ind w:firstLine="436"/>
        <w:spacing w:after="0" w:line="261" w:lineRule="auto"/>
        <w:tabs>
          <w:tab w:leader="none" w:pos="83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partnership, limited liability company or other Person in which such Person, a subsidiary of such Person or such Person and one or more subsidiaries of such Person, directly or indirectly, at the date of determination, have (x) at least a majority ownership interest or (y) the power to elect or appoint or direct the election or appointment of the managing partner or member of such Person or, if applicable, a majority of the directors or other governing body of such Person.</w:t>
      </w:r>
    </w:p>
    <w:p>
      <w:pPr>
        <w:spacing w:after="0" w:line="176"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means , and, subject to the provisions of Article Seven,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Trust Indenture Act</w:t>
      </w:r>
      <w:r>
        <w:rPr>
          <w:rFonts w:ascii="Times New Roman" w:cs="Times New Roman" w:eastAsia="Times New Roman" w:hAnsi="Times New Roman"/>
          <w:sz w:val="18"/>
          <w:szCs w:val="18"/>
          <w:color w:val="auto"/>
        </w:rPr>
        <w:t>” means the Trust Indenture Act of 1939, as amended.</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5" w:lineRule="exact"/>
        <w:rPr>
          <w:sz w:val="20"/>
          <w:szCs w:val="20"/>
          <w:color w:val="auto"/>
        </w:rPr>
      </w:pPr>
    </w:p>
    <w:p>
      <w:pPr>
        <w:ind w:left="440" w:right="1360" w:firstLine="970"/>
        <w:spacing w:after="0" w:line="503" w:lineRule="auto"/>
        <w:rPr>
          <w:sz w:val="20"/>
          <w:szCs w:val="20"/>
          <w:color w:val="auto"/>
        </w:rPr>
      </w:pPr>
      <w:r>
        <w:rPr>
          <w:rFonts w:ascii="Times New Roman" w:cs="Times New Roman" w:eastAsia="Times New Roman" w:hAnsi="Times New Roman"/>
          <w:sz w:val="18"/>
          <w:szCs w:val="18"/>
          <w:b w:val="1"/>
          <w:bCs w:val="1"/>
          <w:color w:val="auto"/>
        </w:rPr>
        <w:t>ISSUE, DESCRIPTION, TERMS, EXECUTION, REGISTRATION AND EXCHANGE OF SECURITIES Section 2.01 Designation and Terms of Securities.</w:t>
      </w:r>
    </w:p>
    <w:p>
      <w:pPr>
        <w:ind w:right="40" w:firstLine="987"/>
        <w:spacing w:after="0" w:line="258" w:lineRule="auto"/>
        <w:tabs>
          <w:tab w:leader="none" w:pos="137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spacing w:after="0" w:line="75" w:lineRule="exact"/>
        <w:rPr>
          <w:rFonts w:ascii="Times New Roman" w:cs="Times New Roman" w:eastAsia="Times New Roman" w:hAnsi="Times New Roman"/>
          <w:sz w:val="18"/>
          <w:szCs w:val="18"/>
          <w:color w:val="auto"/>
        </w:rPr>
      </w:pPr>
    </w:p>
    <w:p>
      <w:pPr>
        <w:ind w:left="1760" w:hanging="372"/>
        <w:spacing w:after="0"/>
        <w:tabs>
          <w:tab w:leader="none" w:pos="176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Securities of the series (which shall distinguish the Securities of that series from all other Securities);</w:t>
      </w:r>
    </w:p>
    <w:p>
      <w:pPr>
        <w:spacing w:after="0" w:line="117" w:lineRule="exact"/>
        <w:rPr>
          <w:rFonts w:ascii="Times New Roman" w:cs="Times New Roman" w:eastAsia="Times New Roman" w:hAnsi="Times New Roman"/>
          <w:sz w:val="18"/>
          <w:szCs w:val="18"/>
          <w:color w:val="auto"/>
        </w:rPr>
      </w:pPr>
    </w:p>
    <w:p>
      <w:pPr>
        <w:ind w:left="980" w:right="140" w:firstLine="408"/>
        <w:spacing w:after="0" w:line="266" w:lineRule="auto"/>
        <w:tabs>
          <w:tab w:leader="none" w:pos="1771"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Securities of that series which may be authenticated and delivered under this Indenture (except for Securities authenticated and delivered upon registration of transfer of, or in exchange for, or in lieu of, other Securities of that series);</w:t>
      </w:r>
    </w:p>
    <w:p>
      <w:pPr>
        <w:spacing w:after="0" w:line="67" w:lineRule="exact"/>
        <w:rPr>
          <w:rFonts w:ascii="Times New Roman" w:cs="Times New Roman" w:eastAsia="Times New Roman" w:hAnsi="Times New Roman"/>
          <w:sz w:val="18"/>
          <w:szCs w:val="18"/>
          <w:color w:val="auto"/>
        </w:rPr>
      </w:pPr>
    </w:p>
    <w:p>
      <w:pPr>
        <w:ind w:left="1760" w:hanging="372"/>
        <w:spacing w:after="0"/>
        <w:tabs>
          <w:tab w:leader="none" w:pos="176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117" w:lineRule="exact"/>
        <w:rPr>
          <w:rFonts w:ascii="Times New Roman" w:cs="Times New Roman" w:eastAsia="Times New Roman" w:hAnsi="Times New Roman"/>
          <w:sz w:val="18"/>
          <w:szCs w:val="18"/>
          <w:color w:val="auto"/>
        </w:rPr>
      </w:pPr>
    </w:p>
    <w:p>
      <w:pPr>
        <w:ind w:left="980" w:right="180" w:firstLine="408"/>
        <w:spacing w:after="0" w:line="261" w:lineRule="auto"/>
        <w:tabs>
          <w:tab w:leader="none" w:pos="1771"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spacing w:after="0" w:line="71" w:lineRule="exact"/>
        <w:rPr>
          <w:rFonts w:ascii="Times New Roman" w:cs="Times New Roman" w:eastAsia="Times New Roman" w:hAnsi="Times New Roman"/>
          <w:sz w:val="18"/>
          <w:szCs w:val="18"/>
          <w:color w:val="auto"/>
        </w:rPr>
      </w:pPr>
    </w:p>
    <w:p>
      <w:pPr>
        <w:ind w:left="1760" w:hanging="372"/>
        <w:spacing w:after="0"/>
        <w:tabs>
          <w:tab w:leader="none" w:pos="176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at which the Securities of the series shall bear interest or the manner of calculation of such rate or rates, if any;</w:t>
      </w:r>
    </w:p>
    <w:p>
      <w:pPr>
        <w:spacing w:after="0" w:line="117" w:lineRule="exact"/>
        <w:rPr>
          <w:rFonts w:ascii="Times New Roman" w:cs="Times New Roman" w:eastAsia="Times New Roman" w:hAnsi="Times New Roman"/>
          <w:sz w:val="18"/>
          <w:szCs w:val="18"/>
          <w:color w:val="auto"/>
        </w:rPr>
      </w:pPr>
    </w:p>
    <w:p>
      <w:pPr>
        <w:ind w:left="980" w:right="20" w:firstLine="408"/>
        <w:spacing w:after="0" w:line="266" w:lineRule="auto"/>
        <w:tabs>
          <w:tab w:leader="none" w:pos="174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w:t>
      </w:r>
    </w:p>
    <w:p>
      <w:pPr>
        <w:spacing w:after="0" w:line="67" w:lineRule="exact"/>
        <w:rPr>
          <w:rFonts w:ascii="Times New Roman" w:cs="Times New Roman" w:eastAsia="Times New Roman" w:hAnsi="Times New Roman"/>
          <w:sz w:val="18"/>
          <w:szCs w:val="18"/>
          <w:color w:val="auto"/>
        </w:rPr>
      </w:pPr>
    </w:p>
    <w:p>
      <w:pPr>
        <w:ind w:left="1780" w:hanging="392"/>
        <w:spacing w:after="0"/>
        <w:tabs>
          <w:tab w:leader="none" w:pos="1780"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such extension;</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70" w:right="499" w:bottom="1440" w:gutter="0" w:footer="0" w:header="0"/>
        </w:sectPr>
      </w:pPr>
    </w:p>
    <w:bookmarkStart w:id="146" w:name="page147"/>
    <w:bookmarkEnd w:id="146"/>
    <w:p>
      <w:pPr>
        <w:ind w:left="-20" w:right="20" w:firstLine="408"/>
        <w:spacing w:after="0" w:line="282" w:lineRule="auto"/>
        <w:tabs>
          <w:tab w:leader="none" w:pos="771"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period or periods within which, the price or prices at which and the terms and conditions upon which Securities of the series may be redeemed, converted or exchanged, in whole or in part;</w:t>
      </w:r>
    </w:p>
    <w:p>
      <w:pPr>
        <w:spacing w:after="0" w:line="53" w:lineRule="exact"/>
        <w:rPr>
          <w:rFonts w:ascii="Times New Roman" w:cs="Times New Roman" w:eastAsia="Times New Roman" w:hAnsi="Times New Roman"/>
          <w:sz w:val="18"/>
          <w:szCs w:val="18"/>
          <w:color w:val="auto"/>
        </w:rPr>
      </w:pPr>
    </w:p>
    <w:p>
      <w:pPr>
        <w:ind w:left="-20" w:right="160" w:firstLine="408"/>
        <w:spacing w:after="0" w:line="261" w:lineRule="auto"/>
        <w:tabs>
          <w:tab w:leader="none" w:pos="731"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if any, of the Company to redeem or purchase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71" w:lineRule="exact"/>
        <w:rPr>
          <w:rFonts w:ascii="Times New Roman" w:cs="Times New Roman" w:eastAsia="Times New Roman" w:hAnsi="Times New Roman"/>
          <w:sz w:val="18"/>
          <w:szCs w:val="18"/>
          <w:color w:val="auto"/>
        </w:rPr>
      </w:pPr>
    </w:p>
    <w:p>
      <w:pPr>
        <w:ind w:left="740" w:hanging="352"/>
        <w:spacing w:after="0"/>
        <w:tabs>
          <w:tab w:leader="none" w:pos="7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Securities of the series including the form of the Certificate of Authentication for such series;</w:t>
      </w:r>
    </w:p>
    <w:p>
      <w:pPr>
        <w:spacing w:after="0" w:line="117" w:lineRule="exact"/>
        <w:rPr>
          <w:rFonts w:ascii="Times New Roman" w:cs="Times New Roman" w:eastAsia="Times New Roman" w:hAnsi="Times New Roman"/>
          <w:sz w:val="18"/>
          <w:szCs w:val="18"/>
          <w:color w:val="auto"/>
        </w:rPr>
      </w:pPr>
    </w:p>
    <w:p>
      <w:pPr>
        <w:ind w:left="-20" w:right="100" w:firstLine="408"/>
        <w:spacing w:after="0" w:line="282" w:lineRule="auto"/>
        <w:tabs>
          <w:tab w:leader="none" w:pos="771"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denominations of one thousand U.S. dollars ($1,000) or any integral multiple thereof, the denominations in which the Securities of the series shall be issuable;</w:t>
      </w:r>
    </w:p>
    <w:p>
      <w:pPr>
        <w:spacing w:after="0" w:line="53" w:lineRule="exact"/>
        <w:rPr>
          <w:rFonts w:ascii="Times New Roman" w:cs="Times New Roman" w:eastAsia="Times New Roman" w:hAnsi="Times New Roman"/>
          <w:sz w:val="18"/>
          <w:szCs w:val="18"/>
          <w:color w:val="auto"/>
        </w:rPr>
      </w:pPr>
    </w:p>
    <w:p>
      <w:pPr>
        <w:ind w:left="-20" w:right="80" w:firstLine="408"/>
        <w:spacing w:after="0" w:line="261" w:lineRule="auto"/>
        <w:tabs>
          <w:tab w:leader="none" w:pos="731"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other terms (including terms, to the extent applicable, relating to any auction or remarketing of the Securities of that series and any security for the obligations of the Company with respect to such Securities)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w:t>
      </w:r>
    </w:p>
    <w:p>
      <w:pPr>
        <w:spacing w:after="0" w:line="71" w:lineRule="exact"/>
        <w:rPr>
          <w:rFonts w:ascii="Times New Roman" w:cs="Times New Roman" w:eastAsia="Times New Roman" w:hAnsi="Times New Roman"/>
          <w:sz w:val="18"/>
          <w:szCs w:val="18"/>
          <w:color w:val="auto"/>
        </w:rPr>
      </w:pPr>
    </w:p>
    <w:p>
      <w:pPr>
        <w:ind w:left="-20" w:right="20" w:firstLine="408"/>
        <w:spacing w:after="0" w:line="266" w:lineRule="auto"/>
        <w:tabs>
          <w:tab w:leader="none" w:pos="821"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67" w:lineRule="exact"/>
        <w:rPr>
          <w:rFonts w:ascii="Times New Roman" w:cs="Times New Roman" w:eastAsia="Times New Roman" w:hAnsi="Times New Roman"/>
          <w:sz w:val="18"/>
          <w:szCs w:val="18"/>
          <w:color w:val="auto"/>
        </w:rPr>
      </w:pPr>
    </w:p>
    <w:p>
      <w:pPr>
        <w:ind w:left="-20" w:right="80" w:firstLine="408"/>
        <w:spacing w:after="0" w:line="258" w:lineRule="auto"/>
        <w:tabs>
          <w:tab w:leader="none" w:pos="771"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will be convertible into or exchangeable for shares of common stock, preferred stock or other securities of the Company or any other Person and, if so,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and the applicable conversion or exchange period;</w:t>
      </w:r>
    </w:p>
    <w:p>
      <w:pPr>
        <w:spacing w:after="0" w:line="75" w:lineRule="exact"/>
        <w:rPr>
          <w:rFonts w:ascii="Times New Roman" w:cs="Times New Roman" w:eastAsia="Times New Roman" w:hAnsi="Times New Roman"/>
          <w:sz w:val="18"/>
          <w:szCs w:val="18"/>
          <w:color w:val="auto"/>
        </w:rPr>
      </w:pPr>
    </w:p>
    <w:p>
      <w:pPr>
        <w:ind w:left="-20" w:right="400" w:firstLine="408"/>
        <w:spacing w:after="0" w:line="282" w:lineRule="auto"/>
        <w:tabs>
          <w:tab w:leader="none" w:pos="771"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full principal amount thereof, the portion of the principal amount of Securities of the series which shall be payable upon declaration of acceleration of the maturity thereof pursuant to Section 6.01;</w:t>
      </w:r>
    </w:p>
    <w:p>
      <w:pPr>
        <w:spacing w:after="0" w:line="53" w:lineRule="exact"/>
        <w:rPr>
          <w:rFonts w:ascii="Times New Roman" w:cs="Times New Roman" w:eastAsia="Times New Roman" w:hAnsi="Times New Roman"/>
          <w:sz w:val="18"/>
          <w:szCs w:val="18"/>
          <w:color w:val="auto"/>
        </w:rPr>
      </w:pPr>
    </w:p>
    <w:p>
      <w:pPr>
        <w:ind w:left="780" w:hanging="392"/>
        <w:spacing w:after="0"/>
        <w:tabs>
          <w:tab w:leader="none" w:pos="7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or alternative events of default;</w:t>
      </w:r>
    </w:p>
    <w:p>
      <w:pPr>
        <w:spacing w:after="0" w:line="117" w:lineRule="exact"/>
        <w:rPr>
          <w:rFonts w:ascii="Times New Roman" w:cs="Times New Roman" w:eastAsia="Times New Roman" w:hAnsi="Times New Roman"/>
          <w:sz w:val="18"/>
          <w:szCs w:val="18"/>
          <w:color w:val="auto"/>
        </w:rPr>
      </w:pPr>
    </w:p>
    <w:p>
      <w:pPr>
        <w:ind w:left="-20" w:firstLine="408"/>
        <w:spacing w:after="0" w:line="254" w:lineRule="auto"/>
        <w:tabs>
          <w:tab w:leader="none" w:pos="771"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or alternative covenants (which may include, among other restrictions, restrictions on the Company’s ability or the ability of the Company’s Subsidiaries to: incur additional indebtedness; issue additional securities; create liens; pay dividends or make distributions in respect of the capital stock of the Company or the Company’s Subsidiaries; redeem capital stock; place restrictions on the Company’s Subsidiaries’ ability to pay dividends, make distributions or transfer assets; make investments or other restricted payments; sell or otherwise dispose of assets; enter into sale-leaseback transactions; engage in transactions with stockholders or affiliates; issue or sell stock of the Company’s Subsidiaries; or effect a consolidation or merger) or financial covenants (which may include, among other financial covenants, financial covenants that require the Company and its Subsidiaries to maintain specified interest coverage, fixed charge, cash flow-based, asset-based or other financial ratios) provided for with respect to the Securities of the series;</w:t>
      </w:r>
    </w:p>
    <w:p>
      <w:pPr>
        <w:spacing w:after="0" w:line="83" w:lineRule="exact"/>
        <w:rPr>
          <w:rFonts w:ascii="Times New Roman" w:cs="Times New Roman" w:eastAsia="Times New Roman" w:hAnsi="Times New Roman"/>
          <w:sz w:val="18"/>
          <w:szCs w:val="18"/>
          <w:color w:val="auto"/>
        </w:rPr>
      </w:pPr>
    </w:p>
    <w:p>
      <w:pPr>
        <w:ind w:left="-20" w:right="240" w:firstLine="408"/>
        <w:spacing w:after="0" w:line="261" w:lineRule="auto"/>
        <w:tabs>
          <w:tab w:leader="none" w:pos="7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payment of the principal of (and premium, if any) and interest, if any, on such Securities shall be payable (if other than the currency of the United States of America), which unless otherwise specified shall be the currency of the United States of America as at the time of payment is legal tender for payment of public or private debts;</w:t>
      </w:r>
    </w:p>
    <w:p>
      <w:pPr>
        <w:spacing w:after="0" w:line="11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000"/>
          </w:cols>
          <w:pgMar w:left="1440" w:top="270" w:right="459" w:bottom="1440" w:gutter="0" w:footer="0" w:header="0"/>
        </w:sectPr>
      </w:pPr>
    </w:p>
    <w:bookmarkStart w:id="147" w:name="page148"/>
    <w:bookmarkEnd w:id="147"/>
    <w:p>
      <w:pPr>
        <w:jc w:val="both"/>
        <w:ind w:left="980" w:firstLine="408"/>
        <w:spacing w:after="0" w:line="266" w:lineRule="auto"/>
        <w:tabs>
          <w:tab w:leader="none" w:pos="1751"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principal of (and premium, if any) or interest, if any, on such Securities is to be payable, at the election of the Company or any Holder thereof, in a coin or currency other than that in which such Securities are stated to be payable, then the period or periods within which, and the terms and conditions upon which, such election may be made;</w:t>
      </w:r>
    </w:p>
    <w:p>
      <w:pPr>
        <w:spacing w:after="0" w:line="67" w:lineRule="exact"/>
        <w:rPr>
          <w:rFonts w:ascii="Times New Roman" w:cs="Times New Roman" w:eastAsia="Times New Roman" w:hAnsi="Times New Roman"/>
          <w:sz w:val="18"/>
          <w:szCs w:val="18"/>
          <w:color w:val="auto"/>
        </w:rPr>
      </w:pPr>
    </w:p>
    <w:p>
      <w:pPr>
        <w:ind w:left="980" w:right="160" w:firstLine="408"/>
        <w:spacing w:after="0" w:line="282" w:lineRule="auto"/>
        <w:tabs>
          <w:tab w:leader="none" w:pos="1731"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 will be payable in cash or additional Securities at the Company’s or the Securityholders’ option and the terms and conditions upon which the election may be made;</w:t>
      </w:r>
    </w:p>
    <w:p>
      <w:pPr>
        <w:spacing w:after="0" w:line="53" w:lineRule="exact"/>
        <w:rPr>
          <w:rFonts w:ascii="Times New Roman" w:cs="Times New Roman" w:eastAsia="Times New Roman" w:hAnsi="Times New Roman"/>
          <w:sz w:val="18"/>
          <w:szCs w:val="18"/>
          <w:color w:val="auto"/>
        </w:rPr>
      </w:pPr>
    </w:p>
    <w:p>
      <w:pPr>
        <w:ind w:left="980" w:right="100" w:firstLine="408"/>
        <w:spacing w:after="0" w:line="312" w:lineRule="auto"/>
        <w:tabs>
          <w:tab w:leader="none" w:pos="1771"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and conditions, if any, upon which the Company shall pay amounts in addition to the stated interest, premium, if any and principal amounts of the Securities of the series to any Securityholder that is not a “United States person” for federal tax purposes;</w:t>
      </w:r>
    </w:p>
    <w:p>
      <w:pPr>
        <w:spacing w:after="0" w:line="31" w:lineRule="exact"/>
        <w:rPr>
          <w:rFonts w:ascii="Times New Roman" w:cs="Times New Roman" w:eastAsia="Times New Roman" w:hAnsi="Times New Roman"/>
          <w:sz w:val="17"/>
          <w:szCs w:val="17"/>
          <w:color w:val="auto"/>
        </w:rPr>
      </w:pPr>
    </w:p>
    <w:p>
      <w:pPr>
        <w:ind w:left="1780" w:hanging="392"/>
        <w:spacing w:after="0"/>
        <w:tabs>
          <w:tab w:leader="none" w:pos="17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or alternative provisions, if any, related to defeasance and discharge of the offered Securities;</w:t>
      </w:r>
    </w:p>
    <w:p>
      <w:pPr>
        <w:spacing w:after="0" w:line="117" w:lineRule="exact"/>
        <w:rPr>
          <w:rFonts w:ascii="Times New Roman" w:cs="Times New Roman" w:eastAsia="Times New Roman" w:hAnsi="Times New Roman"/>
          <w:sz w:val="18"/>
          <w:szCs w:val="18"/>
          <w:color w:val="auto"/>
        </w:rPr>
      </w:pPr>
    </w:p>
    <w:p>
      <w:pPr>
        <w:ind w:left="1820" w:hanging="432"/>
        <w:spacing w:after="0"/>
        <w:tabs>
          <w:tab w:leader="none" w:pos="18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any guarantees;</w:t>
      </w:r>
    </w:p>
    <w:p>
      <w:pPr>
        <w:spacing w:after="0" w:line="117" w:lineRule="exact"/>
        <w:rPr>
          <w:rFonts w:ascii="Times New Roman" w:cs="Times New Roman" w:eastAsia="Times New Roman" w:hAnsi="Times New Roman"/>
          <w:sz w:val="18"/>
          <w:szCs w:val="18"/>
          <w:color w:val="auto"/>
        </w:rPr>
      </w:pPr>
    </w:p>
    <w:p>
      <w:pPr>
        <w:ind w:left="1780" w:hanging="392"/>
        <w:spacing w:after="0"/>
        <w:tabs>
          <w:tab w:leader="none" w:pos="17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Securities of the series;</w:t>
      </w:r>
    </w:p>
    <w:p>
      <w:pPr>
        <w:spacing w:after="0" w:line="117" w:lineRule="exact"/>
        <w:rPr>
          <w:rFonts w:ascii="Times New Roman" w:cs="Times New Roman" w:eastAsia="Times New Roman" w:hAnsi="Times New Roman"/>
          <w:sz w:val="18"/>
          <w:szCs w:val="18"/>
          <w:color w:val="auto"/>
        </w:rPr>
      </w:pPr>
    </w:p>
    <w:p>
      <w:pPr>
        <w:ind w:left="1780" w:hanging="392"/>
        <w:spacing w:after="0"/>
        <w:tabs>
          <w:tab w:leader="none" w:pos="17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series; and</w:t>
      </w:r>
    </w:p>
    <w:p>
      <w:pPr>
        <w:spacing w:after="0" w:line="117" w:lineRule="exact"/>
        <w:rPr>
          <w:rFonts w:ascii="Times New Roman" w:cs="Times New Roman" w:eastAsia="Times New Roman" w:hAnsi="Times New Roman"/>
          <w:sz w:val="18"/>
          <w:szCs w:val="18"/>
          <w:color w:val="auto"/>
        </w:rPr>
      </w:pPr>
    </w:p>
    <w:p>
      <w:pPr>
        <w:ind w:left="1760" w:hanging="372"/>
        <w:spacing w:after="0"/>
        <w:tabs>
          <w:tab w:leader="none" w:pos="17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subordination terms of the Securities of the series.</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All Securities of any one series shall be substantially identical except as may otherwise be provided in or pursuant to any such Board Resolution or in any indentures supplemental hereto.</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76" w:lineRule="exact"/>
        <w:rPr>
          <w:sz w:val="20"/>
          <w:szCs w:val="20"/>
          <w:color w:val="auto"/>
        </w:rPr>
      </w:pPr>
    </w:p>
    <w:p>
      <w:pPr>
        <w:jc w:val="both"/>
        <w:ind w:right="300" w:firstLine="440"/>
        <w:spacing w:after="0" w:line="266" w:lineRule="auto"/>
        <w:rPr>
          <w:sz w:val="20"/>
          <w:szCs w:val="20"/>
          <w:color w:val="auto"/>
        </w:rPr>
      </w:pPr>
      <w:r>
        <w:rPr>
          <w:rFonts w:ascii="Times New Roman" w:cs="Times New Roman" w:eastAsia="Times New Roman" w:hAnsi="Times New Roman"/>
          <w:sz w:val="18"/>
          <w:szCs w:val="18"/>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172"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2.02</w:t>
      </w:r>
      <w:r>
        <w:rPr>
          <w:sz w:val="20"/>
          <w:szCs w:val="20"/>
          <w:color w:val="auto"/>
        </w:rPr>
        <w:tab/>
      </w:r>
      <w:r>
        <w:rPr>
          <w:rFonts w:ascii="Times New Roman" w:cs="Times New Roman" w:eastAsia="Times New Roman" w:hAnsi="Times New Roman"/>
          <w:sz w:val="17"/>
          <w:szCs w:val="17"/>
          <w:b w:val="1"/>
          <w:bCs w:val="1"/>
          <w:color w:val="auto"/>
        </w:rPr>
        <w:t>Form of Securities and Trustee’s Certificate.</w:t>
      </w:r>
    </w:p>
    <w:p>
      <w:pPr>
        <w:spacing w:after="0" w:line="229"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183"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2.03</w:t>
      </w:r>
      <w:r>
        <w:rPr>
          <w:sz w:val="20"/>
          <w:szCs w:val="20"/>
          <w:color w:val="auto"/>
        </w:rPr>
        <w:tab/>
      </w:r>
      <w:r>
        <w:rPr>
          <w:rFonts w:ascii="Times New Roman" w:cs="Times New Roman" w:eastAsia="Times New Roman" w:hAnsi="Times New Roman"/>
          <w:sz w:val="17"/>
          <w:szCs w:val="17"/>
          <w:b w:val="1"/>
          <w:bCs w:val="1"/>
          <w:color w:val="auto"/>
        </w:rPr>
        <w:t>Denominations: Provisions for Payment.</w:t>
      </w:r>
    </w:p>
    <w:p>
      <w:pPr>
        <w:spacing w:after="0" w:line="229"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The Securities shall be issuable as registered Securities and in the denominations of one thousand U.S. dollars ($1,000) or any integral multiple thereof, subject to Section 2.01(1)(j). The Securities of a particular series shall bear interest payable on the dates and at the rate specified with respect to that series. Subject to Section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148" w:name="page149"/>
    <w:bookmarkEnd w:id="148"/>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2.01(1)(p), 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spacing w:after="0" w:line="180"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spacing w:after="0" w:line="183" w:lineRule="exact"/>
        <w:rPr>
          <w:sz w:val="20"/>
          <w:szCs w:val="20"/>
          <w:color w:val="auto"/>
        </w:rPr>
      </w:pPr>
    </w:p>
    <w:p>
      <w:pPr>
        <w:ind w:right="160" w:firstLine="440"/>
        <w:spacing w:after="0" w:line="289" w:lineRule="auto"/>
        <w:rPr>
          <w:sz w:val="20"/>
          <w:szCs w:val="20"/>
          <w:color w:val="auto"/>
        </w:rPr>
      </w:pPr>
      <w:r>
        <w:rPr>
          <w:rFonts w:ascii="Times New Roman" w:cs="Times New Roman" w:eastAsia="Times New Roman" w:hAnsi="Times New Roman"/>
          <w:sz w:val="17"/>
          <w:szCs w:val="17"/>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50" w:lineRule="exact"/>
        <w:rPr>
          <w:sz w:val="20"/>
          <w:szCs w:val="20"/>
          <w:color w:val="auto"/>
        </w:rPr>
      </w:pPr>
    </w:p>
    <w:p>
      <w:pPr>
        <w:ind w:right="20" w:firstLine="987"/>
        <w:spacing w:after="0" w:line="253" w:lineRule="auto"/>
        <w:tabs>
          <w:tab w:leader="none" w:pos="137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to each Securityholder at his or her address as it appears in the Security Register (as hereinafter defined),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w:t>
      </w:r>
    </w:p>
    <w:p>
      <w:pPr>
        <w:spacing w:after="0" w:line="187" w:lineRule="exact"/>
        <w:rPr>
          <w:rFonts w:ascii="Times New Roman" w:cs="Times New Roman" w:eastAsia="Times New Roman" w:hAnsi="Times New Roman"/>
          <w:sz w:val="18"/>
          <w:szCs w:val="18"/>
          <w:color w:val="auto"/>
        </w:rPr>
      </w:pPr>
    </w:p>
    <w:p>
      <w:pPr>
        <w:ind w:firstLine="987"/>
        <w:spacing w:after="0" w:line="261" w:lineRule="auto"/>
        <w:tabs>
          <w:tab w:leader="none" w:pos="137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80"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w:t>
      </w:r>
    </w:p>
    <w:p>
      <w:pPr>
        <w:spacing w:after="0" w:line="18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149" w:name="page150"/>
    <w:bookmarkEnd w:id="149"/>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2.04</w:t>
      </w:r>
      <w:r>
        <w:rPr>
          <w:sz w:val="20"/>
          <w:szCs w:val="20"/>
          <w:color w:val="auto"/>
        </w:rPr>
        <w:tab/>
      </w:r>
      <w:r>
        <w:rPr>
          <w:rFonts w:ascii="Times New Roman" w:cs="Times New Roman" w:eastAsia="Times New Roman" w:hAnsi="Times New Roman"/>
          <w:sz w:val="17"/>
          <w:szCs w:val="17"/>
          <w:b w:val="1"/>
          <w:bCs w:val="1"/>
          <w:color w:val="auto"/>
        </w:rPr>
        <w:t>Execution and Authentications.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Securities shall be signed on behalf of the Company by one of its Officers. Signatures may be in the form of a manual or facsimile signature.</w:t>
      </w:r>
    </w:p>
    <w:p>
      <w:pPr>
        <w:spacing w:after="0" w:line="225"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The Company may use the facsimile signature of any Person who shall have been an Officer,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spacing w:after="0" w:line="180"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w:t>
      </w:r>
    </w:p>
    <w:p>
      <w:pPr>
        <w:spacing w:after="0" w:line="18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In authenticating such Securities and accepting the additional responsibilities under this Indenture in relation to such Securities, the Trustee shall be entitled to receive, if requested, and (subject to Section 7.01) shall be fully protected in relying upon, an Opinion of Counsel stating that the form and terms thereof have been established in conformity with the provisions of this Indenture.</w:t>
      </w:r>
    </w:p>
    <w:p>
      <w:pPr>
        <w:spacing w:after="0" w:line="176" w:lineRule="exact"/>
        <w:rPr>
          <w:sz w:val="20"/>
          <w:szCs w:val="20"/>
          <w:color w:val="auto"/>
        </w:rPr>
      </w:pPr>
    </w:p>
    <w:p>
      <w:pPr>
        <w:ind w:right="140" w:firstLine="440"/>
        <w:spacing w:after="0" w:line="312" w:lineRule="auto"/>
        <w:rPr>
          <w:sz w:val="20"/>
          <w:szCs w:val="20"/>
          <w:color w:val="auto"/>
        </w:rPr>
      </w:pPr>
      <w:r>
        <w:rPr>
          <w:rFonts w:ascii="Times New Roman" w:cs="Times New Roman" w:eastAsia="Times New Roman" w:hAnsi="Times New Roman"/>
          <w:sz w:val="17"/>
          <w:szCs w:val="17"/>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36"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2.05</w:t>
      </w:r>
      <w:r>
        <w:rPr>
          <w:sz w:val="20"/>
          <w:szCs w:val="20"/>
          <w:color w:val="auto"/>
        </w:rPr>
        <w:tab/>
      </w:r>
      <w:r>
        <w:rPr>
          <w:rFonts w:ascii="Times New Roman" w:cs="Times New Roman" w:eastAsia="Times New Roman" w:hAnsi="Times New Roman"/>
          <w:sz w:val="17"/>
          <w:szCs w:val="17"/>
          <w:b w:val="1"/>
          <w:bCs w:val="1"/>
          <w:color w:val="auto"/>
        </w:rPr>
        <w:t>Registration of Transfer and Exchange.</w:t>
      </w:r>
    </w:p>
    <w:p>
      <w:pPr>
        <w:spacing w:after="0" w:line="229" w:lineRule="exact"/>
        <w:rPr>
          <w:sz w:val="20"/>
          <w:szCs w:val="20"/>
          <w:color w:val="auto"/>
        </w:rPr>
      </w:pPr>
    </w:p>
    <w:p>
      <w:pPr>
        <w:ind w:right="60" w:firstLine="987"/>
        <w:spacing w:after="0" w:line="277" w:lineRule="auto"/>
        <w:tabs>
          <w:tab w:leader="none" w:pos="1381"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167" w:lineRule="exact"/>
        <w:rPr>
          <w:rFonts w:ascii="Times New Roman" w:cs="Times New Roman" w:eastAsia="Times New Roman" w:hAnsi="Times New Roman"/>
          <w:sz w:val="17"/>
          <w:szCs w:val="17"/>
          <w:color w:val="auto"/>
        </w:rPr>
      </w:pPr>
    </w:p>
    <w:p>
      <w:pPr>
        <w:ind w:firstLine="987"/>
        <w:spacing w:after="0" w:line="258" w:lineRule="auto"/>
        <w:tabs>
          <w:tab w:leader="none" w:pos="1378"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keep, or cause to be kept, at its office or agency designated for such purpose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“Security Registrar”).</w:t>
      </w:r>
    </w:p>
    <w:p>
      <w:pPr>
        <w:spacing w:after="0" w:line="183"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40" w:top="266" w:right="499" w:bottom="1440" w:gutter="0" w:footer="0" w:header="0"/>
        </w:sectPr>
      </w:pPr>
    </w:p>
    <w:bookmarkStart w:id="150" w:name="page151"/>
    <w:bookmarkEnd w:id="150"/>
    <w:p>
      <w:pPr>
        <w:ind w:firstLine="987"/>
        <w:spacing w:after="0" w:line="261" w:lineRule="auto"/>
        <w:tabs>
          <w:tab w:leader="none" w:pos="1381"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Section 2.06, Section 3.03(2) and Section 9.04 not involving any transfer.</w:t>
      </w:r>
    </w:p>
    <w:p>
      <w:pPr>
        <w:spacing w:after="0" w:line="179" w:lineRule="exact"/>
        <w:rPr>
          <w:rFonts w:ascii="Times New Roman" w:cs="Times New Roman" w:eastAsia="Times New Roman" w:hAnsi="Times New Roman"/>
          <w:sz w:val="18"/>
          <w:szCs w:val="18"/>
          <w:color w:val="auto"/>
        </w:rPr>
      </w:pPr>
    </w:p>
    <w:p>
      <w:pPr>
        <w:ind w:right="120" w:firstLine="987"/>
        <w:spacing w:after="0" w:line="258" w:lineRule="auto"/>
        <w:tabs>
          <w:tab w:leader="none" w:pos="1378"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other than the unredeemed portion of any such Securities being redeemed in part. The provisions of this Section 2.05 are, with respect to any Global Security, subject to Section 2.11 hereof.</w:t>
      </w:r>
    </w:p>
    <w:p>
      <w:pPr>
        <w:spacing w:after="0" w:line="183"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79"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2.06</w:t>
      </w:r>
      <w:r>
        <w:rPr>
          <w:sz w:val="20"/>
          <w:szCs w:val="20"/>
          <w:color w:val="auto"/>
        </w:rPr>
        <w:tab/>
      </w:r>
      <w:r>
        <w:rPr>
          <w:rFonts w:ascii="Times New Roman" w:cs="Times New Roman" w:eastAsia="Times New Roman" w:hAnsi="Times New Roman"/>
          <w:sz w:val="17"/>
          <w:szCs w:val="17"/>
          <w:b w:val="1"/>
          <w:bCs w:val="1"/>
          <w:color w:val="auto"/>
        </w:rPr>
        <w:t>Temporary Securities.</w:t>
      </w:r>
    </w:p>
    <w:p>
      <w:pPr>
        <w:spacing w:after="0" w:line="229"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188"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2.07</w:t>
      </w:r>
      <w:r>
        <w:rPr>
          <w:sz w:val="20"/>
          <w:szCs w:val="20"/>
          <w:color w:val="auto"/>
        </w:rPr>
        <w:tab/>
      </w:r>
      <w:r>
        <w:rPr>
          <w:rFonts w:ascii="Times New Roman" w:cs="Times New Roman" w:eastAsia="Times New Roman" w:hAnsi="Times New Roman"/>
          <w:sz w:val="17"/>
          <w:szCs w:val="17"/>
          <w:b w:val="1"/>
          <w:bCs w:val="1"/>
          <w:color w:val="auto"/>
        </w:rPr>
        <w:t>Mutilated, Destroyed, Lost or Stolen Securities.</w:t>
      </w:r>
    </w:p>
    <w:p>
      <w:pPr>
        <w:spacing w:after="0" w:line="229" w:lineRule="exact"/>
        <w:rPr>
          <w:sz w:val="20"/>
          <w:szCs w:val="20"/>
          <w:color w:val="auto"/>
        </w:rPr>
      </w:pPr>
    </w:p>
    <w:p>
      <w:pPr>
        <w:ind w:firstLine="440"/>
        <w:spacing w:after="0" w:line="271" w:lineRule="auto"/>
        <w:rPr>
          <w:sz w:val="20"/>
          <w:szCs w:val="20"/>
          <w:color w:val="auto"/>
        </w:rPr>
      </w:pPr>
      <w:r>
        <w:rPr>
          <w:rFonts w:ascii="Times New Roman" w:cs="Times New Roman" w:eastAsia="Times New Roman" w:hAnsi="Times New Roman"/>
          <w:sz w:val="17"/>
          <w:szCs w:val="17"/>
          <w:color w:val="auto"/>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173"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In case any Security that has matured or is about to mature shall become mutilated or be destroyed, lost or stolen, the Company may, instead of issuing a substitute Security, pay or authorize the payment of the same (without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151" w:name="page152"/>
    <w:bookmarkEnd w:id="151"/>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76" w:lineRule="exact"/>
        <w:rPr>
          <w:sz w:val="20"/>
          <w:szCs w:val="20"/>
          <w:color w:val="auto"/>
        </w:rPr>
      </w:pPr>
    </w:p>
    <w:p>
      <w:pPr>
        <w:ind w:right="140" w:firstLine="440"/>
        <w:spacing w:after="0" w:line="255" w:lineRule="auto"/>
        <w:rPr>
          <w:sz w:val="20"/>
          <w:szCs w:val="20"/>
          <w:color w:val="auto"/>
        </w:rPr>
      </w:pPr>
      <w:r>
        <w:rPr>
          <w:rFonts w:ascii="Times New Roman" w:cs="Times New Roman" w:eastAsia="Times New Roman" w:hAnsi="Times New Roman"/>
          <w:sz w:val="18"/>
          <w:szCs w:val="18"/>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85"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2.08</w:t>
        <w:tab/>
        <w:t>Cancellation.</w:t>
      </w:r>
    </w:p>
    <w:p>
      <w:pPr>
        <w:spacing w:after="0" w:line="22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185"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2.09</w:t>
      </w:r>
      <w:r>
        <w:rPr>
          <w:sz w:val="20"/>
          <w:szCs w:val="20"/>
          <w:color w:val="auto"/>
        </w:rPr>
        <w:tab/>
      </w:r>
      <w:r>
        <w:rPr>
          <w:rFonts w:ascii="Times New Roman" w:cs="Times New Roman" w:eastAsia="Times New Roman" w:hAnsi="Times New Roman"/>
          <w:sz w:val="17"/>
          <w:szCs w:val="17"/>
          <w:b w:val="1"/>
          <w:bCs w:val="1"/>
          <w:color w:val="auto"/>
        </w:rPr>
        <w:t>Benefits of Indenture.</w:t>
      </w:r>
    </w:p>
    <w:p>
      <w:pPr>
        <w:spacing w:after="0" w:line="229"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Nothing in this Indenture or in the Securities, express or implied, shall give or be construed to give to any Person, other than the parties hereto and the holders of the Securities (and, with respect to the provisions of Article Fourteen, the holders of any indebtedness of the Company to which the Securities of any series are subordinated) any legal or equitable right, remedy or claim under or in respect of this Indenture, or under any covenant, condition or provision herein contained; all such covenants, conditions and provisions being for the sole benefit of the parties hereto and of the holders of the Securities (and, with respect to the provisions of Article Fourteen, the holders of any indebtedness of the Company to which the Securities of any series are subordinated).</w:t>
      </w:r>
    </w:p>
    <w:p>
      <w:pPr>
        <w:spacing w:after="0" w:line="183" w:lineRule="exact"/>
        <w:rPr>
          <w:sz w:val="20"/>
          <w:szCs w:val="20"/>
          <w:color w:val="auto"/>
        </w:rPr>
      </w:pPr>
    </w:p>
    <w:p>
      <w:pPr>
        <w:ind w:left="44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Section 2.10</w:t>
      </w:r>
      <w:r>
        <w:rPr>
          <w:sz w:val="20"/>
          <w:szCs w:val="20"/>
          <w:color w:val="auto"/>
        </w:rPr>
        <w:tab/>
      </w:r>
      <w:r>
        <w:rPr>
          <w:rFonts w:ascii="Times New Roman" w:cs="Times New Roman" w:eastAsia="Times New Roman" w:hAnsi="Times New Roman"/>
          <w:sz w:val="17"/>
          <w:szCs w:val="17"/>
          <w:b w:val="1"/>
          <w:bCs w:val="1"/>
          <w:color w:val="auto"/>
        </w:rPr>
        <w:t>Authenticating Agent.</w:t>
      </w:r>
    </w:p>
    <w:p>
      <w:pPr>
        <w:spacing w:after="0" w:line="22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88"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52" w:name="page153"/>
    <w:bookmarkEnd w:id="152"/>
    <w:p>
      <w:pPr>
        <w:ind w:left="44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2.11</w:t>
      </w:r>
      <w:r>
        <w:rPr>
          <w:sz w:val="20"/>
          <w:szCs w:val="20"/>
          <w:color w:val="auto"/>
        </w:rPr>
        <w:tab/>
      </w:r>
      <w:r>
        <w:rPr>
          <w:rFonts w:ascii="Times New Roman" w:cs="Times New Roman" w:eastAsia="Times New Roman" w:hAnsi="Times New Roman"/>
          <w:sz w:val="17"/>
          <w:szCs w:val="17"/>
          <w:b w:val="1"/>
          <w:bCs w:val="1"/>
          <w:color w:val="auto"/>
        </w:rPr>
        <w:t>Global Securities.</w:t>
      </w:r>
    </w:p>
    <w:p>
      <w:pPr>
        <w:spacing w:after="0" w:line="229" w:lineRule="exact"/>
        <w:rPr>
          <w:sz w:val="20"/>
          <w:szCs w:val="20"/>
          <w:color w:val="auto"/>
        </w:rPr>
      </w:pPr>
    </w:p>
    <w:p>
      <w:pPr>
        <w:ind w:firstLine="987"/>
        <w:spacing w:after="0" w:line="255" w:lineRule="auto"/>
        <w:tabs>
          <w:tab w:leader="none" w:pos="1381"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spacing w:after="0" w:line="188" w:lineRule="exact"/>
        <w:rPr>
          <w:rFonts w:ascii="Times New Roman" w:cs="Times New Roman" w:eastAsia="Times New Roman" w:hAnsi="Times New Roman"/>
          <w:sz w:val="18"/>
          <w:szCs w:val="18"/>
          <w:color w:val="auto"/>
        </w:rPr>
      </w:pPr>
    </w:p>
    <w:p>
      <w:pPr>
        <w:ind w:right="40" w:firstLine="987"/>
        <w:spacing w:after="0" w:line="266" w:lineRule="auto"/>
        <w:tabs>
          <w:tab w:leader="none" w:pos="1381"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175" w:lineRule="exact"/>
        <w:rPr>
          <w:rFonts w:ascii="Times New Roman" w:cs="Times New Roman" w:eastAsia="Times New Roman" w:hAnsi="Times New Roman"/>
          <w:sz w:val="18"/>
          <w:szCs w:val="18"/>
          <w:color w:val="auto"/>
        </w:rPr>
      </w:pPr>
    </w:p>
    <w:p>
      <w:pPr>
        <w:ind w:right="20" w:firstLine="987"/>
        <w:spacing w:after="0" w:line="252" w:lineRule="auto"/>
        <w:tabs>
          <w:tab w:leader="none" w:pos="1381"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2.11(3)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REDEMPTION OF SECURITIES AND SINKING FUND PROVISIONS</w:t>
      </w:r>
    </w:p>
    <w:p>
      <w:pPr>
        <w:spacing w:after="0" w:line="225"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3.01</w:t>
      </w:r>
      <w:r>
        <w:rPr>
          <w:sz w:val="20"/>
          <w:szCs w:val="20"/>
          <w:color w:val="auto"/>
        </w:rPr>
        <w:tab/>
      </w:r>
      <w:r>
        <w:rPr>
          <w:rFonts w:ascii="Times New Roman" w:cs="Times New Roman" w:eastAsia="Times New Roman" w:hAnsi="Times New Roman"/>
          <w:sz w:val="17"/>
          <w:szCs w:val="17"/>
          <w:b w:val="1"/>
          <w:bCs w:val="1"/>
          <w:color w:val="auto"/>
        </w:rPr>
        <w:t>Redemption.</w:t>
      </w:r>
    </w:p>
    <w:p>
      <w:pPr>
        <w:spacing w:after="0" w:line="229"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The Company may redeem the Securities of any series issued hereunder on and after the dates and in accordance with the terms established for such series pursuant to Section 2.01 hereof.</w:t>
      </w:r>
    </w:p>
    <w:p>
      <w:pPr>
        <w:spacing w:after="0" w:line="158"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3.02</w:t>
        <w:tab/>
        <w:t>Notice of Redemption.</w:t>
      </w:r>
    </w:p>
    <w:p>
      <w:pPr>
        <w:spacing w:after="0" w:line="229" w:lineRule="exact"/>
        <w:rPr>
          <w:sz w:val="20"/>
          <w:szCs w:val="20"/>
          <w:color w:val="auto"/>
        </w:rPr>
      </w:pPr>
    </w:p>
    <w:p>
      <w:pPr>
        <w:ind w:right="160" w:firstLine="987"/>
        <w:spacing w:after="0" w:line="282" w:lineRule="auto"/>
        <w:tabs>
          <w:tab w:leader="none" w:pos="1381"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Company shall desire to exercise such right to redeem all or, as the case may be, a portion of the Securities of any series in accordance with any right the Company reserved for itself to do so</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6" w:right="459" w:bottom="1440" w:gutter="0" w:footer="0" w:header="0"/>
        </w:sectPr>
      </w:pPr>
    </w:p>
    <w:bookmarkStart w:id="153" w:name="page154"/>
    <w:bookmarkEnd w:id="153"/>
    <w:p>
      <w:pPr>
        <w:ind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pursuant to Section 2.01 hereof, the Company shall, or shall cause the Trustee to, give notice of such redemption to holders of the Securities of such series to be redeemed by mailing, first class postage prepaid, a notice of such redemption not less than 30 days and not more than 90 days before the date fixed for redemption of that series to such holders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88"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Each such notice of redemption shall specify the date fixed for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spacing w:after="0" w:line="187"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176" w:lineRule="exact"/>
        <w:rPr>
          <w:sz w:val="20"/>
          <w:szCs w:val="20"/>
          <w:color w:val="auto"/>
        </w:rPr>
      </w:pPr>
    </w:p>
    <w:p>
      <w:pPr>
        <w:ind w:firstLine="987"/>
        <w:spacing w:after="0" w:line="253" w:lineRule="auto"/>
        <w:tabs>
          <w:tab w:leader="none" w:pos="1381"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Trustee shall select, by lot or in such other manner as it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186"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3.03</w:t>
        <w:tab/>
        <w:t>Payment Upon Redemption.</w:t>
      </w:r>
    </w:p>
    <w:p>
      <w:pPr>
        <w:spacing w:after="0" w:line="229" w:lineRule="exact"/>
        <w:rPr>
          <w:sz w:val="20"/>
          <w:szCs w:val="20"/>
          <w:color w:val="auto"/>
        </w:rPr>
      </w:pPr>
    </w:p>
    <w:p>
      <w:pPr>
        <w:ind w:firstLine="987"/>
        <w:spacing w:after="0" w:line="254" w:lineRule="auto"/>
        <w:tabs>
          <w:tab w:leader="none" w:pos="1381"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154" w:name="page155"/>
    <w:bookmarkEnd w:id="154"/>
    <w:p>
      <w:pPr>
        <w:ind w:right="80" w:firstLine="987"/>
        <w:spacing w:after="0" w:line="266" w:lineRule="auto"/>
        <w:tabs>
          <w:tab w:leader="none" w:pos="1381"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presentation of any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spacing w:after="0" w:line="172"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3.04</w:t>
      </w:r>
      <w:r>
        <w:rPr>
          <w:sz w:val="20"/>
          <w:szCs w:val="20"/>
          <w:color w:val="auto"/>
        </w:rPr>
        <w:tab/>
      </w:r>
      <w:r>
        <w:rPr>
          <w:rFonts w:ascii="Times New Roman" w:cs="Times New Roman" w:eastAsia="Times New Roman" w:hAnsi="Times New Roman"/>
          <w:sz w:val="17"/>
          <w:szCs w:val="17"/>
          <w:b w:val="1"/>
          <w:bCs w:val="1"/>
          <w:color w:val="auto"/>
        </w:rPr>
        <w:t>Sinking Fund.</w:t>
      </w:r>
    </w:p>
    <w:p>
      <w:pPr>
        <w:spacing w:after="0" w:line="229"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The provisions of Sections 3.04, 3.05 and 3.06 shall be applicable to any sinking fund for the retirement of Securities of a series, except as otherwise specified as contemplated by Section 2.01 for Securities of such series.</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pacing w:after="0" w:line="179"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3.05</w:t>
      </w:r>
      <w:r>
        <w:rPr>
          <w:sz w:val="20"/>
          <w:szCs w:val="20"/>
          <w:color w:val="auto"/>
        </w:rPr>
        <w:tab/>
      </w:r>
      <w:r>
        <w:rPr>
          <w:rFonts w:ascii="Times New Roman" w:cs="Times New Roman" w:eastAsia="Times New Roman" w:hAnsi="Times New Roman"/>
          <w:sz w:val="17"/>
          <w:szCs w:val="17"/>
          <w:b w:val="1"/>
          <w:bCs w:val="1"/>
          <w:color w:val="auto"/>
        </w:rPr>
        <w:t>Satisfaction of Sinking Fund Payments with Securities.</w:t>
      </w:r>
    </w:p>
    <w:p>
      <w:pPr>
        <w:spacing w:after="0" w:line="22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83"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3.06</w:t>
      </w:r>
      <w:r>
        <w:rPr>
          <w:sz w:val="20"/>
          <w:szCs w:val="20"/>
          <w:color w:val="auto"/>
        </w:rPr>
        <w:tab/>
      </w:r>
      <w:r>
        <w:rPr>
          <w:rFonts w:ascii="Times New Roman" w:cs="Times New Roman" w:eastAsia="Times New Roman" w:hAnsi="Times New Roman"/>
          <w:sz w:val="17"/>
          <w:szCs w:val="17"/>
          <w:b w:val="1"/>
          <w:bCs w:val="1"/>
          <w:color w:val="auto"/>
        </w:rPr>
        <w:t>Redemption of Securities for Sinking Fund.</w:t>
      </w:r>
    </w:p>
    <w:p>
      <w:pPr>
        <w:spacing w:after="0" w:line="229"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5"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4.01</w:t>
      </w:r>
      <w:r>
        <w:rPr>
          <w:sz w:val="20"/>
          <w:szCs w:val="20"/>
          <w:color w:val="auto"/>
        </w:rPr>
        <w:tab/>
      </w:r>
      <w:r>
        <w:rPr>
          <w:rFonts w:ascii="Times New Roman" w:cs="Times New Roman" w:eastAsia="Times New Roman" w:hAnsi="Times New Roman"/>
          <w:sz w:val="17"/>
          <w:szCs w:val="17"/>
          <w:b w:val="1"/>
          <w:bCs w:val="1"/>
          <w:color w:val="auto"/>
        </w:rPr>
        <w:t>Payment of Principal, Premium and Interest.</w:t>
      </w:r>
    </w:p>
    <w:p>
      <w:pPr>
        <w:spacing w:after="0" w:line="229"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155" w:name="page156"/>
    <w:bookmarkEnd w:id="155"/>
    <w:p>
      <w:pPr>
        <w:ind w:right="2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entitled thereto as such address shall appear in the Security Register, or U.S. dollar wire transfer to, a U.S. dollar account if such Securityholder shall have furnished wire instructions in writing to the Security Registrar and the Trustee no later than 15 days prior to the relevant payment date.</w:t>
      </w:r>
    </w:p>
    <w:p>
      <w:pPr>
        <w:spacing w:after="0" w:line="158"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4.02</w:t>
      </w:r>
      <w:r>
        <w:rPr>
          <w:sz w:val="20"/>
          <w:szCs w:val="20"/>
          <w:color w:val="auto"/>
        </w:rPr>
        <w:tab/>
      </w:r>
      <w:r>
        <w:rPr>
          <w:rFonts w:ascii="Times New Roman" w:cs="Times New Roman" w:eastAsia="Times New Roman" w:hAnsi="Times New Roman"/>
          <w:sz w:val="17"/>
          <w:szCs w:val="17"/>
          <w:b w:val="1"/>
          <w:bCs w:val="1"/>
          <w:color w:val="auto"/>
        </w:rPr>
        <w:t>Maintenance of Office or Agency.</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as its paying agent with respect to the Securities.</w:t>
      </w:r>
    </w:p>
    <w:p>
      <w:pPr>
        <w:spacing w:after="0" w:line="184"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4.03</w:t>
      </w:r>
      <w:r>
        <w:rPr>
          <w:sz w:val="20"/>
          <w:szCs w:val="20"/>
          <w:color w:val="auto"/>
        </w:rPr>
        <w:tab/>
      </w:r>
      <w:r>
        <w:rPr>
          <w:rFonts w:ascii="Times New Roman" w:cs="Times New Roman" w:eastAsia="Times New Roman" w:hAnsi="Times New Roman"/>
          <w:sz w:val="17"/>
          <w:szCs w:val="17"/>
          <w:b w:val="1"/>
          <w:bCs w:val="1"/>
          <w:color w:val="auto"/>
        </w:rPr>
        <w:t>Paying Agents.</w:t>
      </w:r>
    </w:p>
    <w:p>
      <w:pPr>
        <w:spacing w:after="0" w:line="229" w:lineRule="exact"/>
        <w:rPr>
          <w:sz w:val="20"/>
          <w:szCs w:val="20"/>
          <w:color w:val="auto"/>
        </w:rPr>
      </w:pPr>
    </w:p>
    <w:p>
      <w:pPr>
        <w:ind w:right="200" w:firstLine="987"/>
        <w:spacing w:after="0" w:line="266" w:lineRule="auto"/>
        <w:tabs>
          <w:tab w:leader="none" w:pos="1381"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67" w:lineRule="exact"/>
        <w:rPr>
          <w:rFonts w:ascii="Times New Roman" w:cs="Times New Roman" w:eastAsia="Times New Roman" w:hAnsi="Times New Roman"/>
          <w:sz w:val="18"/>
          <w:szCs w:val="18"/>
          <w:color w:val="auto"/>
        </w:rPr>
      </w:pPr>
    </w:p>
    <w:p>
      <w:pPr>
        <w:ind w:left="980" w:firstLine="408"/>
        <w:spacing w:after="0" w:line="266" w:lineRule="auto"/>
        <w:tabs>
          <w:tab w:leader="none" w:pos="176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67" w:lineRule="exact"/>
        <w:rPr>
          <w:rFonts w:ascii="Times New Roman" w:cs="Times New Roman" w:eastAsia="Times New Roman" w:hAnsi="Times New Roman"/>
          <w:sz w:val="18"/>
          <w:szCs w:val="18"/>
          <w:color w:val="auto"/>
        </w:rPr>
      </w:pPr>
    </w:p>
    <w:p>
      <w:pPr>
        <w:jc w:val="both"/>
        <w:ind w:left="980" w:right="460" w:firstLine="408"/>
        <w:spacing w:after="0" w:line="312" w:lineRule="auto"/>
        <w:tabs>
          <w:tab w:leader="none" w:pos="1771" w:val="left"/>
        </w:tabs>
        <w:numPr>
          <w:ilvl w:val="1"/>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31" w:lineRule="exact"/>
        <w:rPr>
          <w:rFonts w:ascii="Times New Roman" w:cs="Times New Roman" w:eastAsia="Times New Roman" w:hAnsi="Times New Roman"/>
          <w:sz w:val="17"/>
          <w:szCs w:val="17"/>
          <w:color w:val="auto"/>
        </w:rPr>
      </w:pPr>
    </w:p>
    <w:p>
      <w:pPr>
        <w:ind w:left="980" w:right="460" w:firstLine="408"/>
        <w:spacing w:after="0" w:line="282" w:lineRule="auto"/>
        <w:tabs>
          <w:tab w:leader="none" w:pos="176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at any time during the continuance of any failure referred to in the preceding paragraph (a)(2) above, upon the written request of the Trustee, forthwith pay to the Trustee all sums so held in trust by such paying agent; and</w:t>
      </w:r>
    </w:p>
    <w:p>
      <w:pPr>
        <w:spacing w:after="0" w:line="53" w:lineRule="exact"/>
        <w:rPr>
          <w:rFonts w:ascii="Times New Roman" w:cs="Times New Roman" w:eastAsia="Times New Roman" w:hAnsi="Times New Roman"/>
          <w:sz w:val="18"/>
          <w:szCs w:val="18"/>
          <w:color w:val="auto"/>
        </w:rPr>
      </w:pPr>
    </w:p>
    <w:p>
      <w:pPr>
        <w:ind w:left="1780" w:hanging="392"/>
        <w:spacing w:after="0"/>
        <w:tabs>
          <w:tab w:leader="none" w:pos="178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perform all other duties of paying agent as set forth in this Indenture.</w:t>
      </w:r>
    </w:p>
    <w:p>
      <w:pPr>
        <w:spacing w:after="0" w:line="225" w:lineRule="exact"/>
        <w:rPr>
          <w:rFonts w:ascii="Times New Roman" w:cs="Times New Roman" w:eastAsia="Times New Roman" w:hAnsi="Times New Roman"/>
          <w:sz w:val="18"/>
          <w:szCs w:val="18"/>
          <w:color w:val="auto"/>
        </w:rPr>
      </w:pPr>
    </w:p>
    <w:p>
      <w:pPr>
        <w:ind w:firstLine="987"/>
        <w:spacing w:after="0" w:line="254" w:lineRule="auto"/>
        <w:tabs>
          <w:tab w:leader="none" w:pos="1381"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191" w:lineRule="exact"/>
        <w:rPr>
          <w:rFonts w:ascii="Times New Roman" w:cs="Times New Roman" w:eastAsia="Times New Roman" w:hAnsi="Times New Roman"/>
          <w:sz w:val="18"/>
          <w:szCs w:val="18"/>
          <w:color w:val="auto"/>
        </w:rPr>
      </w:pPr>
    </w:p>
    <w:p>
      <w:pPr>
        <w:jc w:val="both"/>
        <w:ind w:right="40" w:firstLine="987"/>
        <w:spacing w:after="0" w:line="266" w:lineRule="auto"/>
        <w:tabs>
          <w:tab w:leader="none" w:pos="1381"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70" w:right="479" w:bottom="1440" w:gutter="0" w:footer="0" w:header="0"/>
        </w:sectPr>
      </w:pPr>
    </w:p>
    <w:bookmarkStart w:id="156" w:name="page157"/>
    <w:bookmarkEnd w:id="156"/>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172" w:lineRule="exact"/>
        <w:rPr>
          <w:sz w:val="20"/>
          <w:szCs w:val="20"/>
          <w:color w:val="auto"/>
        </w:rPr>
      </w:pPr>
    </w:p>
    <w:p>
      <w:pPr>
        <w:ind w:left="44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Section 4.04</w:t>
      </w:r>
      <w:r>
        <w:rPr>
          <w:sz w:val="20"/>
          <w:szCs w:val="20"/>
          <w:color w:val="auto"/>
        </w:rPr>
        <w:tab/>
      </w:r>
      <w:r>
        <w:rPr>
          <w:rFonts w:ascii="Times New Roman" w:cs="Times New Roman" w:eastAsia="Times New Roman" w:hAnsi="Times New Roman"/>
          <w:sz w:val="17"/>
          <w:szCs w:val="17"/>
          <w:b w:val="1"/>
          <w:bCs w:val="1"/>
          <w:color w:val="auto"/>
        </w:rPr>
        <w:t>Appointment to Fill Vacancy in Office of Trustee.</w:t>
      </w:r>
    </w:p>
    <w:p>
      <w:pPr>
        <w:spacing w:after="0" w:line="229"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The Company, whenever necessary to avoid or fill a vacancy in the office of Trustee, will appoint, in the manner provided in Section 7.10, a Trustee, so that there shall at all times be a Trustee hereunder.</w:t>
      </w:r>
    </w:p>
    <w:p>
      <w:pPr>
        <w:spacing w:after="0" w:line="158"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4.05</w:t>
      </w:r>
      <w:r>
        <w:rPr>
          <w:sz w:val="20"/>
          <w:szCs w:val="20"/>
          <w:color w:val="auto"/>
        </w:rPr>
        <w:tab/>
      </w:r>
      <w:r>
        <w:rPr>
          <w:rFonts w:ascii="Times New Roman" w:cs="Times New Roman" w:eastAsia="Times New Roman" w:hAnsi="Times New Roman"/>
          <w:sz w:val="17"/>
          <w:szCs w:val="17"/>
          <w:b w:val="1"/>
          <w:bCs w:val="1"/>
          <w:color w:val="auto"/>
        </w:rPr>
        <w:t>Compliance with Consolidation Provisions.</w:t>
      </w:r>
    </w:p>
    <w:p>
      <w:pPr>
        <w:spacing w:after="0" w:line="229"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The Company will not, while any of the Securities remain Outstanding, consolidate with or merge into any other Person, in either case where the Company is not the survivor of such transaction, or sell or convey all or substantially all of its property to any other Person unless the provisions of Article Ten hereof are complied with.</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2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SECURITYHOLDERS’ LISTS AND REPORTS BY THE COMPANY AND THE TRUSTEE</w:t>
      </w:r>
    </w:p>
    <w:p>
      <w:pPr>
        <w:spacing w:after="0" w:line="225"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5.01</w:t>
      </w:r>
      <w:r>
        <w:rPr>
          <w:sz w:val="20"/>
          <w:szCs w:val="20"/>
          <w:color w:val="auto"/>
        </w:rPr>
        <w:tab/>
      </w:r>
      <w:r>
        <w:rPr>
          <w:rFonts w:ascii="Times New Roman" w:cs="Times New Roman" w:eastAsia="Times New Roman" w:hAnsi="Times New Roman"/>
          <w:sz w:val="17"/>
          <w:szCs w:val="17"/>
          <w:b w:val="1"/>
          <w:bCs w:val="1"/>
          <w:color w:val="auto"/>
        </w:rPr>
        <w:t>Company to Furnish Trustee Names and Addresses of Securityholders.</w:t>
      </w:r>
    </w:p>
    <w:p>
      <w:pPr>
        <w:spacing w:after="0" w:line="229"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183"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5.02</w:t>
      </w:r>
      <w:r>
        <w:rPr>
          <w:sz w:val="20"/>
          <w:szCs w:val="20"/>
          <w:color w:val="auto"/>
        </w:rPr>
        <w:tab/>
      </w:r>
      <w:r>
        <w:rPr>
          <w:rFonts w:ascii="Times New Roman" w:cs="Times New Roman" w:eastAsia="Times New Roman" w:hAnsi="Times New Roman"/>
          <w:sz w:val="17"/>
          <w:szCs w:val="17"/>
          <w:b w:val="1"/>
          <w:bCs w:val="1"/>
          <w:color w:val="auto"/>
        </w:rPr>
        <w:t>Preservation Of Information; Communications With Securityholders.</w:t>
      </w:r>
    </w:p>
    <w:p>
      <w:pPr>
        <w:spacing w:after="0" w:line="229" w:lineRule="exact"/>
        <w:rPr>
          <w:sz w:val="20"/>
          <w:szCs w:val="20"/>
          <w:color w:val="auto"/>
        </w:rPr>
      </w:pPr>
    </w:p>
    <w:p>
      <w:pPr>
        <w:ind w:right="400" w:firstLine="987"/>
        <w:spacing w:after="0" w:line="266" w:lineRule="auto"/>
        <w:tabs>
          <w:tab w:leader="none" w:pos="1378"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w:t>
      </w:r>
    </w:p>
    <w:p>
      <w:pPr>
        <w:spacing w:after="0" w:line="175"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destroy any list furnished to it as provided in Section 5.01 upon receipt of a new list so furnished.</w:t>
      </w:r>
    </w:p>
    <w:p>
      <w:pPr>
        <w:spacing w:after="0" w:line="225" w:lineRule="exact"/>
        <w:rPr>
          <w:rFonts w:ascii="Times New Roman" w:cs="Times New Roman" w:eastAsia="Times New Roman" w:hAnsi="Times New Roman"/>
          <w:sz w:val="18"/>
          <w:szCs w:val="18"/>
          <w:color w:val="auto"/>
        </w:rPr>
      </w:pPr>
    </w:p>
    <w:p>
      <w:pPr>
        <w:ind w:right="160" w:firstLine="987"/>
        <w:spacing w:after="0" w:line="266" w:lineRule="auto"/>
        <w:tabs>
          <w:tab w:leader="none" w:pos="1381"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spacing w:after="0" w:line="172"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5.03</w:t>
      </w:r>
      <w:r>
        <w:rPr>
          <w:sz w:val="20"/>
          <w:szCs w:val="20"/>
          <w:color w:val="auto"/>
        </w:rPr>
        <w:tab/>
      </w:r>
      <w:r>
        <w:rPr>
          <w:rFonts w:ascii="Times New Roman" w:cs="Times New Roman" w:eastAsia="Times New Roman" w:hAnsi="Times New Roman"/>
          <w:sz w:val="17"/>
          <w:szCs w:val="17"/>
          <w:b w:val="1"/>
          <w:bCs w:val="1"/>
          <w:color w:val="auto"/>
        </w:rPr>
        <w:t>Reports by the Company.</w:t>
      </w:r>
    </w:p>
    <w:p>
      <w:pPr>
        <w:spacing w:after="0" w:line="229" w:lineRule="exact"/>
        <w:rPr>
          <w:sz w:val="20"/>
          <w:szCs w:val="20"/>
          <w:color w:val="auto"/>
        </w:rPr>
      </w:pPr>
    </w:p>
    <w:p>
      <w:pPr>
        <w:ind w:right="140" w:firstLine="987"/>
        <w:spacing w:after="0" w:line="256" w:lineRule="auto"/>
        <w:tabs>
          <w:tab w:leader="none" w:pos="1378"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provided, however, the Company shall not be required to deliver to the Trustee any materials for which the Company has sought and received confidential treatment by the Commission; and provided further, that so long as such filings by the Company are available on the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157" w:name="page158"/>
    <w:bookmarkEnd w:id="157"/>
    <w:p>
      <w:pPr>
        <w:ind w:left="4" w:right="5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Commission’s Electronic Data Gathering, Analysis and Retrieval System (EDGAR), or Interactive Data Electronic Applications (IDEA), or any successor system, such filings shall be deemed to have been filed with the Trustee for purposes hereof without any further action required by the Company; provided that an electronic link to such filing, together with an electronic notice of such filing have been sent to the Trustee. For the avoidance of doubt, a failure by the Company to file annual reports, information and other reports with the SEC within the time period prescribed thereof by the Commission shall not be deemed a breach of this Section 5.03.</w:t>
      </w:r>
    </w:p>
    <w:p>
      <w:pPr>
        <w:spacing w:after="0" w:line="183" w:lineRule="exact"/>
        <w:rPr>
          <w:sz w:val="20"/>
          <w:szCs w:val="20"/>
          <w:color w:val="auto"/>
        </w:rPr>
      </w:pPr>
    </w:p>
    <w:p>
      <w:pPr>
        <w:ind w:left="4" w:right="40" w:firstLine="987"/>
        <w:spacing w:after="0" w:line="261" w:lineRule="auto"/>
        <w:tabs>
          <w:tab w:leader="none" w:pos="138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w:t>
      </w:r>
    </w:p>
    <w:p>
      <w:pPr>
        <w:spacing w:after="0" w:line="176" w:lineRule="exact"/>
        <w:rPr>
          <w:sz w:val="20"/>
          <w:szCs w:val="20"/>
          <w:color w:val="auto"/>
        </w:rPr>
      </w:pPr>
    </w:p>
    <w:p>
      <w:pPr>
        <w:ind w:left="444"/>
        <w:spacing w:after="0"/>
        <w:tabs>
          <w:tab w:leader="none" w:pos="1524" w:val="left"/>
        </w:tabs>
        <w:rPr>
          <w:sz w:val="20"/>
          <w:szCs w:val="20"/>
          <w:color w:val="auto"/>
        </w:rPr>
      </w:pPr>
      <w:r>
        <w:rPr>
          <w:rFonts w:ascii="Times New Roman" w:cs="Times New Roman" w:eastAsia="Times New Roman" w:hAnsi="Times New Roman"/>
          <w:sz w:val="18"/>
          <w:szCs w:val="18"/>
          <w:b w:val="1"/>
          <w:bCs w:val="1"/>
          <w:color w:val="auto"/>
        </w:rPr>
        <w:t>Section 5.04</w:t>
      </w:r>
      <w:r>
        <w:rPr>
          <w:sz w:val="20"/>
          <w:szCs w:val="20"/>
          <w:color w:val="auto"/>
        </w:rPr>
        <w:tab/>
      </w:r>
      <w:r>
        <w:rPr>
          <w:rFonts w:ascii="Times New Roman" w:cs="Times New Roman" w:eastAsia="Times New Roman" w:hAnsi="Times New Roman"/>
          <w:sz w:val="17"/>
          <w:szCs w:val="17"/>
          <w:b w:val="1"/>
          <w:bCs w:val="1"/>
          <w:color w:val="auto"/>
        </w:rPr>
        <w:t>Reports by the Trustee.</w:t>
      </w:r>
    </w:p>
    <w:p>
      <w:pPr>
        <w:spacing w:after="0" w:line="229" w:lineRule="exact"/>
        <w:rPr>
          <w:sz w:val="20"/>
          <w:szCs w:val="20"/>
          <w:color w:val="auto"/>
        </w:rPr>
      </w:pPr>
    </w:p>
    <w:p>
      <w:pPr>
        <w:jc w:val="both"/>
        <w:ind w:left="4" w:right="60" w:firstLine="987"/>
        <w:spacing w:after="0" w:line="266" w:lineRule="auto"/>
        <w:tabs>
          <w:tab w:leader="none" w:pos="1385"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by Section 313(a) of the Trust Indenture Act, the Trustee, within sixty (60) days after each May 1, shall transmit by mail, first class postage prepaid, to the Securityholders, as their names and addresses appear upon the Security Register, a brief report dated as of such May 1, which complies with Section 313(a) of the Trust Indenture Act.</w:t>
      </w:r>
    </w:p>
    <w:p>
      <w:pPr>
        <w:spacing w:after="0" w:line="175" w:lineRule="exact"/>
        <w:rPr>
          <w:rFonts w:ascii="Times New Roman" w:cs="Times New Roman" w:eastAsia="Times New Roman" w:hAnsi="Times New Roman"/>
          <w:sz w:val="18"/>
          <w:szCs w:val="18"/>
          <w:color w:val="auto"/>
        </w:rPr>
      </w:pPr>
    </w:p>
    <w:p>
      <w:pPr>
        <w:ind w:left="1384" w:hanging="393"/>
        <w:spacing w:after="0"/>
        <w:tabs>
          <w:tab w:leader="none" w:pos="1384"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comply with Section 313(b) and 313(c) of the Trust Indenture Act.</w:t>
      </w:r>
    </w:p>
    <w:p>
      <w:pPr>
        <w:spacing w:after="0" w:line="225" w:lineRule="exact"/>
        <w:rPr>
          <w:rFonts w:ascii="Times New Roman" w:cs="Times New Roman" w:eastAsia="Times New Roman" w:hAnsi="Times New Roman"/>
          <w:sz w:val="18"/>
          <w:szCs w:val="18"/>
          <w:color w:val="auto"/>
        </w:rPr>
      </w:pPr>
    </w:p>
    <w:p>
      <w:pPr>
        <w:ind w:left="4" w:right="120" w:hanging="4"/>
        <w:spacing w:after="0" w:line="266" w:lineRule="auto"/>
        <w:tabs>
          <w:tab w:leader="none" w:pos="259"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w:t>
      </w:r>
    </w:p>
    <w:p>
      <w:pPr>
        <w:spacing w:after="0" w:line="38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225" w:lineRule="exact"/>
        <w:rPr>
          <w:sz w:val="20"/>
          <w:szCs w:val="20"/>
          <w:color w:val="auto"/>
        </w:rPr>
      </w:pPr>
    </w:p>
    <w:p>
      <w:pPr>
        <w:ind w:left="2004"/>
        <w:spacing w:after="0"/>
        <w:rPr>
          <w:sz w:val="20"/>
          <w:szCs w:val="20"/>
          <w:color w:val="auto"/>
        </w:rPr>
      </w:pPr>
      <w:r>
        <w:rPr>
          <w:rFonts w:ascii="Times New Roman" w:cs="Times New Roman" w:eastAsia="Times New Roman" w:hAnsi="Times New Roman"/>
          <w:sz w:val="18"/>
          <w:szCs w:val="18"/>
          <w:b w:val="1"/>
          <w:bCs w:val="1"/>
          <w:color w:val="auto"/>
        </w:rPr>
        <w:t>REMEDIES OF THE TRUSTEE AND SECURITYHOLDERS ON EVENT OF DEFAULT</w:t>
      </w:r>
    </w:p>
    <w:p>
      <w:pPr>
        <w:spacing w:after="0" w:line="225" w:lineRule="exact"/>
        <w:rPr>
          <w:sz w:val="20"/>
          <w:szCs w:val="20"/>
          <w:color w:val="auto"/>
        </w:rPr>
      </w:pPr>
    </w:p>
    <w:p>
      <w:pPr>
        <w:ind w:left="444"/>
        <w:spacing w:after="0"/>
        <w:tabs>
          <w:tab w:leader="none" w:pos="1524" w:val="left"/>
        </w:tabs>
        <w:rPr>
          <w:sz w:val="20"/>
          <w:szCs w:val="20"/>
          <w:color w:val="auto"/>
        </w:rPr>
      </w:pPr>
      <w:r>
        <w:rPr>
          <w:rFonts w:ascii="Times New Roman" w:cs="Times New Roman" w:eastAsia="Times New Roman" w:hAnsi="Times New Roman"/>
          <w:sz w:val="18"/>
          <w:szCs w:val="18"/>
          <w:b w:val="1"/>
          <w:bCs w:val="1"/>
          <w:color w:val="auto"/>
        </w:rPr>
        <w:t>Section 6.01</w:t>
        <w:tab/>
        <w:t>Events of Default.</w:t>
      </w:r>
    </w:p>
    <w:p>
      <w:pPr>
        <w:spacing w:after="0" w:line="229" w:lineRule="exact"/>
        <w:rPr>
          <w:sz w:val="20"/>
          <w:szCs w:val="20"/>
          <w:color w:val="auto"/>
        </w:rPr>
      </w:pPr>
    </w:p>
    <w:p>
      <w:pPr>
        <w:ind w:left="4" w:right="280" w:firstLine="987"/>
        <w:spacing w:after="0" w:line="282" w:lineRule="auto"/>
        <w:tabs>
          <w:tab w:leader="none" w:pos="1382"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used herein with respect to Securities of a particular series, “Event of Default” means any one or more of the following events that has occurred and is continuing:</w:t>
      </w:r>
    </w:p>
    <w:p>
      <w:pPr>
        <w:spacing w:after="0" w:line="53" w:lineRule="exact"/>
        <w:rPr>
          <w:rFonts w:ascii="Times New Roman" w:cs="Times New Roman" w:eastAsia="Times New Roman" w:hAnsi="Times New Roman"/>
          <w:sz w:val="18"/>
          <w:szCs w:val="18"/>
          <w:color w:val="auto"/>
        </w:rPr>
      </w:pPr>
    </w:p>
    <w:p>
      <w:pPr>
        <w:jc w:val="both"/>
        <w:ind w:left="984" w:right="160" w:firstLine="408"/>
        <w:spacing w:after="0" w:line="261" w:lineRule="auto"/>
        <w:tabs>
          <w:tab w:leader="none" w:pos="1764"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71" w:lineRule="exact"/>
        <w:rPr>
          <w:rFonts w:ascii="Times New Roman" w:cs="Times New Roman" w:eastAsia="Times New Roman" w:hAnsi="Times New Roman"/>
          <w:sz w:val="18"/>
          <w:szCs w:val="18"/>
          <w:color w:val="auto"/>
        </w:rPr>
      </w:pPr>
    </w:p>
    <w:p>
      <w:pPr>
        <w:ind w:left="984" w:firstLine="408"/>
        <w:spacing w:after="0" w:line="258" w:lineRule="auto"/>
        <w:tabs>
          <w:tab w:leader="none" w:pos="1775"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75" w:lineRule="exact"/>
        <w:rPr>
          <w:rFonts w:ascii="Times New Roman" w:cs="Times New Roman" w:eastAsia="Times New Roman" w:hAnsi="Times New Roman"/>
          <w:sz w:val="18"/>
          <w:szCs w:val="18"/>
          <w:color w:val="auto"/>
        </w:rPr>
      </w:pPr>
    </w:p>
    <w:p>
      <w:pPr>
        <w:ind w:left="984" w:right="120" w:firstLine="408"/>
        <w:spacing w:after="0" w:line="274" w:lineRule="auto"/>
        <w:tabs>
          <w:tab w:leader="none" w:pos="1764" w:val="left"/>
        </w:tabs>
        <w:numPr>
          <w:ilvl w:val="1"/>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w:t>
      </w:r>
    </w:p>
    <w:p>
      <w:pPr>
        <w:spacing w:after="0" w:line="10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70" w:right="459" w:bottom="1440" w:gutter="0" w:footer="0" w:header="0"/>
        </w:sectPr>
      </w:pPr>
    </w:p>
    <w:bookmarkStart w:id="158" w:name="page159"/>
    <w:bookmarkEnd w:id="158"/>
    <w:p>
      <w:pPr>
        <w:ind w:left="984" w:right="120" w:firstLine="408"/>
        <w:spacing w:after="0" w:line="266" w:lineRule="auto"/>
        <w:tabs>
          <w:tab w:leader="none" w:pos="1775" w:val="left"/>
        </w:tabs>
        <w:numPr>
          <w:ilvl w:val="2"/>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spacing w:after="0" w:line="67" w:lineRule="exact"/>
        <w:rPr>
          <w:rFonts w:ascii="Times New Roman" w:cs="Times New Roman" w:eastAsia="Times New Roman" w:hAnsi="Times New Roman"/>
          <w:sz w:val="18"/>
          <w:szCs w:val="18"/>
          <w:color w:val="auto"/>
        </w:rPr>
      </w:pPr>
    </w:p>
    <w:p>
      <w:pPr>
        <w:ind w:left="984" w:right="280" w:firstLine="408"/>
        <w:spacing w:after="0" w:line="266" w:lineRule="auto"/>
        <w:tabs>
          <w:tab w:leader="none" w:pos="1764" w:val="left"/>
        </w:tabs>
        <w:numPr>
          <w:ilvl w:val="2"/>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spacing w:after="0" w:line="175" w:lineRule="exact"/>
        <w:rPr>
          <w:rFonts w:ascii="Times New Roman" w:cs="Times New Roman" w:eastAsia="Times New Roman" w:hAnsi="Times New Roman"/>
          <w:sz w:val="18"/>
          <w:szCs w:val="18"/>
          <w:color w:val="auto"/>
        </w:rPr>
      </w:pPr>
    </w:p>
    <w:p>
      <w:pPr>
        <w:ind w:left="4" w:right="60" w:firstLine="987"/>
        <w:spacing w:after="0" w:line="269" w:lineRule="auto"/>
        <w:tabs>
          <w:tab w:leader="none" w:pos="1385" w:val="left"/>
        </w:tabs>
        <w:numPr>
          <w:ilvl w:val="1"/>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w:t>
      </w:r>
    </w:p>
    <w:p>
      <w:pPr>
        <w:spacing w:after="0" w:line="2" w:lineRule="exact"/>
        <w:rPr>
          <w:rFonts w:ascii="Times New Roman" w:cs="Times New Roman" w:eastAsia="Times New Roman" w:hAnsi="Times New Roman"/>
          <w:sz w:val="17"/>
          <w:szCs w:val="17"/>
          <w:color w:val="auto"/>
        </w:rPr>
      </w:pPr>
    </w:p>
    <w:p>
      <w:pPr>
        <w:ind w:left="4" w:right="40" w:hanging="4"/>
        <w:spacing w:after="0" w:line="260" w:lineRule="auto"/>
        <w:tabs>
          <w:tab w:leader="none" w:pos="259"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clause (5) 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181" w:lineRule="exact"/>
        <w:rPr>
          <w:rFonts w:ascii="Times New Roman" w:cs="Times New Roman" w:eastAsia="Times New Roman" w:hAnsi="Times New Roman"/>
          <w:sz w:val="18"/>
          <w:szCs w:val="18"/>
          <w:color w:val="auto"/>
        </w:rPr>
      </w:pPr>
    </w:p>
    <w:p>
      <w:pPr>
        <w:ind w:left="4" w:firstLine="987"/>
        <w:spacing w:after="0" w:line="253" w:lineRule="auto"/>
        <w:tabs>
          <w:tab w:leader="none" w:pos="1375"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spacing w:after="0" w:line="19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No such rescission and annulment shall extend to or shall affect any subsequent default or impair any right consequent thereon.</w:t>
      </w:r>
    </w:p>
    <w:p>
      <w:pPr>
        <w:spacing w:after="0" w:line="225" w:lineRule="exact"/>
        <w:rPr>
          <w:sz w:val="20"/>
          <w:szCs w:val="20"/>
          <w:color w:val="auto"/>
        </w:rPr>
      </w:pPr>
    </w:p>
    <w:p>
      <w:pPr>
        <w:ind w:left="4" w:right="40" w:firstLine="987"/>
        <w:spacing w:after="0" w:line="258" w:lineRule="auto"/>
        <w:tabs>
          <w:tab w:leader="none" w:pos="138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79" w:lineRule="exact"/>
        <w:rPr>
          <w:sz w:val="20"/>
          <w:szCs w:val="20"/>
          <w:color w:val="auto"/>
        </w:rPr>
      </w:pPr>
    </w:p>
    <w:p>
      <w:pPr>
        <w:ind w:left="444"/>
        <w:spacing w:after="0"/>
        <w:tabs>
          <w:tab w:leader="none" w:pos="1524" w:val="left"/>
        </w:tabs>
        <w:rPr>
          <w:sz w:val="20"/>
          <w:szCs w:val="20"/>
          <w:color w:val="auto"/>
        </w:rPr>
      </w:pPr>
      <w:r>
        <w:rPr>
          <w:rFonts w:ascii="Times New Roman" w:cs="Times New Roman" w:eastAsia="Times New Roman" w:hAnsi="Times New Roman"/>
          <w:sz w:val="18"/>
          <w:szCs w:val="18"/>
          <w:b w:val="1"/>
          <w:bCs w:val="1"/>
          <w:color w:val="auto"/>
        </w:rPr>
        <w:t>Section 6.02</w:t>
      </w:r>
      <w:r>
        <w:rPr>
          <w:sz w:val="20"/>
          <w:szCs w:val="20"/>
          <w:color w:val="auto"/>
        </w:rPr>
        <w:tab/>
      </w:r>
      <w:r>
        <w:rPr>
          <w:rFonts w:ascii="Times New Roman" w:cs="Times New Roman" w:eastAsia="Times New Roman" w:hAnsi="Times New Roman"/>
          <w:sz w:val="17"/>
          <w:szCs w:val="17"/>
          <w:b w:val="1"/>
          <w:bCs w:val="1"/>
          <w:color w:val="auto"/>
        </w:rPr>
        <w:t>Collection of Indebtedness and Suits for Enforcement by Trustee.</w:t>
      </w:r>
    </w:p>
    <w:p>
      <w:pPr>
        <w:spacing w:after="0" w:line="229" w:lineRule="exact"/>
        <w:rPr>
          <w:sz w:val="20"/>
          <w:szCs w:val="20"/>
          <w:color w:val="auto"/>
        </w:rPr>
      </w:pPr>
    </w:p>
    <w:p>
      <w:pPr>
        <w:ind w:left="4" w:right="100" w:firstLine="987"/>
        <w:spacing w:after="0" w:line="261" w:lineRule="auto"/>
        <w:tabs>
          <w:tab w:leader="none" w:pos="1382"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days, or (ii) in case it shall default in the payment of the principal of (or premium, if any, on) any of the Securities of a series when the same shall have become due and payable, whether</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70" w:right="459" w:bottom="1440" w:gutter="0" w:footer="0" w:header="0"/>
        </w:sectPr>
      </w:pPr>
    </w:p>
    <w:bookmarkStart w:id="159" w:name="page160"/>
    <w:bookmarkEnd w:id="159"/>
    <w:p>
      <w:pPr>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spacing w:after="0" w:line="187" w:lineRule="exact"/>
        <w:rPr>
          <w:sz w:val="20"/>
          <w:szCs w:val="20"/>
          <w:color w:val="auto"/>
        </w:rPr>
      </w:pPr>
    </w:p>
    <w:p>
      <w:pPr>
        <w:jc w:val="both"/>
        <w:ind w:right="20" w:firstLine="987"/>
        <w:spacing w:after="0" w:line="258" w:lineRule="auto"/>
        <w:tabs>
          <w:tab w:leader="none" w:pos="1381"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183" w:lineRule="exact"/>
        <w:rPr>
          <w:rFonts w:ascii="Times New Roman" w:cs="Times New Roman" w:eastAsia="Times New Roman" w:hAnsi="Times New Roman"/>
          <w:sz w:val="18"/>
          <w:szCs w:val="18"/>
          <w:color w:val="auto"/>
        </w:rPr>
      </w:pPr>
    </w:p>
    <w:p>
      <w:pPr>
        <w:ind w:right="80" w:firstLine="987"/>
        <w:spacing w:after="0" w:line="253" w:lineRule="auto"/>
        <w:tabs>
          <w:tab w:leader="none" w:pos="1381"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194" w:lineRule="exact"/>
        <w:rPr>
          <w:rFonts w:ascii="Times New Roman" w:cs="Times New Roman" w:eastAsia="Times New Roman" w:hAnsi="Times New Roman"/>
          <w:sz w:val="18"/>
          <w:szCs w:val="18"/>
          <w:color w:val="auto"/>
        </w:rPr>
      </w:pPr>
    </w:p>
    <w:p>
      <w:pPr>
        <w:ind w:right="60" w:firstLine="987"/>
        <w:spacing w:after="0" w:line="258" w:lineRule="auto"/>
        <w:tabs>
          <w:tab w:leader="none" w:pos="1371"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183"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spacing w:after="0" w:line="180"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spacing w:after="0" w:line="172" w:lineRule="exact"/>
        <w:rPr>
          <w:sz w:val="20"/>
          <w:szCs w:val="20"/>
          <w:color w:val="auto"/>
        </w:rPr>
      </w:pPr>
    </w:p>
    <w:p>
      <w:pPr>
        <w:ind w:left="44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Section 6.03</w:t>
        <w:tab/>
        <w:t>Application of Moneys Collected.</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70" w:right="439" w:bottom="1440" w:gutter="0" w:footer="0" w:header="0"/>
        </w:sectPr>
      </w:pPr>
    </w:p>
    <w:bookmarkStart w:id="160" w:name="page161"/>
    <w:bookmarkEnd w:id="160"/>
    <w:p>
      <w:pPr>
        <w:ind w:right="9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FIRST: To the payment of all indebtedness of the Company to which such series of Securities is subordinated to the extent required by Section 7.06 and any subordination terms of the series specified as contemplated by Article Fourteen;</w:t>
      </w:r>
    </w:p>
    <w:p>
      <w:pPr>
        <w:spacing w:after="0" w:line="16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THIRD: To the payment of the remainder, if any, to the Company or any other Person lawfully entitled thereto.</w:t>
      </w:r>
    </w:p>
    <w:p>
      <w:pPr>
        <w:spacing w:after="0" w:line="221"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6.04</w:t>
      </w:r>
      <w:r>
        <w:rPr>
          <w:sz w:val="20"/>
          <w:szCs w:val="20"/>
          <w:color w:val="auto"/>
        </w:rPr>
        <w:tab/>
      </w:r>
      <w:r>
        <w:rPr>
          <w:rFonts w:ascii="Times New Roman" w:cs="Times New Roman" w:eastAsia="Times New Roman" w:hAnsi="Times New Roman"/>
          <w:sz w:val="17"/>
          <w:szCs w:val="17"/>
          <w:b w:val="1"/>
          <w:bCs w:val="1"/>
          <w:color w:val="auto"/>
        </w:rPr>
        <w:t>Limitation on Suits.</w:t>
      </w:r>
    </w:p>
    <w:p>
      <w:pPr>
        <w:spacing w:after="0" w:line="229"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No holder of any Security of any series shall have any right by virtue or by availing of any provision of this Indenture or any Security to institute any suit, action or proceeding in equity or at law upon or under or with respect to this Indenture, any Security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holder or holders shall have offered to the Trustee such reasonable indemnity as it may require against the costs, expenses and liabilities to be incurred therein or thereby;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spacing w:after="0" w:line="188"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190"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6.05</w:t>
      </w:r>
      <w:r>
        <w:rPr>
          <w:sz w:val="20"/>
          <w:szCs w:val="20"/>
          <w:color w:val="auto"/>
        </w:rPr>
        <w:tab/>
      </w:r>
      <w:r>
        <w:rPr>
          <w:rFonts w:ascii="Times New Roman" w:cs="Times New Roman" w:eastAsia="Times New Roman" w:hAnsi="Times New Roman"/>
          <w:sz w:val="17"/>
          <w:szCs w:val="17"/>
          <w:b w:val="1"/>
          <w:bCs w:val="1"/>
          <w:color w:val="auto"/>
        </w:rPr>
        <w:t>Rights and Remedies Cumulative; Delay or Omission Not Waiver.</w:t>
      </w:r>
    </w:p>
    <w:p>
      <w:pPr>
        <w:spacing w:after="0" w:line="229" w:lineRule="exact"/>
        <w:rPr>
          <w:sz w:val="20"/>
          <w:szCs w:val="20"/>
          <w:color w:val="auto"/>
        </w:rPr>
      </w:pPr>
    </w:p>
    <w:p>
      <w:pPr>
        <w:ind w:firstLine="987"/>
        <w:spacing w:after="0" w:line="261" w:lineRule="auto"/>
        <w:tabs>
          <w:tab w:leader="none" w:pos="1381"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179" w:lineRule="exact"/>
        <w:rPr>
          <w:rFonts w:ascii="Times New Roman" w:cs="Times New Roman" w:eastAsia="Times New Roman" w:hAnsi="Times New Roman"/>
          <w:sz w:val="18"/>
          <w:szCs w:val="18"/>
          <w:color w:val="auto"/>
        </w:rPr>
      </w:pPr>
    </w:p>
    <w:p>
      <w:pPr>
        <w:ind w:right="120" w:firstLine="987"/>
        <w:spacing w:after="0" w:line="261" w:lineRule="auto"/>
        <w:tabs>
          <w:tab w:leader="none" w:pos="1381"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440" w:top="270" w:right="439" w:bottom="1440" w:gutter="0" w:footer="0" w:header="0"/>
        </w:sectPr>
      </w:pPr>
    </w:p>
    <w:bookmarkStart w:id="161" w:name="page162"/>
    <w:bookmarkEnd w:id="161"/>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6.06</w:t>
      </w:r>
      <w:r>
        <w:rPr>
          <w:sz w:val="20"/>
          <w:szCs w:val="20"/>
          <w:color w:val="auto"/>
        </w:rPr>
        <w:tab/>
      </w:r>
      <w:r>
        <w:rPr>
          <w:rFonts w:ascii="Times New Roman" w:cs="Times New Roman" w:eastAsia="Times New Roman" w:hAnsi="Times New Roman"/>
          <w:sz w:val="17"/>
          <w:szCs w:val="17"/>
          <w:b w:val="1"/>
          <w:bCs w:val="1"/>
          <w:color w:val="auto"/>
        </w:rPr>
        <w:t>Control by Securityholders.</w:t>
      </w:r>
    </w:p>
    <w:p>
      <w:pPr>
        <w:spacing w:after="0" w:line="22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subject the Trustee in its sole discretion to personal liability. Subject to the provisions of Section 7.01, the 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6.01(3)).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192"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6.07</w:t>
      </w:r>
      <w:r>
        <w:rPr>
          <w:sz w:val="20"/>
          <w:szCs w:val="20"/>
          <w:color w:val="auto"/>
        </w:rPr>
        <w:tab/>
      </w:r>
      <w:r>
        <w:rPr>
          <w:rFonts w:ascii="Times New Roman" w:cs="Times New Roman" w:eastAsia="Times New Roman" w:hAnsi="Times New Roman"/>
          <w:sz w:val="17"/>
          <w:szCs w:val="17"/>
          <w:b w:val="1"/>
          <w:bCs w:val="1"/>
          <w:color w:val="auto"/>
        </w:rPr>
        <w:t>Undertaking to Pay Costs.</w:t>
      </w:r>
    </w:p>
    <w:p>
      <w:pPr>
        <w:spacing w:after="0" w:line="229" w:lineRule="exact"/>
        <w:rPr>
          <w:sz w:val="20"/>
          <w:szCs w:val="20"/>
          <w:color w:val="auto"/>
        </w:rPr>
      </w:pPr>
    </w:p>
    <w:p>
      <w:pPr>
        <w:ind w:right="40" w:firstLine="440"/>
        <w:spacing w:after="0" w:line="272" w:lineRule="auto"/>
        <w:rPr>
          <w:sz w:val="20"/>
          <w:szCs w:val="20"/>
          <w:color w:val="auto"/>
        </w:rPr>
      </w:pPr>
      <w:r>
        <w:rPr>
          <w:rFonts w:ascii="Times New Roman" w:cs="Times New Roman" w:eastAsia="Times New Roman" w:hAnsi="Times New Roman"/>
          <w:sz w:val="17"/>
          <w:szCs w:val="17"/>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225"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7.01</w:t>
      </w:r>
      <w:r>
        <w:rPr>
          <w:sz w:val="20"/>
          <w:szCs w:val="20"/>
          <w:color w:val="auto"/>
        </w:rPr>
        <w:tab/>
      </w:r>
      <w:r>
        <w:rPr>
          <w:rFonts w:ascii="Times New Roman" w:cs="Times New Roman" w:eastAsia="Times New Roman" w:hAnsi="Times New Roman"/>
          <w:sz w:val="17"/>
          <w:szCs w:val="17"/>
          <w:b w:val="1"/>
          <w:bCs w:val="1"/>
          <w:color w:val="auto"/>
        </w:rPr>
        <w:t>Certain Duties and Responsibilities of Trustee.</w:t>
      </w:r>
    </w:p>
    <w:p>
      <w:pPr>
        <w:spacing w:after="0" w:line="229" w:lineRule="exact"/>
        <w:rPr>
          <w:sz w:val="20"/>
          <w:szCs w:val="20"/>
          <w:color w:val="auto"/>
        </w:rPr>
      </w:pPr>
    </w:p>
    <w:p>
      <w:pPr>
        <w:ind w:right="80" w:firstLine="987"/>
        <w:spacing w:after="0" w:line="256" w:lineRule="auto"/>
        <w:tabs>
          <w:tab w:leader="none" w:pos="137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own affairs.</w:t>
      </w:r>
    </w:p>
    <w:p>
      <w:pPr>
        <w:spacing w:after="0" w:line="187" w:lineRule="exact"/>
        <w:rPr>
          <w:rFonts w:ascii="Times New Roman" w:cs="Times New Roman" w:eastAsia="Times New Roman" w:hAnsi="Times New Roman"/>
          <w:sz w:val="18"/>
          <w:szCs w:val="18"/>
          <w:color w:val="auto"/>
        </w:rPr>
      </w:pPr>
    </w:p>
    <w:p>
      <w:pPr>
        <w:ind w:right="180" w:firstLine="987"/>
        <w:spacing w:after="0" w:line="282" w:lineRule="auto"/>
        <w:tabs>
          <w:tab w:leader="none" w:pos="1381"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be construed to relieve the Trustee from liability for its own negligent action, its own negligent failure to act, or its own willful misconduct, except that: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66" w:right="459" w:bottom="1440" w:gutter="0" w:footer="0" w:header="0"/>
        </w:sectPr>
      </w:pPr>
    </w:p>
    <w:bookmarkStart w:id="162" w:name="page163"/>
    <w:bookmarkEnd w:id="162"/>
    <w:p>
      <w:pPr>
        <w:ind w:left="960" w:right="360" w:firstLine="408"/>
        <w:spacing w:after="0" w:line="282" w:lineRule="auto"/>
        <w:tabs>
          <w:tab w:leader="none" w:pos="17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prior to the occurrence of an Event of Default with respect to the Securities of a series and after the curing or waiving of all such Events of Default with respect to that series that may have occurred:</w:t>
      </w:r>
    </w:p>
    <w:p>
      <w:pPr>
        <w:spacing w:after="0" w:line="53" w:lineRule="exact"/>
        <w:rPr>
          <w:rFonts w:ascii="Times New Roman" w:cs="Times New Roman" w:eastAsia="Times New Roman" w:hAnsi="Times New Roman"/>
          <w:sz w:val="18"/>
          <w:szCs w:val="18"/>
          <w:color w:val="auto"/>
        </w:rPr>
      </w:pPr>
    </w:p>
    <w:p>
      <w:pPr>
        <w:jc w:val="both"/>
        <w:ind w:left="1400" w:right="300" w:firstLine="391"/>
        <w:spacing w:after="0" w:line="261" w:lineRule="auto"/>
        <w:tabs>
          <w:tab w:leader="none" w:pos="2213"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71" w:lineRule="exact"/>
        <w:rPr>
          <w:rFonts w:ascii="Times New Roman" w:cs="Times New Roman" w:eastAsia="Times New Roman" w:hAnsi="Times New Roman"/>
          <w:sz w:val="18"/>
          <w:szCs w:val="18"/>
          <w:color w:val="auto"/>
        </w:rPr>
      </w:pPr>
    </w:p>
    <w:p>
      <w:pPr>
        <w:ind w:left="1400" w:right="300" w:firstLine="391"/>
        <w:spacing w:after="0" w:line="258" w:lineRule="auto"/>
        <w:tabs>
          <w:tab w:leader="none" w:pos="2203"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w:t>
      </w:r>
    </w:p>
    <w:p>
      <w:pPr>
        <w:spacing w:after="0" w:line="75" w:lineRule="exact"/>
        <w:rPr>
          <w:rFonts w:ascii="Times New Roman" w:cs="Times New Roman" w:eastAsia="Times New Roman" w:hAnsi="Times New Roman"/>
          <w:sz w:val="18"/>
          <w:szCs w:val="18"/>
          <w:color w:val="auto"/>
        </w:rPr>
      </w:pPr>
    </w:p>
    <w:p>
      <w:pPr>
        <w:ind w:left="960" w:right="60" w:firstLine="408"/>
        <w:spacing w:after="0" w:line="282" w:lineRule="auto"/>
        <w:tabs>
          <w:tab w:leader="none" w:pos="1751"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53" w:lineRule="exact"/>
        <w:rPr>
          <w:rFonts w:ascii="Times New Roman" w:cs="Times New Roman" w:eastAsia="Times New Roman" w:hAnsi="Times New Roman"/>
          <w:sz w:val="18"/>
          <w:szCs w:val="18"/>
          <w:color w:val="auto"/>
        </w:rPr>
      </w:pPr>
    </w:p>
    <w:p>
      <w:pPr>
        <w:ind w:left="960" w:right="20" w:firstLine="408"/>
        <w:spacing w:after="0" w:line="261" w:lineRule="auto"/>
        <w:tabs>
          <w:tab w:leader="none" w:pos="17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spacing w:after="0" w:line="71" w:lineRule="exact"/>
        <w:rPr>
          <w:rFonts w:ascii="Times New Roman" w:cs="Times New Roman" w:eastAsia="Times New Roman" w:hAnsi="Times New Roman"/>
          <w:sz w:val="18"/>
          <w:szCs w:val="18"/>
          <w:color w:val="auto"/>
        </w:rPr>
      </w:pPr>
    </w:p>
    <w:p>
      <w:pPr>
        <w:ind w:left="960" w:right="240" w:firstLine="408"/>
        <w:spacing w:after="0" w:line="261" w:lineRule="auto"/>
        <w:tabs>
          <w:tab w:leader="none" w:pos="1751"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76" w:lineRule="exact"/>
        <w:rPr>
          <w:sz w:val="20"/>
          <w:szCs w:val="20"/>
          <w:color w:val="auto"/>
        </w:rPr>
      </w:pPr>
    </w:p>
    <w:p>
      <w:pPr>
        <w:ind w:left="42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Section 7.02</w:t>
      </w:r>
      <w:r>
        <w:rPr>
          <w:sz w:val="20"/>
          <w:szCs w:val="20"/>
          <w:color w:val="auto"/>
        </w:rPr>
        <w:tab/>
      </w:r>
      <w:r>
        <w:rPr>
          <w:rFonts w:ascii="Times New Roman" w:cs="Times New Roman" w:eastAsia="Times New Roman" w:hAnsi="Times New Roman"/>
          <w:sz w:val="17"/>
          <w:szCs w:val="17"/>
          <w:b w:val="1"/>
          <w:bCs w:val="1"/>
          <w:color w:val="auto"/>
        </w:rPr>
        <w:t>Certain Rights of Trustee.</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Except as otherwise provided in Section 7.01:</w:t>
      </w:r>
    </w:p>
    <w:p>
      <w:pPr>
        <w:spacing w:after="0" w:line="117" w:lineRule="exact"/>
        <w:rPr>
          <w:sz w:val="20"/>
          <w:szCs w:val="20"/>
          <w:color w:val="auto"/>
        </w:rPr>
      </w:pPr>
    </w:p>
    <w:p>
      <w:pPr>
        <w:jc w:val="both"/>
        <w:ind w:left="-20" w:firstLine="987"/>
        <w:spacing w:after="0" w:line="266" w:lineRule="auto"/>
        <w:tabs>
          <w:tab w:leader="none" w:pos="1358"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175" w:lineRule="exact"/>
        <w:rPr>
          <w:rFonts w:ascii="Times New Roman" w:cs="Times New Roman" w:eastAsia="Times New Roman" w:hAnsi="Times New Roman"/>
          <w:sz w:val="18"/>
          <w:szCs w:val="18"/>
          <w:color w:val="auto"/>
        </w:rPr>
      </w:pPr>
    </w:p>
    <w:p>
      <w:pPr>
        <w:ind w:left="-20" w:right="160" w:firstLine="987"/>
        <w:spacing w:after="0" w:line="266" w:lineRule="auto"/>
        <w:tabs>
          <w:tab w:leader="none" w:pos="1351"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spacing w:after="0" w:line="175" w:lineRule="exact"/>
        <w:rPr>
          <w:rFonts w:ascii="Times New Roman" w:cs="Times New Roman" w:eastAsia="Times New Roman" w:hAnsi="Times New Roman"/>
          <w:sz w:val="18"/>
          <w:szCs w:val="18"/>
          <w:color w:val="auto"/>
        </w:rPr>
      </w:pPr>
    </w:p>
    <w:p>
      <w:pPr>
        <w:ind w:left="-20" w:right="260" w:firstLine="987"/>
        <w:spacing w:after="0" w:line="282" w:lineRule="auto"/>
        <w:tabs>
          <w:tab w:leader="none" w:pos="1358"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and the written advice of such counsel or, if requested, any Opinion of Counsel shall be full and complete authorization and protection in respect of any action taken or suffered or omitted hereunder in good faith and in reliance thereon;</w:t>
      </w:r>
    </w:p>
    <w:p>
      <w:pPr>
        <w:spacing w:after="0" w:line="161" w:lineRule="exact"/>
        <w:rPr>
          <w:rFonts w:ascii="Times New Roman" w:cs="Times New Roman" w:eastAsia="Times New Roman" w:hAnsi="Times New Roman"/>
          <w:sz w:val="18"/>
          <w:szCs w:val="18"/>
          <w:color w:val="auto"/>
        </w:rPr>
      </w:pPr>
    </w:p>
    <w:p>
      <w:pPr>
        <w:ind w:left="-20" w:right="140" w:firstLine="987"/>
        <w:spacing w:after="0" w:line="261" w:lineRule="auto"/>
        <w:tabs>
          <w:tab w:leader="none" w:pos="1358"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may be incurred therein or thereby; nothing contained herein shall, however, relieve the Trustee of the obligation, upon the occurrence of an Event of Default with respect to a series of the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60" w:top="270" w:right="459" w:bottom="1440" w:gutter="0" w:footer="0" w:header="0"/>
        </w:sectPr>
      </w:pPr>
    </w:p>
    <w:bookmarkStart w:id="163" w:name="page164"/>
    <w:bookmarkEnd w:id="163"/>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own affairs;</w:t>
      </w:r>
    </w:p>
    <w:p>
      <w:pPr>
        <w:spacing w:after="0" w:line="176" w:lineRule="exact"/>
        <w:rPr>
          <w:sz w:val="20"/>
          <w:szCs w:val="20"/>
          <w:color w:val="auto"/>
        </w:rPr>
      </w:pPr>
    </w:p>
    <w:p>
      <w:pPr>
        <w:ind w:right="260" w:firstLine="987"/>
        <w:spacing w:after="0" w:line="282" w:lineRule="auto"/>
        <w:tabs>
          <w:tab w:leader="none" w:pos="1378"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taken or omitted to be taken by it in good faith and believed by it to be authorized or within the discretion or rights or powers conferred upon it by this Indenture;</w:t>
      </w:r>
    </w:p>
    <w:p>
      <w:pPr>
        <w:spacing w:after="0" w:line="161" w:lineRule="exact"/>
        <w:rPr>
          <w:rFonts w:ascii="Times New Roman" w:cs="Times New Roman" w:eastAsia="Times New Roman" w:hAnsi="Times New Roman"/>
          <w:sz w:val="18"/>
          <w:szCs w:val="18"/>
          <w:color w:val="auto"/>
        </w:rPr>
      </w:pPr>
    </w:p>
    <w:p>
      <w:pPr>
        <w:ind w:right="60" w:firstLine="987"/>
        <w:spacing w:after="0" w:line="273" w:lineRule="auto"/>
        <w:tabs>
          <w:tab w:leader="none" w:pos="1378"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not be bound to make any investigation into the facts or matters stated in any resolution, certificate, statement, instrument, opinion, report, notice, request, consent, order, approval, bond, security, or other papers or documents,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costs, expenses or liabilities as a condition to so proceeding. The reasonable expense of every such examination shall be paid by the Company or, if paid by the Trustee, shall be repaid by the Company upon demand;</w:t>
      </w:r>
    </w:p>
    <w:p>
      <w:pPr>
        <w:spacing w:after="0" w:line="171" w:lineRule="exact"/>
        <w:rPr>
          <w:rFonts w:ascii="Times New Roman" w:cs="Times New Roman" w:eastAsia="Times New Roman" w:hAnsi="Times New Roman"/>
          <w:sz w:val="17"/>
          <w:szCs w:val="17"/>
          <w:color w:val="auto"/>
        </w:rPr>
      </w:pPr>
    </w:p>
    <w:p>
      <w:pPr>
        <w:ind w:right="280" w:firstLine="987"/>
        <w:spacing w:after="0" w:line="266" w:lineRule="auto"/>
        <w:tabs>
          <w:tab w:leader="none" w:pos="1378"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75" w:lineRule="exact"/>
        <w:rPr>
          <w:rFonts w:ascii="Times New Roman" w:cs="Times New Roman" w:eastAsia="Times New Roman" w:hAnsi="Times New Roman"/>
          <w:sz w:val="18"/>
          <w:szCs w:val="18"/>
          <w:color w:val="auto"/>
        </w:rPr>
      </w:pPr>
    </w:p>
    <w:p>
      <w:pPr>
        <w:ind w:right="180" w:firstLine="987"/>
        <w:spacing w:after="0" w:line="258" w:lineRule="auto"/>
        <w:tabs>
          <w:tab w:leader="none" w:pos="1381"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83" w:lineRule="exact"/>
        <w:rPr>
          <w:rFonts w:ascii="Times New Roman" w:cs="Times New Roman" w:eastAsia="Times New Roman" w:hAnsi="Times New Roman"/>
          <w:sz w:val="18"/>
          <w:szCs w:val="18"/>
          <w:color w:val="auto"/>
        </w:rPr>
      </w:pPr>
    </w:p>
    <w:p>
      <w:pPr>
        <w:ind w:right="20" w:firstLine="987"/>
        <w:spacing w:after="0" w:line="266" w:lineRule="auto"/>
        <w:tabs>
          <w:tab w:leader="none" w:pos="1381"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 and</w:t>
      </w:r>
    </w:p>
    <w:p>
      <w:pPr>
        <w:spacing w:after="0" w:line="175" w:lineRule="exact"/>
        <w:rPr>
          <w:rFonts w:ascii="Times New Roman" w:cs="Times New Roman" w:eastAsia="Times New Roman" w:hAnsi="Times New Roman"/>
          <w:sz w:val="18"/>
          <w:szCs w:val="18"/>
          <w:color w:val="auto"/>
        </w:rPr>
      </w:pPr>
    </w:p>
    <w:p>
      <w:pPr>
        <w:ind w:firstLine="987"/>
        <w:spacing w:after="0" w:line="253" w:lineRule="auto"/>
        <w:tabs>
          <w:tab w:leader="none" w:pos="1468"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agrees to accept and act upon instructions or directions pursuant to this Indenture sent by unsecured e-mail, facsimile transmission or other similar unsecured electronic methods; provided, however, that (a) the party providing such written instructions, subsequent to such transmission of written instructions, shall provide the originally executed instructions or directions to the Trustee in a timely manner, and (b) such originally executed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w:t>
      </w:r>
    </w:p>
    <w:p>
      <w:pPr>
        <w:spacing w:after="0" w:line="194"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In addition, the Trustee shall not be deemed to have knowledge of any Default or Event of Default until the Trustee shall have received written notification in the manner set forth in this Indenture or a Responsible Officer of the Trustee shall have obtained actual knowledge.</w:t>
      </w:r>
    </w:p>
    <w:p>
      <w:pPr>
        <w:spacing w:after="0" w:line="158"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7.03</w:t>
      </w:r>
      <w:r>
        <w:rPr>
          <w:sz w:val="20"/>
          <w:szCs w:val="20"/>
          <w:color w:val="auto"/>
        </w:rPr>
        <w:tab/>
      </w:r>
      <w:r>
        <w:rPr>
          <w:rFonts w:ascii="Times New Roman" w:cs="Times New Roman" w:eastAsia="Times New Roman" w:hAnsi="Times New Roman"/>
          <w:sz w:val="17"/>
          <w:szCs w:val="17"/>
          <w:b w:val="1"/>
          <w:bCs w:val="1"/>
          <w:color w:val="auto"/>
        </w:rPr>
        <w:t>Trustee Not Responsible for Recitals or Issuance or Securities.</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70" w:right="479" w:bottom="1440" w:gutter="0" w:footer="0" w:header="0"/>
        </w:sectPr>
      </w:pPr>
    </w:p>
    <w:bookmarkStart w:id="164" w:name="page165"/>
    <w:bookmarkEnd w:id="164"/>
    <w:p>
      <w:pPr>
        <w:ind w:right="500" w:firstLine="987"/>
        <w:spacing w:after="0" w:line="282" w:lineRule="auto"/>
        <w:tabs>
          <w:tab w:leader="none" w:pos="1378"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recitals contained herein and in the Securities shall be taken as the statements of the Company, and the Trustee assumes no responsibility for the correctness of the same.</w:t>
      </w:r>
    </w:p>
    <w:p>
      <w:pPr>
        <w:spacing w:after="0" w:line="161"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makes no representations as to the validity or sufficiency of this Indenture or of the Securities.</w:t>
      </w:r>
    </w:p>
    <w:p>
      <w:pPr>
        <w:spacing w:after="0" w:line="225" w:lineRule="exact"/>
        <w:rPr>
          <w:rFonts w:ascii="Times New Roman" w:cs="Times New Roman" w:eastAsia="Times New Roman" w:hAnsi="Times New Roman"/>
          <w:sz w:val="18"/>
          <w:szCs w:val="18"/>
          <w:color w:val="auto"/>
        </w:rPr>
      </w:pPr>
    </w:p>
    <w:p>
      <w:pPr>
        <w:ind w:right="300" w:firstLine="987"/>
        <w:spacing w:after="0" w:line="266" w:lineRule="auto"/>
        <w:tabs>
          <w:tab w:leader="none" w:pos="1378"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172"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7.04</w:t>
        <w:tab/>
        <w:t>May Hold Securities.</w:t>
      </w:r>
    </w:p>
    <w:p>
      <w:pPr>
        <w:spacing w:after="0" w:line="229"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158"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7.05</w:t>
      </w:r>
      <w:r>
        <w:rPr>
          <w:sz w:val="20"/>
          <w:szCs w:val="20"/>
          <w:color w:val="auto"/>
        </w:rPr>
        <w:tab/>
      </w:r>
      <w:r>
        <w:rPr>
          <w:rFonts w:ascii="Times New Roman" w:cs="Times New Roman" w:eastAsia="Times New Roman" w:hAnsi="Times New Roman"/>
          <w:sz w:val="17"/>
          <w:szCs w:val="17"/>
          <w:b w:val="1"/>
          <w:bCs w:val="1"/>
          <w:color w:val="auto"/>
        </w:rPr>
        <w:t>Moneys Held in Trust.</w:t>
      </w:r>
    </w:p>
    <w:p>
      <w:pPr>
        <w:spacing w:after="0" w:line="229"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172"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7.06</w:t>
      </w:r>
      <w:r>
        <w:rPr>
          <w:sz w:val="20"/>
          <w:szCs w:val="20"/>
          <w:color w:val="auto"/>
        </w:rPr>
        <w:tab/>
      </w:r>
      <w:r>
        <w:rPr>
          <w:rFonts w:ascii="Times New Roman" w:cs="Times New Roman" w:eastAsia="Times New Roman" w:hAnsi="Times New Roman"/>
          <w:sz w:val="17"/>
          <w:szCs w:val="17"/>
          <w:b w:val="1"/>
          <w:bCs w:val="1"/>
          <w:color w:val="auto"/>
        </w:rPr>
        <w:t>Compensation and Reimbursement.</w:t>
      </w:r>
    </w:p>
    <w:p>
      <w:pPr>
        <w:spacing w:after="0" w:line="229" w:lineRule="exact"/>
        <w:rPr>
          <w:sz w:val="20"/>
          <w:szCs w:val="20"/>
          <w:color w:val="auto"/>
        </w:rPr>
      </w:pPr>
    </w:p>
    <w:p>
      <w:pPr>
        <w:ind w:firstLine="987"/>
        <w:spacing w:after="0" w:line="253" w:lineRule="auto"/>
        <w:tabs>
          <w:tab w:leader="none" w:pos="1378"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to pay to the Trustee, and the Trustee shall be entitled to, such reasonable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or bad faith and except as the Company and Trustee may from time to time agree in writing. The Company also covenants to indemnify the Trustee (and its officers, agents, directors and employees) for, and to hold it harmless against, any loss, liability or expense incurred without negligence or bad faith on the part of the Trustee and arising out of or in connection with the acceptance or administration of this trust, including the reasonable costs and expenses of defending itself against any claim of liability in the premises.</w:t>
      </w:r>
    </w:p>
    <w:p>
      <w:pPr>
        <w:spacing w:after="0" w:line="191" w:lineRule="exact"/>
        <w:rPr>
          <w:rFonts w:ascii="Times New Roman" w:cs="Times New Roman" w:eastAsia="Times New Roman" w:hAnsi="Times New Roman"/>
          <w:sz w:val="18"/>
          <w:szCs w:val="18"/>
          <w:color w:val="auto"/>
        </w:rPr>
      </w:pPr>
    </w:p>
    <w:p>
      <w:pPr>
        <w:ind w:right="100" w:firstLine="987"/>
        <w:spacing w:after="0" w:line="261" w:lineRule="auto"/>
        <w:tabs>
          <w:tab w:leader="none" w:pos="1378"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under this Section to compensate and indemnify the Trustee and to pay or reimburse the Trustee for reasonable expenses, disbursements and advances shall constitute indebtedness of the Company to which the Securities are subordinated. Such additional indebtedness shall be secured by a lien prior to that of the Securities upon all property and funds held or collected by the Trustee as such, except funds held in trust for the benefit of the holders of particular Securities.</w:t>
      </w:r>
    </w:p>
    <w:p>
      <w:pPr>
        <w:spacing w:after="0" w:line="179" w:lineRule="exact"/>
        <w:rPr>
          <w:rFonts w:ascii="Times New Roman" w:cs="Times New Roman" w:eastAsia="Times New Roman" w:hAnsi="Times New Roman"/>
          <w:sz w:val="18"/>
          <w:szCs w:val="18"/>
          <w:color w:val="auto"/>
        </w:rPr>
      </w:pPr>
    </w:p>
    <w:p>
      <w:pPr>
        <w:ind w:right="40" w:firstLine="987"/>
        <w:spacing w:after="0" w:line="258" w:lineRule="auto"/>
        <w:tabs>
          <w:tab w:leader="none" w:pos="1378"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ensure the Company’s payment obligations in this Section, the Trustee shall have a lien prior to the Securities on all funds or property held or collected by the Trustee, except that held in trust to pay principal of or interest on particular Securities. When the Trustee incurs expenses or renders services in connection with an Event of Default specified in Section 6.01(1)(d) or (1)(e),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440" w:top="270" w:right="439" w:bottom="1440" w:gutter="0" w:footer="0" w:header="0"/>
        </w:sectPr>
      </w:pPr>
    </w:p>
    <w:bookmarkStart w:id="165" w:name="page166"/>
    <w:bookmarkEnd w:id="165"/>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7.07</w:t>
      </w:r>
      <w:r>
        <w:rPr>
          <w:sz w:val="20"/>
          <w:szCs w:val="20"/>
          <w:color w:val="auto"/>
        </w:rPr>
        <w:tab/>
      </w:r>
      <w:r>
        <w:rPr>
          <w:rFonts w:ascii="Times New Roman" w:cs="Times New Roman" w:eastAsia="Times New Roman" w:hAnsi="Times New Roman"/>
          <w:sz w:val="17"/>
          <w:szCs w:val="17"/>
          <w:b w:val="1"/>
          <w:bCs w:val="1"/>
          <w:color w:val="auto"/>
        </w:rPr>
        <w:t>Reliance on Officer’s Certificate.</w:t>
      </w:r>
    </w:p>
    <w:p>
      <w:pPr>
        <w:spacing w:after="0" w:line="229"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183"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7.08</w:t>
      </w:r>
      <w:r>
        <w:rPr>
          <w:sz w:val="20"/>
          <w:szCs w:val="20"/>
          <w:color w:val="auto"/>
        </w:rPr>
        <w:tab/>
      </w:r>
      <w:r>
        <w:rPr>
          <w:rFonts w:ascii="Times New Roman" w:cs="Times New Roman" w:eastAsia="Times New Roman" w:hAnsi="Times New Roman"/>
          <w:sz w:val="17"/>
          <w:szCs w:val="17"/>
          <w:b w:val="1"/>
          <w:bCs w:val="1"/>
          <w:color w:val="auto"/>
        </w:rPr>
        <w:t>Disqualification; Conflicting Interests.</w:t>
      </w:r>
    </w:p>
    <w:p>
      <w:pPr>
        <w:spacing w:after="0" w:line="229"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158"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7.09</w:t>
      </w:r>
      <w:r>
        <w:rPr>
          <w:sz w:val="20"/>
          <w:szCs w:val="20"/>
          <w:color w:val="auto"/>
        </w:rPr>
        <w:tab/>
      </w:r>
      <w:r>
        <w:rPr>
          <w:rFonts w:ascii="Times New Roman" w:cs="Times New Roman" w:eastAsia="Times New Roman" w:hAnsi="Times New Roman"/>
          <w:sz w:val="17"/>
          <w:szCs w:val="17"/>
          <w:b w:val="1"/>
          <w:bCs w:val="1"/>
          <w:color w:val="auto"/>
        </w:rPr>
        <w:t>Corporate Trustee Required; Eligibility.</w:t>
      </w:r>
    </w:p>
    <w:p>
      <w:pPr>
        <w:spacing w:after="0" w:line="229" w:lineRule="exact"/>
        <w:rPr>
          <w:sz w:val="20"/>
          <w:szCs w:val="20"/>
          <w:color w:val="auto"/>
        </w:rPr>
      </w:pPr>
    </w:p>
    <w:p>
      <w:pPr>
        <w:jc w:val="both"/>
        <w:ind w:right="60" w:firstLine="440"/>
        <w:spacing w:after="0" w:line="281" w:lineRule="auto"/>
        <w:rPr>
          <w:sz w:val="20"/>
          <w:szCs w:val="20"/>
          <w:color w:val="auto"/>
        </w:rPr>
      </w:pPr>
      <w:r>
        <w:rPr>
          <w:rFonts w:ascii="Times New Roman" w:cs="Times New Roman" w:eastAsia="Times New Roman" w:hAnsi="Times New Roman"/>
          <w:sz w:val="17"/>
          <w:szCs w:val="17"/>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spacing w:after="0" w:line="164"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183"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7.10</w:t>
      </w:r>
      <w:r>
        <w:rPr>
          <w:sz w:val="20"/>
          <w:szCs w:val="20"/>
          <w:color w:val="auto"/>
        </w:rPr>
        <w:tab/>
      </w:r>
      <w:r>
        <w:rPr>
          <w:rFonts w:ascii="Times New Roman" w:cs="Times New Roman" w:eastAsia="Times New Roman" w:hAnsi="Times New Roman"/>
          <w:sz w:val="17"/>
          <w:szCs w:val="17"/>
          <w:b w:val="1"/>
          <w:bCs w:val="1"/>
          <w:color w:val="auto"/>
        </w:rPr>
        <w:t>Resignation and Removal; Appointment of Successor.</w:t>
      </w:r>
    </w:p>
    <w:p>
      <w:pPr>
        <w:spacing w:after="0" w:line="229" w:lineRule="exact"/>
        <w:rPr>
          <w:sz w:val="20"/>
          <w:szCs w:val="20"/>
          <w:color w:val="auto"/>
        </w:rPr>
      </w:pPr>
    </w:p>
    <w:p>
      <w:pPr>
        <w:ind w:firstLine="987"/>
        <w:spacing w:after="0" w:line="271" w:lineRule="auto"/>
        <w:tabs>
          <w:tab w:leader="none" w:pos="1378"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or any successor hereafter appointed may at any time resign with respect to the Securities of one or more series by giving written notice thereof to the Company and by transmitting notice of resignation by mail, first class postage prepaid,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173" w:lineRule="exact"/>
        <w:rPr>
          <w:rFonts w:ascii="Times New Roman" w:cs="Times New Roman" w:eastAsia="Times New Roman" w:hAnsi="Times New Roman"/>
          <w:sz w:val="17"/>
          <w:szCs w:val="17"/>
          <w:color w:val="auto"/>
        </w:rPr>
      </w:pPr>
    </w:p>
    <w:p>
      <w:pPr>
        <w:ind w:left="1380" w:hanging="393"/>
        <w:spacing w:after="0"/>
        <w:tabs>
          <w:tab w:leader="none" w:pos="13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any one of the following shall occur:</w:t>
      </w:r>
    </w:p>
    <w:p>
      <w:pPr>
        <w:spacing w:after="0" w:line="117" w:lineRule="exact"/>
        <w:rPr>
          <w:rFonts w:ascii="Times New Roman" w:cs="Times New Roman" w:eastAsia="Times New Roman" w:hAnsi="Times New Roman"/>
          <w:sz w:val="18"/>
          <w:szCs w:val="18"/>
          <w:color w:val="auto"/>
        </w:rPr>
      </w:pPr>
    </w:p>
    <w:p>
      <w:pPr>
        <w:ind w:left="980" w:right="360" w:firstLine="408"/>
        <w:spacing w:after="0" w:line="282" w:lineRule="auto"/>
        <w:tabs>
          <w:tab w:leader="none" w:pos="176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fail to comply with the provisions of Section 7.08 after written request therefor by the Company or by any Securityholder who has been a bona fide holder of a Security or Securities for at least six months; 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66" w:right="459" w:bottom="1440" w:gutter="0" w:footer="0" w:header="0"/>
        </w:sectPr>
      </w:pPr>
    </w:p>
    <w:bookmarkStart w:id="166" w:name="page167"/>
    <w:bookmarkEnd w:id="166"/>
    <w:p>
      <w:pPr>
        <w:ind w:left="980" w:right="440" w:firstLine="408"/>
        <w:spacing w:after="0" w:line="282" w:lineRule="auto"/>
        <w:tabs>
          <w:tab w:leader="none" w:pos="1771"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cease to be eligible in accordance with the provisions of Section 7.09 and shall fail to resign after written request therefor by the Company or by any such Securityholder; or</w:t>
      </w:r>
    </w:p>
    <w:p>
      <w:pPr>
        <w:spacing w:after="0" w:line="53" w:lineRule="exact"/>
        <w:rPr>
          <w:rFonts w:ascii="Times New Roman" w:cs="Times New Roman" w:eastAsia="Times New Roman" w:hAnsi="Times New Roman"/>
          <w:sz w:val="18"/>
          <w:szCs w:val="18"/>
          <w:color w:val="auto"/>
        </w:rPr>
      </w:pPr>
    </w:p>
    <w:p>
      <w:pPr>
        <w:ind w:left="980" w:firstLine="408"/>
        <w:spacing w:after="0" w:line="266" w:lineRule="auto"/>
        <w:tabs>
          <w:tab w:leader="none" w:pos="17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spacing w:after="0" w:line="176"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87" w:lineRule="exact"/>
        <w:rPr>
          <w:sz w:val="20"/>
          <w:szCs w:val="20"/>
          <w:color w:val="auto"/>
        </w:rPr>
      </w:pPr>
    </w:p>
    <w:p>
      <w:pPr>
        <w:ind w:firstLine="987"/>
        <w:spacing w:after="0" w:line="266" w:lineRule="auto"/>
        <w:tabs>
          <w:tab w:leader="none" w:pos="137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175" w:lineRule="exact"/>
        <w:rPr>
          <w:rFonts w:ascii="Times New Roman" w:cs="Times New Roman" w:eastAsia="Times New Roman" w:hAnsi="Times New Roman"/>
          <w:sz w:val="18"/>
          <w:szCs w:val="18"/>
          <w:color w:val="auto"/>
        </w:rPr>
      </w:pPr>
    </w:p>
    <w:p>
      <w:pPr>
        <w:ind w:right="40" w:firstLine="987"/>
        <w:spacing w:after="0" w:line="282" w:lineRule="auto"/>
        <w:tabs>
          <w:tab w:leader="none" w:pos="1371"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161" w:lineRule="exact"/>
        <w:rPr>
          <w:rFonts w:ascii="Times New Roman" w:cs="Times New Roman" w:eastAsia="Times New Roman" w:hAnsi="Times New Roman"/>
          <w:sz w:val="18"/>
          <w:szCs w:val="18"/>
          <w:color w:val="auto"/>
        </w:rPr>
      </w:pPr>
    </w:p>
    <w:p>
      <w:pPr>
        <w:ind w:right="140" w:firstLine="987"/>
        <w:spacing w:after="0" w:line="282" w:lineRule="auto"/>
        <w:tabs>
          <w:tab w:leader="none" w:pos="1371"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158" w:lineRule="exact"/>
        <w:rPr>
          <w:sz w:val="20"/>
          <w:szCs w:val="20"/>
          <w:color w:val="auto"/>
        </w:rPr>
      </w:pPr>
    </w:p>
    <w:p>
      <w:pPr>
        <w:ind w:left="44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Section 7.11</w:t>
      </w:r>
      <w:r>
        <w:rPr>
          <w:sz w:val="20"/>
          <w:szCs w:val="20"/>
          <w:color w:val="auto"/>
        </w:rPr>
        <w:tab/>
      </w:r>
      <w:r>
        <w:rPr>
          <w:rFonts w:ascii="Times New Roman" w:cs="Times New Roman" w:eastAsia="Times New Roman" w:hAnsi="Times New Roman"/>
          <w:sz w:val="17"/>
          <w:szCs w:val="17"/>
          <w:b w:val="1"/>
          <w:bCs w:val="1"/>
          <w:color w:val="auto"/>
        </w:rPr>
        <w:t>Acceptance of Appointment By Successor.</w:t>
      </w:r>
    </w:p>
    <w:p>
      <w:pPr>
        <w:spacing w:after="0" w:line="229" w:lineRule="exact"/>
        <w:rPr>
          <w:sz w:val="20"/>
          <w:szCs w:val="20"/>
          <w:color w:val="auto"/>
        </w:rPr>
      </w:pPr>
    </w:p>
    <w:p>
      <w:pPr>
        <w:ind w:right="200" w:firstLine="987"/>
        <w:spacing w:after="0" w:line="255" w:lineRule="auto"/>
        <w:tabs>
          <w:tab w:leader="none" w:pos="1381"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88" w:lineRule="exact"/>
        <w:rPr>
          <w:rFonts w:ascii="Times New Roman" w:cs="Times New Roman" w:eastAsia="Times New Roman" w:hAnsi="Times New Roman"/>
          <w:sz w:val="18"/>
          <w:szCs w:val="18"/>
          <w:color w:val="auto"/>
        </w:rPr>
      </w:pPr>
    </w:p>
    <w:p>
      <w:pPr>
        <w:ind w:right="140" w:firstLine="987"/>
        <w:spacing w:after="0" w:line="253" w:lineRule="auto"/>
        <w:tabs>
          <w:tab w:leader="none" w:pos="1381"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167" w:name="page168"/>
    <w:bookmarkEnd w:id="167"/>
    <w:p>
      <w:pPr>
        <w:ind w:right="1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187" w:lineRule="exact"/>
        <w:rPr>
          <w:sz w:val="20"/>
          <w:szCs w:val="20"/>
          <w:color w:val="auto"/>
        </w:rPr>
      </w:pPr>
    </w:p>
    <w:p>
      <w:pPr>
        <w:ind w:firstLine="987"/>
        <w:spacing w:after="0" w:line="282" w:lineRule="auto"/>
        <w:tabs>
          <w:tab w:leader="none" w:pos="1381"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61" w:lineRule="exact"/>
        <w:rPr>
          <w:rFonts w:ascii="Times New Roman" w:cs="Times New Roman" w:eastAsia="Times New Roman" w:hAnsi="Times New Roman"/>
          <w:sz w:val="18"/>
          <w:szCs w:val="18"/>
          <w:color w:val="auto"/>
        </w:rPr>
      </w:pPr>
    </w:p>
    <w:p>
      <w:pPr>
        <w:ind w:right="180" w:firstLine="987"/>
        <w:spacing w:after="0" w:line="282" w:lineRule="auto"/>
        <w:tabs>
          <w:tab w:leader="none" w:pos="1381"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successor trustee shall accept its appointment unless at the time of such acceptance such successor trustee shall be qualified and eligible under this Article.</w:t>
      </w:r>
    </w:p>
    <w:p>
      <w:pPr>
        <w:spacing w:after="0" w:line="161" w:lineRule="exact"/>
        <w:rPr>
          <w:rFonts w:ascii="Times New Roman" w:cs="Times New Roman" w:eastAsia="Times New Roman" w:hAnsi="Times New Roman"/>
          <w:sz w:val="18"/>
          <w:szCs w:val="18"/>
          <w:color w:val="auto"/>
        </w:rPr>
      </w:pPr>
    </w:p>
    <w:p>
      <w:pPr>
        <w:ind w:right="180" w:firstLine="987"/>
        <w:spacing w:after="0" w:line="261" w:lineRule="auto"/>
        <w:tabs>
          <w:tab w:leader="none" w:pos="1381"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spacing w:after="0" w:line="176"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7.12</w:t>
      </w:r>
      <w:r>
        <w:rPr>
          <w:sz w:val="20"/>
          <w:szCs w:val="20"/>
          <w:color w:val="auto"/>
        </w:rPr>
        <w:tab/>
      </w:r>
      <w:r>
        <w:rPr>
          <w:rFonts w:ascii="Times New Roman" w:cs="Times New Roman" w:eastAsia="Times New Roman" w:hAnsi="Times New Roman"/>
          <w:sz w:val="17"/>
          <w:szCs w:val="17"/>
          <w:b w:val="1"/>
          <w:bCs w:val="1"/>
          <w:color w:val="auto"/>
        </w:rPr>
        <w:t>Merger, Conversion, Consolidation or Succession to Business.</w:t>
      </w:r>
    </w:p>
    <w:p>
      <w:pPr>
        <w:spacing w:after="0" w:line="229"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including the administration of the trust created by this Indenture,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85"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7.13</w:t>
      </w:r>
      <w:r>
        <w:rPr>
          <w:sz w:val="20"/>
          <w:szCs w:val="20"/>
          <w:color w:val="auto"/>
        </w:rPr>
        <w:tab/>
      </w:r>
      <w:r>
        <w:rPr>
          <w:rFonts w:ascii="Times New Roman" w:cs="Times New Roman" w:eastAsia="Times New Roman" w:hAnsi="Times New Roman"/>
          <w:sz w:val="17"/>
          <w:szCs w:val="17"/>
          <w:b w:val="1"/>
          <w:bCs w:val="1"/>
          <w:color w:val="auto"/>
        </w:rPr>
        <w:t>Preferential Collection of Claims Against the Company.</w:t>
      </w:r>
    </w:p>
    <w:p>
      <w:pPr>
        <w:spacing w:after="0" w:line="229" w:lineRule="exact"/>
        <w:rPr>
          <w:sz w:val="20"/>
          <w:szCs w:val="20"/>
          <w:color w:val="auto"/>
        </w:rPr>
      </w:pPr>
    </w:p>
    <w:p>
      <w:pPr>
        <w:jc w:val="both"/>
        <w:ind w:right="300" w:firstLine="440"/>
        <w:spacing w:after="0" w:line="266" w:lineRule="auto"/>
        <w:rPr>
          <w:sz w:val="20"/>
          <w:szCs w:val="20"/>
          <w:color w:val="auto"/>
        </w:rPr>
      </w:pPr>
      <w:r>
        <w:rPr>
          <w:rFonts w:ascii="Times New Roman" w:cs="Times New Roman" w:eastAsia="Times New Roman" w:hAnsi="Times New Roman"/>
          <w:sz w:val="18"/>
          <w:szCs w:val="18"/>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72"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7.14</w:t>
      </w:r>
      <w:r>
        <w:rPr>
          <w:sz w:val="20"/>
          <w:szCs w:val="20"/>
          <w:color w:val="auto"/>
        </w:rPr>
        <w:tab/>
      </w:r>
      <w:r>
        <w:rPr>
          <w:rFonts w:ascii="Times New Roman" w:cs="Times New Roman" w:eastAsia="Times New Roman" w:hAnsi="Times New Roman"/>
          <w:sz w:val="17"/>
          <w:szCs w:val="17"/>
          <w:b w:val="1"/>
          <w:bCs w:val="1"/>
          <w:color w:val="auto"/>
        </w:rPr>
        <w:t>Notice of Default.</w:t>
      </w:r>
    </w:p>
    <w:p>
      <w:pPr>
        <w:spacing w:after="0" w:line="22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If any Event of Default occurs and is continuing and if such Event of Default is known to a Responsible Officer of the Trustee, the Trustee shall mail to each Securityholder in the manner and to the extent provided in Section 313(c) of the Trust Indenture Act notice of the Event of Default within the earlier of 90 days after it occurs and 30 days after it is known to a Responsible Officer of the Trustee or written notice of it is received by the Trustee, unless such Event of Default has been cured;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except in the case of a default in the payment of the principal of (or premium, if any) or interest on any Security, the Trustee shall be protected in withholding such notice if and so long as the board of directors, the executive committee or a trust committee of directors and/or Responsible Officers of the Trustee in good faith determine that the withholding of such notice is in the interest of the Securityholders.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440" w:top="270" w:right="439" w:bottom="1440" w:gutter="0" w:footer="0" w:header="0"/>
        </w:sectPr>
      </w:pPr>
    </w:p>
    <w:bookmarkStart w:id="168" w:name="page169"/>
    <w:bookmarkEnd w:id="16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8</w:t>
      </w:r>
    </w:p>
    <w:p>
      <w:pPr>
        <w:spacing w:after="0" w:line="22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CONCERNING THE SECURITYHOLDERS</w:t>
      </w:r>
    </w:p>
    <w:p>
      <w:pPr>
        <w:spacing w:after="0" w:line="225"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8.01</w:t>
      </w:r>
      <w:r>
        <w:rPr>
          <w:sz w:val="20"/>
          <w:szCs w:val="20"/>
          <w:color w:val="auto"/>
        </w:rPr>
        <w:tab/>
      </w:r>
      <w:r>
        <w:rPr>
          <w:rFonts w:ascii="Times New Roman" w:cs="Times New Roman" w:eastAsia="Times New Roman" w:hAnsi="Times New Roman"/>
          <w:sz w:val="17"/>
          <w:szCs w:val="17"/>
          <w:b w:val="1"/>
          <w:bCs w:val="1"/>
          <w:color w:val="auto"/>
        </w:rPr>
        <w:t>Evidence of Action by Securityholders.</w:t>
      </w:r>
    </w:p>
    <w:p>
      <w:pPr>
        <w:spacing w:after="0" w:line="22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83"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190"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8.02</w:t>
      </w:r>
      <w:r>
        <w:rPr>
          <w:sz w:val="20"/>
          <w:szCs w:val="20"/>
          <w:color w:val="auto"/>
        </w:rPr>
        <w:tab/>
      </w:r>
      <w:r>
        <w:rPr>
          <w:rFonts w:ascii="Times New Roman" w:cs="Times New Roman" w:eastAsia="Times New Roman" w:hAnsi="Times New Roman"/>
          <w:sz w:val="17"/>
          <w:szCs w:val="17"/>
          <w:b w:val="1"/>
          <w:bCs w:val="1"/>
          <w:color w:val="auto"/>
        </w:rPr>
        <w:t>Proof of Execution by Securityholders.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Subject to the provisions of Section 7.01, proof of the execution of any instrument by a Securityholder (such proof will not require notarization) or his agent or proxy and proof of the holding by any Person of any of the Securities shall be sufficient if made in the following manner:</w:t>
      </w:r>
    </w:p>
    <w:p>
      <w:pPr>
        <w:spacing w:after="0" w:line="54" w:lineRule="exact"/>
        <w:rPr>
          <w:sz w:val="20"/>
          <w:szCs w:val="20"/>
          <w:color w:val="auto"/>
        </w:rPr>
      </w:pPr>
    </w:p>
    <w:p>
      <w:pPr>
        <w:ind w:left="980"/>
        <w:spacing w:after="0"/>
        <w:tabs>
          <w:tab w:leader="none" w:pos="13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The fact and date of the execution by any such Person of any instrument may be proved in any reasonable manner acceptable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w:t>
      </w:r>
    </w:p>
    <w:p>
      <w:pPr>
        <w:spacing w:after="0" w:line="207" w:lineRule="exact"/>
        <w:rPr>
          <w:sz w:val="20"/>
          <w:szCs w:val="20"/>
          <w:color w:val="auto"/>
        </w:rPr>
      </w:pPr>
    </w:p>
    <w:p>
      <w:pPr>
        <w:ind w:left="980"/>
        <w:spacing w:after="0"/>
        <w:tabs>
          <w:tab w:leader="none" w:pos="136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7"/>
          <w:szCs w:val="17"/>
          <w:color w:val="auto"/>
        </w:rPr>
        <w:t>The ownership of Securities shall be proved by the Security Register of such Securities or by a certificate of the Security Registrar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Trustee may require such additional proof of any matter referred to in this Section as it shall deem necessary.</w:t>
      </w:r>
    </w:p>
    <w:p>
      <w:pPr>
        <w:spacing w:after="0" w:line="221"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8.03</w:t>
      </w:r>
      <w:r>
        <w:rPr>
          <w:sz w:val="20"/>
          <w:szCs w:val="20"/>
          <w:color w:val="auto"/>
        </w:rPr>
        <w:tab/>
      </w:r>
      <w:r>
        <w:rPr>
          <w:rFonts w:ascii="Times New Roman" w:cs="Times New Roman" w:eastAsia="Times New Roman" w:hAnsi="Times New Roman"/>
          <w:sz w:val="17"/>
          <w:szCs w:val="17"/>
          <w:b w:val="1"/>
          <w:bCs w:val="1"/>
          <w:color w:val="auto"/>
        </w:rPr>
        <w:t>Who May be Deemed Owners.</w:t>
      </w:r>
    </w:p>
    <w:p>
      <w:pPr>
        <w:spacing w:after="0" w:line="229"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Prior to the due presentment for registration of transfer of any Security, the Company, the Trustee, any paying agent and any Security Registrar may deem and treat the Person in whose name such Security shall be registered upon the books of the Company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183"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8.04</w:t>
      </w:r>
      <w:r>
        <w:rPr>
          <w:sz w:val="20"/>
          <w:szCs w:val="20"/>
          <w:color w:val="auto"/>
        </w:rPr>
        <w:tab/>
      </w:r>
      <w:r>
        <w:rPr>
          <w:rFonts w:ascii="Times New Roman" w:cs="Times New Roman" w:eastAsia="Times New Roman" w:hAnsi="Times New Roman"/>
          <w:sz w:val="17"/>
          <w:szCs w:val="17"/>
          <w:b w:val="1"/>
          <w:bCs w:val="1"/>
          <w:color w:val="auto"/>
        </w:rPr>
        <w:t>Certain Securities Owned by Company Disregarded.</w:t>
      </w:r>
    </w:p>
    <w:p>
      <w:pPr>
        <w:spacing w:after="0" w:line="229"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In determining whether the holders of the requisite aggregate principal amount of Securities of a particular series have concurred in any direction, consent or waiver under this Indenture, the Securities of that series that are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66" w:right="459" w:bottom="1440" w:gutter="0" w:footer="0" w:header="0"/>
        </w:sectPr>
      </w:pPr>
    </w:p>
    <w:bookmarkStart w:id="169" w:name="page170"/>
    <w:bookmarkEnd w:id="169"/>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188" w:lineRule="exact"/>
        <w:rPr>
          <w:sz w:val="20"/>
          <w:szCs w:val="20"/>
          <w:color w:val="auto"/>
        </w:rPr>
      </w:pPr>
    </w:p>
    <w:p>
      <w:pPr>
        <w:ind w:left="44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Section 8.05</w:t>
      </w:r>
      <w:r>
        <w:rPr>
          <w:sz w:val="20"/>
          <w:szCs w:val="20"/>
          <w:color w:val="auto"/>
        </w:rPr>
        <w:tab/>
      </w:r>
      <w:r>
        <w:rPr>
          <w:rFonts w:ascii="Times New Roman" w:cs="Times New Roman" w:eastAsia="Times New Roman" w:hAnsi="Times New Roman"/>
          <w:sz w:val="17"/>
          <w:szCs w:val="17"/>
          <w:b w:val="1"/>
          <w:bCs w:val="1"/>
          <w:color w:val="auto"/>
        </w:rPr>
        <w:t>Actions Binding on Future Securityholders.</w:t>
      </w:r>
    </w:p>
    <w:p>
      <w:pPr>
        <w:spacing w:after="0" w:line="229"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22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SUPPLEMENTAL INDENTURES</w:t>
      </w:r>
    </w:p>
    <w:p>
      <w:pPr>
        <w:spacing w:after="0" w:line="225"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9.01</w:t>
      </w:r>
      <w:r>
        <w:rPr>
          <w:sz w:val="20"/>
          <w:szCs w:val="20"/>
          <w:color w:val="auto"/>
        </w:rPr>
        <w:tab/>
      </w:r>
      <w:r>
        <w:rPr>
          <w:rFonts w:ascii="Times New Roman" w:cs="Times New Roman" w:eastAsia="Times New Roman" w:hAnsi="Times New Roman"/>
          <w:sz w:val="17"/>
          <w:szCs w:val="17"/>
          <w:b w:val="1"/>
          <w:bCs w:val="1"/>
          <w:color w:val="auto"/>
        </w:rPr>
        <w:t>Supplemental Indentures Without the Consent of Securityholders.</w:t>
      </w:r>
    </w:p>
    <w:p>
      <w:pPr>
        <w:spacing w:after="0" w:line="229"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68" w:lineRule="exact"/>
        <w:rPr>
          <w:sz w:val="20"/>
          <w:szCs w:val="20"/>
          <w:color w:val="auto"/>
        </w:rPr>
      </w:pPr>
    </w:p>
    <w:p>
      <w:pPr>
        <w:ind w:left="1380" w:hanging="393"/>
        <w:spacing w:after="0"/>
        <w:tabs>
          <w:tab w:leader="none" w:pos="13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herein or in the Securities of any series;</w:t>
      </w:r>
    </w:p>
    <w:p>
      <w:pPr>
        <w:spacing w:after="0" w:line="225"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Article Ten;</w:t>
      </w:r>
    </w:p>
    <w:p>
      <w:pPr>
        <w:spacing w:after="0" w:line="225"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225" w:lineRule="exact"/>
        <w:rPr>
          <w:rFonts w:ascii="Times New Roman" w:cs="Times New Roman" w:eastAsia="Times New Roman" w:hAnsi="Times New Roman"/>
          <w:sz w:val="18"/>
          <w:szCs w:val="18"/>
          <w:color w:val="auto"/>
        </w:rPr>
      </w:pPr>
    </w:p>
    <w:p>
      <w:pPr>
        <w:ind w:right="80" w:firstLine="987"/>
        <w:spacing w:after="0" w:line="258" w:lineRule="auto"/>
        <w:tabs>
          <w:tab w:leader="none" w:pos="1381"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spacing w:after="0" w:line="183" w:lineRule="exact"/>
        <w:rPr>
          <w:rFonts w:ascii="Times New Roman" w:cs="Times New Roman" w:eastAsia="Times New Roman" w:hAnsi="Times New Roman"/>
          <w:sz w:val="18"/>
          <w:szCs w:val="18"/>
          <w:color w:val="auto"/>
        </w:rPr>
      </w:pPr>
    </w:p>
    <w:p>
      <w:pPr>
        <w:ind w:right="300" w:firstLine="987"/>
        <w:spacing w:after="0" w:line="282" w:lineRule="auto"/>
        <w:tabs>
          <w:tab w:leader="none" w:pos="1381"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Securities, as herein set forth;</w:t>
      </w:r>
    </w:p>
    <w:p>
      <w:pPr>
        <w:spacing w:after="0" w:line="161"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Securityholder in any material respect;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40" w:top="270" w:right="479" w:bottom="1440" w:gutter="0" w:footer="0" w:header="0"/>
        </w:sectPr>
      </w:pPr>
    </w:p>
    <w:bookmarkStart w:id="170" w:name="page171"/>
    <w:bookmarkEnd w:id="170"/>
    <w:p>
      <w:pPr>
        <w:ind w:left="1380" w:hanging="393"/>
        <w:spacing w:after="0"/>
        <w:tabs>
          <w:tab w:leader="none" w:pos="13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provide for the issuance of and establish the form and terms and conditions of the Securities of any series as provided in</w:t>
      </w:r>
    </w:p>
    <w:p>
      <w:pPr>
        <w:spacing w:after="0" w:line="27"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Section 2.01, to establish the form of any certifications required to be furnished pursuant to the terms of this Indenture or any series of Securities, or to add to the rights of the holders of any series of Securities;</w:t>
      </w:r>
    </w:p>
    <w:p>
      <w:pPr>
        <w:spacing w:after="0" w:line="181" w:lineRule="exact"/>
        <w:rPr>
          <w:sz w:val="20"/>
          <w:szCs w:val="20"/>
          <w:color w:val="auto"/>
        </w:rPr>
      </w:pPr>
    </w:p>
    <w:p>
      <w:pPr>
        <w:ind w:left="1380" w:hanging="393"/>
        <w:spacing w:after="0"/>
        <w:tabs>
          <w:tab w:leader="none" w:pos="13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 or</w:t>
      </w:r>
    </w:p>
    <w:p>
      <w:pPr>
        <w:spacing w:after="0" w:line="225" w:lineRule="exact"/>
        <w:rPr>
          <w:rFonts w:ascii="Times New Roman" w:cs="Times New Roman" w:eastAsia="Times New Roman" w:hAnsi="Times New Roman"/>
          <w:sz w:val="18"/>
          <w:szCs w:val="18"/>
          <w:color w:val="auto"/>
        </w:rPr>
      </w:pPr>
    </w:p>
    <w:p>
      <w:pPr>
        <w:ind w:right="20" w:firstLine="987"/>
        <w:spacing w:after="0" w:line="282" w:lineRule="auto"/>
        <w:tabs>
          <w:tab w:leader="none" w:pos="1381"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Commission or any successor in connection with the qualification of this Indenture under the Trust Indenture Act.</w:t>
      </w:r>
    </w:p>
    <w:p>
      <w:pPr>
        <w:spacing w:after="0" w:line="162" w:lineRule="exact"/>
        <w:rPr>
          <w:sz w:val="20"/>
          <w:szCs w:val="20"/>
          <w:color w:val="auto"/>
        </w:rPr>
      </w:pPr>
    </w:p>
    <w:p>
      <w:pPr>
        <w:ind w:right="600" w:firstLine="440"/>
        <w:spacing w:after="0" w:line="266" w:lineRule="auto"/>
        <w:rPr>
          <w:sz w:val="20"/>
          <w:szCs w:val="20"/>
          <w:color w:val="auto"/>
        </w:rPr>
      </w:pPr>
      <w:r>
        <w:rPr>
          <w:rFonts w:ascii="Times New Roman" w:cs="Times New Roman" w:eastAsia="Times New Roman" w:hAnsi="Times New Roman"/>
          <w:sz w:val="18"/>
          <w:szCs w:val="18"/>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76"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spacing w:after="0" w:line="158"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9.02</w:t>
      </w:r>
      <w:r>
        <w:rPr>
          <w:sz w:val="20"/>
          <w:szCs w:val="20"/>
          <w:color w:val="auto"/>
        </w:rPr>
        <w:tab/>
      </w:r>
      <w:r>
        <w:rPr>
          <w:rFonts w:ascii="Times New Roman" w:cs="Times New Roman" w:eastAsia="Times New Roman" w:hAnsi="Times New Roman"/>
          <w:sz w:val="17"/>
          <w:szCs w:val="17"/>
          <w:b w:val="1"/>
          <w:bCs w:val="1"/>
          <w:color w:val="auto"/>
        </w:rPr>
        <w:t>Supplemental Indentures With Consent of Securityholders.</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spacing w:after="0" w:line="188"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158"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9.03</w:t>
      </w:r>
      <w:r>
        <w:rPr>
          <w:sz w:val="20"/>
          <w:szCs w:val="20"/>
          <w:color w:val="auto"/>
        </w:rPr>
        <w:tab/>
      </w:r>
      <w:r>
        <w:rPr>
          <w:rFonts w:ascii="Times New Roman" w:cs="Times New Roman" w:eastAsia="Times New Roman" w:hAnsi="Times New Roman"/>
          <w:sz w:val="17"/>
          <w:szCs w:val="17"/>
          <w:b w:val="1"/>
          <w:bCs w:val="1"/>
          <w:color w:val="auto"/>
        </w:rPr>
        <w:t>Effect of Supplemental Indentures.</w:t>
      </w:r>
    </w:p>
    <w:p>
      <w:pPr>
        <w:spacing w:after="0" w:line="229"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79" w:lineRule="exact"/>
        <w:rPr>
          <w:sz w:val="20"/>
          <w:szCs w:val="20"/>
          <w:color w:val="auto"/>
        </w:rPr>
      </w:pPr>
    </w:p>
    <w:p>
      <w:pPr>
        <w:ind w:left="440"/>
        <w:spacing w:after="0"/>
        <w:tabs>
          <w:tab w:leader="none" w:pos="1520" w:val="left"/>
        </w:tabs>
        <w:rPr>
          <w:sz w:val="20"/>
          <w:szCs w:val="20"/>
          <w:color w:val="auto"/>
        </w:rPr>
      </w:pPr>
      <w:r>
        <w:rPr>
          <w:rFonts w:ascii="Times New Roman" w:cs="Times New Roman" w:eastAsia="Times New Roman" w:hAnsi="Times New Roman"/>
          <w:sz w:val="18"/>
          <w:szCs w:val="18"/>
          <w:b w:val="1"/>
          <w:bCs w:val="1"/>
          <w:color w:val="auto"/>
        </w:rPr>
        <w:t>Section 9.04</w:t>
      </w:r>
      <w:r>
        <w:rPr>
          <w:sz w:val="20"/>
          <w:szCs w:val="20"/>
          <w:color w:val="auto"/>
        </w:rPr>
        <w:tab/>
      </w:r>
      <w:r>
        <w:rPr>
          <w:rFonts w:ascii="Times New Roman" w:cs="Times New Roman" w:eastAsia="Times New Roman" w:hAnsi="Times New Roman"/>
          <w:sz w:val="17"/>
          <w:szCs w:val="17"/>
          <w:b w:val="1"/>
          <w:bCs w:val="1"/>
          <w:color w:val="auto"/>
        </w:rPr>
        <w:t>Securities Affected by Supplemental Indentures.</w:t>
      </w:r>
    </w:p>
    <w:p>
      <w:pPr>
        <w:spacing w:after="0" w:line="229" w:lineRule="exact"/>
        <w:rPr>
          <w:sz w:val="20"/>
          <w:szCs w:val="20"/>
          <w:color w:val="auto"/>
        </w:rPr>
      </w:pPr>
    </w:p>
    <w:p>
      <w:pPr>
        <w:jc w:val="both"/>
        <w:ind w:right="400" w:firstLine="440"/>
        <w:spacing w:after="0" w:line="261" w:lineRule="auto"/>
        <w:rPr>
          <w:sz w:val="20"/>
          <w:szCs w:val="20"/>
          <w:color w:val="auto"/>
        </w:rPr>
      </w:pPr>
      <w:r>
        <w:rPr>
          <w:rFonts w:ascii="Times New Roman" w:cs="Times New Roman" w:eastAsia="Times New Roman" w:hAnsi="Times New Roman"/>
          <w:sz w:val="18"/>
          <w:szCs w:val="18"/>
          <w:color w:val="auto"/>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0"/>
          </w:cols>
          <w:pgMar w:left="440" w:top="270" w:right="479" w:bottom="1440" w:gutter="0" w:footer="0" w:header="0"/>
        </w:sectPr>
      </w:pPr>
    </w:p>
    <w:bookmarkStart w:id="171" w:name="page172"/>
    <w:bookmarkEnd w:id="171"/>
    <w:p>
      <w:pPr>
        <w:ind w:left="4"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172" w:lineRule="exact"/>
        <w:rPr>
          <w:sz w:val="20"/>
          <w:szCs w:val="20"/>
          <w:color w:val="auto"/>
        </w:rPr>
      </w:pPr>
    </w:p>
    <w:p>
      <w:pPr>
        <w:ind w:left="444"/>
        <w:spacing w:after="0"/>
        <w:tabs>
          <w:tab w:leader="none" w:pos="1524" w:val="left"/>
        </w:tabs>
        <w:rPr>
          <w:sz w:val="20"/>
          <w:szCs w:val="20"/>
          <w:color w:val="auto"/>
        </w:rPr>
      </w:pPr>
      <w:r>
        <w:rPr>
          <w:rFonts w:ascii="Times New Roman" w:cs="Times New Roman" w:eastAsia="Times New Roman" w:hAnsi="Times New Roman"/>
          <w:sz w:val="18"/>
          <w:szCs w:val="18"/>
          <w:b w:val="1"/>
          <w:bCs w:val="1"/>
          <w:color w:val="auto"/>
        </w:rPr>
        <w:t>Section 9.05</w:t>
      </w:r>
      <w:r>
        <w:rPr>
          <w:sz w:val="20"/>
          <w:szCs w:val="20"/>
          <w:color w:val="auto"/>
        </w:rPr>
        <w:tab/>
      </w:r>
      <w:r>
        <w:rPr>
          <w:rFonts w:ascii="Times New Roman" w:cs="Times New Roman" w:eastAsia="Times New Roman" w:hAnsi="Times New Roman"/>
          <w:sz w:val="17"/>
          <w:szCs w:val="17"/>
          <w:b w:val="1"/>
          <w:bCs w:val="1"/>
          <w:color w:val="auto"/>
        </w:rPr>
        <w:t>Execution of Supplemental Indentures.</w:t>
      </w:r>
    </w:p>
    <w:p>
      <w:pPr>
        <w:spacing w:after="0" w:line="229" w:lineRule="exact"/>
        <w:rPr>
          <w:sz w:val="20"/>
          <w:szCs w:val="20"/>
          <w:color w:val="auto"/>
        </w:rPr>
      </w:pPr>
    </w:p>
    <w:p>
      <w:pPr>
        <w:ind w:left="4" w:firstLine="440"/>
        <w:spacing w:after="0" w:line="272" w:lineRule="auto"/>
        <w:rPr>
          <w:sz w:val="20"/>
          <w:szCs w:val="20"/>
          <w:color w:val="auto"/>
        </w:rPr>
      </w:pPr>
      <w:r>
        <w:rPr>
          <w:rFonts w:ascii="Times New Roman" w:cs="Times New Roman" w:eastAsia="Times New Roman" w:hAnsi="Times New Roman"/>
          <w:sz w:val="17"/>
          <w:szCs w:val="17"/>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 authorized or permitted by the terms of this Article and that all conditions precedent to the execution of the supplemental indenture have been complied with; provided, however, that such Officer’s Certificate or Opinion of Counsel need not be provided in connection with the execution of a supplemental indenture that establishes the terms of a series of Securities pursuant to Section 2.01 hereof.</w:t>
      </w:r>
    </w:p>
    <w:p>
      <w:pPr>
        <w:spacing w:after="0" w:line="172" w:lineRule="exact"/>
        <w:rPr>
          <w:sz w:val="20"/>
          <w:szCs w:val="20"/>
          <w:color w:val="auto"/>
        </w:rPr>
      </w:pPr>
    </w:p>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t>Promptly after the execution by the Company and the Trustee of any supplemental indenture pursuant to the provisions of this Section, the Company shall (or shall direct the Trustee to) transmit by mail, first class postage prepaid, a notice, setting forth in general terms the substance of such supplemental indenture, to the Securityholders of all series affected thereby as their names and addresses appear upon the Security Register. Any failure of the Company to mail, or cause the mailing of, such notice, or any defect therein, shall not, however, in any way impair or affect the validity of any such supplemental indenture.</w:t>
      </w:r>
    </w:p>
    <w:p>
      <w:pPr>
        <w:spacing w:after="0" w:line="39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SUCCESSOR ENTITY</w:t>
      </w:r>
    </w:p>
    <w:p>
      <w:pPr>
        <w:spacing w:after="0" w:line="225" w:lineRule="exact"/>
        <w:rPr>
          <w:sz w:val="20"/>
          <w:szCs w:val="20"/>
          <w:color w:val="auto"/>
        </w:rPr>
      </w:pPr>
    </w:p>
    <w:p>
      <w:pPr>
        <w:ind w:left="444"/>
        <w:spacing w:after="0"/>
        <w:tabs>
          <w:tab w:leader="none" w:pos="1604" w:val="left"/>
        </w:tabs>
        <w:rPr>
          <w:sz w:val="20"/>
          <w:szCs w:val="20"/>
          <w:color w:val="auto"/>
        </w:rPr>
      </w:pPr>
      <w:r>
        <w:rPr>
          <w:rFonts w:ascii="Times New Roman" w:cs="Times New Roman" w:eastAsia="Times New Roman" w:hAnsi="Times New Roman"/>
          <w:sz w:val="18"/>
          <w:szCs w:val="18"/>
          <w:b w:val="1"/>
          <w:bCs w:val="1"/>
          <w:color w:val="auto"/>
        </w:rPr>
        <w:t>Section 10.01</w:t>
        <w:tab/>
        <w:t>Company May Consolidate, Etc.</w:t>
      </w:r>
    </w:p>
    <w:p>
      <w:pPr>
        <w:spacing w:after="0" w:line="229"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provided, however, (a) the Company hereby covenants and agrees that, upon any such consolidation or merger (in each case, if the 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 and</w:t>
      </w:r>
    </w:p>
    <w:p>
      <w:pPr>
        <w:spacing w:after="0" w:line="4" w:lineRule="exact"/>
        <w:rPr>
          <w:sz w:val="20"/>
          <w:szCs w:val="20"/>
          <w:color w:val="auto"/>
        </w:rPr>
      </w:pPr>
    </w:p>
    <w:p>
      <w:pPr>
        <w:ind w:left="4" w:hanging="4"/>
        <w:spacing w:after="0" w:line="253" w:lineRule="auto"/>
        <w:tabs>
          <w:tab w:leader="none" w:pos="259"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Securities of any series then Outstanding are convertible into or exchangeable for shares of common stock or other securities of the Company, such entity shall, by such supplemental indenture, make provision so that the Securityholders of Securities of that series shall thereafter be entitled to receive upon conversion or exchange of such Securities the number of securities or property to which a holder of the number of shares of common stock or other securities of the Company deliverable upon conversion or exchange of those Securities would have been entitled had such conversion or exchange occurred immediately prior to such consolidation, merger, sale, conveyance, transfer or other disposition.</w:t>
      </w:r>
    </w:p>
    <w:p>
      <w:pPr>
        <w:spacing w:after="0" w:line="183" w:lineRule="exact"/>
        <w:rPr>
          <w:sz w:val="20"/>
          <w:szCs w:val="20"/>
          <w:color w:val="auto"/>
        </w:rPr>
      </w:pPr>
    </w:p>
    <w:p>
      <w:pPr>
        <w:ind w:left="444"/>
        <w:spacing w:after="0"/>
        <w:tabs>
          <w:tab w:leader="none" w:pos="1604" w:val="left"/>
        </w:tabs>
        <w:rPr>
          <w:sz w:val="20"/>
          <w:szCs w:val="20"/>
          <w:color w:val="auto"/>
        </w:rPr>
      </w:pPr>
      <w:r>
        <w:rPr>
          <w:rFonts w:ascii="Times New Roman" w:cs="Times New Roman" w:eastAsia="Times New Roman" w:hAnsi="Times New Roman"/>
          <w:sz w:val="18"/>
          <w:szCs w:val="18"/>
          <w:b w:val="1"/>
          <w:bCs w:val="1"/>
          <w:color w:val="auto"/>
        </w:rPr>
        <w:t>Section 10.02</w:t>
        <w:tab/>
        <w:t>Successor Entity Substituted.</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4"/>
          </w:cols>
          <w:pgMar w:left="436" w:top="270" w:right="459" w:bottom="1440" w:gutter="0" w:footer="0" w:header="0"/>
        </w:sectPr>
      </w:pPr>
    </w:p>
    <w:bookmarkStart w:id="172" w:name="page173"/>
    <w:bookmarkEnd w:id="172"/>
    <w:p>
      <w:pPr>
        <w:ind w:left="4" w:firstLine="987"/>
        <w:spacing w:after="0" w:line="258" w:lineRule="auto"/>
        <w:tabs>
          <w:tab w:leader="none" w:pos="138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183" w:lineRule="exact"/>
        <w:rPr>
          <w:rFonts w:ascii="Times New Roman" w:cs="Times New Roman" w:eastAsia="Times New Roman" w:hAnsi="Times New Roman"/>
          <w:sz w:val="18"/>
          <w:szCs w:val="18"/>
          <w:color w:val="auto"/>
        </w:rPr>
      </w:pPr>
    </w:p>
    <w:p>
      <w:pPr>
        <w:ind w:left="4" w:right="20" w:firstLine="987"/>
        <w:spacing w:after="0" w:line="282" w:lineRule="auto"/>
        <w:tabs>
          <w:tab w:leader="none" w:pos="138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161" w:lineRule="exact"/>
        <w:rPr>
          <w:rFonts w:ascii="Times New Roman" w:cs="Times New Roman" w:eastAsia="Times New Roman" w:hAnsi="Times New Roman"/>
          <w:sz w:val="18"/>
          <w:szCs w:val="18"/>
          <w:color w:val="auto"/>
        </w:rPr>
      </w:pPr>
    </w:p>
    <w:p>
      <w:pPr>
        <w:ind w:left="4" w:firstLine="987"/>
        <w:spacing w:after="0" w:line="266" w:lineRule="auto"/>
        <w:tabs>
          <w:tab w:leader="none" w:pos="138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38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225" w:lineRule="exact"/>
        <w:rPr>
          <w:sz w:val="20"/>
          <w:szCs w:val="20"/>
          <w:color w:val="auto"/>
        </w:rPr>
      </w:pPr>
    </w:p>
    <w:p>
      <w:pPr>
        <w:ind w:left="4064"/>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225" w:lineRule="exact"/>
        <w:rPr>
          <w:sz w:val="20"/>
          <w:szCs w:val="20"/>
          <w:color w:val="auto"/>
        </w:rPr>
      </w:pPr>
    </w:p>
    <w:p>
      <w:pPr>
        <w:ind w:left="444"/>
        <w:spacing w:after="0"/>
        <w:tabs>
          <w:tab w:leader="none" w:pos="1604" w:val="left"/>
        </w:tabs>
        <w:rPr>
          <w:sz w:val="20"/>
          <w:szCs w:val="20"/>
          <w:color w:val="auto"/>
        </w:rPr>
      </w:pPr>
      <w:r>
        <w:rPr>
          <w:rFonts w:ascii="Times New Roman" w:cs="Times New Roman" w:eastAsia="Times New Roman" w:hAnsi="Times New Roman"/>
          <w:sz w:val="18"/>
          <w:szCs w:val="18"/>
          <w:b w:val="1"/>
          <w:bCs w:val="1"/>
          <w:color w:val="auto"/>
        </w:rPr>
        <w:t>Section 11.01</w:t>
      </w:r>
      <w:r>
        <w:rPr>
          <w:sz w:val="20"/>
          <w:szCs w:val="20"/>
          <w:color w:val="auto"/>
        </w:rPr>
        <w:tab/>
      </w:r>
      <w:r>
        <w:rPr>
          <w:rFonts w:ascii="Times New Roman" w:cs="Times New Roman" w:eastAsia="Times New Roman" w:hAnsi="Times New Roman"/>
          <w:sz w:val="17"/>
          <w:szCs w:val="17"/>
          <w:b w:val="1"/>
          <w:bCs w:val="1"/>
          <w:color w:val="auto"/>
        </w:rPr>
        <w:t>Satisfaction and Discharge of Indenture.</w:t>
      </w:r>
    </w:p>
    <w:p>
      <w:pPr>
        <w:spacing w:after="0" w:line="229"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w:t>
      </w:r>
    </w:p>
    <w:p>
      <w:pPr>
        <w:spacing w:after="0" w:line="3" w:lineRule="exact"/>
        <w:rPr>
          <w:sz w:val="20"/>
          <w:szCs w:val="20"/>
          <w:color w:val="auto"/>
        </w:rPr>
      </w:pPr>
    </w:p>
    <w:p>
      <w:pPr>
        <w:ind w:left="4" w:right="120" w:hanging="4"/>
        <w:spacing w:after="0" w:line="251" w:lineRule="auto"/>
        <w:tabs>
          <w:tab w:leader="none" w:pos="259"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and 7.10,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188" w:lineRule="exact"/>
        <w:rPr>
          <w:sz w:val="20"/>
          <w:szCs w:val="20"/>
          <w:color w:val="auto"/>
        </w:rPr>
      </w:pPr>
    </w:p>
    <w:p>
      <w:pPr>
        <w:ind w:left="444"/>
        <w:spacing w:after="0"/>
        <w:tabs>
          <w:tab w:leader="none" w:pos="1604" w:val="left"/>
        </w:tabs>
        <w:rPr>
          <w:sz w:val="20"/>
          <w:szCs w:val="20"/>
          <w:color w:val="auto"/>
        </w:rPr>
      </w:pPr>
      <w:r>
        <w:rPr>
          <w:rFonts w:ascii="Times New Roman" w:cs="Times New Roman" w:eastAsia="Times New Roman" w:hAnsi="Times New Roman"/>
          <w:sz w:val="18"/>
          <w:szCs w:val="18"/>
          <w:b w:val="1"/>
          <w:bCs w:val="1"/>
          <w:color w:val="auto"/>
        </w:rPr>
        <w:t>Section 11.02</w:t>
      </w:r>
      <w:r>
        <w:rPr>
          <w:sz w:val="20"/>
          <w:szCs w:val="20"/>
          <w:color w:val="auto"/>
        </w:rPr>
        <w:tab/>
      </w:r>
      <w:r>
        <w:rPr>
          <w:rFonts w:ascii="Times New Roman" w:cs="Times New Roman" w:eastAsia="Times New Roman" w:hAnsi="Times New Roman"/>
          <w:sz w:val="17"/>
          <w:szCs w:val="17"/>
          <w:b w:val="1"/>
          <w:bCs w:val="1"/>
          <w:color w:val="auto"/>
        </w:rPr>
        <w:t>Discharge of Obligations.</w:t>
      </w:r>
    </w:p>
    <w:p>
      <w:pPr>
        <w:spacing w:after="0" w:line="229"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and 11.05 hereof that shall survive until such Securities shall mature and be paid.</w:t>
      </w:r>
    </w:p>
    <w:p>
      <w:pPr>
        <w:spacing w:after="0" w:line="12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64"/>
          </w:cols>
          <w:pgMar w:left="436" w:top="270" w:right="499" w:bottom="1440" w:gutter="0" w:footer="0" w:header="0"/>
        </w:sectPr>
      </w:pPr>
    </w:p>
    <w:bookmarkStart w:id="173" w:name="page174"/>
    <w:bookmarkEnd w:id="17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Thereafter, Sections 7.06 and 11.05 shall survive.</w:t>
      </w:r>
    </w:p>
    <w:p>
      <w:pPr>
        <w:spacing w:after="0" w:line="221" w:lineRule="exact"/>
        <w:rPr>
          <w:sz w:val="20"/>
          <w:szCs w:val="20"/>
          <w:color w:val="auto"/>
        </w:rPr>
      </w:pPr>
    </w:p>
    <w:p>
      <w:pPr>
        <w:ind w:left="44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Section 11.03</w:t>
      </w:r>
      <w:r>
        <w:rPr>
          <w:sz w:val="20"/>
          <w:szCs w:val="20"/>
          <w:color w:val="auto"/>
        </w:rPr>
        <w:tab/>
      </w:r>
      <w:r>
        <w:rPr>
          <w:rFonts w:ascii="Times New Roman" w:cs="Times New Roman" w:eastAsia="Times New Roman" w:hAnsi="Times New Roman"/>
          <w:sz w:val="17"/>
          <w:szCs w:val="17"/>
          <w:b w:val="1"/>
          <w:bCs w:val="1"/>
          <w:color w:val="auto"/>
        </w:rPr>
        <w:t>Deposited Moneys to be Held in Trust.</w:t>
      </w:r>
    </w:p>
    <w:p>
      <w:pPr>
        <w:spacing w:after="0" w:line="229" w:lineRule="exact"/>
        <w:rPr>
          <w:sz w:val="20"/>
          <w:szCs w:val="20"/>
          <w:color w:val="auto"/>
        </w:rPr>
      </w:pPr>
    </w:p>
    <w:p>
      <w:pPr>
        <w:ind w:right="100" w:firstLine="440"/>
        <w:spacing w:after="0" w:line="289" w:lineRule="auto"/>
        <w:rPr>
          <w:sz w:val="20"/>
          <w:szCs w:val="20"/>
          <w:color w:val="auto"/>
        </w:rPr>
      </w:pPr>
      <w:r>
        <w:rPr>
          <w:rFonts w:ascii="Times New Roman" w:cs="Times New Roman" w:eastAsia="Times New Roman" w:hAnsi="Times New Roman"/>
          <w:sz w:val="17"/>
          <w:szCs w:val="17"/>
          <w:color w:val="auto"/>
        </w:rPr>
        <w:t>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154" w:lineRule="exact"/>
        <w:rPr>
          <w:sz w:val="20"/>
          <w:szCs w:val="20"/>
          <w:color w:val="auto"/>
        </w:rPr>
      </w:pPr>
    </w:p>
    <w:p>
      <w:pPr>
        <w:ind w:left="44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Section 11.04</w:t>
      </w:r>
      <w:r>
        <w:rPr>
          <w:sz w:val="20"/>
          <w:szCs w:val="20"/>
          <w:color w:val="auto"/>
        </w:rPr>
        <w:tab/>
      </w:r>
      <w:r>
        <w:rPr>
          <w:rFonts w:ascii="Times New Roman" w:cs="Times New Roman" w:eastAsia="Times New Roman" w:hAnsi="Times New Roman"/>
          <w:sz w:val="17"/>
          <w:szCs w:val="17"/>
          <w:b w:val="1"/>
          <w:bCs w:val="1"/>
          <w:color w:val="auto"/>
        </w:rPr>
        <w:t>Payment of Moneys Held by Paying Agents.</w:t>
      </w:r>
    </w:p>
    <w:p>
      <w:pPr>
        <w:spacing w:after="0" w:line="229"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172" w:lineRule="exact"/>
        <w:rPr>
          <w:sz w:val="20"/>
          <w:szCs w:val="20"/>
          <w:color w:val="auto"/>
        </w:rPr>
      </w:pPr>
    </w:p>
    <w:p>
      <w:pPr>
        <w:ind w:left="44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Section 11.05</w:t>
      </w:r>
      <w:r>
        <w:rPr>
          <w:sz w:val="20"/>
          <w:szCs w:val="20"/>
          <w:color w:val="auto"/>
        </w:rPr>
        <w:tab/>
      </w:r>
      <w:r>
        <w:rPr>
          <w:rFonts w:ascii="Times New Roman" w:cs="Times New Roman" w:eastAsia="Times New Roman" w:hAnsi="Times New Roman"/>
          <w:sz w:val="17"/>
          <w:szCs w:val="17"/>
          <w:b w:val="1"/>
          <w:bCs w:val="1"/>
          <w:color w:val="auto"/>
        </w:rPr>
        <w:t>Repayment to Company.</w:t>
      </w:r>
    </w:p>
    <w:p>
      <w:pPr>
        <w:spacing w:after="0" w:line="229"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22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IMMUNITY OF INCORPORATORS, STOCKHOLDERS, OFFICERS AND DIRECTORS</w:t>
      </w:r>
    </w:p>
    <w:p>
      <w:pPr>
        <w:spacing w:after="0" w:line="225" w:lineRule="exact"/>
        <w:rPr>
          <w:sz w:val="20"/>
          <w:szCs w:val="20"/>
          <w:color w:val="auto"/>
        </w:rPr>
      </w:pPr>
    </w:p>
    <w:p>
      <w:pPr>
        <w:ind w:left="44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Section 12.01</w:t>
      </w:r>
      <w:r>
        <w:rPr>
          <w:sz w:val="20"/>
          <w:szCs w:val="20"/>
          <w:color w:val="auto"/>
        </w:rPr>
        <w:tab/>
      </w:r>
      <w:r>
        <w:rPr>
          <w:rFonts w:ascii="Times New Roman" w:cs="Times New Roman" w:eastAsia="Times New Roman" w:hAnsi="Times New Roman"/>
          <w:sz w:val="17"/>
          <w:szCs w:val="17"/>
          <w:b w:val="1"/>
          <w:bCs w:val="1"/>
          <w:color w:val="auto"/>
        </w:rPr>
        <w:t>No Recourse.</w:t>
      </w:r>
    </w:p>
    <w:p>
      <w:pPr>
        <w:spacing w:after="0" w:line="22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174" w:name="page175"/>
    <w:bookmarkEnd w:id="17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13</w:t>
      </w:r>
    </w:p>
    <w:p>
      <w:pPr>
        <w:spacing w:after="0" w:line="22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225" w:lineRule="exact"/>
        <w:rPr>
          <w:sz w:val="20"/>
          <w:szCs w:val="20"/>
          <w:color w:val="auto"/>
        </w:rPr>
      </w:pPr>
    </w:p>
    <w:p>
      <w:pPr>
        <w:ind w:left="44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Section 13.01</w:t>
        <w:tab/>
        <w:t>Effect on Successors and Assigns.</w:t>
      </w:r>
    </w:p>
    <w:p>
      <w:pPr>
        <w:spacing w:after="0" w:line="229"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All the covenants, stipulations, promises and agreements in this Indenture made by or on behalf of the Company shall bind its successors and assigns, whether so expressed or not.</w:t>
      </w:r>
    </w:p>
    <w:p>
      <w:pPr>
        <w:spacing w:after="0" w:line="158" w:lineRule="exact"/>
        <w:rPr>
          <w:sz w:val="20"/>
          <w:szCs w:val="20"/>
          <w:color w:val="auto"/>
        </w:rPr>
      </w:pPr>
    </w:p>
    <w:p>
      <w:pPr>
        <w:ind w:left="44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Section 13.02</w:t>
      </w:r>
      <w:r>
        <w:rPr>
          <w:sz w:val="20"/>
          <w:szCs w:val="20"/>
          <w:color w:val="auto"/>
        </w:rPr>
        <w:tab/>
      </w:r>
      <w:r>
        <w:rPr>
          <w:rFonts w:ascii="Times New Roman" w:cs="Times New Roman" w:eastAsia="Times New Roman" w:hAnsi="Times New Roman"/>
          <w:sz w:val="17"/>
          <w:szCs w:val="17"/>
          <w:b w:val="1"/>
          <w:bCs w:val="1"/>
          <w:color w:val="auto"/>
        </w:rPr>
        <w:t>Actions by Successor.</w:t>
      </w:r>
    </w:p>
    <w:p>
      <w:pPr>
        <w:spacing w:after="0" w:line="229"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72" w:lineRule="exact"/>
        <w:rPr>
          <w:sz w:val="20"/>
          <w:szCs w:val="20"/>
          <w:color w:val="auto"/>
        </w:rPr>
      </w:pPr>
    </w:p>
    <w:p>
      <w:pPr>
        <w:ind w:left="44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Section 13.03</w:t>
      </w:r>
      <w:r>
        <w:rPr>
          <w:sz w:val="20"/>
          <w:szCs w:val="20"/>
          <w:color w:val="auto"/>
        </w:rPr>
        <w:tab/>
      </w:r>
      <w:r>
        <w:rPr>
          <w:rFonts w:ascii="Times New Roman" w:cs="Times New Roman" w:eastAsia="Times New Roman" w:hAnsi="Times New Roman"/>
          <w:sz w:val="17"/>
          <w:szCs w:val="17"/>
          <w:b w:val="1"/>
          <w:bCs w:val="1"/>
          <w:color w:val="auto"/>
        </w:rPr>
        <w:t>Surrender of Company Powers.</w:t>
      </w:r>
    </w:p>
    <w:p>
      <w:pPr>
        <w:spacing w:after="0" w:line="229" w:lineRule="exact"/>
        <w:rPr>
          <w:sz w:val="20"/>
          <w:szCs w:val="20"/>
          <w:color w:val="auto"/>
        </w:rPr>
      </w:pPr>
    </w:p>
    <w:p>
      <w:pPr>
        <w:ind w:right="60" w:firstLine="440"/>
        <w:spacing w:after="0" w:line="312" w:lineRule="auto"/>
        <w:rPr>
          <w:sz w:val="20"/>
          <w:szCs w:val="20"/>
          <w:color w:val="auto"/>
        </w:rPr>
      </w:pPr>
      <w:r>
        <w:rPr>
          <w:rFonts w:ascii="Times New Roman" w:cs="Times New Roman" w:eastAsia="Times New Roman" w:hAnsi="Times New Roman"/>
          <w:sz w:val="17"/>
          <w:szCs w:val="17"/>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36" w:lineRule="exact"/>
        <w:rPr>
          <w:sz w:val="20"/>
          <w:szCs w:val="20"/>
          <w:color w:val="auto"/>
        </w:rPr>
      </w:pPr>
    </w:p>
    <w:p>
      <w:pPr>
        <w:ind w:left="44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Section 13.04</w:t>
        <w:tab/>
        <w:t>Notices.</w:t>
      </w:r>
    </w:p>
    <w:p>
      <w:pPr>
        <w:spacing w:after="0" w:line="229"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Except as otherwise expressly provided herein, any notice, request or demand that by any provision of this Indenture is required or permitted to be given, made or served by the Trustee or by the holders of Securities or by any other Person pursuant to this Indenture to or on the Company may be given or served by being deposited in first class mail, postage prepaid, addressed (until another address is filed in writing by the Company with the</w:t>
      </w:r>
    </w:p>
    <w:p>
      <w:pPr>
        <w:spacing w:after="0" w:line="1"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Trustee), as follows: .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spacing w:after="0" w:line="182" w:lineRule="exact"/>
        <w:rPr>
          <w:sz w:val="20"/>
          <w:szCs w:val="20"/>
          <w:color w:val="auto"/>
        </w:rPr>
      </w:pPr>
    </w:p>
    <w:p>
      <w:pPr>
        <w:ind w:left="44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Section 13.05</w:t>
      </w:r>
      <w:r>
        <w:rPr>
          <w:sz w:val="20"/>
          <w:szCs w:val="20"/>
          <w:color w:val="auto"/>
        </w:rPr>
        <w:tab/>
      </w:r>
      <w:r>
        <w:rPr>
          <w:rFonts w:ascii="Times New Roman" w:cs="Times New Roman" w:eastAsia="Times New Roman" w:hAnsi="Times New Roman"/>
          <w:sz w:val="17"/>
          <w:szCs w:val="17"/>
          <w:b w:val="1"/>
          <w:bCs w:val="1"/>
          <w:color w:val="auto"/>
        </w:rPr>
        <w:t>Governing Law.</w:t>
      </w:r>
    </w:p>
    <w:p>
      <w:pPr>
        <w:spacing w:after="0" w:line="229"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This Indenture and each Security shall be deemed to be a contract made under the internal laws of the State of New York, and for all purposes shall be construed in accordance with the laws of said State, except to the extent that the Trust Indenture Act is applicable.</w:t>
      </w:r>
    </w:p>
    <w:p>
      <w:pPr>
        <w:spacing w:after="0" w:line="158" w:lineRule="exact"/>
        <w:rPr>
          <w:sz w:val="20"/>
          <w:szCs w:val="20"/>
          <w:color w:val="auto"/>
        </w:rPr>
      </w:pPr>
    </w:p>
    <w:p>
      <w:pPr>
        <w:ind w:left="44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Section 13.06</w:t>
      </w:r>
      <w:r>
        <w:rPr>
          <w:sz w:val="20"/>
          <w:szCs w:val="20"/>
          <w:color w:val="auto"/>
        </w:rPr>
        <w:tab/>
      </w:r>
      <w:r>
        <w:rPr>
          <w:rFonts w:ascii="Times New Roman" w:cs="Times New Roman" w:eastAsia="Times New Roman" w:hAnsi="Times New Roman"/>
          <w:sz w:val="17"/>
          <w:szCs w:val="17"/>
          <w:b w:val="1"/>
          <w:bCs w:val="1"/>
          <w:color w:val="auto"/>
        </w:rPr>
        <w:t>Treatment of Securities as Debt.</w:t>
      </w:r>
    </w:p>
    <w:p>
      <w:pPr>
        <w:spacing w:after="0" w:line="229"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It is intended that the Securities will be treated as indebtedness and not as equity for federal income tax purposes. The provisions of this Indenture shall be interpreted to further this intention.</w:t>
      </w:r>
    </w:p>
    <w:p>
      <w:pPr>
        <w:spacing w:after="0" w:line="158" w:lineRule="exact"/>
        <w:rPr>
          <w:sz w:val="20"/>
          <w:szCs w:val="20"/>
          <w:color w:val="auto"/>
        </w:rPr>
      </w:pPr>
    </w:p>
    <w:p>
      <w:pPr>
        <w:ind w:left="44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Section 13.07</w:t>
        <w:tab/>
        <w:t>Certificates and Opinions as to Conditions Precedent.</w:t>
      </w:r>
    </w:p>
    <w:p>
      <w:pPr>
        <w:spacing w:after="0" w:line="229" w:lineRule="exact"/>
        <w:rPr>
          <w:sz w:val="20"/>
          <w:szCs w:val="20"/>
          <w:color w:val="auto"/>
        </w:rPr>
      </w:pPr>
    </w:p>
    <w:p>
      <w:pPr>
        <w:ind w:firstLine="987"/>
        <w:spacing w:after="0" w:line="256" w:lineRule="auto"/>
        <w:tabs>
          <w:tab w:leader="none" w:pos="1381"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66" w:right="459" w:bottom="1440" w:gutter="0" w:footer="0" w:header="0"/>
        </w:sectPr>
      </w:pPr>
    </w:p>
    <w:bookmarkStart w:id="175" w:name="page176"/>
    <w:bookmarkEnd w:id="175"/>
    <w:p>
      <w:pPr>
        <w:ind w:firstLine="987"/>
        <w:spacing w:after="0" w:line="256" w:lineRule="auto"/>
        <w:tabs>
          <w:tab w:leader="none" w:pos="1381"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certificate or opinion provided for in this Indenture and delivered to the Trustee with respect to compliance with a condition or covenant in this Indenture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183" w:lineRule="exact"/>
        <w:rPr>
          <w:sz w:val="20"/>
          <w:szCs w:val="20"/>
          <w:color w:val="auto"/>
        </w:rPr>
      </w:pPr>
    </w:p>
    <w:p>
      <w:pPr>
        <w:ind w:left="44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Section 13.08</w:t>
      </w:r>
      <w:r>
        <w:rPr>
          <w:sz w:val="20"/>
          <w:szCs w:val="20"/>
          <w:color w:val="auto"/>
        </w:rPr>
        <w:tab/>
      </w:r>
      <w:r>
        <w:rPr>
          <w:rFonts w:ascii="Times New Roman" w:cs="Times New Roman" w:eastAsia="Times New Roman" w:hAnsi="Times New Roman"/>
          <w:sz w:val="17"/>
          <w:szCs w:val="17"/>
          <w:b w:val="1"/>
          <w:bCs w:val="1"/>
          <w:color w:val="auto"/>
        </w:rPr>
        <w:t>Payments on Business Days.</w:t>
      </w:r>
    </w:p>
    <w:p>
      <w:pPr>
        <w:spacing w:after="0" w:line="22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179" w:lineRule="exact"/>
        <w:rPr>
          <w:sz w:val="20"/>
          <w:szCs w:val="20"/>
          <w:color w:val="auto"/>
        </w:rPr>
      </w:pPr>
    </w:p>
    <w:p>
      <w:pPr>
        <w:ind w:left="44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Section 13.09</w:t>
      </w:r>
      <w:r>
        <w:rPr>
          <w:sz w:val="20"/>
          <w:szCs w:val="20"/>
          <w:color w:val="auto"/>
        </w:rPr>
        <w:tab/>
      </w:r>
      <w:r>
        <w:rPr>
          <w:rFonts w:ascii="Times New Roman" w:cs="Times New Roman" w:eastAsia="Times New Roman" w:hAnsi="Times New Roman"/>
          <w:sz w:val="17"/>
          <w:szCs w:val="17"/>
          <w:b w:val="1"/>
          <w:bCs w:val="1"/>
          <w:color w:val="auto"/>
        </w:rPr>
        <w:t>Conflict with Trust Indenture Act.</w:t>
      </w:r>
    </w:p>
    <w:p>
      <w:pPr>
        <w:spacing w:after="0" w:line="229"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If and to the extent that any provision of this Indenture limits, qualifies or conflicts with the duties imposed by Sections 310 to 317, inclusive, of the Trust Indenture Act, such imposed duties shall control.</w:t>
      </w:r>
    </w:p>
    <w:p>
      <w:pPr>
        <w:spacing w:after="0" w:line="158" w:lineRule="exact"/>
        <w:rPr>
          <w:sz w:val="20"/>
          <w:szCs w:val="20"/>
          <w:color w:val="auto"/>
        </w:rPr>
      </w:pPr>
    </w:p>
    <w:p>
      <w:pPr>
        <w:ind w:left="44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Section 13.10</w:t>
        <w:tab/>
        <w:t>Counterparts.</w:t>
      </w:r>
    </w:p>
    <w:p>
      <w:pPr>
        <w:spacing w:after="0" w:line="229"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This Indenture may be executed in any number of counterparts, each of which shall be an original, but such counterparts shall together constitute but one and the same instrument.</w:t>
      </w:r>
    </w:p>
    <w:p>
      <w:pPr>
        <w:spacing w:after="0" w:line="158" w:lineRule="exact"/>
        <w:rPr>
          <w:sz w:val="20"/>
          <w:szCs w:val="20"/>
          <w:color w:val="auto"/>
        </w:rPr>
      </w:pPr>
    </w:p>
    <w:p>
      <w:pPr>
        <w:ind w:left="44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Section 13.11</w:t>
      </w:r>
      <w:r>
        <w:rPr>
          <w:sz w:val="20"/>
          <w:szCs w:val="20"/>
          <w:color w:val="auto"/>
        </w:rPr>
        <w:tab/>
      </w:r>
      <w:r>
        <w:rPr>
          <w:rFonts w:ascii="Times New Roman" w:cs="Times New Roman" w:eastAsia="Times New Roman" w:hAnsi="Times New Roman"/>
          <w:sz w:val="17"/>
          <w:szCs w:val="17"/>
          <w:b w:val="1"/>
          <w:bCs w:val="1"/>
          <w:color w:val="auto"/>
        </w:rPr>
        <w:t>Separability.</w:t>
      </w:r>
    </w:p>
    <w:p>
      <w:pPr>
        <w:spacing w:after="0" w:line="229" w:lineRule="exact"/>
        <w:rPr>
          <w:sz w:val="20"/>
          <w:szCs w:val="20"/>
          <w:color w:val="auto"/>
        </w:rPr>
      </w:pPr>
    </w:p>
    <w:p>
      <w:pPr>
        <w:jc w:val="both"/>
        <w:ind w:right="240" w:firstLine="440"/>
        <w:spacing w:after="0" w:line="261" w:lineRule="auto"/>
        <w:rPr>
          <w:sz w:val="20"/>
          <w:szCs w:val="20"/>
          <w:color w:val="auto"/>
        </w:rPr>
      </w:pPr>
      <w:r>
        <w:rPr>
          <w:rFonts w:ascii="Times New Roman" w:cs="Times New Roman" w:eastAsia="Times New Roman" w:hAnsi="Times New Roman"/>
          <w:sz w:val="18"/>
          <w:szCs w:val="18"/>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76" w:lineRule="exact"/>
        <w:rPr>
          <w:sz w:val="20"/>
          <w:szCs w:val="20"/>
          <w:color w:val="auto"/>
        </w:rPr>
      </w:pPr>
    </w:p>
    <w:p>
      <w:pPr>
        <w:ind w:left="44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Section 13.12</w:t>
      </w:r>
      <w:r>
        <w:rPr>
          <w:sz w:val="20"/>
          <w:szCs w:val="20"/>
          <w:color w:val="auto"/>
        </w:rPr>
        <w:tab/>
      </w:r>
      <w:r>
        <w:rPr>
          <w:rFonts w:ascii="Times New Roman" w:cs="Times New Roman" w:eastAsia="Times New Roman" w:hAnsi="Times New Roman"/>
          <w:sz w:val="17"/>
          <w:szCs w:val="17"/>
          <w:b w:val="1"/>
          <w:bCs w:val="1"/>
          <w:color w:val="auto"/>
        </w:rPr>
        <w:t>Compliance Certificates.</w:t>
      </w:r>
    </w:p>
    <w:p>
      <w:pPr>
        <w:spacing w:after="0" w:line="22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13.12,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SUBORDINATION OF SECURITIES</w:t>
      </w:r>
    </w:p>
    <w:p>
      <w:pPr>
        <w:spacing w:after="0" w:line="225" w:lineRule="exact"/>
        <w:rPr>
          <w:sz w:val="20"/>
          <w:szCs w:val="20"/>
          <w:color w:val="auto"/>
        </w:rPr>
      </w:pPr>
    </w:p>
    <w:p>
      <w:pPr>
        <w:ind w:left="44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Section 14.01</w:t>
      </w:r>
      <w:r>
        <w:rPr>
          <w:sz w:val="20"/>
          <w:szCs w:val="20"/>
          <w:color w:val="auto"/>
        </w:rPr>
        <w:tab/>
      </w:r>
      <w:r>
        <w:rPr>
          <w:rFonts w:ascii="Times New Roman" w:cs="Times New Roman" w:eastAsia="Times New Roman" w:hAnsi="Times New Roman"/>
          <w:sz w:val="17"/>
          <w:szCs w:val="17"/>
          <w:b w:val="1"/>
          <w:bCs w:val="1"/>
          <w:color w:val="auto"/>
        </w:rPr>
        <w:t>Subordination Terms.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176" w:name="page177"/>
    <w:bookmarkEnd w:id="176"/>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payment by the Company of the principal of, premium, if any, and interest on any series of Securities issued hereunder shall be subordinated to the extent set forth in an indenture supplemental hereto relating to such series.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880"/>
          </w:cols>
          <w:pgMar w:left="440" w:top="270" w:right="57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7"/>
          <w:szCs w:val="17"/>
          <w:color w:val="auto"/>
        </w:rPr>
        <w:t>, the parties hereto have caused this Indenture to be duly executed all as of the day and year first above written.</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5">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2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[TRUSTEE], as Trustee</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040"/>
          </w:cols>
          <w:pgMar w:left="880" w:top="266" w:right="979" w:bottom="1440" w:gutter="0" w:footer="0" w:header="0"/>
        </w:sectPr>
      </w:pPr>
    </w:p>
    <w:bookmarkStart w:id="178" w:name="page179"/>
    <w:bookmarkEnd w:id="178"/>
    <w:tbl>
      <w:tblPr>
        <w:tblLayout w:type="fixed"/>
        <w:tblInd w:w="4" w:type="dxa"/>
        <w:tblCellMar>
          <w:top w:w="0" w:type="dxa"/>
          <w:left w:w="0" w:type="dxa"/>
          <w:bottom w:w="0" w:type="dxa"/>
          <w:right w:w="0" w:type="dxa"/>
        </w:tblCellMar>
      </w:tblPr>
      <w:tr>
        <w:trPr>
          <w:trHeight w:val="364"/>
        </w:trPr>
        <w:tc>
          <w:tcPr>
            <w:tcW w:w="3700" w:type="dxa"/>
            <w:vAlign w:val="bottom"/>
          </w:tcPr>
          <w:p>
            <w:pPr>
              <w:spacing w:after="0"/>
              <w:rPr>
                <w:sz w:val="24"/>
                <w:szCs w:val="24"/>
                <w:color w:val="auto"/>
              </w:rPr>
            </w:pPr>
          </w:p>
        </w:tc>
        <w:tc>
          <w:tcPr>
            <w:tcW w:w="732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CROSS-REFERENCE TABLE</w:t>
            </w:r>
            <w:r>
              <w:rPr>
                <w:rFonts w:ascii="Times New Roman" w:cs="Times New Roman" w:eastAsia="Times New Roman" w:hAnsi="Times New Roman"/>
                <w:sz w:val="26"/>
                <w:szCs w:val="26"/>
                <w:b w:val="1"/>
                <w:bCs w:val="1"/>
                <w:color w:val="auto"/>
                <w:vertAlign w:val="superscript"/>
              </w:rPr>
              <w:t>(2)</w:t>
            </w:r>
          </w:p>
        </w:tc>
      </w:tr>
      <w:tr>
        <w:trPr>
          <w:trHeight w:val="279"/>
        </w:trPr>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Section of Trust Indenture Act of 1939, as Amended</w:t>
            </w:r>
          </w:p>
        </w:tc>
        <w:tc>
          <w:tcPr>
            <w:tcW w:w="544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Section of Indenture</w:t>
            </w:r>
          </w:p>
        </w:tc>
      </w:tr>
      <w:tr>
        <w:trPr>
          <w:trHeight w:val="191"/>
        </w:trPr>
        <w:tc>
          <w:tcPr>
            <w:tcW w:w="3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310(a)</w:t>
            </w:r>
          </w:p>
        </w:tc>
        <w:tc>
          <w:tcPr>
            <w:tcW w:w="5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7.09</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310(b)</w:t>
            </w:r>
          </w:p>
        </w:tc>
        <w:tc>
          <w:tcPr>
            <w:tcW w:w="7320" w:type="dxa"/>
            <w:vAlign w:val="bottom"/>
            <w:gridSpan w:val="3"/>
          </w:tcPr>
          <w:p>
            <w:pPr>
              <w:ind w:left="6060"/>
              <w:spacing w:after="0"/>
              <w:rPr>
                <w:sz w:val="20"/>
                <w:szCs w:val="20"/>
                <w:color w:val="auto"/>
              </w:rPr>
            </w:pPr>
            <w:r>
              <w:rPr>
                <w:rFonts w:ascii="Times New Roman" w:cs="Times New Roman" w:eastAsia="Times New Roman" w:hAnsi="Times New Roman"/>
                <w:sz w:val="18"/>
                <w:szCs w:val="18"/>
                <w:color w:val="auto"/>
              </w:rPr>
              <w:t>7.08</w:t>
            </w:r>
          </w:p>
        </w:tc>
      </w:tr>
      <w:tr>
        <w:trPr>
          <w:trHeight w:val="216"/>
        </w:trPr>
        <w:tc>
          <w:tcPr>
            <w:tcW w:w="3700" w:type="dxa"/>
            <w:vAlign w:val="bottom"/>
          </w:tcPr>
          <w:p>
            <w:pPr>
              <w:spacing w:after="0"/>
              <w:rPr>
                <w:sz w:val="18"/>
                <w:szCs w:val="18"/>
                <w:color w:val="auto"/>
              </w:rPr>
            </w:pPr>
          </w:p>
        </w:tc>
        <w:tc>
          <w:tcPr>
            <w:tcW w:w="7320" w:type="dxa"/>
            <w:vAlign w:val="bottom"/>
            <w:gridSpan w:val="3"/>
          </w:tcPr>
          <w:p>
            <w:pPr>
              <w:ind w:left="606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310(c)</w:t>
            </w:r>
          </w:p>
        </w:tc>
        <w:tc>
          <w:tcPr>
            <w:tcW w:w="5440" w:type="dxa"/>
            <w:vAlign w:val="bottom"/>
          </w:tcPr>
          <w:p>
            <w:pPr>
              <w:spacing w:after="0"/>
              <w:rPr>
                <w:sz w:val="18"/>
                <w:szCs w:val="18"/>
                <w:color w:val="auto"/>
              </w:rPr>
            </w:pPr>
          </w:p>
        </w:tc>
        <w:tc>
          <w:tcPr>
            <w:tcW w:w="18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311(a)</w:t>
            </w:r>
          </w:p>
        </w:tc>
        <w:tc>
          <w:tcPr>
            <w:tcW w:w="7320" w:type="dxa"/>
            <w:vAlign w:val="bottom"/>
            <w:gridSpan w:val="3"/>
          </w:tcPr>
          <w:p>
            <w:pPr>
              <w:ind w:left="6060"/>
              <w:spacing w:after="0"/>
              <w:rPr>
                <w:sz w:val="20"/>
                <w:szCs w:val="20"/>
                <w:color w:val="auto"/>
              </w:rPr>
            </w:pPr>
            <w:r>
              <w:rPr>
                <w:rFonts w:ascii="Times New Roman" w:cs="Times New Roman" w:eastAsia="Times New Roman" w:hAnsi="Times New Roman"/>
                <w:sz w:val="18"/>
                <w:szCs w:val="18"/>
                <w:color w:val="auto"/>
              </w:rPr>
              <w:t>7.13</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311(b)</w:t>
            </w:r>
          </w:p>
        </w:tc>
        <w:tc>
          <w:tcPr>
            <w:tcW w:w="7320" w:type="dxa"/>
            <w:vAlign w:val="bottom"/>
            <w:gridSpan w:val="3"/>
          </w:tcPr>
          <w:p>
            <w:pPr>
              <w:ind w:left="6060"/>
              <w:spacing w:after="0"/>
              <w:rPr>
                <w:sz w:val="20"/>
                <w:szCs w:val="20"/>
                <w:color w:val="auto"/>
              </w:rPr>
            </w:pPr>
            <w:r>
              <w:rPr>
                <w:rFonts w:ascii="Times New Roman" w:cs="Times New Roman" w:eastAsia="Times New Roman" w:hAnsi="Times New Roman"/>
                <w:sz w:val="18"/>
                <w:szCs w:val="18"/>
                <w:color w:val="auto"/>
              </w:rPr>
              <w:t>7.13</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311(c)</w:t>
            </w:r>
          </w:p>
        </w:tc>
        <w:tc>
          <w:tcPr>
            <w:tcW w:w="5440" w:type="dxa"/>
            <w:vAlign w:val="bottom"/>
          </w:tcPr>
          <w:p>
            <w:pPr>
              <w:spacing w:after="0"/>
              <w:rPr>
                <w:sz w:val="18"/>
                <w:szCs w:val="18"/>
                <w:color w:val="auto"/>
              </w:rPr>
            </w:pPr>
          </w:p>
        </w:tc>
        <w:tc>
          <w:tcPr>
            <w:tcW w:w="18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312(a)</w:t>
            </w:r>
          </w:p>
        </w:tc>
        <w:tc>
          <w:tcPr>
            <w:tcW w:w="7320" w:type="dxa"/>
            <w:vAlign w:val="bottom"/>
            <w:gridSpan w:val="3"/>
          </w:tcPr>
          <w:p>
            <w:pPr>
              <w:ind w:left="6060"/>
              <w:spacing w:after="0"/>
              <w:rPr>
                <w:sz w:val="20"/>
                <w:szCs w:val="20"/>
                <w:color w:val="auto"/>
              </w:rPr>
            </w:pPr>
            <w:r>
              <w:rPr>
                <w:rFonts w:ascii="Times New Roman" w:cs="Times New Roman" w:eastAsia="Times New Roman" w:hAnsi="Times New Roman"/>
                <w:sz w:val="18"/>
                <w:szCs w:val="18"/>
                <w:color w:val="auto"/>
              </w:rPr>
              <w:t>5.01</w:t>
            </w:r>
          </w:p>
        </w:tc>
      </w:tr>
      <w:tr>
        <w:trPr>
          <w:trHeight w:val="216"/>
        </w:trPr>
        <w:tc>
          <w:tcPr>
            <w:tcW w:w="3700" w:type="dxa"/>
            <w:vAlign w:val="bottom"/>
          </w:tcPr>
          <w:p>
            <w:pPr>
              <w:spacing w:after="0"/>
              <w:rPr>
                <w:sz w:val="18"/>
                <w:szCs w:val="18"/>
                <w:color w:val="auto"/>
              </w:rPr>
            </w:pPr>
          </w:p>
        </w:tc>
        <w:tc>
          <w:tcPr>
            <w:tcW w:w="7320" w:type="dxa"/>
            <w:vAlign w:val="bottom"/>
            <w:gridSpan w:val="3"/>
          </w:tcPr>
          <w:p>
            <w:pPr>
              <w:ind w:left="6060"/>
              <w:spacing w:after="0"/>
              <w:rPr>
                <w:sz w:val="20"/>
                <w:szCs w:val="20"/>
                <w:color w:val="auto"/>
              </w:rPr>
            </w:pPr>
            <w:r>
              <w:rPr>
                <w:rFonts w:ascii="Times New Roman" w:cs="Times New Roman" w:eastAsia="Times New Roman" w:hAnsi="Times New Roman"/>
                <w:sz w:val="18"/>
                <w:szCs w:val="18"/>
                <w:color w:val="auto"/>
              </w:rPr>
              <w:t>5.02(1)</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312(b)</w:t>
            </w:r>
          </w:p>
        </w:tc>
        <w:tc>
          <w:tcPr>
            <w:tcW w:w="7320" w:type="dxa"/>
            <w:vAlign w:val="bottom"/>
            <w:gridSpan w:val="3"/>
          </w:tcPr>
          <w:p>
            <w:pPr>
              <w:ind w:left="6060"/>
              <w:spacing w:after="0"/>
              <w:rPr>
                <w:sz w:val="20"/>
                <w:szCs w:val="20"/>
                <w:color w:val="auto"/>
              </w:rPr>
            </w:pPr>
            <w:r>
              <w:rPr>
                <w:rFonts w:ascii="Times New Roman" w:cs="Times New Roman" w:eastAsia="Times New Roman" w:hAnsi="Times New Roman"/>
                <w:sz w:val="18"/>
                <w:szCs w:val="18"/>
                <w:color w:val="auto"/>
              </w:rPr>
              <w:t>5.02(3)</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312(c)</w:t>
            </w:r>
          </w:p>
        </w:tc>
        <w:tc>
          <w:tcPr>
            <w:tcW w:w="7320" w:type="dxa"/>
            <w:vAlign w:val="bottom"/>
            <w:gridSpan w:val="3"/>
          </w:tcPr>
          <w:p>
            <w:pPr>
              <w:ind w:left="6060"/>
              <w:spacing w:after="0"/>
              <w:rPr>
                <w:sz w:val="20"/>
                <w:szCs w:val="20"/>
                <w:color w:val="auto"/>
              </w:rPr>
            </w:pPr>
            <w:r>
              <w:rPr>
                <w:rFonts w:ascii="Times New Roman" w:cs="Times New Roman" w:eastAsia="Times New Roman" w:hAnsi="Times New Roman"/>
                <w:sz w:val="18"/>
                <w:szCs w:val="18"/>
                <w:color w:val="auto"/>
              </w:rPr>
              <w:t>5.02(3)</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313(a)</w:t>
            </w:r>
          </w:p>
        </w:tc>
        <w:tc>
          <w:tcPr>
            <w:tcW w:w="7320" w:type="dxa"/>
            <w:vAlign w:val="bottom"/>
            <w:gridSpan w:val="3"/>
          </w:tcPr>
          <w:p>
            <w:pPr>
              <w:ind w:left="6060"/>
              <w:spacing w:after="0"/>
              <w:rPr>
                <w:sz w:val="20"/>
                <w:szCs w:val="20"/>
                <w:color w:val="auto"/>
              </w:rPr>
            </w:pPr>
            <w:r>
              <w:rPr>
                <w:rFonts w:ascii="Times New Roman" w:cs="Times New Roman" w:eastAsia="Times New Roman" w:hAnsi="Times New Roman"/>
                <w:sz w:val="18"/>
                <w:szCs w:val="18"/>
                <w:color w:val="auto"/>
              </w:rPr>
              <w:t>5.04(1)</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313(b)</w:t>
            </w:r>
          </w:p>
        </w:tc>
        <w:tc>
          <w:tcPr>
            <w:tcW w:w="7320" w:type="dxa"/>
            <w:vAlign w:val="bottom"/>
            <w:gridSpan w:val="3"/>
          </w:tcPr>
          <w:p>
            <w:pPr>
              <w:ind w:left="6060"/>
              <w:spacing w:after="0"/>
              <w:rPr>
                <w:sz w:val="20"/>
                <w:szCs w:val="20"/>
                <w:color w:val="auto"/>
              </w:rPr>
            </w:pPr>
            <w:r>
              <w:rPr>
                <w:rFonts w:ascii="Times New Roman" w:cs="Times New Roman" w:eastAsia="Times New Roman" w:hAnsi="Times New Roman"/>
                <w:sz w:val="18"/>
                <w:szCs w:val="18"/>
                <w:color w:val="auto"/>
              </w:rPr>
              <w:t>5.04(2)</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313(c)</w:t>
            </w:r>
          </w:p>
        </w:tc>
        <w:tc>
          <w:tcPr>
            <w:tcW w:w="7320" w:type="dxa"/>
            <w:vAlign w:val="bottom"/>
            <w:gridSpan w:val="3"/>
          </w:tcPr>
          <w:p>
            <w:pPr>
              <w:ind w:left="6060"/>
              <w:spacing w:after="0"/>
              <w:rPr>
                <w:sz w:val="20"/>
                <w:szCs w:val="20"/>
                <w:color w:val="auto"/>
              </w:rPr>
            </w:pPr>
            <w:r>
              <w:rPr>
                <w:rFonts w:ascii="Times New Roman" w:cs="Times New Roman" w:eastAsia="Times New Roman" w:hAnsi="Times New Roman"/>
                <w:sz w:val="18"/>
                <w:szCs w:val="18"/>
                <w:color w:val="auto"/>
              </w:rPr>
              <w:t>5.04(1)</w:t>
            </w:r>
          </w:p>
        </w:tc>
      </w:tr>
      <w:tr>
        <w:trPr>
          <w:trHeight w:val="216"/>
        </w:trPr>
        <w:tc>
          <w:tcPr>
            <w:tcW w:w="3700" w:type="dxa"/>
            <w:vAlign w:val="bottom"/>
          </w:tcPr>
          <w:p>
            <w:pPr>
              <w:spacing w:after="0"/>
              <w:rPr>
                <w:sz w:val="18"/>
                <w:szCs w:val="18"/>
                <w:color w:val="auto"/>
              </w:rPr>
            </w:pPr>
          </w:p>
        </w:tc>
        <w:tc>
          <w:tcPr>
            <w:tcW w:w="7320" w:type="dxa"/>
            <w:vAlign w:val="bottom"/>
            <w:gridSpan w:val="3"/>
          </w:tcPr>
          <w:p>
            <w:pPr>
              <w:ind w:left="6060"/>
              <w:spacing w:after="0"/>
              <w:rPr>
                <w:sz w:val="20"/>
                <w:szCs w:val="20"/>
                <w:color w:val="auto"/>
              </w:rPr>
            </w:pPr>
            <w:r>
              <w:rPr>
                <w:rFonts w:ascii="Times New Roman" w:cs="Times New Roman" w:eastAsia="Times New Roman" w:hAnsi="Times New Roman"/>
                <w:sz w:val="18"/>
                <w:szCs w:val="18"/>
                <w:color w:val="auto"/>
              </w:rPr>
              <w:t>5.04(2)</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313(d)</w:t>
            </w:r>
          </w:p>
        </w:tc>
        <w:tc>
          <w:tcPr>
            <w:tcW w:w="7320" w:type="dxa"/>
            <w:vAlign w:val="bottom"/>
            <w:gridSpan w:val="3"/>
          </w:tcPr>
          <w:p>
            <w:pPr>
              <w:ind w:left="6060"/>
              <w:spacing w:after="0"/>
              <w:rPr>
                <w:sz w:val="20"/>
                <w:szCs w:val="20"/>
                <w:color w:val="auto"/>
              </w:rPr>
            </w:pPr>
            <w:r>
              <w:rPr>
                <w:rFonts w:ascii="Times New Roman" w:cs="Times New Roman" w:eastAsia="Times New Roman" w:hAnsi="Times New Roman"/>
                <w:sz w:val="18"/>
                <w:szCs w:val="18"/>
                <w:color w:val="auto"/>
              </w:rPr>
              <w:t>5.04(3)</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314(a)</w:t>
            </w:r>
          </w:p>
        </w:tc>
        <w:tc>
          <w:tcPr>
            <w:tcW w:w="7320" w:type="dxa"/>
            <w:vAlign w:val="bottom"/>
            <w:gridSpan w:val="3"/>
          </w:tcPr>
          <w:p>
            <w:pPr>
              <w:ind w:left="6060"/>
              <w:spacing w:after="0"/>
              <w:rPr>
                <w:sz w:val="20"/>
                <w:szCs w:val="20"/>
                <w:color w:val="auto"/>
              </w:rPr>
            </w:pPr>
            <w:r>
              <w:rPr>
                <w:rFonts w:ascii="Times New Roman" w:cs="Times New Roman" w:eastAsia="Times New Roman" w:hAnsi="Times New Roman"/>
                <w:sz w:val="18"/>
                <w:szCs w:val="18"/>
                <w:color w:val="auto"/>
              </w:rPr>
              <w:t>5.03</w:t>
            </w:r>
          </w:p>
        </w:tc>
      </w:tr>
      <w:tr>
        <w:trPr>
          <w:trHeight w:val="216"/>
        </w:trPr>
        <w:tc>
          <w:tcPr>
            <w:tcW w:w="3700" w:type="dxa"/>
            <w:vAlign w:val="bottom"/>
          </w:tcPr>
          <w:p>
            <w:pPr>
              <w:spacing w:after="0"/>
              <w:rPr>
                <w:sz w:val="18"/>
                <w:szCs w:val="18"/>
                <w:color w:val="auto"/>
              </w:rPr>
            </w:pPr>
          </w:p>
        </w:tc>
        <w:tc>
          <w:tcPr>
            <w:tcW w:w="7320" w:type="dxa"/>
            <w:vAlign w:val="bottom"/>
            <w:gridSpan w:val="3"/>
          </w:tcPr>
          <w:p>
            <w:pPr>
              <w:ind w:left="6060"/>
              <w:spacing w:after="0"/>
              <w:rPr>
                <w:sz w:val="20"/>
                <w:szCs w:val="20"/>
                <w:color w:val="auto"/>
              </w:rPr>
            </w:pPr>
            <w:r>
              <w:rPr>
                <w:rFonts w:ascii="Times New Roman" w:cs="Times New Roman" w:eastAsia="Times New Roman" w:hAnsi="Times New Roman"/>
                <w:sz w:val="18"/>
                <w:szCs w:val="18"/>
                <w:color w:val="auto"/>
              </w:rPr>
              <w:t>13.12</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314(b)</w:t>
            </w:r>
          </w:p>
        </w:tc>
        <w:tc>
          <w:tcPr>
            <w:tcW w:w="5440" w:type="dxa"/>
            <w:vAlign w:val="bottom"/>
          </w:tcPr>
          <w:p>
            <w:pPr>
              <w:spacing w:after="0"/>
              <w:rPr>
                <w:sz w:val="18"/>
                <w:szCs w:val="18"/>
                <w:color w:val="auto"/>
              </w:rPr>
            </w:pPr>
          </w:p>
        </w:tc>
        <w:tc>
          <w:tcPr>
            <w:tcW w:w="18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314(c)</w:t>
            </w:r>
          </w:p>
        </w:tc>
        <w:tc>
          <w:tcPr>
            <w:tcW w:w="7320" w:type="dxa"/>
            <w:vAlign w:val="bottom"/>
            <w:gridSpan w:val="3"/>
          </w:tcPr>
          <w:p>
            <w:pPr>
              <w:ind w:left="6060"/>
              <w:spacing w:after="0"/>
              <w:rPr>
                <w:sz w:val="20"/>
                <w:szCs w:val="20"/>
                <w:color w:val="auto"/>
              </w:rPr>
            </w:pPr>
            <w:r>
              <w:rPr>
                <w:rFonts w:ascii="Times New Roman" w:cs="Times New Roman" w:eastAsia="Times New Roman" w:hAnsi="Times New Roman"/>
                <w:sz w:val="18"/>
                <w:szCs w:val="18"/>
                <w:color w:val="auto"/>
              </w:rPr>
              <w:t>13.07(1)</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314(d)</w:t>
            </w:r>
          </w:p>
        </w:tc>
        <w:tc>
          <w:tcPr>
            <w:tcW w:w="5440" w:type="dxa"/>
            <w:vAlign w:val="bottom"/>
          </w:tcPr>
          <w:p>
            <w:pPr>
              <w:spacing w:after="0"/>
              <w:rPr>
                <w:sz w:val="18"/>
                <w:szCs w:val="18"/>
                <w:color w:val="auto"/>
              </w:rPr>
            </w:pPr>
          </w:p>
        </w:tc>
        <w:tc>
          <w:tcPr>
            <w:tcW w:w="18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314(e)</w:t>
            </w:r>
          </w:p>
        </w:tc>
        <w:tc>
          <w:tcPr>
            <w:tcW w:w="7320" w:type="dxa"/>
            <w:vAlign w:val="bottom"/>
            <w:gridSpan w:val="3"/>
          </w:tcPr>
          <w:p>
            <w:pPr>
              <w:ind w:left="6060"/>
              <w:spacing w:after="0"/>
              <w:rPr>
                <w:sz w:val="20"/>
                <w:szCs w:val="20"/>
                <w:color w:val="auto"/>
              </w:rPr>
            </w:pPr>
            <w:r>
              <w:rPr>
                <w:rFonts w:ascii="Times New Roman" w:cs="Times New Roman" w:eastAsia="Times New Roman" w:hAnsi="Times New Roman"/>
                <w:sz w:val="18"/>
                <w:szCs w:val="18"/>
                <w:color w:val="auto"/>
              </w:rPr>
              <w:t>13.07(2)</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314(f)</w:t>
            </w:r>
          </w:p>
        </w:tc>
        <w:tc>
          <w:tcPr>
            <w:tcW w:w="5440" w:type="dxa"/>
            <w:vAlign w:val="bottom"/>
          </w:tcPr>
          <w:p>
            <w:pPr>
              <w:spacing w:after="0"/>
              <w:rPr>
                <w:sz w:val="18"/>
                <w:szCs w:val="18"/>
                <w:color w:val="auto"/>
              </w:rPr>
            </w:pPr>
          </w:p>
        </w:tc>
        <w:tc>
          <w:tcPr>
            <w:tcW w:w="18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315(a)</w:t>
            </w:r>
          </w:p>
        </w:tc>
        <w:tc>
          <w:tcPr>
            <w:tcW w:w="7320" w:type="dxa"/>
            <w:vAlign w:val="bottom"/>
            <w:gridSpan w:val="3"/>
          </w:tcPr>
          <w:p>
            <w:pPr>
              <w:ind w:left="6060"/>
              <w:spacing w:after="0"/>
              <w:rPr>
                <w:sz w:val="20"/>
                <w:szCs w:val="20"/>
                <w:color w:val="auto"/>
              </w:rPr>
            </w:pPr>
            <w:r>
              <w:rPr>
                <w:rFonts w:ascii="Times New Roman" w:cs="Times New Roman" w:eastAsia="Times New Roman" w:hAnsi="Times New Roman"/>
                <w:sz w:val="18"/>
                <w:szCs w:val="18"/>
                <w:color w:val="auto"/>
              </w:rPr>
              <w:t>7.01(1)</w:t>
            </w:r>
          </w:p>
        </w:tc>
      </w:tr>
      <w:tr>
        <w:trPr>
          <w:trHeight w:val="216"/>
        </w:trPr>
        <w:tc>
          <w:tcPr>
            <w:tcW w:w="3700" w:type="dxa"/>
            <w:vAlign w:val="bottom"/>
          </w:tcPr>
          <w:p>
            <w:pPr>
              <w:spacing w:after="0"/>
              <w:rPr>
                <w:sz w:val="18"/>
                <w:szCs w:val="18"/>
                <w:color w:val="auto"/>
              </w:rPr>
            </w:pPr>
          </w:p>
        </w:tc>
        <w:tc>
          <w:tcPr>
            <w:tcW w:w="7320" w:type="dxa"/>
            <w:vAlign w:val="bottom"/>
            <w:gridSpan w:val="3"/>
          </w:tcPr>
          <w:p>
            <w:pPr>
              <w:ind w:left="6060"/>
              <w:spacing w:after="0"/>
              <w:rPr>
                <w:sz w:val="20"/>
                <w:szCs w:val="20"/>
                <w:color w:val="auto"/>
              </w:rPr>
            </w:pPr>
            <w:r>
              <w:rPr>
                <w:rFonts w:ascii="Times New Roman" w:cs="Times New Roman" w:eastAsia="Times New Roman" w:hAnsi="Times New Roman"/>
                <w:sz w:val="18"/>
                <w:szCs w:val="18"/>
                <w:color w:val="auto"/>
              </w:rPr>
              <w:t>7.01(2)</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315(b)</w:t>
            </w:r>
          </w:p>
        </w:tc>
        <w:tc>
          <w:tcPr>
            <w:tcW w:w="7320" w:type="dxa"/>
            <w:vAlign w:val="bottom"/>
            <w:gridSpan w:val="3"/>
          </w:tcPr>
          <w:p>
            <w:pPr>
              <w:ind w:left="6060"/>
              <w:spacing w:after="0"/>
              <w:rPr>
                <w:sz w:val="20"/>
                <w:szCs w:val="20"/>
                <w:color w:val="auto"/>
              </w:rPr>
            </w:pPr>
            <w:r>
              <w:rPr>
                <w:rFonts w:ascii="Times New Roman" w:cs="Times New Roman" w:eastAsia="Times New Roman" w:hAnsi="Times New Roman"/>
                <w:sz w:val="18"/>
                <w:szCs w:val="18"/>
                <w:color w:val="auto"/>
              </w:rPr>
              <w:t>7.14</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315(c)</w:t>
            </w:r>
          </w:p>
        </w:tc>
        <w:tc>
          <w:tcPr>
            <w:tcW w:w="7320" w:type="dxa"/>
            <w:vAlign w:val="bottom"/>
            <w:gridSpan w:val="3"/>
          </w:tcPr>
          <w:p>
            <w:pPr>
              <w:ind w:left="6060"/>
              <w:spacing w:after="0"/>
              <w:rPr>
                <w:sz w:val="20"/>
                <w:szCs w:val="20"/>
                <w:color w:val="auto"/>
              </w:rPr>
            </w:pPr>
            <w:r>
              <w:rPr>
                <w:rFonts w:ascii="Times New Roman" w:cs="Times New Roman" w:eastAsia="Times New Roman" w:hAnsi="Times New Roman"/>
                <w:sz w:val="18"/>
                <w:szCs w:val="18"/>
                <w:color w:val="auto"/>
              </w:rPr>
              <w:t>7.01</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315(d)</w:t>
            </w:r>
          </w:p>
        </w:tc>
        <w:tc>
          <w:tcPr>
            <w:tcW w:w="7320" w:type="dxa"/>
            <w:vAlign w:val="bottom"/>
            <w:gridSpan w:val="3"/>
          </w:tcPr>
          <w:p>
            <w:pPr>
              <w:ind w:left="6060"/>
              <w:spacing w:after="0"/>
              <w:rPr>
                <w:sz w:val="20"/>
                <w:szCs w:val="20"/>
                <w:color w:val="auto"/>
              </w:rPr>
            </w:pPr>
            <w:r>
              <w:rPr>
                <w:rFonts w:ascii="Times New Roman" w:cs="Times New Roman" w:eastAsia="Times New Roman" w:hAnsi="Times New Roman"/>
                <w:sz w:val="18"/>
                <w:szCs w:val="18"/>
                <w:color w:val="auto"/>
              </w:rPr>
              <w:t>7.01(2)</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315(e)</w:t>
            </w:r>
          </w:p>
        </w:tc>
        <w:tc>
          <w:tcPr>
            <w:tcW w:w="7320" w:type="dxa"/>
            <w:vAlign w:val="bottom"/>
            <w:gridSpan w:val="3"/>
          </w:tcPr>
          <w:p>
            <w:pPr>
              <w:ind w:left="6060"/>
              <w:spacing w:after="0"/>
              <w:rPr>
                <w:sz w:val="20"/>
                <w:szCs w:val="20"/>
                <w:color w:val="auto"/>
              </w:rPr>
            </w:pPr>
            <w:r>
              <w:rPr>
                <w:rFonts w:ascii="Times New Roman" w:cs="Times New Roman" w:eastAsia="Times New Roman" w:hAnsi="Times New Roman"/>
                <w:sz w:val="18"/>
                <w:szCs w:val="18"/>
                <w:color w:val="auto"/>
              </w:rPr>
              <w:t>6.07</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316(a)</w:t>
            </w:r>
          </w:p>
        </w:tc>
        <w:tc>
          <w:tcPr>
            <w:tcW w:w="7320" w:type="dxa"/>
            <w:vAlign w:val="bottom"/>
            <w:gridSpan w:val="3"/>
          </w:tcPr>
          <w:p>
            <w:pPr>
              <w:ind w:left="6060"/>
              <w:spacing w:after="0"/>
              <w:rPr>
                <w:sz w:val="20"/>
                <w:szCs w:val="20"/>
                <w:color w:val="auto"/>
              </w:rPr>
            </w:pPr>
            <w:r>
              <w:rPr>
                <w:rFonts w:ascii="Times New Roman" w:cs="Times New Roman" w:eastAsia="Times New Roman" w:hAnsi="Times New Roman"/>
                <w:sz w:val="18"/>
                <w:szCs w:val="18"/>
                <w:color w:val="auto"/>
              </w:rPr>
              <w:t>6.06</w:t>
            </w:r>
          </w:p>
        </w:tc>
      </w:tr>
      <w:tr>
        <w:trPr>
          <w:trHeight w:val="216"/>
        </w:trPr>
        <w:tc>
          <w:tcPr>
            <w:tcW w:w="3700" w:type="dxa"/>
            <w:vAlign w:val="bottom"/>
          </w:tcPr>
          <w:p>
            <w:pPr>
              <w:spacing w:after="0"/>
              <w:rPr>
                <w:sz w:val="18"/>
                <w:szCs w:val="18"/>
                <w:color w:val="auto"/>
              </w:rPr>
            </w:pPr>
          </w:p>
        </w:tc>
        <w:tc>
          <w:tcPr>
            <w:tcW w:w="7320" w:type="dxa"/>
            <w:vAlign w:val="bottom"/>
            <w:gridSpan w:val="3"/>
          </w:tcPr>
          <w:p>
            <w:pPr>
              <w:ind w:left="6060"/>
              <w:spacing w:after="0"/>
              <w:rPr>
                <w:sz w:val="20"/>
                <w:szCs w:val="20"/>
                <w:color w:val="auto"/>
              </w:rPr>
            </w:pPr>
            <w:r>
              <w:rPr>
                <w:rFonts w:ascii="Times New Roman" w:cs="Times New Roman" w:eastAsia="Times New Roman" w:hAnsi="Times New Roman"/>
                <w:sz w:val="18"/>
                <w:szCs w:val="18"/>
                <w:color w:val="auto"/>
              </w:rPr>
              <w:t>8.04</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316(b)</w:t>
            </w:r>
          </w:p>
        </w:tc>
        <w:tc>
          <w:tcPr>
            <w:tcW w:w="7320" w:type="dxa"/>
            <w:vAlign w:val="bottom"/>
            <w:gridSpan w:val="3"/>
          </w:tcPr>
          <w:p>
            <w:pPr>
              <w:ind w:left="6060"/>
              <w:spacing w:after="0"/>
              <w:rPr>
                <w:sz w:val="20"/>
                <w:szCs w:val="20"/>
                <w:color w:val="auto"/>
              </w:rPr>
            </w:pPr>
            <w:r>
              <w:rPr>
                <w:rFonts w:ascii="Times New Roman" w:cs="Times New Roman" w:eastAsia="Times New Roman" w:hAnsi="Times New Roman"/>
                <w:sz w:val="18"/>
                <w:szCs w:val="18"/>
                <w:color w:val="auto"/>
              </w:rPr>
              <w:t>6.04</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316(c)</w:t>
            </w:r>
          </w:p>
        </w:tc>
        <w:tc>
          <w:tcPr>
            <w:tcW w:w="7320" w:type="dxa"/>
            <w:vAlign w:val="bottom"/>
            <w:gridSpan w:val="3"/>
          </w:tcPr>
          <w:p>
            <w:pPr>
              <w:ind w:left="6060"/>
              <w:spacing w:after="0"/>
              <w:rPr>
                <w:sz w:val="20"/>
                <w:szCs w:val="20"/>
                <w:color w:val="auto"/>
              </w:rPr>
            </w:pPr>
            <w:r>
              <w:rPr>
                <w:rFonts w:ascii="Times New Roman" w:cs="Times New Roman" w:eastAsia="Times New Roman" w:hAnsi="Times New Roman"/>
                <w:sz w:val="18"/>
                <w:szCs w:val="18"/>
                <w:color w:val="auto"/>
              </w:rPr>
              <w:t>8.01</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317(a)</w:t>
            </w:r>
          </w:p>
        </w:tc>
        <w:tc>
          <w:tcPr>
            <w:tcW w:w="7320" w:type="dxa"/>
            <w:vAlign w:val="bottom"/>
            <w:gridSpan w:val="3"/>
          </w:tcPr>
          <w:p>
            <w:pPr>
              <w:ind w:left="6060"/>
              <w:spacing w:after="0"/>
              <w:rPr>
                <w:sz w:val="20"/>
                <w:szCs w:val="20"/>
                <w:color w:val="auto"/>
              </w:rPr>
            </w:pPr>
            <w:r>
              <w:rPr>
                <w:rFonts w:ascii="Times New Roman" w:cs="Times New Roman" w:eastAsia="Times New Roman" w:hAnsi="Times New Roman"/>
                <w:sz w:val="18"/>
                <w:szCs w:val="18"/>
                <w:color w:val="auto"/>
              </w:rPr>
              <w:t>6.02</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317(b)</w:t>
            </w:r>
          </w:p>
        </w:tc>
        <w:tc>
          <w:tcPr>
            <w:tcW w:w="7320" w:type="dxa"/>
            <w:vAlign w:val="bottom"/>
            <w:gridSpan w:val="3"/>
          </w:tcPr>
          <w:p>
            <w:pPr>
              <w:ind w:left="6060"/>
              <w:spacing w:after="0"/>
              <w:rPr>
                <w:sz w:val="20"/>
                <w:szCs w:val="20"/>
                <w:color w:val="auto"/>
              </w:rPr>
            </w:pPr>
            <w:r>
              <w:rPr>
                <w:rFonts w:ascii="Times New Roman" w:cs="Times New Roman" w:eastAsia="Times New Roman" w:hAnsi="Times New Roman"/>
                <w:sz w:val="18"/>
                <w:szCs w:val="18"/>
                <w:color w:val="auto"/>
              </w:rPr>
              <w:t>4.03</w:t>
            </w:r>
          </w:p>
        </w:tc>
      </w:t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318(a)</w:t>
            </w:r>
          </w:p>
        </w:tc>
        <w:tc>
          <w:tcPr>
            <w:tcW w:w="7320" w:type="dxa"/>
            <w:vAlign w:val="bottom"/>
            <w:gridSpan w:val="3"/>
          </w:tcPr>
          <w:p>
            <w:pPr>
              <w:ind w:left="6060"/>
              <w:spacing w:after="0"/>
              <w:rPr>
                <w:sz w:val="20"/>
                <w:szCs w:val="20"/>
                <w:color w:val="auto"/>
              </w:rPr>
            </w:pPr>
            <w:r>
              <w:rPr>
                <w:rFonts w:ascii="Times New Roman" w:cs="Times New Roman" w:eastAsia="Times New Roman" w:hAnsi="Times New Roman"/>
                <w:sz w:val="18"/>
                <w:szCs w:val="18"/>
                <w:color w:val="auto"/>
              </w:rPr>
              <w:t>13.09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224" w:right="600" w:hanging="224"/>
        <w:spacing w:after="0" w:line="208" w:lineRule="auto"/>
        <w:tabs>
          <w:tab w:leader="none" w:pos="224" w:val="left"/>
        </w:tabs>
        <w:numPr>
          <w:ilvl w:val="0"/>
          <w:numId w:val="19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This Cross-Reference Table does not constitute part of the Indenture and shall not have any bearing on the interpretation of any of its terms or provisions.</w:t>
      </w:r>
    </w:p>
    <w:p>
      <w:pPr>
        <w:spacing w:after="0" w:line="1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4"/>
          </w:cols>
          <w:pgMar w:left="436" w:top="266" w:right="439" w:bottom="1440" w:gutter="0" w:footer="0" w:header="0"/>
        </w:sectPr>
      </w:pPr>
    </w:p>
    <w:bookmarkStart w:id="179" w:name="page180"/>
    <w:bookmarkEnd w:id="179"/>
    <w:p>
      <w:pPr>
        <w:ind w:left="10180"/>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68"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8"/>
          <w:szCs w:val="18"/>
          <w:color w:val="auto"/>
        </w:rPr>
        <w:t xml:space="preserve">Goodwin Procter </w:t>
      </w:r>
      <w:r>
        <w:rPr>
          <w:rFonts w:ascii="Times New Roman" w:cs="Times New Roman" w:eastAsia="Times New Roman" w:hAnsi="Times New Roman"/>
          <w:sz w:val="14"/>
          <w:szCs w:val="14"/>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705610" cy="3771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1">
                      <a:extLst>
                        <a:ext uri="{28A0092B-C50C-407E-A947-70E740481C1C}"/>
                      </a:extLst>
                    </a:blip>
                    <a:srcRect/>
                    <a:stretch>
                      <a:fillRect/>
                    </a:stretch>
                  </pic:blipFill>
                  <pic:spPr bwMode="auto">
                    <a:xfrm>
                      <a:off x="0" y="0"/>
                      <a:ext cx="1705610" cy="377190"/>
                    </a:xfrm>
                    <a:prstGeom prst="rect">
                      <a:avLst/>
                    </a:prstGeom>
                    <a:noFill/>
                  </pic:spPr>
                </pic:pic>
              </a:graphicData>
            </a:graphic>
          </wp:anchor>
        </w:drawing>
      </w:r>
    </w:p>
    <w:p>
      <w:pPr>
        <w:spacing w:after="0" w:line="7"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8"/>
          <w:szCs w:val="18"/>
          <w:color w:val="auto"/>
        </w:rPr>
        <w:t>Boston, MA 02210</w:t>
      </w:r>
    </w:p>
    <w:p>
      <w:pPr>
        <w:spacing w:after="0" w:line="112"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8"/>
          <w:szCs w:val="18"/>
          <w:color w:val="auto"/>
        </w:rPr>
        <w:t>goodwinlaw.com</w:t>
      </w:r>
    </w:p>
    <w:p>
      <w:pPr>
        <w:spacing w:after="0" w:line="27"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8"/>
          <w:szCs w:val="18"/>
          <w:color w:val="auto"/>
        </w:rPr>
        <w:t>+1 617 570 1000</w:t>
      </w:r>
    </w:p>
    <w:p>
      <w:pPr>
        <w:spacing w:after="0" w:line="220" w:lineRule="exact"/>
        <w:rPr>
          <w:sz w:val="20"/>
          <w:szCs w:val="20"/>
          <w:color w:val="auto"/>
        </w:rPr>
      </w:pPr>
    </w:p>
    <w:p>
      <w:pPr>
        <w:ind w:left="9300"/>
        <w:spacing w:after="0"/>
        <w:rPr>
          <w:sz w:val="20"/>
          <w:szCs w:val="20"/>
          <w:color w:val="auto"/>
        </w:rPr>
      </w:pPr>
      <w:r>
        <w:rPr>
          <w:rFonts w:ascii="Times New Roman" w:cs="Times New Roman" w:eastAsia="Times New Roman" w:hAnsi="Times New Roman"/>
          <w:sz w:val="18"/>
          <w:szCs w:val="18"/>
          <w:color w:val="auto"/>
        </w:rPr>
        <w:t>September 1,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Tango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 Brookline 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901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02115</w:t>
      </w:r>
    </w:p>
    <w:p>
      <w:pPr>
        <w:spacing w:after="0" w:line="234"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Securities Being Registered under Registration Statement on Form S-3</w:t>
      </w:r>
    </w:p>
    <w:p>
      <w:pPr>
        <w:spacing w:after="0" w:line="225"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We have acted as counsel to you in connection with your filing of a Registration Statement on Form S-3 (as amended or supplemented, the “Registration Statement”) pursuant to the Securities Act of 1933, as amended (the “Securities Act”), relating to the offering by Tango Therapeutics, Inc., a Delaware corporation (the “Company”) of up to $400,000,000 of any combination of (i) common stock, par value $0.001 per share (the “Common Stock”), of the Company, (ii) preferred stock, par value $0.001 per share, of the Company (the “Preferred Stock”), (iii) debt securities of the Company (“Debt Securities”), (iv) warrants to purchase Common Stock, Preferred Stock, Debt Securities or Units (as defined below ) (“Warrants”), and (v) units comprised of Common Stock, Preferred Stock, Debt Securities, Warrants and other securities in any combination (“Units”). The Common Stock, Preferred Stock, Debt Securities, Warrants, and Units sometimes referred to collectively herein as the “Securities.” Securities may be issued in an unspecified number (with respect to Common Stock, Preferred Stock, Warrants, and Units) or in an unspecified principal amount (with respect to Debt Securities). The Registration Statement provides that the Securities may be offered separately or together, in separate series, in amounts, at prices and on terms to be set forth in one or more prospectus supplements (each a “Prospectus Supplement”) to the prospectus contained in the Registration Statement.</w:t>
      </w:r>
    </w:p>
    <w:p>
      <w:pPr>
        <w:spacing w:after="0" w:line="17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opinions set forth below are limited to the Delaware General Corporation Law and the law of New York.</w:t>
      </w:r>
    </w:p>
    <w:p>
      <w:pPr>
        <w:spacing w:after="0" w:line="225"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For purposes of the opinions set forth below, without limiting any other exceptions or qualifications set forth herein, we have assumed that (i) each of the Debt Securities, Warrants and Units, and the indentures, warrant agreements, unit agreements and other agreements governing Securities offered pursuant to the Registration Statement will be governed by the internal law of New York and (ii) after the issuance of any Securities offered pursuant to the Registration Statement, the total number of issued shares of Common Stock or Preferred Stock, as applicable, together with the total number of shares of such stock issuable upon the exercise, exchange, conversion or settlement, as the case may be, of any exercisable, exchangeable or convertible security (including without limitation any Unit), as the case may be, then outstanding, will not exceed the total number of authorized shares of Common Stock or Preferred Stock, as applicable, available for issuance under the Company’s certificate of incorporation as then in effect (the “Charter”).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 opinions set forth below, we refer to the following as the “Future Authorization and Issuance” of Securities:</w:t>
      </w:r>
    </w:p>
    <w:p>
      <w:pPr>
        <w:spacing w:after="0" w:line="131" w:lineRule="exact"/>
        <w:rPr>
          <w:sz w:val="20"/>
          <w:szCs w:val="20"/>
          <w:color w:val="auto"/>
        </w:rPr>
      </w:pPr>
    </w:p>
    <w:p>
      <w:pPr>
        <w:ind w:left="1420" w:right="100" w:hanging="331"/>
        <w:spacing w:after="0" w:line="261" w:lineRule="auto"/>
        <w:tabs>
          <w:tab w:leader="none" w:pos="142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of the Securities, (a) the authorization by the Company of the amount, terms and issuance of such Securities (the “Authorization”) and (b) the issuance of such Securities in accordance with the Authorization therefor upon the receipt by the Company of the consideration (which, in the case of shares of Common Stock or Preferred Stock, is not less than the par value of such shares) to be paid therefor in accordance with the Authorization;</w:t>
      </w:r>
    </w:p>
    <w:p>
      <w:pPr>
        <w:sectPr>
          <w:pgSz w:w="11900" w:h="16838" w:orient="portrait"/>
          <w:cols w:equalWidth="0" w:num="1">
            <w:col w:w="11020"/>
          </w:cols>
          <w:pgMar w:left="440" w:top="117" w:right="4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Tango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1420" w:right="240" w:hanging="331"/>
        <w:spacing w:after="0" w:line="261" w:lineRule="auto"/>
        <w:tabs>
          <w:tab w:leader="none" w:pos="142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Preferred Stock, (a) the establishment of the terms of such Preferred Stock by the Company in conformity with the Charter and applicable law and (b) the execution, acknowledgement and filing with the Delaware Secretary of State, and the effectiveness of, a certificate of designations to the Charter setting forth the terms of such Preferred Stock in accordance with the Charter and applicable law;</w:t>
      </w:r>
    </w:p>
    <w:p>
      <w:pPr>
        <w:spacing w:after="0" w:line="85" w:lineRule="exact"/>
        <w:rPr>
          <w:rFonts w:ascii="Times New Roman" w:cs="Times New Roman" w:eastAsia="Times New Roman" w:hAnsi="Times New Roman"/>
          <w:sz w:val="18"/>
          <w:szCs w:val="18"/>
          <w:color w:val="auto"/>
        </w:rPr>
      </w:pPr>
    </w:p>
    <w:p>
      <w:pPr>
        <w:ind w:left="1420" w:right="80" w:hanging="331"/>
        <w:spacing w:after="0" w:line="258" w:lineRule="auto"/>
        <w:tabs>
          <w:tab w:leader="none" w:pos="142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Debt Securities, (a) the authorization, execution and delivery of the indenture or a supplemental indenture relating to such Securities by the Company and the trustee thereunder and/or (b) the establishment of the terms of such Securities by the Company in conformity with the applicable indenture or supplemental indenture and applicable law, and (c) the execution, authentication and issuance of such Securities in accordance with the applicable indenture or supplemental indenture and applicable law; and</w:t>
      </w:r>
    </w:p>
    <w:p>
      <w:pPr>
        <w:spacing w:after="0" w:line="88" w:lineRule="exact"/>
        <w:rPr>
          <w:rFonts w:ascii="Times New Roman" w:cs="Times New Roman" w:eastAsia="Times New Roman" w:hAnsi="Times New Roman"/>
          <w:sz w:val="18"/>
          <w:szCs w:val="18"/>
          <w:color w:val="auto"/>
        </w:rPr>
      </w:pPr>
    </w:p>
    <w:p>
      <w:pPr>
        <w:ind w:left="1420" w:right="60" w:hanging="331"/>
        <w:spacing w:after="0" w:line="266" w:lineRule="auto"/>
        <w:tabs>
          <w:tab w:leader="none" w:pos="142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Warrants or Units, (a) the authorization, execution and delivery by the Company and the other parties thereto of any agreement under which such Securities are to be issued and (b) the establishment of the terms of such Securities, and the issuance of such Securities, in conformity with those terms, the terms of any applicable agreement and applicable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upon the foregoing, and subject to the additional qualifications set forth below, we are of the opinion that:</w:t>
      </w:r>
    </w:p>
    <w:p>
      <w:pPr>
        <w:spacing w:after="0" w:line="131" w:lineRule="exact"/>
        <w:rPr>
          <w:sz w:val="20"/>
          <w:szCs w:val="20"/>
          <w:color w:val="auto"/>
        </w:rPr>
      </w:pPr>
    </w:p>
    <w:p>
      <w:pPr>
        <w:ind w:left="960" w:right="140" w:hanging="532"/>
        <w:spacing w:after="0" w:line="282" w:lineRule="auto"/>
        <w:tabs>
          <w:tab w:leader="none" w:pos="9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Future Authorization and Issuance of shares of Common Stock, such shares of Common Stock will be validly issued, fully paid and nonassessable.</w:t>
      </w:r>
    </w:p>
    <w:p>
      <w:pPr>
        <w:spacing w:after="0" w:line="67" w:lineRule="exact"/>
        <w:rPr>
          <w:rFonts w:ascii="Times New Roman" w:cs="Times New Roman" w:eastAsia="Times New Roman" w:hAnsi="Times New Roman"/>
          <w:sz w:val="18"/>
          <w:szCs w:val="18"/>
          <w:color w:val="auto"/>
        </w:rPr>
      </w:pPr>
    </w:p>
    <w:p>
      <w:pPr>
        <w:ind w:left="960" w:right="140" w:hanging="532"/>
        <w:spacing w:after="0" w:line="282" w:lineRule="auto"/>
        <w:tabs>
          <w:tab w:leader="none" w:pos="9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Future Authorization and Issuance of shares of Preferred Stock, such shares of Preferred Stock will be validly issued, fully paid and nonassessable.</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Future Authorization and Issuance of Debt Securities, such Debt Securities will be valid and binding obligations of the Company.</w:t>
      </w:r>
    </w:p>
    <w:p>
      <w:pPr>
        <w:spacing w:after="0" w:line="142" w:lineRule="exact"/>
        <w:rPr>
          <w:rFonts w:ascii="Times New Roman" w:cs="Times New Roman" w:eastAsia="Times New Roman" w:hAnsi="Times New Roman"/>
          <w:sz w:val="17"/>
          <w:szCs w:val="17"/>
          <w:color w:val="auto"/>
        </w:rPr>
      </w:pPr>
    </w:p>
    <w:p>
      <w:pPr>
        <w:ind w:left="960" w:hanging="532"/>
        <w:spacing w:after="0"/>
        <w:tabs>
          <w:tab w:leader="none" w:pos="9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Future Authorization and Issuance of Warrants, such Warrants will be valid and binding obligations of the Company.</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Future Authorization and Issuance of Units, such Units will be valid and binding obligations of the Company.</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opinions expressed above are subject to bankruptcy, insolvency, fraudulent transfer, reorganization, moratorium and other similar laws of general application affecting the rights and remedies of creditors and to general principles of equity.</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This opinion letter and the opinions it contains shall be interpreted in accordance with the Core Opinion Principles as published in 74 Business Lawyer 815 (Summer 2019).</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Goodwin Procter LLP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GOODWIN PROCTER LLP</w:t>
      </w:r>
    </w:p>
    <w:p>
      <w:pPr>
        <w:sectPr>
          <w:pgSz w:w="11900" w:h="16838" w:orient="portrait"/>
          <w:cols w:equalWidth="0" w:num="1">
            <w:col w:w="11000"/>
          </w:cols>
          <w:pgMar w:left="440" w:top="270" w:right="459" w:bottom="1440" w:gutter="0" w:footer="0" w:header="0"/>
        </w:sectPr>
      </w:pPr>
    </w:p>
    <w:bookmarkStart w:id="181" w:name="page182"/>
    <w:bookmarkEnd w:id="181"/>
    <w:p>
      <w:pPr>
        <w:ind w:left="10180"/>
        <w:spacing w:after="0"/>
        <w:rPr>
          <w:sz w:val="20"/>
          <w:szCs w:val="20"/>
          <w:color w:val="auto"/>
        </w:rPr>
      </w:pPr>
      <w:r>
        <w:rPr>
          <w:rFonts w:ascii="Times New Roman" w:cs="Times New Roman" w:eastAsia="Times New Roman" w:hAnsi="Times New Roman"/>
          <w:sz w:val="17"/>
          <w:szCs w:val="17"/>
          <w:b w:val="1"/>
          <w:bCs w:val="1"/>
          <w:color w:val="auto"/>
        </w:rPr>
        <w:t>Exhibit 5.2</w:t>
      </w:r>
    </w:p>
    <w:p>
      <w:pPr>
        <w:spacing w:after="0" w:line="268"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8"/>
          <w:szCs w:val="18"/>
          <w:color w:val="auto"/>
        </w:rPr>
        <w:t xml:space="preserve">Goodwin Procter </w:t>
      </w:r>
      <w:r>
        <w:rPr>
          <w:rFonts w:ascii="Times New Roman" w:cs="Times New Roman" w:eastAsia="Times New Roman" w:hAnsi="Times New Roman"/>
          <w:sz w:val="14"/>
          <w:szCs w:val="14"/>
          <w:color w:val="auto"/>
        </w:rPr>
        <w:t>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705610" cy="3771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3">
                      <a:extLst>
                        <a:ext uri="{28A0092B-C50C-407E-A947-70E740481C1C}"/>
                      </a:extLst>
                    </a:blip>
                    <a:srcRect/>
                    <a:stretch>
                      <a:fillRect/>
                    </a:stretch>
                  </pic:blipFill>
                  <pic:spPr bwMode="auto">
                    <a:xfrm>
                      <a:off x="0" y="0"/>
                      <a:ext cx="1705610" cy="377190"/>
                    </a:xfrm>
                    <a:prstGeom prst="rect">
                      <a:avLst/>
                    </a:prstGeom>
                    <a:noFill/>
                  </pic:spPr>
                </pic:pic>
              </a:graphicData>
            </a:graphic>
          </wp:anchor>
        </w:drawing>
      </w:r>
    </w:p>
    <w:p>
      <w:pPr>
        <w:spacing w:after="0" w:line="7"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8"/>
          <w:szCs w:val="18"/>
          <w:color w:val="auto"/>
        </w:rPr>
        <w:t>Boston, MA 02210</w:t>
      </w:r>
    </w:p>
    <w:p>
      <w:pPr>
        <w:spacing w:after="0" w:line="112"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8"/>
          <w:szCs w:val="18"/>
          <w:color w:val="auto"/>
        </w:rPr>
        <w:t>goodwinlaw.com</w:t>
      </w:r>
    </w:p>
    <w:p>
      <w:pPr>
        <w:spacing w:after="0" w:line="27"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8"/>
          <w:szCs w:val="18"/>
          <w:color w:val="auto"/>
        </w:rPr>
        <w:t>+1 617 570 1000</w:t>
      </w:r>
    </w:p>
    <w:p>
      <w:pPr>
        <w:spacing w:after="0" w:line="220" w:lineRule="exact"/>
        <w:rPr>
          <w:sz w:val="20"/>
          <w:szCs w:val="20"/>
          <w:color w:val="auto"/>
        </w:rPr>
      </w:pPr>
    </w:p>
    <w:p>
      <w:pPr>
        <w:ind w:left="9300"/>
        <w:spacing w:after="0"/>
        <w:rPr>
          <w:sz w:val="20"/>
          <w:szCs w:val="20"/>
          <w:color w:val="auto"/>
        </w:rPr>
      </w:pPr>
      <w:r>
        <w:rPr>
          <w:rFonts w:ascii="Times New Roman" w:cs="Times New Roman" w:eastAsia="Times New Roman" w:hAnsi="Times New Roman"/>
          <w:sz w:val="18"/>
          <w:szCs w:val="18"/>
          <w:color w:val="auto"/>
        </w:rPr>
        <w:t>September 1,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Tango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 Brookline 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901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02115</w:t>
      </w:r>
    </w:p>
    <w:p>
      <w:pPr>
        <w:spacing w:after="0" w:line="234"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Securities Registered under Registration Statement on Form S-3</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acted as counsel to you in connection with your filing of a Registration Statement on Form S-3 (as amended or supplemented, the “Registration Statement”) filed on September 1, 2022 with the Securities and Exchange Commission (the “Commission”) pursuant to the Securities Act of 1933, as amended (the “Securities Act”), relating to the registration of the offering by Tango Therapeutics, Inc., a Delaware corporation (the “Company”) of up to $400,000,000 of any combination of securities of the types specified therein. Reference is made to our opinion letter dated September 1, 2022 and included as Exhibit 5.1 to the Registration Statement. We are delivering this supplemental opinion letter in connection with the sale agreement prospectus (the “Prospectus”) contained in the Registration Statement. The Prospectus relates to the offering by the Company of up to $100,000,000 in shares (the “Shares”) of the Company’s common stock, par value $0.001 per share (“Common Stock”), covered by the Registration Statement. The Shares are being offered and sold by the sales agent named in, and pursuant to, a sales agreement between the Company and such sales agent.</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For purposes of the opinion set forth below, we have assumed that the Shares are issued for a price per share equal to or greater than the minimum price authorized by the Company’s board of directors prior to the date hereof (the “Minimum Price”) and that no event occurs that causes the number of authorized shares of Common Stock available for issuance by the Company to be less than the number of then unissued Shares that may be issued for the Minimum Price.</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purposes of the opinion set forth below, we refer to the following as “Future Approval and Issuance”: (a) the approval by the Company’s board of directors (or a duly authorized committee of the board of directors) of the issuance of the Shares (the “Approval”) and (b) the issuance of the Shares in accordance with the Approval and the receipt by the Company of the consideration (which shall not be less than the par value of such Shares) to be paid in accordance with the Approval.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 set forth below is limited to the Delaware General Corporation Law.</w:t>
      </w:r>
    </w:p>
    <w:p>
      <w:pPr>
        <w:spacing w:after="0" w:line="131" w:lineRule="exact"/>
        <w:rPr>
          <w:sz w:val="20"/>
          <w:szCs w:val="20"/>
          <w:color w:val="auto"/>
        </w:rPr>
      </w:pPr>
    </w:p>
    <w:p>
      <w:pPr>
        <w:ind w:left="960" w:right="180" w:hanging="532"/>
        <w:spacing w:after="0" w:line="282" w:lineRule="auto"/>
        <w:tabs>
          <w:tab w:leader="none" w:pos="9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foregoing, we are of the opinion that the Shares have been duly authorized and, upon Future Approval and Issuance, will be validly issued, fully paid and nonassessable.</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letter as Exhibit 5.2 to the Registration Statement and the reference to our firm in that report. In giving our consent, we do not admit that we are in the category of persons whose consent is required under Section 7 of the Securities Act or the rules and regulations thereunder.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Goodwin Procter LLP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GOODWIN PROCTER LLP</w:t>
      </w:r>
    </w:p>
    <w:p>
      <w:pPr>
        <w:sectPr>
          <w:pgSz w:w="11900" w:h="16838" w:orient="portrait"/>
          <w:cols w:equalWidth="0" w:num="1">
            <w:col w:w="11020"/>
          </w:cols>
          <w:pgMar w:left="440" w:top="117" w:right="4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S-3 of Tango Therapeutics, Inc. of our report dated March 28, 2022 relating to the financial statements, which appears in Tango Therapeutics, Inc.’s Annual Report on Form 10-K for the year ended December 31, 2021. We also consent to the reference to us under the heading “Experts” in such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 2022</w:t>
      </w:r>
    </w:p>
    <w:p>
      <w:pPr>
        <w:sectPr>
          <w:pgSz w:w="11900" w:h="16838" w:orient="portrait"/>
          <w:cols w:equalWidth="0" w:num="1">
            <w:col w:w="11020"/>
          </w:cols>
          <w:pgMar w:left="440" w:top="117" w:right="4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Form S-3</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Tango Therapeutics,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50" w:lineRule="exact"/>
        <w:rPr>
          <w:sz w:val="20"/>
          <w:szCs w:val="20"/>
          <w:color w:val="auto"/>
        </w:rPr>
      </w:pPr>
    </w:p>
    <w:tbl>
      <w:tblPr>
        <w:tblLayout w:type="fixed"/>
        <w:tblInd w:w="54" w:type="dxa"/>
        <w:tblCellMar>
          <w:top w:w="0" w:type="dxa"/>
          <w:left w:w="0" w:type="dxa"/>
          <w:bottom w:w="0" w:type="dxa"/>
          <w:right w:w="0" w:type="dxa"/>
        </w:tblCellMar>
      </w:tblPr>
      <w:tr>
        <w:trPr>
          <w:trHeight w:val="151"/>
        </w:trPr>
        <w:tc>
          <w:tcPr>
            <w:tcW w:w="1100" w:type="dxa"/>
            <w:vAlign w:val="bottom"/>
            <w:tcBorders>
              <w:top w:val="single" w:sz="8" w:color="auto"/>
              <w:left w:val="single" w:sz="8" w:color="auto"/>
              <w:right w:val="single" w:sz="8" w:color="auto"/>
            </w:tcBorders>
          </w:tcPr>
          <w:p>
            <w:pPr>
              <w:spacing w:after="0"/>
              <w:rPr>
                <w:sz w:val="13"/>
                <w:szCs w:val="13"/>
                <w:color w:val="auto"/>
              </w:rPr>
            </w:pPr>
          </w:p>
        </w:tc>
        <w:tc>
          <w:tcPr>
            <w:tcW w:w="800" w:type="dxa"/>
            <w:vAlign w:val="bottom"/>
            <w:tcBorders>
              <w:top w:val="single" w:sz="8" w:color="auto"/>
              <w:right w:val="single" w:sz="8" w:color="auto"/>
            </w:tcBorders>
          </w:tcPr>
          <w:p>
            <w:pPr>
              <w:spacing w:after="0"/>
              <w:rPr>
                <w:sz w:val="13"/>
                <w:szCs w:val="13"/>
                <w:color w:val="auto"/>
              </w:rPr>
            </w:pPr>
          </w:p>
        </w:tc>
        <w:tc>
          <w:tcPr>
            <w:tcW w:w="820" w:type="dxa"/>
            <w:vAlign w:val="bottom"/>
            <w:tcBorders>
              <w:top w:val="single" w:sz="8" w:color="auto"/>
              <w:right w:val="single" w:sz="8" w:color="auto"/>
            </w:tcBorders>
          </w:tcPr>
          <w:p>
            <w:pPr>
              <w:spacing w:after="0"/>
              <w:rPr>
                <w:sz w:val="13"/>
                <w:szCs w:val="13"/>
                <w:color w:val="auto"/>
              </w:rPr>
            </w:pPr>
          </w:p>
        </w:tc>
        <w:tc>
          <w:tcPr>
            <w:tcW w:w="820" w:type="dxa"/>
            <w:vAlign w:val="bottom"/>
            <w:tcBorders>
              <w:top w:val="single" w:sz="8" w:color="auto"/>
              <w:right w:val="single" w:sz="8" w:color="auto"/>
            </w:tcBorders>
          </w:tcPr>
          <w:p>
            <w:pPr>
              <w:spacing w:after="0"/>
              <w:rPr>
                <w:sz w:val="13"/>
                <w:szCs w:val="13"/>
                <w:color w:val="auto"/>
              </w:rPr>
            </w:pPr>
          </w:p>
        </w:tc>
        <w:tc>
          <w:tcPr>
            <w:tcW w:w="940" w:type="dxa"/>
            <w:vAlign w:val="bottom"/>
            <w:tcBorders>
              <w:top w:val="single" w:sz="8" w:color="auto"/>
              <w:right w:val="single" w:sz="8" w:color="auto"/>
            </w:tcBorders>
          </w:tcPr>
          <w:p>
            <w:pPr>
              <w:spacing w:after="0"/>
              <w:rPr>
                <w:sz w:val="13"/>
                <w:szCs w:val="13"/>
                <w:color w:val="auto"/>
              </w:rPr>
            </w:pPr>
          </w:p>
        </w:tc>
        <w:tc>
          <w:tcPr>
            <w:tcW w:w="800" w:type="dxa"/>
            <w:vAlign w:val="bottom"/>
            <w:tcBorders>
              <w:top w:val="single" w:sz="8" w:color="auto"/>
              <w:right w:val="single" w:sz="8" w:color="auto"/>
            </w:tcBorders>
          </w:tcPr>
          <w:p>
            <w:pPr>
              <w:spacing w:after="0"/>
              <w:rPr>
                <w:sz w:val="13"/>
                <w:szCs w:val="13"/>
                <w:color w:val="auto"/>
              </w:rPr>
            </w:pPr>
          </w:p>
        </w:tc>
        <w:tc>
          <w:tcPr>
            <w:tcW w:w="960" w:type="dxa"/>
            <w:vAlign w:val="bottom"/>
            <w:tcBorders>
              <w:top w:val="single" w:sz="8" w:color="auto"/>
              <w:right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right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80" w:type="dxa"/>
            <w:vAlign w:val="bottom"/>
            <w:tcBorders>
              <w:top w:val="single" w:sz="8" w:color="auto"/>
              <w:right w:val="single" w:sz="8" w:color="auto"/>
            </w:tcBorders>
          </w:tcPr>
          <w:p>
            <w:pPr>
              <w:spacing w:after="0"/>
              <w:rPr>
                <w:sz w:val="13"/>
                <w:szCs w:val="13"/>
                <w:color w:val="auto"/>
              </w:rPr>
            </w:pPr>
          </w:p>
        </w:tc>
        <w:tc>
          <w:tcPr>
            <w:tcW w:w="700" w:type="dxa"/>
            <w:vAlign w:val="bottom"/>
            <w:tcBorders>
              <w:top w:val="single" w:sz="8" w:color="auto"/>
              <w:right w:val="single" w:sz="8" w:color="auto"/>
            </w:tcBorders>
          </w:tcPr>
          <w:p>
            <w:pPr>
              <w:spacing w:after="0"/>
              <w:rPr>
                <w:sz w:val="13"/>
                <w:szCs w:val="13"/>
                <w:color w:val="auto"/>
              </w:rPr>
            </w:pPr>
          </w:p>
        </w:tc>
        <w:tc>
          <w:tcPr>
            <w:tcW w:w="720" w:type="dxa"/>
            <w:vAlign w:val="bottom"/>
            <w:tcBorders>
              <w:top w:val="single" w:sz="8" w:color="auto"/>
              <w:right w:val="single" w:sz="8" w:color="auto"/>
            </w:tcBorders>
          </w:tcPr>
          <w:p>
            <w:pPr>
              <w:spacing w:after="0"/>
              <w:rPr>
                <w:sz w:val="13"/>
                <w:szCs w:val="13"/>
                <w:color w:val="auto"/>
              </w:rPr>
            </w:pPr>
          </w:p>
        </w:tc>
        <w:tc>
          <w:tcPr>
            <w:tcW w:w="700" w:type="dxa"/>
            <w:vAlign w:val="bottom"/>
            <w:tcBorders>
              <w:top w:val="single" w:sz="8" w:color="auto"/>
              <w:right w:val="single" w:sz="8" w:color="auto"/>
            </w:tcBorders>
          </w:tcPr>
          <w:p>
            <w:pPr>
              <w:spacing w:after="0"/>
              <w:rPr>
                <w:sz w:val="13"/>
                <w:szCs w:val="13"/>
                <w:color w:val="auto"/>
              </w:rPr>
            </w:pPr>
          </w:p>
        </w:tc>
        <w:tc>
          <w:tcPr>
            <w:tcW w:w="880" w:type="dxa"/>
            <w:vAlign w:val="bottom"/>
            <w:tcBorders>
              <w:top w:val="single" w:sz="8" w:color="auto"/>
              <w:right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Filing Fee</w:t>
            </w:r>
          </w:p>
        </w:tc>
        <w:tc>
          <w:tcPr>
            <w:tcW w:w="0" w:type="dxa"/>
            <w:vAlign w:val="bottom"/>
          </w:tcPr>
          <w:p>
            <w:pPr>
              <w:spacing w:after="0"/>
              <w:rPr>
                <w:sz w:val="1"/>
                <w:szCs w:val="1"/>
                <w:color w:val="auto"/>
              </w:rPr>
            </w:pPr>
          </w:p>
        </w:tc>
      </w:tr>
      <w:tr>
        <w:trPr>
          <w:trHeight w:val="148"/>
        </w:trPr>
        <w:tc>
          <w:tcPr>
            <w:tcW w:w="110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Previously</w:t>
            </w:r>
          </w:p>
        </w:tc>
        <w:tc>
          <w:tcPr>
            <w:tcW w:w="0" w:type="dxa"/>
            <w:vAlign w:val="bottom"/>
          </w:tcPr>
          <w:p>
            <w:pPr>
              <w:spacing w:after="0"/>
              <w:rPr>
                <w:sz w:val="1"/>
                <w:szCs w:val="1"/>
                <w:color w:val="auto"/>
              </w:rPr>
            </w:pPr>
          </w:p>
        </w:tc>
      </w:tr>
      <w:tr>
        <w:trPr>
          <w:trHeight w:val="148"/>
        </w:trPr>
        <w:tc>
          <w:tcPr>
            <w:tcW w:w="110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0" w:type="dxa"/>
            <w:vAlign w:val="bottom"/>
          </w:tcPr>
          <w:p>
            <w:pPr>
              <w:spacing w:after="0"/>
              <w:rPr>
                <w:sz w:val="1"/>
                <w:szCs w:val="1"/>
                <w:color w:val="auto"/>
              </w:rPr>
            </w:pPr>
          </w:p>
        </w:tc>
      </w:tr>
      <w:tr>
        <w:trPr>
          <w:trHeight w:val="149"/>
        </w:trPr>
        <w:tc>
          <w:tcPr>
            <w:tcW w:w="110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Connection</w:t>
            </w:r>
          </w:p>
        </w:tc>
        <w:tc>
          <w:tcPr>
            <w:tcW w:w="0" w:type="dxa"/>
            <w:vAlign w:val="bottom"/>
          </w:tcPr>
          <w:p>
            <w:pPr>
              <w:spacing w:after="0"/>
              <w:rPr>
                <w:sz w:val="1"/>
                <w:szCs w:val="1"/>
                <w:color w:val="auto"/>
              </w:rPr>
            </w:pPr>
          </w:p>
        </w:tc>
      </w:tr>
      <w:tr>
        <w:trPr>
          <w:trHeight w:val="148"/>
        </w:trPr>
        <w:tc>
          <w:tcPr>
            <w:tcW w:w="110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c>
          <w:tcPr>
            <w:tcW w:w="9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Proposed</w:t>
            </w:r>
          </w:p>
        </w:tc>
        <w:tc>
          <w:tcPr>
            <w:tcW w:w="9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Carry</w:t>
            </w:r>
          </w:p>
        </w:tc>
        <w:tc>
          <w:tcPr>
            <w:tcW w:w="8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with</w:t>
            </w:r>
          </w:p>
        </w:tc>
        <w:tc>
          <w:tcPr>
            <w:tcW w:w="0" w:type="dxa"/>
            <w:vAlign w:val="bottom"/>
          </w:tcPr>
          <w:p>
            <w:pPr>
              <w:spacing w:after="0"/>
              <w:rPr>
                <w:sz w:val="1"/>
                <w:szCs w:val="1"/>
                <w:color w:val="auto"/>
              </w:rPr>
            </w:pPr>
          </w:p>
        </w:tc>
      </w:tr>
      <w:tr>
        <w:trPr>
          <w:trHeight w:val="148"/>
        </w:trPr>
        <w:tc>
          <w:tcPr>
            <w:tcW w:w="110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vMerge w:val="continue"/>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8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Carry</w:t>
            </w:r>
          </w:p>
        </w:tc>
        <w:tc>
          <w:tcPr>
            <w:tcW w:w="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Carry</w:t>
            </w:r>
          </w:p>
        </w:tc>
        <w:tc>
          <w:tcPr>
            <w:tcW w:w="700" w:type="dxa"/>
            <w:vAlign w:val="bottom"/>
            <w:tcBorders>
              <w:right w:val="single" w:sz="8" w:color="auto"/>
            </w:tcBorders>
            <w:vMerge w:val="continue"/>
          </w:tcPr>
          <w:p>
            <w:pPr>
              <w:spacing w:after="0"/>
              <w:rPr>
                <w:sz w:val="12"/>
                <w:szCs w:val="12"/>
                <w:color w:val="auto"/>
              </w:rPr>
            </w:pPr>
          </w:p>
        </w:tc>
        <w:tc>
          <w:tcPr>
            <w:tcW w:w="8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Unsold</w:t>
            </w:r>
          </w:p>
        </w:tc>
        <w:tc>
          <w:tcPr>
            <w:tcW w:w="0" w:type="dxa"/>
            <w:vAlign w:val="bottom"/>
          </w:tcPr>
          <w:p>
            <w:pPr>
              <w:spacing w:after="0"/>
              <w:rPr>
                <w:sz w:val="1"/>
                <w:szCs w:val="1"/>
                <w:color w:val="auto"/>
              </w:rPr>
            </w:pPr>
          </w:p>
        </w:tc>
      </w:tr>
      <w:tr>
        <w:trPr>
          <w:trHeight w:val="148"/>
        </w:trPr>
        <w:tc>
          <w:tcPr>
            <w:tcW w:w="110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8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9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96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70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880" w:type="dxa"/>
            <w:vAlign w:val="bottom"/>
            <w:tcBorders>
              <w:right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6"/>
        </w:trPr>
        <w:tc>
          <w:tcPr>
            <w:tcW w:w="110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82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or Carry</w:t>
            </w:r>
          </w:p>
        </w:tc>
        <w:tc>
          <w:tcPr>
            <w:tcW w:w="940" w:type="dxa"/>
            <w:vAlign w:val="bottom"/>
            <w:tcBorders>
              <w:right w:val="single" w:sz="8" w:color="auto"/>
            </w:tcBorders>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96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8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gridSpan w:val="2"/>
            <w:vMerge w:val="continue"/>
          </w:tcPr>
          <w:p>
            <w:pPr>
              <w:spacing w:after="0"/>
              <w:rPr>
                <w:sz w:val="12"/>
                <w:szCs w:val="12"/>
                <w:color w:val="auto"/>
              </w:rPr>
            </w:pPr>
          </w:p>
        </w:tc>
        <w:tc>
          <w:tcPr>
            <w:tcW w:w="70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Forward</w:t>
            </w:r>
          </w:p>
        </w:tc>
        <w:tc>
          <w:tcPr>
            <w:tcW w:w="72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Forward</w:t>
            </w:r>
          </w:p>
        </w:tc>
        <w:tc>
          <w:tcPr>
            <w:tcW w:w="70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Initial</w:t>
            </w:r>
          </w:p>
        </w:tc>
        <w:tc>
          <w:tcPr>
            <w:tcW w:w="88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to be</w:t>
            </w:r>
          </w:p>
        </w:tc>
        <w:tc>
          <w:tcPr>
            <w:tcW w:w="0" w:type="dxa"/>
            <w:vAlign w:val="bottom"/>
          </w:tcPr>
          <w:p>
            <w:pPr>
              <w:spacing w:after="0"/>
              <w:rPr>
                <w:sz w:val="1"/>
                <w:szCs w:val="1"/>
                <w:color w:val="auto"/>
              </w:rPr>
            </w:pPr>
          </w:p>
        </w:tc>
      </w:tr>
      <w:tr>
        <w:trPr>
          <w:trHeight w:val="148"/>
        </w:trPr>
        <w:tc>
          <w:tcPr>
            <w:tcW w:w="110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w:t>
            </w:r>
          </w:p>
        </w:tc>
        <w:tc>
          <w:tcPr>
            <w:tcW w:w="8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Forward</w:t>
            </w:r>
          </w:p>
        </w:tc>
        <w:tc>
          <w:tcPr>
            <w:tcW w:w="94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9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80" w:type="dxa"/>
            <w:vAlign w:val="bottom"/>
          </w:tcPr>
          <w:p>
            <w:pPr>
              <w:spacing w:after="0"/>
              <w:rPr>
                <w:sz w:val="12"/>
                <w:szCs w:val="12"/>
                <w:color w:val="auto"/>
              </w:rPr>
            </w:pPr>
          </w:p>
        </w:tc>
        <w:tc>
          <w:tcPr>
            <w:tcW w:w="7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920" w:type="dxa"/>
            <w:vAlign w:val="bottom"/>
            <w:tcBorders>
              <w:right w:val="single" w:sz="8" w:color="auto"/>
            </w:tcBorders>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Form</w:t>
            </w:r>
          </w:p>
        </w:tc>
        <w:tc>
          <w:tcPr>
            <w:tcW w:w="7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File</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Effective</w:t>
            </w:r>
          </w:p>
        </w:tc>
        <w:tc>
          <w:tcPr>
            <w:tcW w:w="880" w:type="dxa"/>
            <w:vAlign w:val="bottom"/>
            <w:tcBorders>
              <w:right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Carried</w:t>
            </w:r>
          </w:p>
        </w:tc>
        <w:tc>
          <w:tcPr>
            <w:tcW w:w="0" w:type="dxa"/>
            <w:vAlign w:val="bottom"/>
          </w:tcPr>
          <w:p>
            <w:pPr>
              <w:spacing w:after="0"/>
              <w:rPr>
                <w:sz w:val="1"/>
                <w:szCs w:val="1"/>
                <w:color w:val="auto"/>
              </w:rPr>
            </w:pPr>
          </w:p>
        </w:tc>
      </w:tr>
      <w:tr>
        <w:trPr>
          <w:trHeight w:val="196"/>
        </w:trPr>
        <w:tc>
          <w:tcPr>
            <w:tcW w:w="1100" w:type="dxa"/>
            <w:vAlign w:val="bottom"/>
            <w:tcBorders>
              <w:left w:val="single" w:sz="8" w:color="auto"/>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940" w:type="dxa"/>
            <w:vAlign w:val="bottom"/>
            <w:tcBorders>
              <w:bottom w:val="single" w:sz="8" w:color="auto"/>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Registered</w:t>
            </w:r>
            <w:r>
              <w:rPr>
                <w:rFonts w:ascii="Times New Roman" w:cs="Times New Roman" w:eastAsia="Times New Roman" w:hAnsi="Times New Roman"/>
                <w:sz w:val="10"/>
                <w:szCs w:val="10"/>
                <w:b w:val="1"/>
                <w:bCs w:val="1"/>
                <w:color w:val="auto"/>
              </w:rPr>
              <w:t>(1)</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w:t>
            </w:r>
            <w:r>
              <w:rPr>
                <w:rFonts w:ascii="Times New Roman" w:cs="Times New Roman" w:eastAsia="Times New Roman" w:hAnsi="Times New Roman"/>
                <w:sz w:val="10"/>
                <w:szCs w:val="10"/>
                <w:b w:val="1"/>
                <w:bCs w:val="1"/>
                <w:color w:val="auto"/>
              </w:rPr>
              <w:t>(2)</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Fee</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Forward</w:t>
            </w:r>
          </w:p>
        </w:tc>
        <w:tc>
          <w:tcPr>
            <w:tcW w:w="0" w:type="dxa"/>
            <w:vAlign w:val="bottom"/>
          </w:tcPr>
          <w:p>
            <w:pPr>
              <w:spacing w:after="0"/>
              <w:rPr>
                <w:sz w:val="1"/>
                <w:szCs w:val="1"/>
                <w:color w:val="auto"/>
              </w:rPr>
            </w:pPr>
          </w:p>
        </w:tc>
      </w:tr>
      <w:tr>
        <w:trPr>
          <w:trHeight w:val="162"/>
        </w:trPr>
        <w:tc>
          <w:tcPr>
            <w:tcW w:w="1100" w:type="dxa"/>
            <w:vAlign w:val="bottom"/>
            <w:tcBorders>
              <w:left w:val="single" w:sz="8" w:color="auto"/>
              <w:bottom w:val="single" w:sz="8" w:color="auto"/>
              <w:right w:val="single" w:sz="8" w:color="CCEEFF"/>
            </w:tcBorders>
            <w:shd w:val="clear" w:color="auto" w:fill="CCEEFF"/>
          </w:tcPr>
          <w:p>
            <w:pPr>
              <w:spacing w:after="0"/>
              <w:rPr>
                <w:sz w:val="14"/>
                <w:szCs w:val="14"/>
                <w:color w:val="auto"/>
              </w:rPr>
            </w:pPr>
          </w:p>
        </w:tc>
        <w:tc>
          <w:tcPr>
            <w:tcW w:w="800" w:type="dxa"/>
            <w:vAlign w:val="bottom"/>
            <w:tcBorders>
              <w:bottom w:val="single" w:sz="8" w:color="auto"/>
              <w:right w:val="single" w:sz="8" w:color="CCEEFF"/>
            </w:tcBorders>
            <w:shd w:val="clear" w:color="auto" w:fill="CCEEFF"/>
          </w:tcPr>
          <w:p>
            <w:pPr>
              <w:spacing w:after="0"/>
              <w:rPr>
                <w:sz w:val="14"/>
                <w:szCs w:val="14"/>
                <w:color w:val="auto"/>
              </w:rPr>
            </w:pPr>
          </w:p>
        </w:tc>
        <w:tc>
          <w:tcPr>
            <w:tcW w:w="820" w:type="dxa"/>
            <w:vAlign w:val="bottom"/>
            <w:tcBorders>
              <w:bottom w:val="single" w:sz="8" w:color="auto"/>
              <w:right w:val="single" w:sz="8" w:color="CCEEFF"/>
            </w:tcBorders>
            <w:shd w:val="clear" w:color="auto" w:fill="CCEEFF"/>
          </w:tcPr>
          <w:p>
            <w:pPr>
              <w:spacing w:after="0"/>
              <w:rPr>
                <w:sz w:val="14"/>
                <w:szCs w:val="14"/>
                <w:color w:val="auto"/>
              </w:rPr>
            </w:pPr>
          </w:p>
        </w:tc>
        <w:tc>
          <w:tcPr>
            <w:tcW w:w="820" w:type="dxa"/>
            <w:vAlign w:val="bottom"/>
            <w:tcBorders>
              <w:bottom w:val="single" w:sz="8" w:color="auto"/>
              <w:right w:val="single" w:sz="8" w:color="CCEEFF"/>
            </w:tcBorders>
            <w:shd w:val="clear" w:color="auto" w:fill="CCEEFF"/>
          </w:tcPr>
          <w:p>
            <w:pPr>
              <w:spacing w:after="0"/>
              <w:rPr>
                <w:sz w:val="14"/>
                <w:szCs w:val="14"/>
                <w:color w:val="auto"/>
              </w:rPr>
            </w:pPr>
          </w:p>
        </w:tc>
        <w:tc>
          <w:tcPr>
            <w:tcW w:w="940" w:type="dxa"/>
            <w:vAlign w:val="bottom"/>
            <w:tcBorders>
              <w:bottom w:val="single" w:sz="8" w:color="auto"/>
              <w:right w:val="single" w:sz="8" w:color="CCEEFF"/>
            </w:tcBorders>
            <w:shd w:val="clear" w:color="auto" w:fill="CCEEFF"/>
          </w:tcPr>
          <w:p>
            <w:pPr>
              <w:spacing w:after="0"/>
              <w:rPr>
                <w:sz w:val="14"/>
                <w:szCs w:val="14"/>
                <w:color w:val="auto"/>
              </w:rPr>
            </w:pPr>
          </w:p>
        </w:tc>
        <w:tc>
          <w:tcPr>
            <w:tcW w:w="1840" w:type="dxa"/>
            <w:vAlign w:val="bottom"/>
            <w:tcBorders>
              <w:bottom w:val="single" w:sz="8" w:color="auto"/>
            </w:tcBorders>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Newly Registered Securities</w:t>
            </w:r>
          </w:p>
        </w:tc>
        <w:tc>
          <w:tcPr>
            <w:tcW w:w="720" w:type="dxa"/>
            <w:vAlign w:val="bottom"/>
            <w:tcBorders>
              <w:bottom w:val="single" w:sz="8" w:color="auto"/>
              <w:right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right w:val="single" w:sz="8" w:color="CCEEFF"/>
            </w:tcBorders>
            <w:shd w:val="clear" w:color="auto" w:fill="CCEEFF"/>
          </w:tcPr>
          <w:p>
            <w:pPr>
              <w:spacing w:after="0"/>
              <w:rPr>
                <w:sz w:val="14"/>
                <w:szCs w:val="14"/>
                <w:color w:val="auto"/>
              </w:rPr>
            </w:pPr>
          </w:p>
        </w:tc>
        <w:tc>
          <w:tcPr>
            <w:tcW w:w="700" w:type="dxa"/>
            <w:vAlign w:val="bottom"/>
            <w:tcBorders>
              <w:bottom w:val="single" w:sz="8" w:color="auto"/>
              <w:right w:val="single" w:sz="8" w:color="CCEEFF"/>
            </w:tcBorders>
            <w:shd w:val="clear" w:color="auto" w:fill="CCEEFF"/>
          </w:tcPr>
          <w:p>
            <w:pPr>
              <w:spacing w:after="0"/>
              <w:rPr>
                <w:sz w:val="14"/>
                <w:szCs w:val="14"/>
                <w:color w:val="auto"/>
              </w:rPr>
            </w:pPr>
          </w:p>
        </w:tc>
        <w:tc>
          <w:tcPr>
            <w:tcW w:w="720" w:type="dxa"/>
            <w:vAlign w:val="bottom"/>
            <w:tcBorders>
              <w:bottom w:val="single" w:sz="8" w:color="auto"/>
              <w:right w:val="single" w:sz="8" w:color="CCEEFF"/>
            </w:tcBorders>
            <w:shd w:val="clear" w:color="auto" w:fill="CCEEFF"/>
          </w:tcPr>
          <w:p>
            <w:pPr>
              <w:spacing w:after="0"/>
              <w:rPr>
                <w:sz w:val="14"/>
                <w:szCs w:val="14"/>
                <w:color w:val="auto"/>
              </w:rPr>
            </w:pPr>
          </w:p>
        </w:tc>
        <w:tc>
          <w:tcPr>
            <w:tcW w:w="700" w:type="dxa"/>
            <w:vAlign w:val="bottom"/>
            <w:tcBorders>
              <w:bottom w:val="single" w:sz="8" w:color="auto"/>
              <w:right w:val="single" w:sz="8" w:color="CCEEFF"/>
            </w:tcBorders>
            <w:shd w:val="clear" w:color="auto" w:fill="CCEEFF"/>
          </w:tcPr>
          <w:p>
            <w:pPr>
              <w:spacing w:after="0"/>
              <w:rPr>
                <w:sz w:val="14"/>
                <w:szCs w:val="14"/>
                <w:color w:val="auto"/>
              </w:rPr>
            </w:pPr>
          </w:p>
        </w:tc>
        <w:tc>
          <w:tcPr>
            <w:tcW w:w="880" w:type="dxa"/>
            <w:vAlign w:val="bottom"/>
            <w:tcBorders>
              <w:bottom w:val="single" w:sz="8" w:color="auto"/>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00" w:type="dxa"/>
            <w:vAlign w:val="bottom"/>
            <w:tcBorders>
              <w:left w:val="single" w:sz="8" w:color="auto"/>
              <w:bottom w:val="single" w:sz="8" w:color="auto"/>
              <w:right w:val="single" w:sz="8" w:color="auto"/>
            </w:tcBorders>
          </w:tcPr>
          <w:p>
            <w:pPr>
              <w:spacing w:after="0"/>
              <w:rPr>
                <w:sz w:val="15"/>
                <w:szCs w:val="15"/>
                <w:color w:val="auto"/>
              </w:rPr>
            </w:pPr>
          </w:p>
        </w:tc>
        <w:tc>
          <w:tcPr>
            <w:tcW w:w="244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Primary Offering of Securities:</w:t>
            </w:r>
          </w:p>
        </w:tc>
        <w:tc>
          <w:tcPr>
            <w:tcW w:w="940" w:type="dxa"/>
            <w:vAlign w:val="bottom"/>
            <w:tcBorders>
              <w:bottom w:val="single" w:sz="8" w:color="auto"/>
              <w:right w:val="single" w:sz="8" w:color="auto"/>
            </w:tcBorders>
          </w:tcPr>
          <w:p>
            <w:pPr>
              <w:spacing w:after="0"/>
              <w:rPr>
                <w:sz w:val="15"/>
                <w:szCs w:val="15"/>
                <w:color w:val="auto"/>
              </w:rPr>
            </w:pPr>
          </w:p>
        </w:tc>
        <w:tc>
          <w:tcPr>
            <w:tcW w:w="80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100" w:type="dxa"/>
            <w:vAlign w:val="bottom"/>
            <w:tcBorders>
              <w:left w:val="single" w:sz="8" w:color="auto"/>
              <w:right w:val="single" w:sz="8" w:color="auto"/>
            </w:tcBorders>
            <w:shd w:val="clear" w:color="auto" w:fill="CCEEFF"/>
          </w:tcPr>
          <w:p>
            <w:pPr>
              <w:jc w:val="center"/>
              <w:ind w:left="48"/>
              <w:spacing w:after="0" w:line="126" w:lineRule="exact"/>
              <w:rPr>
                <w:sz w:val="20"/>
                <w:szCs w:val="20"/>
                <w:color w:val="auto"/>
              </w:rPr>
            </w:pPr>
            <w:r>
              <w:rPr>
                <w:rFonts w:ascii="Times New Roman" w:cs="Times New Roman" w:eastAsia="Times New Roman" w:hAnsi="Times New Roman"/>
                <w:sz w:val="14"/>
                <w:szCs w:val="14"/>
                <w:color w:val="auto"/>
              </w:rPr>
              <w:t>Fees to Be</w:t>
            </w:r>
          </w:p>
        </w:tc>
        <w:tc>
          <w:tcPr>
            <w:tcW w:w="800" w:type="dxa"/>
            <w:vAlign w:val="bottom"/>
            <w:tcBorders>
              <w:right w:val="single" w:sz="8" w:color="auto"/>
            </w:tcBorders>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Equity</w:t>
            </w:r>
          </w:p>
        </w:tc>
        <w:tc>
          <w:tcPr>
            <w:tcW w:w="820" w:type="dxa"/>
            <w:vAlign w:val="bottom"/>
            <w:tcBorders>
              <w:right w:val="single" w:sz="8" w:color="auto"/>
            </w:tcBorders>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Common</w:t>
            </w:r>
          </w:p>
        </w:tc>
        <w:tc>
          <w:tcPr>
            <w:tcW w:w="820" w:type="dxa"/>
            <w:vAlign w:val="bottom"/>
            <w:tcBorders>
              <w:right w:val="single" w:sz="8" w:color="auto"/>
            </w:tcBorders>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Rule 457(o)</w:t>
            </w:r>
          </w:p>
        </w:tc>
        <w:tc>
          <w:tcPr>
            <w:tcW w:w="940" w:type="dxa"/>
            <w:vAlign w:val="bottom"/>
            <w:tcBorders>
              <w:right w:val="single" w:sz="8" w:color="auto"/>
            </w:tcBorders>
            <w:shd w:val="clear" w:color="auto" w:fill="CCEEFF"/>
          </w:tcPr>
          <w:p>
            <w:pPr>
              <w:ind w:left="64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auto"/>
            </w:tcBorders>
            <w:shd w:val="clear" w:color="auto" w:fill="CCEEFF"/>
          </w:tcPr>
          <w:p>
            <w:pPr>
              <w:ind w:left="5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right w:val="single" w:sz="8" w:color="auto"/>
            </w:tcBorders>
            <w:shd w:val="clear" w:color="auto" w:fill="CCEEFF"/>
          </w:tcPr>
          <w:p>
            <w:pPr>
              <w:ind w:left="6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20" w:type="dxa"/>
            <w:vAlign w:val="bottom"/>
            <w:tcBorders>
              <w:right w:val="single" w:sz="8" w:color="auto"/>
            </w:tcBorders>
            <w:shd w:val="clear" w:color="auto" w:fill="CCEEFF"/>
          </w:tcPr>
          <w:p>
            <w:pPr>
              <w:ind w:left="4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ind w:left="3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auto"/>
            </w:tcBorders>
            <w:shd w:val="clear" w:color="auto" w:fill="CCEEFF"/>
          </w:tcPr>
          <w:p>
            <w:pPr>
              <w:spacing w:after="0"/>
              <w:rPr>
                <w:sz w:val="10"/>
                <w:szCs w:val="10"/>
                <w:color w:val="auto"/>
              </w:rPr>
            </w:pPr>
          </w:p>
        </w:tc>
        <w:tc>
          <w:tcPr>
            <w:tcW w:w="720" w:type="dxa"/>
            <w:vAlign w:val="bottom"/>
            <w:tcBorders>
              <w:right w:val="single" w:sz="8" w:color="auto"/>
            </w:tcBorders>
            <w:shd w:val="clear" w:color="auto" w:fill="CCEEFF"/>
          </w:tcPr>
          <w:p>
            <w:pPr>
              <w:spacing w:after="0"/>
              <w:rPr>
                <w:sz w:val="10"/>
                <w:szCs w:val="10"/>
                <w:color w:val="auto"/>
              </w:rPr>
            </w:pPr>
          </w:p>
        </w:tc>
        <w:tc>
          <w:tcPr>
            <w:tcW w:w="700" w:type="dxa"/>
            <w:vAlign w:val="bottom"/>
            <w:tcBorders>
              <w:right w:val="single" w:sz="8" w:color="auto"/>
            </w:tcBorders>
            <w:shd w:val="clear" w:color="auto" w:fill="CCEEFF"/>
          </w:tcPr>
          <w:p>
            <w:pPr>
              <w:spacing w:after="0"/>
              <w:rPr>
                <w:sz w:val="10"/>
                <w:szCs w:val="10"/>
                <w:color w:val="auto"/>
              </w:rPr>
            </w:pPr>
          </w:p>
        </w:tc>
        <w:tc>
          <w:tcPr>
            <w:tcW w:w="88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00" w:type="dxa"/>
            <w:vAlign w:val="bottom"/>
            <w:tcBorders>
              <w:left w:val="single" w:sz="8" w:color="auto"/>
              <w:right w:val="single" w:sz="8" w:color="auto"/>
            </w:tcBorders>
            <w:shd w:val="clear" w:color="auto" w:fill="CCEEFF"/>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Paid</w:t>
            </w:r>
          </w:p>
        </w:tc>
        <w:tc>
          <w:tcPr>
            <w:tcW w:w="800" w:type="dxa"/>
            <w:vAlign w:val="bottom"/>
            <w:tcBorders>
              <w:right w:val="single" w:sz="8" w:color="auto"/>
            </w:tcBorders>
            <w:shd w:val="clear" w:color="auto" w:fill="CCEEFF"/>
          </w:tcPr>
          <w:p>
            <w:pPr>
              <w:spacing w:after="0"/>
              <w:rPr>
                <w:sz w:val="12"/>
                <w:szCs w:val="12"/>
                <w:color w:val="auto"/>
              </w:rPr>
            </w:pPr>
          </w:p>
        </w:tc>
        <w:tc>
          <w:tcPr>
            <w:tcW w:w="820" w:type="dxa"/>
            <w:vAlign w:val="bottom"/>
            <w:tcBorders>
              <w:right w:val="single" w:sz="8" w:color="auto"/>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Stock, par</w:t>
            </w:r>
          </w:p>
        </w:tc>
        <w:tc>
          <w:tcPr>
            <w:tcW w:w="820" w:type="dxa"/>
            <w:vAlign w:val="bottom"/>
            <w:tcBorders>
              <w:right w:val="single" w:sz="8" w:color="auto"/>
            </w:tcBorders>
            <w:shd w:val="clear" w:color="auto" w:fill="CCEEFF"/>
          </w:tcPr>
          <w:p>
            <w:pPr>
              <w:spacing w:after="0"/>
              <w:rPr>
                <w:sz w:val="12"/>
                <w:szCs w:val="12"/>
                <w:color w:val="auto"/>
              </w:rPr>
            </w:pPr>
          </w:p>
        </w:tc>
        <w:tc>
          <w:tcPr>
            <w:tcW w:w="940" w:type="dxa"/>
            <w:vAlign w:val="bottom"/>
            <w:tcBorders>
              <w:right w:val="single" w:sz="8" w:color="auto"/>
            </w:tcBorders>
            <w:shd w:val="clear" w:color="auto" w:fill="CCEEFF"/>
          </w:tcPr>
          <w:p>
            <w:pPr>
              <w:spacing w:after="0"/>
              <w:rPr>
                <w:sz w:val="12"/>
                <w:szCs w:val="12"/>
                <w:color w:val="auto"/>
              </w:rPr>
            </w:pPr>
          </w:p>
        </w:tc>
        <w:tc>
          <w:tcPr>
            <w:tcW w:w="800" w:type="dxa"/>
            <w:vAlign w:val="bottom"/>
            <w:tcBorders>
              <w:right w:val="single" w:sz="8" w:color="auto"/>
            </w:tcBorders>
            <w:shd w:val="clear" w:color="auto" w:fill="CCEEFF"/>
          </w:tcPr>
          <w:p>
            <w:pPr>
              <w:spacing w:after="0"/>
              <w:rPr>
                <w:sz w:val="12"/>
                <w:szCs w:val="12"/>
                <w:color w:val="auto"/>
              </w:rPr>
            </w:pPr>
          </w:p>
        </w:tc>
        <w:tc>
          <w:tcPr>
            <w:tcW w:w="96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spacing w:after="0"/>
              <w:rPr>
                <w:sz w:val="12"/>
                <w:szCs w:val="12"/>
                <w:color w:val="auto"/>
              </w:rPr>
            </w:pPr>
          </w:p>
        </w:tc>
        <w:tc>
          <w:tcPr>
            <w:tcW w:w="700" w:type="dxa"/>
            <w:vAlign w:val="bottom"/>
            <w:tcBorders>
              <w:right w:val="single" w:sz="8" w:color="auto"/>
            </w:tcBorders>
            <w:shd w:val="clear" w:color="auto" w:fill="CCEEFF"/>
          </w:tcPr>
          <w:p>
            <w:pPr>
              <w:spacing w:after="0"/>
              <w:rPr>
                <w:sz w:val="12"/>
                <w:szCs w:val="12"/>
                <w:color w:val="auto"/>
              </w:rPr>
            </w:pPr>
          </w:p>
        </w:tc>
        <w:tc>
          <w:tcPr>
            <w:tcW w:w="720" w:type="dxa"/>
            <w:vAlign w:val="bottom"/>
            <w:tcBorders>
              <w:right w:val="single" w:sz="8" w:color="auto"/>
            </w:tcBorders>
            <w:shd w:val="clear" w:color="auto" w:fill="CCEEFF"/>
          </w:tcPr>
          <w:p>
            <w:pPr>
              <w:spacing w:after="0"/>
              <w:rPr>
                <w:sz w:val="12"/>
                <w:szCs w:val="12"/>
                <w:color w:val="auto"/>
              </w:rPr>
            </w:pPr>
          </w:p>
        </w:tc>
        <w:tc>
          <w:tcPr>
            <w:tcW w:w="700" w:type="dxa"/>
            <w:vAlign w:val="bottom"/>
            <w:tcBorders>
              <w:right w:val="single" w:sz="8" w:color="auto"/>
            </w:tcBorders>
            <w:shd w:val="clear" w:color="auto" w:fill="CCEEFF"/>
          </w:tcPr>
          <w:p>
            <w:pPr>
              <w:spacing w:after="0"/>
              <w:rPr>
                <w:sz w:val="12"/>
                <w:szCs w:val="12"/>
                <w:color w:val="auto"/>
              </w:rPr>
            </w:pPr>
          </w:p>
        </w:tc>
        <w:tc>
          <w:tcPr>
            <w:tcW w:w="88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tcBorders>
              <w:left w:val="single" w:sz="8" w:color="auto"/>
              <w:right w:val="single" w:sz="8" w:color="auto"/>
            </w:tcBorders>
            <w:shd w:val="clear" w:color="auto" w:fill="CCEEFF"/>
          </w:tcPr>
          <w:p>
            <w:pPr>
              <w:spacing w:after="0"/>
              <w:rPr>
                <w:sz w:val="12"/>
                <w:szCs w:val="12"/>
                <w:color w:val="auto"/>
              </w:rPr>
            </w:pPr>
          </w:p>
        </w:tc>
        <w:tc>
          <w:tcPr>
            <w:tcW w:w="800" w:type="dxa"/>
            <w:vAlign w:val="bottom"/>
            <w:tcBorders>
              <w:right w:val="single" w:sz="8" w:color="auto"/>
            </w:tcBorders>
            <w:shd w:val="clear" w:color="auto" w:fill="CCEEFF"/>
          </w:tcPr>
          <w:p>
            <w:pPr>
              <w:spacing w:after="0"/>
              <w:rPr>
                <w:sz w:val="12"/>
                <w:szCs w:val="12"/>
                <w:color w:val="auto"/>
              </w:rPr>
            </w:pPr>
          </w:p>
        </w:tc>
        <w:tc>
          <w:tcPr>
            <w:tcW w:w="820" w:type="dxa"/>
            <w:vAlign w:val="bottom"/>
            <w:tcBorders>
              <w:right w:val="single" w:sz="8" w:color="auto"/>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value</w:t>
            </w:r>
          </w:p>
        </w:tc>
        <w:tc>
          <w:tcPr>
            <w:tcW w:w="820" w:type="dxa"/>
            <w:vAlign w:val="bottom"/>
            <w:tcBorders>
              <w:right w:val="single" w:sz="8" w:color="auto"/>
            </w:tcBorders>
            <w:shd w:val="clear" w:color="auto" w:fill="CCEEFF"/>
          </w:tcPr>
          <w:p>
            <w:pPr>
              <w:spacing w:after="0"/>
              <w:rPr>
                <w:sz w:val="12"/>
                <w:szCs w:val="12"/>
                <w:color w:val="auto"/>
              </w:rPr>
            </w:pPr>
          </w:p>
        </w:tc>
        <w:tc>
          <w:tcPr>
            <w:tcW w:w="940" w:type="dxa"/>
            <w:vAlign w:val="bottom"/>
            <w:tcBorders>
              <w:right w:val="single" w:sz="8" w:color="auto"/>
            </w:tcBorders>
            <w:shd w:val="clear" w:color="auto" w:fill="CCEEFF"/>
          </w:tcPr>
          <w:p>
            <w:pPr>
              <w:spacing w:after="0"/>
              <w:rPr>
                <w:sz w:val="12"/>
                <w:szCs w:val="12"/>
                <w:color w:val="auto"/>
              </w:rPr>
            </w:pPr>
          </w:p>
        </w:tc>
        <w:tc>
          <w:tcPr>
            <w:tcW w:w="800" w:type="dxa"/>
            <w:vAlign w:val="bottom"/>
            <w:tcBorders>
              <w:right w:val="single" w:sz="8" w:color="auto"/>
            </w:tcBorders>
            <w:shd w:val="clear" w:color="auto" w:fill="CCEEFF"/>
          </w:tcPr>
          <w:p>
            <w:pPr>
              <w:spacing w:after="0"/>
              <w:rPr>
                <w:sz w:val="12"/>
                <w:szCs w:val="12"/>
                <w:color w:val="auto"/>
              </w:rPr>
            </w:pPr>
          </w:p>
        </w:tc>
        <w:tc>
          <w:tcPr>
            <w:tcW w:w="96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spacing w:after="0"/>
              <w:rPr>
                <w:sz w:val="12"/>
                <w:szCs w:val="12"/>
                <w:color w:val="auto"/>
              </w:rPr>
            </w:pPr>
          </w:p>
        </w:tc>
        <w:tc>
          <w:tcPr>
            <w:tcW w:w="700" w:type="dxa"/>
            <w:vAlign w:val="bottom"/>
            <w:tcBorders>
              <w:right w:val="single" w:sz="8" w:color="auto"/>
            </w:tcBorders>
            <w:shd w:val="clear" w:color="auto" w:fill="CCEEFF"/>
          </w:tcPr>
          <w:p>
            <w:pPr>
              <w:spacing w:after="0"/>
              <w:rPr>
                <w:sz w:val="12"/>
                <w:szCs w:val="12"/>
                <w:color w:val="auto"/>
              </w:rPr>
            </w:pPr>
          </w:p>
        </w:tc>
        <w:tc>
          <w:tcPr>
            <w:tcW w:w="720" w:type="dxa"/>
            <w:vAlign w:val="bottom"/>
            <w:tcBorders>
              <w:right w:val="single" w:sz="8" w:color="auto"/>
            </w:tcBorders>
            <w:shd w:val="clear" w:color="auto" w:fill="CCEEFF"/>
          </w:tcPr>
          <w:p>
            <w:pPr>
              <w:spacing w:after="0"/>
              <w:rPr>
                <w:sz w:val="12"/>
                <w:szCs w:val="12"/>
                <w:color w:val="auto"/>
              </w:rPr>
            </w:pPr>
          </w:p>
        </w:tc>
        <w:tc>
          <w:tcPr>
            <w:tcW w:w="700" w:type="dxa"/>
            <w:vAlign w:val="bottom"/>
            <w:tcBorders>
              <w:right w:val="single" w:sz="8" w:color="auto"/>
            </w:tcBorders>
            <w:shd w:val="clear" w:color="auto" w:fill="CCEEFF"/>
          </w:tcPr>
          <w:p>
            <w:pPr>
              <w:spacing w:after="0"/>
              <w:rPr>
                <w:sz w:val="12"/>
                <w:szCs w:val="12"/>
                <w:color w:val="auto"/>
              </w:rPr>
            </w:pPr>
          </w:p>
        </w:tc>
        <w:tc>
          <w:tcPr>
            <w:tcW w:w="88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tcBorders>
              <w:left w:val="single" w:sz="8" w:color="auto"/>
              <w:right w:val="single" w:sz="8" w:color="auto"/>
            </w:tcBorders>
            <w:shd w:val="clear" w:color="auto" w:fill="CCEEFF"/>
          </w:tcPr>
          <w:p>
            <w:pPr>
              <w:spacing w:after="0"/>
              <w:rPr>
                <w:sz w:val="12"/>
                <w:szCs w:val="12"/>
                <w:color w:val="auto"/>
              </w:rPr>
            </w:pPr>
          </w:p>
        </w:tc>
        <w:tc>
          <w:tcPr>
            <w:tcW w:w="800" w:type="dxa"/>
            <w:vAlign w:val="bottom"/>
            <w:tcBorders>
              <w:right w:val="single" w:sz="8" w:color="auto"/>
            </w:tcBorders>
            <w:shd w:val="clear" w:color="auto" w:fill="CCEEFF"/>
          </w:tcPr>
          <w:p>
            <w:pPr>
              <w:spacing w:after="0"/>
              <w:rPr>
                <w:sz w:val="12"/>
                <w:szCs w:val="12"/>
                <w:color w:val="auto"/>
              </w:rPr>
            </w:pPr>
          </w:p>
        </w:tc>
        <w:tc>
          <w:tcPr>
            <w:tcW w:w="820" w:type="dxa"/>
            <w:vAlign w:val="bottom"/>
            <w:tcBorders>
              <w:right w:val="single" w:sz="8" w:color="auto"/>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$0.001 per</w:t>
            </w:r>
          </w:p>
        </w:tc>
        <w:tc>
          <w:tcPr>
            <w:tcW w:w="820" w:type="dxa"/>
            <w:vAlign w:val="bottom"/>
            <w:tcBorders>
              <w:right w:val="single" w:sz="8" w:color="auto"/>
            </w:tcBorders>
            <w:shd w:val="clear" w:color="auto" w:fill="CCEEFF"/>
          </w:tcPr>
          <w:p>
            <w:pPr>
              <w:spacing w:after="0"/>
              <w:rPr>
                <w:sz w:val="12"/>
                <w:szCs w:val="12"/>
                <w:color w:val="auto"/>
              </w:rPr>
            </w:pPr>
          </w:p>
        </w:tc>
        <w:tc>
          <w:tcPr>
            <w:tcW w:w="940" w:type="dxa"/>
            <w:vAlign w:val="bottom"/>
            <w:tcBorders>
              <w:right w:val="single" w:sz="8" w:color="auto"/>
            </w:tcBorders>
            <w:shd w:val="clear" w:color="auto" w:fill="CCEEFF"/>
          </w:tcPr>
          <w:p>
            <w:pPr>
              <w:spacing w:after="0"/>
              <w:rPr>
                <w:sz w:val="12"/>
                <w:szCs w:val="12"/>
                <w:color w:val="auto"/>
              </w:rPr>
            </w:pPr>
          </w:p>
        </w:tc>
        <w:tc>
          <w:tcPr>
            <w:tcW w:w="800" w:type="dxa"/>
            <w:vAlign w:val="bottom"/>
            <w:tcBorders>
              <w:right w:val="single" w:sz="8" w:color="auto"/>
            </w:tcBorders>
            <w:shd w:val="clear" w:color="auto" w:fill="CCEEFF"/>
          </w:tcPr>
          <w:p>
            <w:pPr>
              <w:spacing w:after="0"/>
              <w:rPr>
                <w:sz w:val="12"/>
                <w:szCs w:val="12"/>
                <w:color w:val="auto"/>
              </w:rPr>
            </w:pPr>
          </w:p>
        </w:tc>
        <w:tc>
          <w:tcPr>
            <w:tcW w:w="96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80" w:type="dxa"/>
            <w:vAlign w:val="bottom"/>
            <w:tcBorders>
              <w:right w:val="single" w:sz="8" w:color="auto"/>
            </w:tcBorders>
            <w:shd w:val="clear" w:color="auto" w:fill="CCEEFF"/>
          </w:tcPr>
          <w:p>
            <w:pPr>
              <w:spacing w:after="0"/>
              <w:rPr>
                <w:sz w:val="12"/>
                <w:szCs w:val="12"/>
                <w:color w:val="auto"/>
              </w:rPr>
            </w:pPr>
          </w:p>
        </w:tc>
        <w:tc>
          <w:tcPr>
            <w:tcW w:w="700" w:type="dxa"/>
            <w:vAlign w:val="bottom"/>
            <w:tcBorders>
              <w:right w:val="single" w:sz="8" w:color="auto"/>
            </w:tcBorders>
            <w:shd w:val="clear" w:color="auto" w:fill="CCEEFF"/>
          </w:tcPr>
          <w:p>
            <w:pPr>
              <w:spacing w:after="0"/>
              <w:rPr>
                <w:sz w:val="12"/>
                <w:szCs w:val="12"/>
                <w:color w:val="auto"/>
              </w:rPr>
            </w:pPr>
          </w:p>
        </w:tc>
        <w:tc>
          <w:tcPr>
            <w:tcW w:w="720" w:type="dxa"/>
            <w:vAlign w:val="bottom"/>
            <w:tcBorders>
              <w:right w:val="single" w:sz="8" w:color="auto"/>
            </w:tcBorders>
            <w:shd w:val="clear" w:color="auto" w:fill="CCEEFF"/>
          </w:tcPr>
          <w:p>
            <w:pPr>
              <w:spacing w:after="0"/>
              <w:rPr>
                <w:sz w:val="12"/>
                <w:szCs w:val="12"/>
                <w:color w:val="auto"/>
              </w:rPr>
            </w:pPr>
          </w:p>
        </w:tc>
        <w:tc>
          <w:tcPr>
            <w:tcW w:w="700" w:type="dxa"/>
            <w:vAlign w:val="bottom"/>
            <w:tcBorders>
              <w:right w:val="single" w:sz="8" w:color="auto"/>
            </w:tcBorders>
            <w:shd w:val="clear" w:color="auto" w:fill="CCEEFF"/>
          </w:tcPr>
          <w:p>
            <w:pPr>
              <w:spacing w:after="0"/>
              <w:rPr>
                <w:sz w:val="12"/>
                <w:szCs w:val="12"/>
                <w:color w:val="auto"/>
              </w:rPr>
            </w:pPr>
          </w:p>
        </w:tc>
        <w:tc>
          <w:tcPr>
            <w:tcW w:w="88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0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800" w:type="dxa"/>
            <w:vAlign w:val="bottom"/>
            <w:tcBorders>
              <w:bottom w:val="single" w:sz="8" w:color="auto"/>
              <w:right w:val="single" w:sz="8" w:color="auto"/>
            </w:tcBorders>
            <w:shd w:val="clear" w:color="auto" w:fill="CCEEFF"/>
          </w:tcPr>
          <w:p>
            <w:pPr>
              <w:spacing w:after="0"/>
              <w:rPr>
                <w:sz w:val="14"/>
                <w:szCs w:val="14"/>
                <w:color w:val="auto"/>
              </w:rPr>
            </w:pPr>
          </w:p>
        </w:tc>
        <w:tc>
          <w:tcPr>
            <w:tcW w:w="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share</w:t>
            </w:r>
            <w:r>
              <w:rPr>
                <w:rFonts w:ascii="Times New Roman" w:cs="Times New Roman" w:eastAsia="Times New Roman" w:hAnsi="Times New Roman"/>
                <w:sz w:val="10"/>
                <w:szCs w:val="10"/>
                <w:color w:val="auto"/>
              </w:rPr>
              <w:t>(3)</w:t>
            </w:r>
          </w:p>
        </w:tc>
        <w:tc>
          <w:tcPr>
            <w:tcW w:w="820" w:type="dxa"/>
            <w:vAlign w:val="bottom"/>
            <w:tcBorders>
              <w:bottom w:val="single" w:sz="8" w:color="auto"/>
              <w:right w:val="single" w:sz="8" w:color="auto"/>
            </w:tcBorders>
            <w:shd w:val="clear" w:color="auto" w:fill="CCEEFF"/>
          </w:tcPr>
          <w:p>
            <w:pPr>
              <w:spacing w:after="0"/>
              <w:rPr>
                <w:sz w:val="14"/>
                <w:szCs w:val="14"/>
                <w:color w:val="auto"/>
              </w:rPr>
            </w:pPr>
          </w:p>
        </w:tc>
        <w:tc>
          <w:tcPr>
            <w:tcW w:w="940" w:type="dxa"/>
            <w:vAlign w:val="bottom"/>
            <w:tcBorders>
              <w:bottom w:val="single" w:sz="8" w:color="auto"/>
              <w:right w:val="single" w:sz="8" w:color="auto"/>
            </w:tcBorders>
            <w:shd w:val="clear" w:color="auto" w:fill="CCEEFF"/>
          </w:tcPr>
          <w:p>
            <w:pPr>
              <w:spacing w:after="0"/>
              <w:rPr>
                <w:sz w:val="14"/>
                <w:szCs w:val="14"/>
                <w:color w:val="auto"/>
              </w:rPr>
            </w:pPr>
          </w:p>
        </w:tc>
        <w:tc>
          <w:tcPr>
            <w:tcW w:w="800" w:type="dxa"/>
            <w:vAlign w:val="bottom"/>
            <w:tcBorders>
              <w:bottom w:val="single" w:sz="8" w:color="auto"/>
              <w:right w:val="single" w:sz="8" w:color="auto"/>
            </w:tcBorders>
            <w:shd w:val="clear" w:color="auto" w:fill="CCEEFF"/>
          </w:tcPr>
          <w:p>
            <w:pPr>
              <w:spacing w:after="0"/>
              <w:rPr>
                <w:sz w:val="14"/>
                <w:szCs w:val="14"/>
                <w:color w:val="auto"/>
              </w:rPr>
            </w:pPr>
          </w:p>
        </w:tc>
        <w:tc>
          <w:tcPr>
            <w:tcW w:w="960" w:type="dxa"/>
            <w:vAlign w:val="bottom"/>
            <w:tcBorders>
              <w:bottom w:val="single" w:sz="8" w:color="auto"/>
              <w:right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right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right w:val="single" w:sz="8" w:color="auto"/>
            </w:tcBorders>
            <w:shd w:val="clear" w:color="auto" w:fill="CCEEFF"/>
          </w:tcPr>
          <w:p>
            <w:pPr>
              <w:spacing w:after="0"/>
              <w:rPr>
                <w:sz w:val="14"/>
                <w:szCs w:val="14"/>
                <w:color w:val="auto"/>
              </w:rPr>
            </w:pPr>
          </w:p>
        </w:tc>
        <w:tc>
          <w:tcPr>
            <w:tcW w:w="700" w:type="dxa"/>
            <w:vAlign w:val="bottom"/>
            <w:tcBorders>
              <w:bottom w:val="single" w:sz="8" w:color="auto"/>
              <w:right w:val="single" w:sz="8" w:color="auto"/>
            </w:tcBorders>
            <w:shd w:val="clear" w:color="auto" w:fill="CCEEFF"/>
          </w:tcPr>
          <w:p>
            <w:pPr>
              <w:spacing w:after="0"/>
              <w:rPr>
                <w:sz w:val="14"/>
                <w:szCs w:val="14"/>
                <w:color w:val="auto"/>
              </w:rPr>
            </w:pPr>
          </w:p>
        </w:tc>
        <w:tc>
          <w:tcPr>
            <w:tcW w:w="720" w:type="dxa"/>
            <w:vAlign w:val="bottom"/>
            <w:tcBorders>
              <w:bottom w:val="single" w:sz="8" w:color="auto"/>
              <w:right w:val="single" w:sz="8" w:color="auto"/>
            </w:tcBorders>
            <w:shd w:val="clear" w:color="auto" w:fill="CCEEFF"/>
          </w:tcPr>
          <w:p>
            <w:pPr>
              <w:spacing w:after="0"/>
              <w:rPr>
                <w:sz w:val="14"/>
                <w:szCs w:val="14"/>
                <w:color w:val="auto"/>
              </w:rPr>
            </w:pPr>
          </w:p>
        </w:tc>
        <w:tc>
          <w:tcPr>
            <w:tcW w:w="700" w:type="dxa"/>
            <w:vAlign w:val="bottom"/>
            <w:tcBorders>
              <w:bottom w:val="single" w:sz="8" w:color="auto"/>
              <w:right w:val="single" w:sz="8" w:color="auto"/>
            </w:tcBorders>
            <w:shd w:val="clear" w:color="auto" w:fill="CCEEFF"/>
          </w:tcPr>
          <w:p>
            <w:pPr>
              <w:spacing w:after="0"/>
              <w:rPr>
                <w:sz w:val="14"/>
                <w:szCs w:val="14"/>
                <w:color w:val="auto"/>
              </w:rPr>
            </w:pPr>
          </w:p>
        </w:tc>
        <w:tc>
          <w:tcPr>
            <w:tcW w:w="880" w:type="dxa"/>
            <w:vAlign w:val="bottom"/>
            <w:tcBorders>
              <w:bottom w:val="single" w:sz="8" w:color="auto"/>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100" w:type="dxa"/>
            <w:vAlign w:val="bottom"/>
            <w:tcBorders>
              <w:left w:val="single" w:sz="8" w:color="auto"/>
              <w:right w:val="single" w:sz="8" w:color="auto"/>
            </w:tcBorders>
          </w:tcPr>
          <w:p>
            <w:pPr>
              <w:jc w:val="center"/>
              <w:ind w:left="48"/>
              <w:spacing w:after="0" w:line="133" w:lineRule="exact"/>
              <w:rPr>
                <w:sz w:val="20"/>
                <w:szCs w:val="20"/>
                <w:color w:val="auto"/>
              </w:rPr>
            </w:pPr>
            <w:r>
              <w:rPr>
                <w:rFonts w:ascii="Times New Roman" w:cs="Times New Roman" w:eastAsia="Times New Roman" w:hAnsi="Times New Roman"/>
                <w:sz w:val="14"/>
                <w:szCs w:val="14"/>
                <w:color w:val="auto"/>
              </w:rPr>
              <w:t>Fees to Be</w:t>
            </w:r>
          </w:p>
        </w:tc>
        <w:tc>
          <w:tcPr>
            <w:tcW w:w="80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Equity</w:t>
            </w:r>
          </w:p>
        </w:tc>
        <w:tc>
          <w:tcPr>
            <w:tcW w:w="82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Preferred</w:t>
            </w:r>
          </w:p>
        </w:tc>
        <w:tc>
          <w:tcPr>
            <w:tcW w:w="820" w:type="dxa"/>
            <w:vAlign w:val="bottom"/>
            <w:tcBorders>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4"/>
                <w:szCs w:val="14"/>
                <w:color w:val="auto"/>
              </w:rPr>
              <w:t>Rule 457(o)</w:t>
            </w:r>
          </w:p>
        </w:tc>
        <w:tc>
          <w:tcPr>
            <w:tcW w:w="940" w:type="dxa"/>
            <w:vAlign w:val="bottom"/>
            <w:tcBorders>
              <w:right w:val="single" w:sz="8" w:color="auto"/>
            </w:tcBorders>
          </w:tcPr>
          <w:p>
            <w:pPr>
              <w:ind w:left="640"/>
              <w:spacing w:after="0" w:line="133"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auto"/>
            </w:tcBorders>
          </w:tcPr>
          <w:p>
            <w:pPr>
              <w:ind w:left="500"/>
              <w:spacing w:after="0" w:line="133"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right w:val="single" w:sz="8" w:color="auto"/>
            </w:tcBorders>
          </w:tcPr>
          <w:p>
            <w:pPr>
              <w:ind w:left="660"/>
              <w:spacing w:after="0" w:line="13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720" w:type="dxa"/>
            <w:vAlign w:val="bottom"/>
            <w:tcBorders>
              <w:right w:val="single" w:sz="8" w:color="auto"/>
            </w:tcBorders>
          </w:tcPr>
          <w:p>
            <w:pPr>
              <w:ind w:left="420"/>
              <w:spacing w:after="0" w:line="133"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680" w:type="dxa"/>
            <w:vAlign w:val="bottom"/>
            <w:tcBorders>
              <w:right w:val="single" w:sz="8" w:color="auto"/>
            </w:tcBorders>
          </w:tcPr>
          <w:p>
            <w:pPr>
              <w:ind w:left="380"/>
              <w:spacing w:after="0" w:line="133"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00" w:type="dxa"/>
            <w:vAlign w:val="bottom"/>
            <w:tcBorders>
              <w:left w:val="single" w:sz="8" w:color="auto"/>
              <w:right w:val="single" w:sz="8" w:color="auto"/>
            </w:tcBorders>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Paid</w:t>
            </w: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Stock, par</w:t>
            </w:r>
          </w:p>
        </w:tc>
        <w:tc>
          <w:tcPr>
            <w:tcW w:w="82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value</w:t>
            </w:r>
          </w:p>
        </w:tc>
        <w:tc>
          <w:tcPr>
            <w:tcW w:w="82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00" w:type="dxa"/>
            <w:vAlign w:val="bottom"/>
            <w:tcBorders>
              <w:left w:val="single" w:sz="8" w:color="auto"/>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$0.001 per</w:t>
            </w:r>
          </w:p>
        </w:tc>
        <w:tc>
          <w:tcPr>
            <w:tcW w:w="82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100" w:type="dxa"/>
            <w:vAlign w:val="bottom"/>
            <w:tcBorders>
              <w:left w:val="single" w:sz="8" w:color="auto"/>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share</w:t>
            </w:r>
            <w:r>
              <w:rPr>
                <w:rFonts w:ascii="Times New Roman" w:cs="Times New Roman" w:eastAsia="Times New Roman" w:hAnsi="Times New Roman"/>
                <w:sz w:val="10"/>
                <w:szCs w:val="10"/>
                <w:color w:val="auto"/>
              </w:rPr>
              <w:t>(4)</w:t>
            </w:r>
          </w:p>
        </w:tc>
        <w:tc>
          <w:tcPr>
            <w:tcW w:w="820" w:type="dxa"/>
            <w:vAlign w:val="bottom"/>
            <w:tcBorders>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700" w:type="dxa"/>
            <w:vAlign w:val="bottom"/>
            <w:tcBorders>
              <w:bottom w:val="single" w:sz="8" w:color="auto"/>
              <w:right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100" w:type="dxa"/>
            <w:vAlign w:val="bottom"/>
            <w:tcBorders>
              <w:left w:val="single" w:sz="8" w:color="auto"/>
              <w:right w:val="single" w:sz="8" w:color="auto"/>
            </w:tcBorders>
            <w:shd w:val="clear" w:color="auto" w:fill="CCEEFF"/>
          </w:tcPr>
          <w:p>
            <w:pPr>
              <w:jc w:val="center"/>
              <w:ind w:left="48"/>
              <w:spacing w:after="0" w:line="126" w:lineRule="exact"/>
              <w:rPr>
                <w:sz w:val="20"/>
                <w:szCs w:val="20"/>
                <w:color w:val="auto"/>
              </w:rPr>
            </w:pPr>
            <w:r>
              <w:rPr>
                <w:rFonts w:ascii="Times New Roman" w:cs="Times New Roman" w:eastAsia="Times New Roman" w:hAnsi="Times New Roman"/>
                <w:sz w:val="14"/>
                <w:szCs w:val="14"/>
                <w:color w:val="auto"/>
              </w:rPr>
              <w:t>Fees to Be</w:t>
            </w:r>
          </w:p>
        </w:tc>
        <w:tc>
          <w:tcPr>
            <w:tcW w:w="800" w:type="dxa"/>
            <w:vAlign w:val="bottom"/>
            <w:tcBorders>
              <w:right w:val="single" w:sz="8" w:color="auto"/>
            </w:tcBorders>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Debt</w:t>
            </w:r>
          </w:p>
        </w:tc>
        <w:tc>
          <w:tcPr>
            <w:tcW w:w="820" w:type="dxa"/>
            <w:vAlign w:val="bottom"/>
            <w:tcBorders>
              <w:right w:val="single" w:sz="8" w:color="auto"/>
            </w:tcBorders>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Debt</w:t>
            </w:r>
          </w:p>
        </w:tc>
        <w:tc>
          <w:tcPr>
            <w:tcW w:w="820" w:type="dxa"/>
            <w:vAlign w:val="bottom"/>
            <w:tcBorders>
              <w:right w:val="single" w:sz="8" w:color="auto"/>
            </w:tcBorders>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Rule 457(o)</w:t>
            </w:r>
          </w:p>
        </w:tc>
        <w:tc>
          <w:tcPr>
            <w:tcW w:w="940" w:type="dxa"/>
            <w:vAlign w:val="bottom"/>
            <w:tcBorders>
              <w:right w:val="single" w:sz="8" w:color="auto"/>
            </w:tcBorders>
            <w:shd w:val="clear" w:color="auto" w:fill="CCEEFF"/>
          </w:tcPr>
          <w:p>
            <w:pPr>
              <w:ind w:left="64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auto"/>
            </w:tcBorders>
            <w:shd w:val="clear" w:color="auto" w:fill="CCEEFF"/>
          </w:tcPr>
          <w:p>
            <w:pPr>
              <w:ind w:left="5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right w:val="single" w:sz="8" w:color="auto"/>
            </w:tcBorders>
            <w:shd w:val="clear" w:color="auto" w:fill="CCEEFF"/>
          </w:tcPr>
          <w:p>
            <w:pPr>
              <w:ind w:left="6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20" w:type="dxa"/>
            <w:vAlign w:val="bottom"/>
            <w:tcBorders>
              <w:right w:val="single" w:sz="8" w:color="auto"/>
            </w:tcBorders>
            <w:shd w:val="clear" w:color="auto" w:fill="CCEEFF"/>
          </w:tcPr>
          <w:p>
            <w:pPr>
              <w:ind w:left="4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ind w:left="3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auto"/>
            </w:tcBorders>
            <w:shd w:val="clear" w:color="auto" w:fill="CCEEFF"/>
          </w:tcPr>
          <w:p>
            <w:pPr>
              <w:spacing w:after="0"/>
              <w:rPr>
                <w:sz w:val="10"/>
                <w:szCs w:val="10"/>
                <w:color w:val="auto"/>
              </w:rPr>
            </w:pPr>
          </w:p>
        </w:tc>
        <w:tc>
          <w:tcPr>
            <w:tcW w:w="720" w:type="dxa"/>
            <w:vAlign w:val="bottom"/>
            <w:tcBorders>
              <w:right w:val="single" w:sz="8" w:color="auto"/>
            </w:tcBorders>
            <w:shd w:val="clear" w:color="auto" w:fill="CCEEFF"/>
          </w:tcPr>
          <w:p>
            <w:pPr>
              <w:spacing w:after="0"/>
              <w:rPr>
                <w:sz w:val="10"/>
                <w:szCs w:val="10"/>
                <w:color w:val="auto"/>
              </w:rPr>
            </w:pPr>
          </w:p>
        </w:tc>
        <w:tc>
          <w:tcPr>
            <w:tcW w:w="700" w:type="dxa"/>
            <w:vAlign w:val="bottom"/>
            <w:tcBorders>
              <w:right w:val="single" w:sz="8" w:color="auto"/>
            </w:tcBorders>
            <w:shd w:val="clear" w:color="auto" w:fill="CCEEFF"/>
          </w:tcPr>
          <w:p>
            <w:pPr>
              <w:spacing w:after="0"/>
              <w:rPr>
                <w:sz w:val="10"/>
                <w:szCs w:val="10"/>
                <w:color w:val="auto"/>
              </w:rPr>
            </w:pPr>
          </w:p>
        </w:tc>
        <w:tc>
          <w:tcPr>
            <w:tcW w:w="88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1100" w:type="dxa"/>
            <w:vAlign w:val="bottom"/>
            <w:tcBorders>
              <w:left w:val="single" w:sz="8" w:color="auto"/>
              <w:bottom w:val="single" w:sz="8" w:color="auto"/>
              <w:right w:val="single" w:sz="8" w:color="auto"/>
            </w:tcBorders>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Paid</w:t>
            </w:r>
          </w:p>
        </w:tc>
        <w:tc>
          <w:tcPr>
            <w:tcW w:w="800" w:type="dxa"/>
            <w:vAlign w:val="bottom"/>
            <w:tcBorders>
              <w:bottom w:val="single" w:sz="8" w:color="auto"/>
              <w:right w:val="single" w:sz="8" w:color="auto"/>
            </w:tcBorders>
            <w:shd w:val="clear" w:color="auto" w:fill="CCEEFF"/>
          </w:tcPr>
          <w:p>
            <w:pPr>
              <w:spacing w:after="0"/>
              <w:rPr>
                <w:sz w:val="16"/>
                <w:szCs w:val="16"/>
                <w:color w:val="auto"/>
              </w:rPr>
            </w:pPr>
          </w:p>
        </w:tc>
        <w:tc>
          <w:tcPr>
            <w:tcW w:w="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Securities</w:t>
            </w:r>
            <w:r>
              <w:rPr>
                <w:rFonts w:ascii="Times New Roman" w:cs="Times New Roman" w:eastAsia="Times New Roman" w:hAnsi="Times New Roman"/>
                <w:sz w:val="10"/>
                <w:szCs w:val="10"/>
                <w:color w:val="auto"/>
              </w:rPr>
              <w:t>(5)</w:t>
            </w:r>
          </w:p>
        </w:tc>
        <w:tc>
          <w:tcPr>
            <w:tcW w:w="820" w:type="dxa"/>
            <w:vAlign w:val="bottom"/>
            <w:tcBorders>
              <w:bottom w:val="single" w:sz="8" w:color="auto"/>
              <w:right w:val="single" w:sz="8" w:color="auto"/>
            </w:tcBorders>
            <w:shd w:val="clear" w:color="auto" w:fill="CCEEFF"/>
          </w:tcPr>
          <w:p>
            <w:pPr>
              <w:spacing w:after="0"/>
              <w:rPr>
                <w:sz w:val="16"/>
                <w:szCs w:val="16"/>
                <w:color w:val="auto"/>
              </w:rPr>
            </w:pPr>
          </w:p>
        </w:tc>
        <w:tc>
          <w:tcPr>
            <w:tcW w:w="940" w:type="dxa"/>
            <w:vAlign w:val="bottom"/>
            <w:tcBorders>
              <w:bottom w:val="single" w:sz="8" w:color="auto"/>
              <w:right w:val="single" w:sz="8" w:color="auto"/>
            </w:tcBorders>
            <w:shd w:val="clear" w:color="auto" w:fill="CCEEFF"/>
          </w:tcPr>
          <w:p>
            <w:pPr>
              <w:spacing w:after="0"/>
              <w:rPr>
                <w:sz w:val="16"/>
                <w:szCs w:val="16"/>
                <w:color w:val="auto"/>
              </w:rPr>
            </w:pPr>
          </w:p>
        </w:tc>
        <w:tc>
          <w:tcPr>
            <w:tcW w:w="800" w:type="dxa"/>
            <w:vAlign w:val="bottom"/>
            <w:tcBorders>
              <w:bottom w:val="single" w:sz="8" w:color="auto"/>
              <w:right w:val="single" w:sz="8" w:color="auto"/>
            </w:tcBorders>
            <w:shd w:val="clear" w:color="auto" w:fill="CCEEFF"/>
          </w:tcPr>
          <w:p>
            <w:pPr>
              <w:spacing w:after="0"/>
              <w:rPr>
                <w:sz w:val="16"/>
                <w:szCs w:val="16"/>
                <w:color w:val="auto"/>
              </w:rPr>
            </w:pPr>
          </w:p>
        </w:tc>
        <w:tc>
          <w:tcPr>
            <w:tcW w:w="960" w:type="dxa"/>
            <w:vAlign w:val="bottom"/>
            <w:tcBorders>
              <w:bottom w:val="single" w:sz="8" w:color="auto"/>
              <w:right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right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right w:val="single" w:sz="8" w:color="auto"/>
            </w:tcBorders>
            <w:shd w:val="clear" w:color="auto" w:fill="CCEEFF"/>
          </w:tcPr>
          <w:p>
            <w:pPr>
              <w:spacing w:after="0"/>
              <w:rPr>
                <w:sz w:val="16"/>
                <w:szCs w:val="16"/>
                <w:color w:val="auto"/>
              </w:rPr>
            </w:pPr>
          </w:p>
        </w:tc>
        <w:tc>
          <w:tcPr>
            <w:tcW w:w="700" w:type="dxa"/>
            <w:vAlign w:val="bottom"/>
            <w:tcBorders>
              <w:bottom w:val="single" w:sz="8" w:color="auto"/>
              <w:right w:val="single" w:sz="8" w:color="auto"/>
            </w:tcBorders>
            <w:shd w:val="clear" w:color="auto" w:fill="CCEEFF"/>
          </w:tcPr>
          <w:p>
            <w:pPr>
              <w:spacing w:after="0"/>
              <w:rPr>
                <w:sz w:val="16"/>
                <w:szCs w:val="16"/>
                <w:color w:val="auto"/>
              </w:rPr>
            </w:pPr>
          </w:p>
        </w:tc>
        <w:tc>
          <w:tcPr>
            <w:tcW w:w="720" w:type="dxa"/>
            <w:vAlign w:val="bottom"/>
            <w:tcBorders>
              <w:bottom w:val="single" w:sz="8" w:color="auto"/>
              <w:right w:val="single" w:sz="8" w:color="auto"/>
            </w:tcBorders>
            <w:shd w:val="clear" w:color="auto" w:fill="CCEEFF"/>
          </w:tcPr>
          <w:p>
            <w:pPr>
              <w:spacing w:after="0"/>
              <w:rPr>
                <w:sz w:val="16"/>
                <w:szCs w:val="16"/>
                <w:color w:val="auto"/>
              </w:rPr>
            </w:pPr>
          </w:p>
        </w:tc>
        <w:tc>
          <w:tcPr>
            <w:tcW w:w="700" w:type="dxa"/>
            <w:vAlign w:val="bottom"/>
            <w:tcBorders>
              <w:bottom w:val="single" w:sz="8" w:color="auto"/>
              <w:right w:val="single" w:sz="8" w:color="auto"/>
            </w:tcBorders>
            <w:shd w:val="clear" w:color="auto" w:fill="CCEEFF"/>
          </w:tcPr>
          <w:p>
            <w:pPr>
              <w:spacing w:after="0"/>
              <w:rPr>
                <w:sz w:val="16"/>
                <w:szCs w:val="16"/>
                <w:color w:val="auto"/>
              </w:rPr>
            </w:pPr>
          </w:p>
        </w:tc>
        <w:tc>
          <w:tcPr>
            <w:tcW w:w="880" w:type="dxa"/>
            <w:vAlign w:val="bottom"/>
            <w:tcBorders>
              <w:bottom w:val="single" w:sz="8" w:color="auto"/>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100" w:type="dxa"/>
            <w:vAlign w:val="bottom"/>
            <w:tcBorders>
              <w:left w:val="single" w:sz="8" w:color="auto"/>
              <w:right w:val="single" w:sz="8" w:color="auto"/>
            </w:tcBorders>
          </w:tcPr>
          <w:p>
            <w:pPr>
              <w:jc w:val="center"/>
              <w:ind w:left="48"/>
              <w:spacing w:after="0" w:line="138" w:lineRule="exact"/>
              <w:rPr>
                <w:sz w:val="20"/>
                <w:szCs w:val="20"/>
                <w:color w:val="auto"/>
              </w:rPr>
            </w:pPr>
            <w:r>
              <w:rPr>
                <w:rFonts w:ascii="Times New Roman" w:cs="Times New Roman" w:eastAsia="Times New Roman" w:hAnsi="Times New Roman"/>
                <w:sz w:val="14"/>
                <w:szCs w:val="14"/>
                <w:color w:val="auto"/>
              </w:rPr>
              <w:t>Fees to Be</w:t>
            </w:r>
          </w:p>
        </w:tc>
        <w:tc>
          <w:tcPr>
            <w:tcW w:w="800" w:type="dxa"/>
            <w:vAlign w:val="bottom"/>
            <w:tcBorders>
              <w:right w:val="single" w:sz="8" w:color="auto"/>
            </w:tcBorders>
          </w:tcPr>
          <w:p>
            <w:pPr>
              <w:jc w:val="center"/>
              <w:spacing w:after="0" w:line="138" w:lineRule="exact"/>
              <w:rPr>
                <w:sz w:val="20"/>
                <w:szCs w:val="20"/>
                <w:color w:val="auto"/>
              </w:rPr>
            </w:pPr>
            <w:r>
              <w:rPr>
                <w:rFonts w:ascii="Times New Roman" w:cs="Times New Roman" w:eastAsia="Times New Roman" w:hAnsi="Times New Roman"/>
                <w:sz w:val="14"/>
                <w:szCs w:val="14"/>
                <w:color w:val="auto"/>
              </w:rPr>
              <w:t>Equity</w:t>
            </w:r>
          </w:p>
        </w:tc>
        <w:tc>
          <w:tcPr>
            <w:tcW w:w="820" w:type="dxa"/>
            <w:vAlign w:val="bottom"/>
            <w:tcBorders>
              <w:right w:val="single" w:sz="8" w:color="auto"/>
            </w:tcBorders>
          </w:tcPr>
          <w:p>
            <w:pPr>
              <w:jc w:val="center"/>
              <w:spacing w:after="0" w:line="138" w:lineRule="exact"/>
              <w:rPr>
                <w:sz w:val="20"/>
                <w:szCs w:val="20"/>
                <w:color w:val="auto"/>
              </w:rPr>
            </w:pPr>
            <w:r>
              <w:rPr>
                <w:rFonts w:ascii="Times New Roman" w:cs="Times New Roman" w:eastAsia="Times New Roman" w:hAnsi="Times New Roman"/>
                <w:sz w:val="14"/>
                <w:szCs w:val="14"/>
                <w:color w:val="auto"/>
              </w:rPr>
              <w:t>Warrants</w:t>
            </w:r>
            <w:r>
              <w:rPr>
                <w:rFonts w:ascii="Times New Roman" w:cs="Times New Roman" w:eastAsia="Times New Roman" w:hAnsi="Times New Roman"/>
                <w:sz w:val="10"/>
                <w:szCs w:val="10"/>
                <w:color w:val="auto"/>
              </w:rPr>
              <w:t>(6)</w:t>
            </w:r>
          </w:p>
        </w:tc>
        <w:tc>
          <w:tcPr>
            <w:tcW w:w="820" w:type="dxa"/>
            <w:vAlign w:val="bottom"/>
            <w:tcBorders>
              <w:right w:val="single" w:sz="8" w:color="auto"/>
            </w:tcBorders>
          </w:tcPr>
          <w:p>
            <w:pPr>
              <w:jc w:val="center"/>
              <w:spacing w:after="0" w:line="138" w:lineRule="exact"/>
              <w:rPr>
                <w:sz w:val="20"/>
                <w:szCs w:val="20"/>
                <w:color w:val="auto"/>
              </w:rPr>
            </w:pPr>
            <w:r>
              <w:rPr>
                <w:rFonts w:ascii="Times New Roman" w:cs="Times New Roman" w:eastAsia="Times New Roman" w:hAnsi="Times New Roman"/>
                <w:sz w:val="14"/>
                <w:szCs w:val="14"/>
                <w:color w:val="auto"/>
              </w:rPr>
              <w:t>Rule 457(o)</w:t>
            </w:r>
          </w:p>
        </w:tc>
        <w:tc>
          <w:tcPr>
            <w:tcW w:w="940" w:type="dxa"/>
            <w:vAlign w:val="bottom"/>
            <w:tcBorders>
              <w:right w:val="single" w:sz="8" w:color="auto"/>
            </w:tcBorders>
          </w:tcPr>
          <w:p>
            <w:pPr>
              <w:ind w:left="640"/>
              <w:spacing w:after="0" w:line="138"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auto"/>
            </w:tcBorders>
          </w:tcPr>
          <w:p>
            <w:pPr>
              <w:ind w:left="500"/>
              <w:spacing w:after="0" w:line="138"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right w:val="single" w:sz="8" w:color="auto"/>
            </w:tcBorders>
          </w:tcPr>
          <w:p>
            <w:pPr>
              <w:ind w:left="660"/>
              <w:spacing w:after="0" w:line="13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720" w:type="dxa"/>
            <w:vAlign w:val="bottom"/>
            <w:tcBorders>
              <w:right w:val="single" w:sz="8" w:color="auto"/>
            </w:tcBorders>
          </w:tcPr>
          <w:p>
            <w:pPr>
              <w:ind w:left="420"/>
              <w:spacing w:after="0" w:line="13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680" w:type="dxa"/>
            <w:vAlign w:val="bottom"/>
            <w:tcBorders>
              <w:right w:val="single" w:sz="8" w:color="auto"/>
            </w:tcBorders>
          </w:tcPr>
          <w:p>
            <w:pPr>
              <w:ind w:left="380"/>
              <w:spacing w:after="0" w:line="138"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1100" w:type="dxa"/>
            <w:vAlign w:val="bottom"/>
            <w:tcBorders>
              <w:left w:val="single" w:sz="8" w:color="auto"/>
              <w:bottom w:val="single" w:sz="8" w:color="auto"/>
              <w:right w:val="single" w:sz="8" w:color="auto"/>
            </w:tcBorders>
          </w:tcPr>
          <w:p>
            <w:pPr>
              <w:jc w:val="center"/>
              <w:ind w:left="48"/>
              <w:spacing w:after="0"/>
              <w:rPr>
                <w:sz w:val="20"/>
                <w:szCs w:val="20"/>
                <w:color w:val="auto"/>
              </w:rPr>
            </w:pPr>
            <w:r>
              <w:rPr>
                <w:rFonts w:ascii="Times New Roman" w:cs="Times New Roman" w:eastAsia="Times New Roman" w:hAnsi="Times New Roman"/>
                <w:sz w:val="14"/>
                <w:szCs w:val="14"/>
                <w:color w:val="auto"/>
              </w:rPr>
              <w:t>Paid</w:t>
            </w:r>
          </w:p>
        </w:tc>
        <w:tc>
          <w:tcPr>
            <w:tcW w:w="800" w:type="dxa"/>
            <w:vAlign w:val="bottom"/>
            <w:tcBorders>
              <w:bottom w:val="single" w:sz="8" w:color="auto"/>
              <w:right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1100" w:type="dxa"/>
            <w:vAlign w:val="bottom"/>
            <w:tcBorders>
              <w:left w:val="single" w:sz="8" w:color="auto"/>
              <w:right w:val="single" w:sz="8" w:color="auto"/>
            </w:tcBorders>
            <w:shd w:val="clear" w:color="auto" w:fill="CCEEFF"/>
          </w:tcPr>
          <w:p>
            <w:pPr>
              <w:jc w:val="center"/>
              <w:ind w:left="48"/>
              <w:spacing w:after="0" w:line="126" w:lineRule="exact"/>
              <w:rPr>
                <w:sz w:val="20"/>
                <w:szCs w:val="20"/>
                <w:color w:val="auto"/>
              </w:rPr>
            </w:pPr>
            <w:r>
              <w:rPr>
                <w:rFonts w:ascii="Times New Roman" w:cs="Times New Roman" w:eastAsia="Times New Roman" w:hAnsi="Times New Roman"/>
                <w:sz w:val="14"/>
                <w:szCs w:val="14"/>
                <w:color w:val="auto"/>
              </w:rPr>
              <w:t>Fees to Be</w:t>
            </w:r>
          </w:p>
        </w:tc>
        <w:tc>
          <w:tcPr>
            <w:tcW w:w="800" w:type="dxa"/>
            <w:vAlign w:val="bottom"/>
            <w:tcBorders>
              <w:right w:val="single" w:sz="8" w:color="auto"/>
            </w:tcBorders>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Equity</w:t>
            </w:r>
          </w:p>
        </w:tc>
        <w:tc>
          <w:tcPr>
            <w:tcW w:w="820" w:type="dxa"/>
            <w:vAlign w:val="bottom"/>
            <w:tcBorders>
              <w:right w:val="single" w:sz="8" w:color="auto"/>
            </w:tcBorders>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Units</w:t>
            </w:r>
            <w:r>
              <w:rPr>
                <w:rFonts w:ascii="Times New Roman" w:cs="Times New Roman" w:eastAsia="Times New Roman" w:hAnsi="Times New Roman"/>
                <w:sz w:val="10"/>
                <w:szCs w:val="10"/>
                <w:color w:val="auto"/>
              </w:rPr>
              <w:t>(7)</w:t>
            </w:r>
          </w:p>
        </w:tc>
        <w:tc>
          <w:tcPr>
            <w:tcW w:w="820" w:type="dxa"/>
            <w:vAlign w:val="bottom"/>
            <w:tcBorders>
              <w:right w:val="single" w:sz="8" w:color="auto"/>
            </w:tcBorders>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Rule 457(o)</w:t>
            </w:r>
          </w:p>
        </w:tc>
        <w:tc>
          <w:tcPr>
            <w:tcW w:w="940" w:type="dxa"/>
            <w:vAlign w:val="bottom"/>
            <w:tcBorders>
              <w:right w:val="single" w:sz="8" w:color="auto"/>
            </w:tcBorders>
            <w:shd w:val="clear" w:color="auto" w:fill="CCEEFF"/>
          </w:tcPr>
          <w:p>
            <w:pPr>
              <w:ind w:left="64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auto"/>
            </w:tcBorders>
            <w:shd w:val="clear" w:color="auto" w:fill="CCEEFF"/>
          </w:tcPr>
          <w:p>
            <w:pPr>
              <w:ind w:left="5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right w:val="single" w:sz="8" w:color="auto"/>
            </w:tcBorders>
            <w:shd w:val="clear" w:color="auto" w:fill="CCEEFF"/>
          </w:tcPr>
          <w:p>
            <w:pPr>
              <w:ind w:left="6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20" w:type="dxa"/>
            <w:vAlign w:val="bottom"/>
            <w:tcBorders>
              <w:right w:val="single" w:sz="8" w:color="auto"/>
            </w:tcBorders>
            <w:shd w:val="clear" w:color="auto" w:fill="CCEEFF"/>
          </w:tcPr>
          <w:p>
            <w:pPr>
              <w:ind w:left="4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0"/>
                <w:szCs w:val="10"/>
                <w:color w:val="auto"/>
              </w:rPr>
            </w:pPr>
          </w:p>
        </w:tc>
        <w:tc>
          <w:tcPr>
            <w:tcW w:w="680" w:type="dxa"/>
            <w:vAlign w:val="bottom"/>
            <w:tcBorders>
              <w:right w:val="single" w:sz="8" w:color="auto"/>
            </w:tcBorders>
            <w:shd w:val="clear" w:color="auto" w:fill="CCEEFF"/>
          </w:tcPr>
          <w:p>
            <w:pPr>
              <w:ind w:left="3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auto"/>
            </w:tcBorders>
            <w:shd w:val="clear" w:color="auto" w:fill="CCEEFF"/>
          </w:tcPr>
          <w:p>
            <w:pPr>
              <w:spacing w:after="0"/>
              <w:rPr>
                <w:sz w:val="10"/>
                <w:szCs w:val="10"/>
                <w:color w:val="auto"/>
              </w:rPr>
            </w:pPr>
          </w:p>
        </w:tc>
        <w:tc>
          <w:tcPr>
            <w:tcW w:w="720" w:type="dxa"/>
            <w:vAlign w:val="bottom"/>
            <w:tcBorders>
              <w:right w:val="single" w:sz="8" w:color="auto"/>
            </w:tcBorders>
            <w:shd w:val="clear" w:color="auto" w:fill="CCEEFF"/>
          </w:tcPr>
          <w:p>
            <w:pPr>
              <w:spacing w:after="0"/>
              <w:rPr>
                <w:sz w:val="10"/>
                <w:szCs w:val="10"/>
                <w:color w:val="auto"/>
              </w:rPr>
            </w:pPr>
          </w:p>
        </w:tc>
        <w:tc>
          <w:tcPr>
            <w:tcW w:w="700" w:type="dxa"/>
            <w:vAlign w:val="bottom"/>
            <w:tcBorders>
              <w:right w:val="single" w:sz="8" w:color="auto"/>
            </w:tcBorders>
            <w:shd w:val="clear" w:color="auto" w:fill="CCEEFF"/>
          </w:tcPr>
          <w:p>
            <w:pPr>
              <w:spacing w:after="0"/>
              <w:rPr>
                <w:sz w:val="10"/>
                <w:szCs w:val="10"/>
                <w:color w:val="auto"/>
              </w:rPr>
            </w:pPr>
          </w:p>
        </w:tc>
        <w:tc>
          <w:tcPr>
            <w:tcW w:w="88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1100" w:type="dxa"/>
            <w:vAlign w:val="bottom"/>
            <w:tcBorders>
              <w:left w:val="single" w:sz="8" w:color="auto"/>
              <w:bottom w:val="single" w:sz="8" w:color="auto"/>
              <w:right w:val="single" w:sz="8" w:color="auto"/>
            </w:tcBorders>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Paid</w:t>
            </w:r>
          </w:p>
        </w:tc>
        <w:tc>
          <w:tcPr>
            <w:tcW w:w="800" w:type="dxa"/>
            <w:vAlign w:val="bottom"/>
            <w:tcBorders>
              <w:bottom w:val="single" w:sz="8" w:color="auto"/>
              <w:right w:val="single" w:sz="8" w:color="auto"/>
            </w:tcBorders>
            <w:shd w:val="clear" w:color="auto" w:fill="CCEEFF"/>
          </w:tcPr>
          <w:p>
            <w:pPr>
              <w:spacing w:after="0"/>
              <w:rPr>
                <w:sz w:val="16"/>
                <w:szCs w:val="16"/>
                <w:color w:val="auto"/>
              </w:rPr>
            </w:pPr>
          </w:p>
        </w:tc>
        <w:tc>
          <w:tcPr>
            <w:tcW w:w="820" w:type="dxa"/>
            <w:vAlign w:val="bottom"/>
            <w:tcBorders>
              <w:bottom w:val="single" w:sz="8" w:color="auto"/>
              <w:right w:val="single" w:sz="8" w:color="auto"/>
            </w:tcBorders>
            <w:shd w:val="clear" w:color="auto" w:fill="CCEEFF"/>
          </w:tcPr>
          <w:p>
            <w:pPr>
              <w:spacing w:after="0"/>
              <w:rPr>
                <w:sz w:val="16"/>
                <w:szCs w:val="16"/>
                <w:color w:val="auto"/>
              </w:rPr>
            </w:pPr>
          </w:p>
        </w:tc>
        <w:tc>
          <w:tcPr>
            <w:tcW w:w="820" w:type="dxa"/>
            <w:vAlign w:val="bottom"/>
            <w:tcBorders>
              <w:bottom w:val="single" w:sz="8" w:color="auto"/>
              <w:right w:val="single" w:sz="8" w:color="auto"/>
            </w:tcBorders>
            <w:shd w:val="clear" w:color="auto" w:fill="CCEEFF"/>
          </w:tcPr>
          <w:p>
            <w:pPr>
              <w:spacing w:after="0"/>
              <w:rPr>
                <w:sz w:val="16"/>
                <w:szCs w:val="16"/>
                <w:color w:val="auto"/>
              </w:rPr>
            </w:pPr>
          </w:p>
        </w:tc>
        <w:tc>
          <w:tcPr>
            <w:tcW w:w="940" w:type="dxa"/>
            <w:vAlign w:val="bottom"/>
            <w:tcBorders>
              <w:bottom w:val="single" w:sz="8" w:color="auto"/>
              <w:right w:val="single" w:sz="8" w:color="auto"/>
            </w:tcBorders>
            <w:shd w:val="clear" w:color="auto" w:fill="CCEEFF"/>
          </w:tcPr>
          <w:p>
            <w:pPr>
              <w:spacing w:after="0"/>
              <w:rPr>
                <w:sz w:val="16"/>
                <w:szCs w:val="16"/>
                <w:color w:val="auto"/>
              </w:rPr>
            </w:pPr>
          </w:p>
        </w:tc>
        <w:tc>
          <w:tcPr>
            <w:tcW w:w="800" w:type="dxa"/>
            <w:vAlign w:val="bottom"/>
            <w:tcBorders>
              <w:bottom w:val="single" w:sz="8" w:color="auto"/>
              <w:right w:val="single" w:sz="8" w:color="auto"/>
            </w:tcBorders>
            <w:shd w:val="clear" w:color="auto" w:fill="CCEEFF"/>
          </w:tcPr>
          <w:p>
            <w:pPr>
              <w:spacing w:after="0"/>
              <w:rPr>
                <w:sz w:val="16"/>
                <w:szCs w:val="16"/>
                <w:color w:val="auto"/>
              </w:rPr>
            </w:pPr>
          </w:p>
        </w:tc>
        <w:tc>
          <w:tcPr>
            <w:tcW w:w="960" w:type="dxa"/>
            <w:vAlign w:val="bottom"/>
            <w:tcBorders>
              <w:bottom w:val="single" w:sz="8" w:color="auto"/>
              <w:right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right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right w:val="single" w:sz="8" w:color="auto"/>
            </w:tcBorders>
            <w:shd w:val="clear" w:color="auto" w:fill="CCEEFF"/>
          </w:tcPr>
          <w:p>
            <w:pPr>
              <w:spacing w:after="0"/>
              <w:rPr>
                <w:sz w:val="16"/>
                <w:szCs w:val="16"/>
                <w:color w:val="auto"/>
              </w:rPr>
            </w:pPr>
          </w:p>
        </w:tc>
        <w:tc>
          <w:tcPr>
            <w:tcW w:w="700" w:type="dxa"/>
            <w:vAlign w:val="bottom"/>
            <w:tcBorders>
              <w:bottom w:val="single" w:sz="8" w:color="auto"/>
              <w:right w:val="single" w:sz="8" w:color="auto"/>
            </w:tcBorders>
            <w:shd w:val="clear" w:color="auto" w:fill="CCEEFF"/>
          </w:tcPr>
          <w:p>
            <w:pPr>
              <w:spacing w:after="0"/>
              <w:rPr>
                <w:sz w:val="16"/>
                <w:szCs w:val="16"/>
                <w:color w:val="auto"/>
              </w:rPr>
            </w:pPr>
          </w:p>
        </w:tc>
        <w:tc>
          <w:tcPr>
            <w:tcW w:w="720" w:type="dxa"/>
            <w:vAlign w:val="bottom"/>
            <w:tcBorders>
              <w:bottom w:val="single" w:sz="8" w:color="auto"/>
              <w:right w:val="single" w:sz="8" w:color="auto"/>
            </w:tcBorders>
            <w:shd w:val="clear" w:color="auto" w:fill="CCEEFF"/>
          </w:tcPr>
          <w:p>
            <w:pPr>
              <w:spacing w:after="0"/>
              <w:rPr>
                <w:sz w:val="16"/>
                <w:szCs w:val="16"/>
                <w:color w:val="auto"/>
              </w:rPr>
            </w:pPr>
          </w:p>
        </w:tc>
        <w:tc>
          <w:tcPr>
            <w:tcW w:w="700" w:type="dxa"/>
            <w:vAlign w:val="bottom"/>
            <w:tcBorders>
              <w:bottom w:val="single" w:sz="8" w:color="auto"/>
              <w:right w:val="single" w:sz="8" w:color="auto"/>
            </w:tcBorders>
            <w:shd w:val="clear" w:color="auto" w:fill="CCEEFF"/>
          </w:tcPr>
          <w:p>
            <w:pPr>
              <w:spacing w:after="0"/>
              <w:rPr>
                <w:sz w:val="16"/>
                <w:szCs w:val="16"/>
                <w:color w:val="auto"/>
              </w:rPr>
            </w:pPr>
          </w:p>
        </w:tc>
        <w:tc>
          <w:tcPr>
            <w:tcW w:w="880" w:type="dxa"/>
            <w:vAlign w:val="bottom"/>
            <w:tcBorders>
              <w:bottom w:val="single" w:sz="8" w:color="auto"/>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100" w:type="dxa"/>
            <w:vAlign w:val="bottom"/>
            <w:tcBorders>
              <w:left w:val="single" w:sz="8" w:color="auto"/>
              <w:right w:val="single" w:sz="8" w:color="auto"/>
            </w:tcBorders>
          </w:tcPr>
          <w:p>
            <w:pPr>
              <w:jc w:val="center"/>
              <w:ind w:left="48"/>
              <w:spacing w:after="0" w:line="138" w:lineRule="exact"/>
              <w:rPr>
                <w:sz w:val="20"/>
                <w:szCs w:val="20"/>
                <w:color w:val="auto"/>
              </w:rPr>
            </w:pPr>
            <w:r>
              <w:rPr>
                <w:rFonts w:ascii="Times New Roman" w:cs="Times New Roman" w:eastAsia="Times New Roman" w:hAnsi="Times New Roman"/>
                <w:sz w:val="14"/>
                <w:szCs w:val="14"/>
                <w:color w:val="auto"/>
              </w:rPr>
              <w:t>Fees to Be</w:t>
            </w:r>
          </w:p>
        </w:tc>
        <w:tc>
          <w:tcPr>
            <w:tcW w:w="800" w:type="dxa"/>
            <w:vAlign w:val="bottom"/>
            <w:tcBorders>
              <w:right w:val="single" w:sz="8" w:color="auto"/>
            </w:tcBorders>
          </w:tcPr>
          <w:p>
            <w:pPr>
              <w:jc w:val="center"/>
              <w:spacing w:after="0" w:line="138" w:lineRule="exact"/>
              <w:rPr>
                <w:sz w:val="20"/>
                <w:szCs w:val="20"/>
                <w:color w:val="auto"/>
              </w:rPr>
            </w:pPr>
            <w:r>
              <w:rPr>
                <w:rFonts w:ascii="Times New Roman" w:cs="Times New Roman" w:eastAsia="Times New Roman" w:hAnsi="Times New Roman"/>
                <w:sz w:val="14"/>
                <w:szCs w:val="14"/>
                <w:color w:val="auto"/>
              </w:rPr>
              <w:t>Unallocated</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(1)</w:t>
            </w:r>
          </w:p>
        </w:tc>
        <w:tc>
          <w:tcPr>
            <w:tcW w:w="820" w:type="dxa"/>
            <w:vAlign w:val="bottom"/>
            <w:tcBorders>
              <w:right w:val="single" w:sz="8" w:color="auto"/>
            </w:tcBorders>
          </w:tcPr>
          <w:p>
            <w:pPr>
              <w:jc w:val="center"/>
              <w:spacing w:after="0" w:line="138" w:lineRule="exact"/>
              <w:rPr>
                <w:sz w:val="20"/>
                <w:szCs w:val="20"/>
                <w:color w:val="auto"/>
              </w:rPr>
            </w:pPr>
            <w:r>
              <w:rPr>
                <w:rFonts w:ascii="Times New Roman" w:cs="Times New Roman" w:eastAsia="Times New Roman" w:hAnsi="Times New Roman"/>
                <w:sz w:val="14"/>
                <w:szCs w:val="14"/>
                <w:color w:val="auto"/>
              </w:rPr>
              <w:t>Rule 457(o)</w:t>
            </w:r>
          </w:p>
        </w:tc>
        <w:tc>
          <w:tcPr>
            <w:tcW w:w="940" w:type="dxa"/>
            <w:vAlign w:val="bottom"/>
            <w:tcBorders>
              <w:right w:val="single" w:sz="8" w:color="auto"/>
            </w:tcBorders>
          </w:tcPr>
          <w:p>
            <w:pPr>
              <w:jc w:val="right"/>
              <w:ind w:right="8"/>
              <w:spacing w:after="0" w:line="138" w:lineRule="exact"/>
              <w:rPr>
                <w:sz w:val="20"/>
                <w:szCs w:val="20"/>
                <w:color w:val="auto"/>
              </w:rPr>
            </w:pPr>
            <w:r>
              <w:rPr>
                <w:rFonts w:ascii="Times New Roman" w:cs="Times New Roman" w:eastAsia="Times New Roman" w:hAnsi="Times New Roman"/>
                <w:sz w:val="14"/>
                <w:szCs w:val="14"/>
                <w:color w:val="auto"/>
              </w:rPr>
              <w:t>$ 400,000,000</w:t>
            </w:r>
          </w:p>
        </w:tc>
        <w:tc>
          <w:tcPr>
            <w:tcW w:w="800" w:type="dxa"/>
            <w:vAlign w:val="bottom"/>
            <w:tcBorders>
              <w:right w:val="single" w:sz="8" w:color="auto"/>
            </w:tcBorders>
          </w:tcPr>
          <w:p>
            <w:pPr>
              <w:ind w:left="500"/>
              <w:spacing w:after="0" w:line="138"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right w:val="single" w:sz="8" w:color="auto"/>
            </w:tcBorders>
          </w:tcPr>
          <w:p>
            <w:pPr>
              <w:jc w:val="center"/>
              <w:spacing w:after="0" w:line="138" w:lineRule="exact"/>
              <w:rPr>
                <w:sz w:val="20"/>
                <w:szCs w:val="20"/>
                <w:color w:val="auto"/>
              </w:rPr>
            </w:pPr>
            <w:r>
              <w:rPr>
                <w:rFonts w:ascii="Times New Roman" w:cs="Times New Roman" w:eastAsia="Times New Roman" w:hAnsi="Times New Roman"/>
                <w:sz w:val="14"/>
                <w:szCs w:val="14"/>
                <w:color w:val="auto"/>
                <w:w w:val="99"/>
              </w:rPr>
              <w:t>$ 400,000,000</w:t>
            </w:r>
          </w:p>
        </w:tc>
        <w:tc>
          <w:tcPr>
            <w:tcW w:w="80" w:type="dxa"/>
            <w:vAlign w:val="bottom"/>
          </w:tcPr>
          <w:p>
            <w:pPr>
              <w:spacing w:after="0"/>
              <w:rPr>
                <w:sz w:val="11"/>
                <w:szCs w:val="11"/>
                <w:color w:val="auto"/>
              </w:rPr>
            </w:pPr>
          </w:p>
        </w:tc>
        <w:tc>
          <w:tcPr>
            <w:tcW w:w="720" w:type="dxa"/>
            <w:vAlign w:val="bottom"/>
            <w:tcBorders>
              <w:right w:val="single" w:sz="8" w:color="auto"/>
            </w:tcBorders>
          </w:tcPr>
          <w:p>
            <w:pPr>
              <w:ind w:left="20"/>
              <w:spacing w:after="0" w:line="138" w:lineRule="exact"/>
              <w:rPr>
                <w:sz w:val="20"/>
                <w:szCs w:val="20"/>
                <w:color w:val="auto"/>
              </w:rPr>
            </w:pPr>
            <w:r>
              <w:rPr>
                <w:rFonts w:ascii="Times New Roman" w:cs="Times New Roman" w:eastAsia="Times New Roman" w:hAnsi="Times New Roman"/>
                <w:sz w:val="14"/>
                <w:szCs w:val="14"/>
                <w:color w:val="auto"/>
              </w:rPr>
              <w:t>0.0000927</w:t>
            </w:r>
          </w:p>
        </w:tc>
        <w:tc>
          <w:tcPr>
            <w:tcW w:w="240" w:type="dxa"/>
            <w:vAlign w:val="bottom"/>
          </w:tcPr>
          <w:p>
            <w:pPr>
              <w:ind w:left="60"/>
              <w:spacing w:after="0" w:line="138"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tcPr>
          <w:p>
            <w:pPr>
              <w:ind w:left="200"/>
              <w:spacing w:after="0" w:line="138" w:lineRule="exact"/>
              <w:rPr>
                <w:sz w:val="20"/>
                <w:szCs w:val="20"/>
                <w:color w:val="auto"/>
              </w:rPr>
            </w:pPr>
            <w:r>
              <w:rPr>
                <w:rFonts w:ascii="Times New Roman" w:cs="Times New Roman" w:eastAsia="Times New Roman" w:hAnsi="Times New Roman"/>
                <w:sz w:val="14"/>
                <w:szCs w:val="14"/>
                <w:color w:val="auto"/>
              </w:rPr>
              <w:t>37,080</w:t>
            </w:r>
          </w:p>
        </w:tc>
        <w:tc>
          <w:tcPr>
            <w:tcW w:w="70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00" w:type="dxa"/>
            <w:vAlign w:val="bottom"/>
            <w:tcBorders>
              <w:left w:val="single" w:sz="8" w:color="auto"/>
              <w:right w:val="single" w:sz="8" w:color="auto"/>
            </w:tcBorders>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Paid</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(Universal)</w:t>
            </w: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1100" w:type="dxa"/>
            <w:vAlign w:val="bottom"/>
            <w:tcBorders>
              <w:left w:val="single" w:sz="8" w:color="auto"/>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Shelf</w:t>
            </w:r>
          </w:p>
        </w:tc>
        <w:tc>
          <w:tcPr>
            <w:tcW w:w="820" w:type="dxa"/>
            <w:vAlign w:val="bottom"/>
            <w:tcBorders>
              <w:bottom w:val="single" w:sz="8" w:color="auto"/>
              <w:right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1100" w:type="dxa"/>
            <w:vAlign w:val="bottom"/>
            <w:tcBorders>
              <w:left w:val="single" w:sz="8" w:color="auto"/>
              <w:right w:val="single" w:sz="8" w:color="auto"/>
            </w:tcBorders>
            <w:shd w:val="clear" w:color="auto" w:fill="CCEEFF"/>
          </w:tcPr>
          <w:p>
            <w:pPr>
              <w:jc w:val="center"/>
              <w:ind w:left="48"/>
              <w:spacing w:after="0" w:line="126" w:lineRule="exact"/>
              <w:rPr>
                <w:sz w:val="20"/>
                <w:szCs w:val="20"/>
                <w:color w:val="auto"/>
              </w:rPr>
            </w:pPr>
            <w:r>
              <w:rPr>
                <w:rFonts w:ascii="Times New Roman" w:cs="Times New Roman" w:eastAsia="Times New Roman" w:hAnsi="Times New Roman"/>
                <w:sz w:val="14"/>
                <w:szCs w:val="14"/>
                <w:color w:val="auto"/>
              </w:rPr>
              <w:t>Fees to Be</w:t>
            </w:r>
          </w:p>
        </w:tc>
        <w:tc>
          <w:tcPr>
            <w:tcW w:w="2440" w:type="dxa"/>
            <w:vAlign w:val="bottom"/>
            <w:tcBorders>
              <w:right w:val="single" w:sz="8" w:color="auto"/>
            </w:tcBorders>
            <w:gridSpan w:val="3"/>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Total Registration Fee:</w:t>
            </w:r>
          </w:p>
        </w:tc>
        <w:tc>
          <w:tcPr>
            <w:tcW w:w="940" w:type="dxa"/>
            <w:vAlign w:val="bottom"/>
            <w:tcBorders>
              <w:right w:val="single" w:sz="8" w:color="auto"/>
            </w:tcBorders>
            <w:shd w:val="clear" w:color="auto" w:fill="CCEEFF"/>
          </w:tcPr>
          <w:p>
            <w:pPr>
              <w:jc w:val="right"/>
              <w:ind w:right="8"/>
              <w:spacing w:after="0" w:line="126" w:lineRule="exact"/>
              <w:rPr>
                <w:sz w:val="20"/>
                <w:szCs w:val="20"/>
                <w:color w:val="auto"/>
              </w:rPr>
            </w:pPr>
            <w:r>
              <w:rPr>
                <w:rFonts w:ascii="Times New Roman" w:cs="Times New Roman" w:eastAsia="Times New Roman" w:hAnsi="Times New Roman"/>
                <w:sz w:val="14"/>
                <w:szCs w:val="14"/>
                <w:color w:val="auto"/>
              </w:rPr>
              <w:t>$ 400,000,000</w:t>
            </w:r>
          </w:p>
        </w:tc>
        <w:tc>
          <w:tcPr>
            <w:tcW w:w="800" w:type="dxa"/>
            <w:vAlign w:val="bottom"/>
            <w:tcBorders>
              <w:right w:val="single" w:sz="8" w:color="auto"/>
            </w:tcBorders>
            <w:shd w:val="clear" w:color="auto" w:fill="CCEEFF"/>
          </w:tcPr>
          <w:p>
            <w:pPr>
              <w:ind w:left="460"/>
              <w:spacing w:after="0" w:line="126" w:lineRule="exact"/>
              <w:rPr>
                <w:sz w:val="20"/>
                <w:szCs w:val="20"/>
                <w:color w:val="auto"/>
              </w:rPr>
            </w:pPr>
            <w:r>
              <w:rPr>
                <w:rFonts w:ascii="Times New Roman" w:cs="Times New Roman" w:eastAsia="Times New Roman" w:hAnsi="Times New Roman"/>
                <w:sz w:val="14"/>
                <w:szCs w:val="14"/>
                <w:color w:val="auto"/>
              </w:rPr>
              <w:t>N/A</w:t>
            </w:r>
          </w:p>
        </w:tc>
        <w:tc>
          <w:tcPr>
            <w:tcW w:w="960" w:type="dxa"/>
            <w:vAlign w:val="bottom"/>
            <w:tcBorders>
              <w:right w:val="single" w:sz="8" w:color="auto"/>
            </w:tcBorders>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w w:val="99"/>
              </w:rPr>
              <w:t>$ 400,000,000</w:t>
            </w:r>
          </w:p>
        </w:tc>
        <w:tc>
          <w:tcPr>
            <w:tcW w:w="80" w:type="dxa"/>
            <w:vAlign w:val="bottom"/>
            <w:shd w:val="clear" w:color="auto" w:fill="CCEEFF"/>
          </w:tcPr>
          <w:p>
            <w:pPr>
              <w:spacing w:after="0"/>
              <w:rPr>
                <w:sz w:val="10"/>
                <w:szCs w:val="10"/>
                <w:color w:val="auto"/>
              </w:rPr>
            </w:pPr>
          </w:p>
        </w:tc>
        <w:tc>
          <w:tcPr>
            <w:tcW w:w="720" w:type="dxa"/>
            <w:vAlign w:val="bottom"/>
            <w:tcBorders>
              <w:right w:val="single" w:sz="8" w:color="auto"/>
            </w:tcBorders>
            <w:shd w:val="clear" w:color="auto" w:fill="CCEEFF"/>
          </w:tcPr>
          <w:p>
            <w:pPr>
              <w:ind w:left="4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ind w:left="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auto"/>
            </w:tcBorders>
            <w:shd w:val="clear" w:color="auto" w:fill="CCEEFF"/>
          </w:tcPr>
          <w:p>
            <w:pPr>
              <w:ind w:left="200"/>
              <w:spacing w:after="0" w:line="126" w:lineRule="exact"/>
              <w:rPr>
                <w:sz w:val="20"/>
                <w:szCs w:val="20"/>
                <w:color w:val="auto"/>
              </w:rPr>
            </w:pPr>
            <w:r>
              <w:rPr>
                <w:rFonts w:ascii="Times New Roman" w:cs="Times New Roman" w:eastAsia="Times New Roman" w:hAnsi="Times New Roman"/>
                <w:sz w:val="14"/>
                <w:szCs w:val="14"/>
                <w:color w:val="auto"/>
              </w:rPr>
              <w:t>37,080</w:t>
            </w:r>
          </w:p>
        </w:tc>
        <w:tc>
          <w:tcPr>
            <w:tcW w:w="700" w:type="dxa"/>
            <w:vAlign w:val="bottom"/>
            <w:tcBorders>
              <w:right w:val="single" w:sz="8" w:color="auto"/>
            </w:tcBorders>
            <w:shd w:val="clear" w:color="auto" w:fill="CCEEFF"/>
          </w:tcPr>
          <w:p>
            <w:pPr>
              <w:spacing w:after="0"/>
              <w:rPr>
                <w:sz w:val="10"/>
                <w:szCs w:val="10"/>
                <w:color w:val="auto"/>
              </w:rPr>
            </w:pPr>
          </w:p>
        </w:tc>
        <w:tc>
          <w:tcPr>
            <w:tcW w:w="720" w:type="dxa"/>
            <w:vAlign w:val="bottom"/>
            <w:tcBorders>
              <w:right w:val="single" w:sz="8" w:color="auto"/>
            </w:tcBorders>
            <w:shd w:val="clear" w:color="auto" w:fill="CCEEFF"/>
          </w:tcPr>
          <w:p>
            <w:pPr>
              <w:spacing w:after="0"/>
              <w:rPr>
                <w:sz w:val="10"/>
                <w:szCs w:val="10"/>
                <w:color w:val="auto"/>
              </w:rPr>
            </w:pPr>
          </w:p>
        </w:tc>
        <w:tc>
          <w:tcPr>
            <w:tcW w:w="700" w:type="dxa"/>
            <w:vAlign w:val="bottom"/>
            <w:tcBorders>
              <w:right w:val="single" w:sz="8" w:color="auto"/>
            </w:tcBorders>
            <w:shd w:val="clear" w:color="auto" w:fill="CCEEFF"/>
          </w:tcPr>
          <w:p>
            <w:pPr>
              <w:spacing w:after="0"/>
              <w:rPr>
                <w:sz w:val="10"/>
                <w:szCs w:val="10"/>
                <w:color w:val="auto"/>
              </w:rPr>
            </w:pPr>
          </w:p>
        </w:tc>
        <w:tc>
          <w:tcPr>
            <w:tcW w:w="880" w:type="dxa"/>
            <w:vAlign w:val="bottom"/>
            <w:tcBorders>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1100" w:type="dxa"/>
            <w:vAlign w:val="bottom"/>
            <w:tcBorders>
              <w:left w:val="single" w:sz="8" w:color="auto"/>
              <w:bottom w:val="single" w:sz="8" w:color="auto"/>
              <w:right w:val="single" w:sz="8" w:color="auto"/>
            </w:tcBorders>
            <w:shd w:val="clear" w:color="auto" w:fill="CCEEFF"/>
          </w:tcPr>
          <w:p>
            <w:pPr>
              <w:jc w:val="center"/>
              <w:ind w:left="48"/>
              <w:spacing w:after="0"/>
              <w:rPr>
                <w:sz w:val="20"/>
                <w:szCs w:val="20"/>
                <w:color w:val="auto"/>
              </w:rPr>
            </w:pPr>
            <w:r>
              <w:rPr>
                <w:rFonts w:ascii="Times New Roman" w:cs="Times New Roman" w:eastAsia="Times New Roman" w:hAnsi="Times New Roman"/>
                <w:sz w:val="14"/>
                <w:szCs w:val="14"/>
                <w:color w:val="auto"/>
              </w:rPr>
              <w:t>Paid</w:t>
            </w:r>
          </w:p>
        </w:tc>
        <w:tc>
          <w:tcPr>
            <w:tcW w:w="800" w:type="dxa"/>
            <w:vAlign w:val="bottom"/>
            <w:tcBorders>
              <w:bottom w:val="single" w:sz="8" w:color="auto"/>
              <w:right w:val="single" w:sz="8" w:color="CCEEFF"/>
            </w:tcBorders>
            <w:shd w:val="clear" w:color="auto" w:fill="CCEEFF"/>
          </w:tcPr>
          <w:p>
            <w:pPr>
              <w:spacing w:after="0"/>
              <w:rPr>
                <w:sz w:val="16"/>
                <w:szCs w:val="16"/>
                <w:color w:val="auto"/>
              </w:rPr>
            </w:pPr>
          </w:p>
        </w:tc>
        <w:tc>
          <w:tcPr>
            <w:tcW w:w="820" w:type="dxa"/>
            <w:vAlign w:val="bottom"/>
            <w:tcBorders>
              <w:bottom w:val="single" w:sz="8" w:color="auto"/>
              <w:right w:val="single" w:sz="8" w:color="CCEEFF"/>
            </w:tcBorders>
            <w:shd w:val="clear" w:color="auto" w:fill="CCEEFF"/>
          </w:tcPr>
          <w:p>
            <w:pPr>
              <w:spacing w:after="0"/>
              <w:rPr>
                <w:sz w:val="16"/>
                <w:szCs w:val="16"/>
                <w:color w:val="auto"/>
              </w:rPr>
            </w:pPr>
          </w:p>
        </w:tc>
        <w:tc>
          <w:tcPr>
            <w:tcW w:w="820" w:type="dxa"/>
            <w:vAlign w:val="bottom"/>
            <w:tcBorders>
              <w:bottom w:val="single" w:sz="8" w:color="auto"/>
              <w:right w:val="single" w:sz="8" w:color="auto"/>
            </w:tcBorders>
            <w:shd w:val="clear" w:color="auto" w:fill="CCEEFF"/>
          </w:tcPr>
          <w:p>
            <w:pPr>
              <w:spacing w:after="0"/>
              <w:rPr>
                <w:sz w:val="16"/>
                <w:szCs w:val="16"/>
                <w:color w:val="auto"/>
              </w:rPr>
            </w:pPr>
          </w:p>
        </w:tc>
        <w:tc>
          <w:tcPr>
            <w:tcW w:w="940" w:type="dxa"/>
            <w:vAlign w:val="bottom"/>
            <w:tcBorders>
              <w:bottom w:val="single" w:sz="8" w:color="auto"/>
              <w:right w:val="single" w:sz="8" w:color="auto"/>
            </w:tcBorders>
            <w:shd w:val="clear" w:color="auto" w:fill="CCEEFF"/>
          </w:tcPr>
          <w:p>
            <w:pPr>
              <w:spacing w:after="0"/>
              <w:rPr>
                <w:sz w:val="16"/>
                <w:szCs w:val="16"/>
                <w:color w:val="auto"/>
              </w:rPr>
            </w:pPr>
          </w:p>
        </w:tc>
        <w:tc>
          <w:tcPr>
            <w:tcW w:w="800" w:type="dxa"/>
            <w:vAlign w:val="bottom"/>
            <w:tcBorders>
              <w:bottom w:val="single" w:sz="8" w:color="auto"/>
              <w:right w:val="single" w:sz="8" w:color="auto"/>
            </w:tcBorders>
            <w:shd w:val="clear" w:color="auto" w:fill="CCEEFF"/>
          </w:tcPr>
          <w:p>
            <w:pPr>
              <w:spacing w:after="0"/>
              <w:rPr>
                <w:sz w:val="16"/>
                <w:szCs w:val="16"/>
                <w:color w:val="auto"/>
              </w:rPr>
            </w:pPr>
          </w:p>
        </w:tc>
        <w:tc>
          <w:tcPr>
            <w:tcW w:w="960" w:type="dxa"/>
            <w:vAlign w:val="bottom"/>
            <w:tcBorders>
              <w:bottom w:val="single" w:sz="8" w:color="auto"/>
              <w:right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right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right w:val="single" w:sz="8" w:color="auto"/>
            </w:tcBorders>
            <w:shd w:val="clear" w:color="auto" w:fill="CCEEFF"/>
          </w:tcPr>
          <w:p>
            <w:pPr>
              <w:spacing w:after="0"/>
              <w:rPr>
                <w:sz w:val="16"/>
                <w:szCs w:val="16"/>
                <w:color w:val="auto"/>
              </w:rPr>
            </w:pPr>
          </w:p>
        </w:tc>
        <w:tc>
          <w:tcPr>
            <w:tcW w:w="700" w:type="dxa"/>
            <w:vAlign w:val="bottom"/>
            <w:tcBorders>
              <w:bottom w:val="single" w:sz="8" w:color="auto"/>
              <w:right w:val="single" w:sz="8" w:color="auto"/>
            </w:tcBorders>
            <w:shd w:val="clear" w:color="auto" w:fill="CCEEFF"/>
          </w:tcPr>
          <w:p>
            <w:pPr>
              <w:spacing w:after="0"/>
              <w:rPr>
                <w:sz w:val="16"/>
                <w:szCs w:val="16"/>
                <w:color w:val="auto"/>
              </w:rPr>
            </w:pPr>
          </w:p>
        </w:tc>
        <w:tc>
          <w:tcPr>
            <w:tcW w:w="720" w:type="dxa"/>
            <w:vAlign w:val="bottom"/>
            <w:tcBorders>
              <w:bottom w:val="single" w:sz="8" w:color="auto"/>
              <w:right w:val="single" w:sz="8" w:color="auto"/>
            </w:tcBorders>
            <w:shd w:val="clear" w:color="auto" w:fill="CCEEFF"/>
          </w:tcPr>
          <w:p>
            <w:pPr>
              <w:spacing w:after="0"/>
              <w:rPr>
                <w:sz w:val="16"/>
                <w:szCs w:val="16"/>
                <w:color w:val="auto"/>
              </w:rPr>
            </w:pPr>
          </w:p>
        </w:tc>
        <w:tc>
          <w:tcPr>
            <w:tcW w:w="700" w:type="dxa"/>
            <w:vAlign w:val="bottom"/>
            <w:tcBorders>
              <w:bottom w:val="single" w:sz="8" w:color="auto"/>
              <w:right w:val="single" w:sz="8" w:color="auto"/>
            </w:tcBorders>
            <w:shd w:val="clear" w:color="auto" w:fill="CCEEFF"/>
          </w:tcPr>
          <w:p>
            <w:pPr>
              <w:spacing w:after="0"/>
              <w:rPr>
                <w:sz w:val="16"/>
                <w:szCs w:val="16"/>
                <w:color w:val="auto"/>
              </w:rPr>
            </w:pPr>
          </w:p>
        </w:tc>
        <w:tc>
          <w:tcPr>
            <w:tcW w:w="880" w:type="dxa"/>
            <w:vAlign w:val="bottom"/>
            <w:tcBorders>
              <w:bottom w:val="single" w:sz="8" w:color="auto"/>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100" w:type="dxa"/>
            <w:vAlign w:val="bottom"/>
            <w:tcBorders>
              <w:left w:val="single" w:sz="8" w:color="auto"/>
              <w:right w:val="single" w:sz="8" w:color="auto"/>
            </w:tcBorders>
          </w:tcPr>
          <w:p>
            <w:pPr>
              <w:jc w:val="center"/>
              <w:ind w:left="48"/>
              <w:spacing w:after="0" w:line="138" w:lineRule="exact"/>
              <w:rPr>
                <w:sz w:val="20"/>
                <w:szCs w:val="20"/>
                <w:color w:val="auto"/>
              </w:rPr>
            </w:pPr>
            <w:r>
              <w:rPr>
                <w:rFonts w:ascii="Times New Roman" w:cs="Times New Roman" w:eastAsia="Times New Roman" w:hAnsi="Times New Roman"/>
                <w:sz w:val="14"/>
                <w:szCs w:val="14"/>
                <w:color w:val="auto"/>
              </w:rPr>
              <w:t>Fees</w:t>
            </w:r>
          </w:p>
        </w:tc>
        <w:tc>
          <w:tcPr>
            <w:tcW w:w="800" w:type="dxa"/>
            <w:vAlign w:val="bottom"/>
            <w:tcBorders>
              <w:right w:val="single" w:sz="8" w:color="auto"/>
            </w:tcBorders>
          </w:tcPr>
          <w:p>
            <w:pPr>
              <w:ind w:left="560"/>
              <w:spacing w:after="0" w:line="138"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auto"/>
            </w:tcBorders>
          </w:tcPr>
          <w:p>
            <w:pPr>
              <w:ind w:left="580"/>
              <w:spacing w:after="0" w:line="138"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auto"/>
            </w:tcBorders>
          </w:tcPr>
          <w:p>
            <w:pPr>
              <w:ind w:left="560"/>
              <w:spacing w:after="0" w:line="138"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tcPr>
          <w:p>
            <w:pPr>
              <w:ind w:left="640"/>
              <w:spacing w:after="0" w:line="138"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auto"/>
            </w:tcBorders>
          </w:tcPr>
          <w:p>
            <w:pPr>
              <w:ind w:left="500"/>
              <w:spacing w:after="0" w:line="138"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right w:val="single" w:sz="8" w:color="auto"/>
            </w:tcBorders>
          </w:tcPr>
          <w:p>
            <w:pPr>
              <w:ind w:left="660"/>
              <w:spacing w:after="0" w:line="138"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720" w:type="dxa"/>
            <w:vAlign w:val="bottom"/>
            <w:tcBorders>
              <w:right w:val="single" w:sz="8" w:color="auto"/>
            </w:tcBorders>
          </w:tcPr>
          <w:p>
            <w:pPr>
              <w:ind w:left="420"/>
              <w:spacing w:after="0" w:line="138"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680" w:type="dxa"/>
            <w:vAlign w:val="bottom"/>
            <w:tcBorders>
              <w:right w:val="single" w:sz="8" w:color="auto"/>
            </w:tcBorders>
          </w:tcPr>
          <w:p>
            <w:pPr>
              <w:ind w:left="380"/>
              <w:spacing w:after="0" w:line="138"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00" w:type="dxa"/>
            <w:vAlign w:val="bottom"/>
            <w:tcBorders>
              <w:left w:val="single" w:sz="8" w:color="auto"/>
              <w:right w:val="single" w:sz="8" w:color="auto"/>
            </w:tcBorders>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Previously</w:t>
            </w: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1100" w:type="dxa"/>
            <w:vAlign w:val="bottom"/>
            <w:tcBorders>
              <w:left w:val="single" w:sz="8" w:color="auto"/>
              <w:bottom w:val="single" w:sz="8" w:color="auto"/>
              <w:right w:val="single" w:sz="8" w:color="auto"/>
            </w:tcBorders>
          </w:tcPr>
          <w:p>
            <w:pPr>
              <w:jc w:val="center"/>
              <w:ind w:left="48"/>
              <w:spacing w:after="0"/>
              <w:rPr>
                <w:sz w:val="20"/>
                <w:szCs w:val="20"/>
                <w:color w:val="auto"/>
              </w:rPr>
            </w:pPr>
            <w:r>
              <w:rPr>
                <w:rFonts w:ascii="Times New Roman" w:cs="Times New Roman" w:eastAsia="Times New Roman" w:hAnsi="Times New Roman"/>
                <w:sz w:val="14"/>
                <w:szCs w:val="14"/>
                <w:color w:val="auto"/>
              </w:rPr>
              <w:t>Paid</w:t>
            </w:r>
          </w:p>
        </w:tc>
        <w:tc>
          <w:tcPr>
            <w:tcW w:w="800" w:type="dxa"/>
            <w:vAlign w:val="bottom"/>
            <w:tcBorders>
              <w:bottom w:val="single" w:sz="8" w:color="auto"/>
              <w:right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100" w:type="dxa"/>
            <w:vAlign w:val="bottom"/>
            <w:tcBorders>
              <w:left w:val="single" w:sz="8" w:color="auto"/>
              <w:bottom w:val="single" w:sz="8" w:color="auto"/>
              <w:right w:val="single" w:sz="8" w:color="CCEEFF"/>
            </w:tcBorders>
            <w:shd w:val="clear" w:color="auto" w:fill="CCEEFF"/>
          </w:tcPr>
          <w:p>
            <w:pPr>
              <w:spacing w:after="0"/>
              <w:rPr>
                <w:sz w:val="14"/>
                <w:szCs w:val="14"/>
                <w:color w:val="auto"/>
              </w:rPr>
            </w:pPr>
          </w:p>
        </w:tc>
        <w:tc>
          <w:tcPr>
            <w:tcW w:w="800" w:type="dxa"/>
            <w:vAlign w:val="bottom"/>
            <w:tcBorders>
              <w:bottom w:val="single" w:sz="8" w:color="auto"/>
              <w:right w:val="single" w:sz="8" w:color="CCEEFF"/>
            </w:tcBorders>
            <w:shd w:val="clear" w:color="auto" w:fill="CCEEFF"/>
          </w:tcPr>
          <w:p>
            <w:pPr>
              <w:spacing w:after="0"/>
              <w:rPr>
                <w:sz w:val="14"/>
                <w:szCs w:val="14"/>
                <w:color w:val="auto"/>
              </w:rPr>
            </w:pPr>
          </w:p>
        </w:tc>
        <w:tc>
          <w:tcPr>
            <w:tcW w:w="820" w:type="dxa"/>
            <w:vAlign w:val="bottom"/>
            <w:tcBorders>
              <w:bottom w:val="single" w:sz="8" w:color="auto"/>
              <w:right w:val="single" w:sz="8" w:color="CCEEFF"/>
            </w:tcBorders>
            <w:shd w:val="clear" w:color="auto" w:fill="CCEEFF"/>
          </w:tcPr>
          <w:p>
            <w:pPr>
              <w:spacing w:after="0"/>
              <w:rPr>
                <w:sz w:val="14"/>
                <w:szCs w:val="14"/>
                <w:color w:val="auto"/>
              </w:rPr>
            </w:pPr>
          </w:p>
        </w:tc>
        <w:tc>
          <w:tcPr>
            <w:tcW w:w="820" w:type="dxa"/>
            <w:vAlign w:val="bottom"/>
            <w:tcBorders>
              <w:bottom w:val="single" w:sz="8" w:color="auto"/>
              <w:right w:val="single" w:sz="8" w:color="CCEEFF"/>
            </w:tcBorders>
            <w:shd w:val="clear" w:color="auto" w:fill="CCEEFF"/>
          </w:tcPr>
          <w:p>
            <w:pPr>
              <w:spacing w:after="0"/>
              <w:rPr>
                <w:sz w:val="14"/>
                <w:szCs w:val="14"/>
                <w:color w:val="auto"/>
              </w:rPr>
            </w:pPr>
          </w:p>
        </w:tc>
        <w:tc>
          <w:tcPr>
            <w:tcW w:w="940" w:type="dxa"/>
            <w:vAlign w:val="bottom"/>
            <w:tcBorders>
              <w:bottom w:val="single" w:sz="8" w:color="auto"/>
              <w:right w:val="single" w:sz="8" w:color="CCEEFF"/>
            </w:tcBorders>
            <w:shd w:val="clear" w:color="auto" w:fill="CCEEFF"/>
          </w:tcPr>
          <w:p>
            <w:pPr>
              <w:spacing w:after="0"/>
              <w:rPr>
                <w:sz w:val="14"/>
                <w:szCs w:val="14"/>
                <w:color w:val="auto"/>
              </w:rPr>
            </w:pPr>
          </w:p>
        </w:tc>
        <w:tc>
          <w:tcPr>
            <w:tcW w:w="1840" w:type="dxa"/>
            <w:vAlign w:val="bottom"/>
            <w:tcBorders>
              <w:bottom w:val="single" w:sz="8" w:color="auto"/>
            </w:tcBorders>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Carry Forward Securities</w:t>
            </w:r>
          </w:p>
        </w:tc>
        <w:tc>
          <w:tcPr>
            <w:tcW w:w="720" w:type="dxa"/>
            <w:vAlign w:val="bottom"/>
            <w:tcBorders>
              <w:bottom w:val="single" w:sz="8" w:color="auto"/>
              <w:right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right w:val="single" w:sz="8" w:color="CCEEFF"/>
            </w:tcBorders>
            <w:shd w:val="clear" w:color="auto" w:fill="CCEEFF"/>
          </w:tcPr>
          <w:p>
            <w:pPr>
              <w:spacing w:after="0"/>
              <w:rPr>
                <w:sz w:val="14"/>
                <w:szCs w:val="14"/>
                <w:color w:val="auto"/>
              </w:rPr>
            </w:pPr>
          </w:p>
        </w:tc>
        <w:tc>
          <w:tcPr>
            <w:tcW w:w="700" w:type="dxa"/>
            <w:vAlign w:val="bottom"/>
            <w:tcBorders>
              <w:bottom w:val="single" w:sz="8" w:color="auto"/>
              <w:right w:val="single" w:sz="8" w:color="CCEEFF"/>
            </w:tcBorders>
            <w:shd w:val="clear" w:color="auto" w:fill="CCEEFF"/>
          </w:tcPr>
          <w:p>
            <w:pPr>
              <w:spacing w:after="0"/>
              <w:rPr>
                <w:sz w:val="14"/>
                <w:szCs w:val="14"/>
                <w:color w:val="auto"/>
              </w:rPr>
            </w:pPr>
          </w:p>
        </w:tc>
        <w:tc>
          <w:tcPr>
            <w:tcW w:w="720" w:type="dxa"/>
            <w:vAlign w:val="bottom"/>
            <w:tcBorders>
              <w:bottom w:val="single" w:sz="8" w:color="auto"/>
              <w:right w:val="single" w:sz="8" w:color="CCEEFF"/>
            </w:tcBorders>
            <w:shd w:val="clear" w:color="auto" w:fill="CCEEFF"/>
          </w:tcPr>
          <w:p>
            <w:pPr>
              <w:spacing w:after="0"/>
              <w:rPr>
                <w:sz w:val="14"/>
                <w:szCs w:val="14"/>
                <w:color w:val="auto"/>
              </w:rPr>
            </w:pPr>
          </w:p>
        </w:tc>
        <w:tc>
          <w:tcPr>
            <w:tcW w:w="700" w:type="dxa"/>
            <w:vAlign w:val="bottom"/>
            <w:tcBorders>
              <w:bottom w:val="single" w:sz="8" w:color="auto"/>
              <w:right w:val="single" w:sz="8" w:color="CCEEFF"/>
            </w:tcBorders>
            <w:shd w:val="clear" w:color="auto" w:fill="CCEEFF"/>
          </w:tcPr>
          <w:p>
            <w:pPr>
              <w:spacing w:after="0"/>
              <w:rPr>
                <w:sz w:val="14"/>
                <w:szCs w:val="14"/>
                <w:color w:val="auto"/>
              </w:rPr>
            </w:pPr>
          </w:p>
        </w:tc>
        <w:tc>
          <w:tcPr>
            <w:tcW w:w="880" w:type="dxa"/>
            <w:vAlign w:val="bottom"/>
            <w:tcBorders>
              <w:bottom w:val="single" w:sz="8" w:color="auto"/>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100" w:type="dxa"/>
            <w:vAlign w:val="bottom"/>
            <w:tcBorders>
              <w:left w:val="single" w:sz="8" w:color="auto"/>
              <w:right w:val="single" w:sz="8" w:color="auto"/>
            </w:tcBorders>
          </w:tcPr>
          <w:p>
            <w:pPr>
              <w:jc w:val="center"/>
              <w:ind w:left="48"/>
              <w:spacing w:after="0" w:line="133" w:lineRule="exact"/>
              <w:rPr>
                <w:sz w:val="20"/>
                <w:szCs w:val="20"/>
                <w:color w:val="auto"/>
              </w:rPr>
            </w:pPr>
            <w:r>
              <w:rPr>
                <w:rFonts w:ascii="Times New Roman" w:cs="Times New Roman" w:eastAsia="Times New Roman" w:hAnsi="Times New Roman"/>
                <w:sz w:val="14"/>
                <w:szCs w:val="14"/>
                <w:color w:val="auto"/>
              </w:rPr>
              <w:t>Carry</w:t>
            </w:r>
          </w:p>
        </w:tc>
        <w:tc>
          <w:tcPr>
            <w:tcW w:w="800" w:type="dxa"/>
            <w:vAlign w:val="bottom"/>
            <w:tcBorders>
              <w:right w:val="single" w:sz="8" w:color="auto"/>
            </w:tcBorders>
          </w:tcPr>
          <w:p>
            <w:pPr>
              <w:ind w:left="560"/>
              <w:spacing w:after="0" w:line="133"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auto"/>
            </w:tcBorders>
          </w:tcPr>
          <w:p>
            <w:pPr>
              <w:ind w:left="580"/>
              <w:spacing w:after="0" w:line="133"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auto"/>
            </w:tcBorders>
          </w:tcPr>
          <w:p>
            <w:pPr>
              <w:ind w:left="560"/>
              <w:spacing w:after="0" w:line="133"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tcPr>
          <w:p>
            <w:pPr>
              <w:ind w:left="640"/>
              <w:spacing w:after="0" w:line="133"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right w:val="single" w:sz="8" w:color="auto"/>
            </w:tcBorders>
          </w:tcPr>
          <w:p>
            <w:pPr>
              <w:ind w:left="500"/>
              <w:spacing w:after="0" w:line="133"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right w:val="single" w:sz="8" w:color="auto"/>
            </w:tcBorders>
          </w:tcPr>
          <w:p>
            <w:pPr>
              <w:ind w:left="660"/>
              <w:spacing w:after="0" w:line="13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720" w:type="dxa"/>
            <w:vAlign w:val="bottom"/>
            <w:tcBorders>
              <w:right w:val="single" w:sz="8" w:color="auto"/>
            </w:tcBorders>
          </w:tcPr>
          <w:p>
            <w:pPr>
              <w:ind w:left="420"/>
              <w:spacing w:after="0" w:line="133"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680" w:type="dxa"/>
            <w:vAlign w:val="bottom"/>
            <w:tcBorders>
              <w:right w:val="single" w:sz="8" w:color="auto"/>
            </w:tcBorders>
          </w:tcPr>
          <w:p>
            <w:pPr>
              <w:ind w:left="380"/>
              <w:spacing w:after="0" w:line="133"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auto"/>
            </w:tcBorders>
          </w:tcPr>
          <w:p>
            <w:pPr>
              <w:ind w:left="400"/>
              <w:spacing w:after="0" w:line="133"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auto"/>
            </w:tcBorders>
          </w:tcPr>
          <w:p>
            <w:pPr>
              <w:ind w:left="400"/>
              <w:spacing w:after="0" w:line="133"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auto"/>
            </w:tcBorders>
          </w:tcPr>
          <w:p>
            <w:pPr>
              <w:ind w:left="380"/>
              <w:spacing w:after="0" w:line="133"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auto"/>
            </w:tcBorders>
          </w:tcPr>
          <w:p>
            <w:pPr>
              <w:ind w:left="540"/>
              <w:spacing w:after="0" w:line="13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1100" w:type="dxa"/>
            <w:vAlign w:val="bottom"/>
            <w:tcBorders>
              <w:left w:val="single" w:sz="8" w:color="auto"/>
              <w:right w:val="single" w:sz="8" w:color="auto"/>
            </w:tcBorders>
          </w:tcPr>
          <w:p>
            <w:pPr>
              <w:jc w:val="center"/>
              <w:ind w:left="48"/>
              <w:spacing w:after="0" w:line="149" w:lineRule="exact"/>
              <w:rPr>
                <w:sz w:val="20"/>
                <w:szCs w:val="20"/>
                <w:color w:val="auto"/>
              </w:rPr>
            </w:pPr>
            <w:r>
              <w:rPr>
                <w:rFonts w:ascii="Times New Roman" w:cs="Times New Roman" w:eastAsia="Times New Roman" w:hAnsi="Times New Roman"/>
                <w:sz w:val="14"/>
                <w:szCs w:val="14"/>
                <w:color w:val="auto"/>
              </w:rPr>
              <w:t>Forward</w:t>
            </w:r>
          </w:p>
        </w:tc>
        <w:tc>
          <w:tcPr>
            <w:tcW w:w="80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1100" w:type="dxa"/>
            <w:vAlign w:val="bottom"/>
            <w:tcBorders>
              <w:left w:val="single" w:sz="8" w:color="auto"/>
              <w:bottom w:val="single" w:sz="8" w:color="auto"/>
              <w:right w:val="single" w:sz="8" w:color="auto"/>
            </w:tcBorders>
          </w:tcPr>
          <w:p>
            <w:pPr>
              <w:jc w:val="center"/>
              <w:ind w:left="48"/>
              <w:spacing w:after="0"/>
              <w:rPr>
                <w:sz w:val="20"/>
                <w:szCs w:val="20"/>
                <w:color w:val="auto"/>
              </w:rPr>
            </w:pPr>
            <w:r>
              <w:rPr>
                <w:rFonts w:ascii="Times New Roman" w:cs="Times New Roman" w:eastAsia="Times New Roman" w:hAnsi="Times New Roman"/>
                <w:sz w:val="14"/>
                <w:szCs w:val="14"/>
                <w:color w:val="auto"/>
              </w:rPr>
              <w:t>Securities</w:t>
            </w:r>
          </w:p>
        </w:tc>
        <w:tc>
          <w:tcPr>
            <w:tcW w:w="800" w:type="dxa"/>
            <w:vAlign w:val="bottom"/>
            <w:tcBorders>
              <w:bottom w:val="single" w:sz="8" w:color="auto"/>
              <w:right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820" w:type="dxa"/>
            <w:vAlign w:val="bottom"/>
            <w:tcBorders>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spacing w:after="0"/>
              <w:rPr>
                <w:sz w:val="17"/>
                <w:szCs w:val="17"/>
                <w:color w:val="auto"/>
              </w:rPr>
            </w:pPr>
          </w:p>
        </w:tc>
        <w:tc>
          <w:tcPr>
            <w:tcW w:w="80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70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10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800" w:type="dxa"/>
            <w:vAlign w:val="bottom"/>
            <w:tcBorders>
              <w:bottom w:val="single" w:sz="8" w:color="auto"/>
              <w:right w:val="single" w:sz="8" w:color="CCEEFF"/>
            </w:tcBorders>
            <w:shd w:val="clear" w:color="auto" w:fill="CCEEFF"/>
          </w:tcPr>
          <w:p>
            <w:pPr>
              <w:spacing w:after="0"/>
              <w:rPr>
                <w:sz w:val="14"/>
                <w:szCs w:val="14"/>
                <w:color w:val="auto"/>
              </w:rPr>
            </w:pPr>
          </w:p>
        </w:tc>
        <w:tc>
          <w:tcPr>
            <w:tcW w:w="820" w:type="dxa"/>
            <w:vAlign w:val="bottom"/>
            <w:tcBorders>
              <w:bottom w:val="single" w:sz="8" w:color="auto"/>
              <w:right w:val="single" w:sz="8" w:color="CCEEFF"/>
            </w:tcBorders>
            <w:shd w:val="clear" w:color="auto" w:fill="CCEEFF"/>
          </w:tcPr>
          <w:p>
            <w:pPr>
              <w:spacing w:after="0"/>
              <w:rPr>
                <w:sz w:val="14"/>
                <w:szCs w:val="14"/>
                <w:color w:val="auto"/>
              </w:rPr>
            </w:pPr>
          </w:p>
        </w:tc>
        <w:tc>
          <w:tcPr>
            <w:tcW w:w="1760" w:type="dxa"/>
            <w:vAlign w:val="bottom"/>
            <w:tcBorders>
              <w:bottom w:val="single" w:sz="8" w:color="auto"/>
              <w:right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Total Offering Amounts</w:t>
            </w:r>
          </w:p>
        </w:tc>
        <w:tc>
          <w:tcPr>
            <w:tcW w:w="800" w:type="dxa"/>
            <w:vAlign w:val="bottom"/>
            <w:tcBorders>
              <w:bottom w:val="single" w:sz="8" w:color="auto"/>
              <w:right w:val="single" w:sz="8" w:color="auto"/>
            </w:tcBorders>
            <w:shd w:val="clear" w:color="auto" w:fill="CCEEFF"/>
          </w:tcPr>
          <w:p>
            <w:pPr>
              <w:spacing w:after="0"/>
              <w:rPr>
                <w:sz w:val="14"/>
                <w:szCs w:val="14"/>
                <w:color w:val="auto"/>
              </w:rPr>
            </w:pPr>
          </w:p>
        </w:tc>
        <w:tc>
          <w:tcPr>
            <w:tcW w:w="9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$ 400,000,000</w:t>
            </w: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right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righ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37,080</w:t>
            </w:r>
          </w:p>
        </w:tc>
        <w:tc>
          <w:tcPr>
            <w:tcW w:w="700" w:type="dxa"/>
            <w:vAlign w:val="bottom"/>
            <w:tcBorders>
              <w:bottom w:val="single" w:sz="8" w:color="auto"/>
              <w:right w:val="single" w:sz="8" w:color="auto"/>
            </w:tcBorders>
            <w:shd w:val="clear" w:color="auto" w:fill="CCEEFF"/>
          </w:tcPr>
          <w:p>
            <w:pPr>
              <w:spacing w:after="0"/>
              <w:rPr>
                <w:sz w:val="14"/>
                <w:szCs w:val="14"/>
                <w:color w:val="auto"/>
              </w:rPr>
            </w:pPr>
          </w:p>
        </w:tc>
        <w:tc>
          <w:tcPr>
            <w:tcW w:w="720" w:type="dxa"/>
            <w:vAlign w:val="bottom"/>
            <w:tcBorders>
              <w:bottom w:val="single" w:sz="8" w:color="auto"/>
              <w:right w:val="single" w:sz="8" w:color="auto"/>
            </w:tcBorders>
            <w:shd w:val="clear" w:color="auto" w:fill="CCEEFF"/>
          </w:tcPr>
          <w:p>
            <w:pPr>
              <w:spacing w:after="0"/>
              <w:rPr>
                <w:sz w:val="14"/>
                <w:szCs w:val="14"/>
                <w:color w:val="auto"/>
              </w:rPr>
            </w:pPr>
          </w:p>
        </w:tc>
        <w:tc>
          <w:tcPr>
            <w:tcW w:w="700" w:type="dxa"/>
            <w:vAlign w:val="bottom"/>
            <w:tcBorders>
              <w:bottom w:val="single" w:sz="8" w:color="auto"/>
              <w:right w:val="single" w:sz="8" w:color="auto"/>
            </w:tcBorders>
            <w:shd w:val="clear" w:color="auto" w:fill="CCEEFF"/>
          </w:tcPr>
          <w:p>
            <w:pPr>
              <w:spacing w:after="0"/>
              <w:rPr>
                <w:sz w:val="14"/>
                <w:szCs w:val="14"/>
                <w:color w:val="auto"/>
              </w:rPr>
            </w:pPr>
          </w:p>
        </w:tc>
        <w:tc>
          <w:tcPr>
            <w:tcW w:w="880" w:type="dxa"/>
            <w:vAlign w:val="bottom"/>
            <w:tcBorders>
              <w:bottom w:val="single" w:sz="8" w:color="auto"/>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00" w:type="dxa"/>
            <w:vAlign w:val="bottom"/>
            <w:tcBorders>
              <w:left w:val="single" w:sz="8" w:color="auto"/>
              <w:bottom w:val="single" w:sz="8" w:color="auto"/>
              <w:right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760" w:type="dxa"/>
            <w:vAlign w:val="bottom"/>
            <w:tcBorders>
              <w:bottom w:val="single" w:sz="8" w:color="auto"/>
              <w:right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Total Fees Previously Paid</w:t>
            </w:r>
          </w:p>
        </w:tc>
        <w:tc>
          <w:tcPr>
            <w:tcW w:w="800" w:type="dxa"/>
            <w:vAlign w:val="bottom"/>
            <w:tcBorders>
              <w:bottom w:val="single" w:sz="8" w:color="auto"/>
              <w:right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right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100" w:type="dxa"/>
            <w:vAlign w:val="bottom"/>
            <w:tcBorders>
              <w:left w:val="single" w:sz="8" w:color="auto"/>
              <w:bottom w:val="single" w:sz="8" w:color="auto"/>
              <w:right w:val="single" w:sz="8" w:color="auto"/>
            </w:tcBorders>
            <w:shd w:val="clear" w:color="auto" w:fill="CCEEFF"/>
          </w:tcPr>
          <w:p>
            <w:pPr>
              <w:spacing w:after="0"/>
              <w:rPr>
                <w:sz w:val="14"/>
                <w:szCs w:val="14"/>
                <w:color w:val="auto"/>
              </w:rPr>
            </w:pPr>
          </w:p>
        </w:tc>
        <w:tc>
          <w:tcPr>
            <w:tcW w:w="800" w:type="dxa"/>
            <w:vAlign w:val="bottom"/>
            <w:tcBorders>
              <w:bottom w:val="single" w:sz="8" w:color="auto"/>
              <w:right w:val="single" w:sz="8" w:color="CCEEFF"/>
            </w:tcBorders>
            <w:shd w:val="clear" w:color="auto" w:fill="CCEEFF"/>
          </w:tcPr>
          <w:p>
            <w:pPr>
              <w:spacing w:after="0"/>
              <w:rPr>
                <w:sz w:val="14"/>
                <w:szCs w:val="14"/>
                <w:color w:val="auto"/>
              </w:rPr>
            </w:pPr>
          </w:p>
        </w:tc>
        <w:tc>
          <w:tcPr>
            <w:tcW w:w="820" w:type="dxa"/>
            <w:vAlign w:val="bottom"/>
            <w:tcBorders>
              <w:bottom w:val="single" w:sz="8" w:color="auto"/>
              <w:right w:val="single" w:sz="8" w:color="CCEEFF"/>
            </w:tcBorders>
            <w:shd w:val="clear" w:color="auto" w:fill="CCEEFF"/>
          </w:tcPr>
          <w:p>
            <w:pPr>
              <w:spacing w:after="0"/>
              <w:rPr>
                <w:sz w:val="14"/>
                <w:szCs w:val="14"/>
                <w:color w:val="auto"/>
              </w:rPr>
            </w:pPr>
          </w:p>
        </w:tc>
        <w:tc>
          <w:tcPr>
            <w:tcW w:w="1760" w:type="dxa"/>
            <w:vAlign w:val="bottom"/>
            <w:tcBorders>
              <w:bottom w:val="single" w:sz="8" w:color="auto"/>
              <w:right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Total Fee Offsets</w:t>
            </w:r>
          </w:p>
        </w:tc>
        <w:tc>
          <w:tcPr>
            <w:tcW w:w="800" w:type="dxa"/>
            <w:vAlign w:val="bottom"/>
            <w:tcBorders>
              <w:bottom w:val="single" w:sz="8" w:color="auto"/>
              <w:right w:val="single" w:sz="8" w:color="auto"/>
            </w:tcBorders>
            <w:shd w:val="clear" w:color="auto" w:fill="CCEEFF"/>
          </w:tcPr>
          <w:p>
            <w:pPr>
              <w:spacing w:after="0"/>
              <w:rPr>
                <w:sz w:val="14"/>
                <w:szCs w:val="14"/>
                <w:color w:val="auto"/>
              </w:rPr>
            </w:pPr>
          </w:p>
        </w:tc>
        <w:tc>
          <w:tcPr>
            <w:tcW w:w="960" w:type="dxa"/>
            <w:vAlign w:val="bottom"/>
            <w:tcBorders>
              <w:bottom w:val="single" w:sz="8" w:color="auto"/>
              <w:right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right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right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right w:val="single" w:sz="8" w:color="auto"/>
            </w:tcBorders>
            <w:shd w:val="clear" w:color="auto" w:fill="CCEEFF"/>
          </w:tcPr>
          <w:p>
            <w:pPr>
              <w:spacing w:after="0"/>
              <w:rPr>
                <w:sz w:val="14"/>
                <w:szCs w:val="14"/>
                <w:color w:val="auto"/>
              </w:rPr>
            </w:pPr>
          </w:p>
        </w:tc>
        <w:tc>
          <w:tcPr>
            <w:tcW w:w="720" w:type="dxa"/>
            <w:vAlign w:val="bottom"/>
            <w:tcBorders>
              <w:bottom w:val="single" w:sz="8" w:color="auto"/>
              <w:right w:val="single" w:sz="8" w:color="auto"/>
            </w:tcBorders>
            <w:shd w:val="clear" w:color="auto" w:fill="CCEEFF"/>
          </w:tcPr>
          <w:p>
            <w:pPr>
              <w:spacing w:after="0"/>
              <w:rPr>
                <w:sz w:val="14"/>
                <w:szCs w:val="14"/>
                <w:color w:val="auto"/>
              </w:rPr>
            </w:pPr>
          </w:p>
        </w:tc>
        <w:tc>
          <w:tcPr>
            <w:tcW w:w="700" w:type="dxa"/>
            <w:vAlign w:val="bottom"/>
            <w:tcBorders>
              <w:bottom w:val="single" w:sz="8" w:color="auto"/>
              <w:right w:val="single" w:sz="8" w:color="auto"/>
            </w:tcBorders>
            <w:shd w:val="clear" w:color="auto" w:fill="CCEEFF"/>
          </w:tcPr>
          <w:p>
            <w:pPr>
              <w:spacing w:after="0"/>
              <w:rPr>
                <w:sz w:val="14"/>
                <w:szCs w:val="14"/>
                <w:color w:val="auto"/>
              </w:rPr>
            </w:pPr>
          </w:p>
        </w:tc>
        <w:tc>
          <w:tcPr>
            <w:tcW w:w="880" w:type="dxa"/>
            <w:vAlign w:val="bottom"/>
            <w:tcBorders>
              <w:bottom w:val="single" w:sz="8" w:color="auto"/>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tcBorders>
              <w:left w:val="single" w:sz="8" w:color="auto"/>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Net Fee Due</w:t>
            </w:r>
          </w:p>
        </w:tc>
        <w:tc>
          <w:tcPr>
            <w:tcW w:w="800" w:type="dxa"/>
            <w:vAlign w:val="bottom"/>
            <w:tcBorders>
              <w:bottom w:val="single" w:sz="8" w:color="auto"/>
              <w:right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37,080</w:t>
            </w:r>
          </w:p>
        </w:tc>
        <w:tc>
          <w:tcPr>
            <w:tcW w:w="700" w:type="dxa"/>
            <w:vAlign w:val="bottom"/>
            <w:tcBorders>
              <w:bottom w:val="single" w:sz="8" w:color="auto"/>
              <w:right w:val="single" w:sz="8" w:color="auto"/>
            </w:tcBorders>
          </w:tcPr>
          <w:p>
            <w:pPr>
              <w:spacing w:after="0"/>
              <w:rPr>
                <w:sz w:val="14"/>
                <w:szCs w:val="14"/>
                <w:color w:val="auto"/>
              </w:rPr>
            </w:pPr>
          </w:p>
        </w:tc>
        <w:tc>
          <w:tcPr>
            <w:tcW w:w="72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spacing w:after="0"/>
              <w:rPr>
                <w:sz w:val="14"/>
                <w:szCs w:val="14"/>
                <w:color w:val="auto"/>
              </w:rPr>
            </w:pPr>
          </w:p>
        </w:tc>
        <w:tc>
          <w:tcPr>
            <w:tcW w:w="8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424" w:right="40" w:hanging="424"/>
        <w:spacing w:after="0"/>
        <w:tabs>
          <w:tab w:leader="none" w:pos="424"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to be registered consists of up to $400,000,000 of an indeterminate amount of common stock, preferred stock, debt securities, warrants and/or units that may be offered and sold from time to time in one or more offerings. There is also being registered hereunder such currently indeterminate number of (i) shares of common stock or other securities of the registrant as may be issued upon conversion of, or in exchange for, convertible or exchangeable debt securities and/or preferred stock registered hereby, or (ii) shares of debt securities, common stock, preferred stock or units as may be issued upon exercise of warrants registered hereby, as the case may be, including under any applicable antidilution provisions. Any securities registered hereunder may be sold separately or together with other securities registered hereunder. 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w:t>
      </w:r>
    </w:p>
    <w:p>
      <w:pPr>
        <w:spacing w:after="0" w:line="77" w:lineRule="exact"/>
        <w:rPr>
          <w:rFonts w:ascii="Times New Roman" w:cs="Times New Roman" w:eastAsia="Times New Roman" w:hAnsi="Times New Roman"/>
          <w:sz w:val="14"/>
          <w:szCs w:val="14"/>
          <w:color w:val="auto"/>
        </w:rPr>
      </w:pPr>
    </w:p>
    <w:p>
      <w:pPr>
        <w:ind w:left="424" w:right="160" w:hanging="424"/>
        <w:spacing w:after="0" w:line="221" w:lineRule="auto"/>
        <w:tabs>
          <w:tab w:leader="none" w:pos="424"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proposed maximum offering price per security will be determined from time to time by the registrant in connection with the issuance by the registrant of the securities registered hereunder and is not specified as to each class of security pursuant to General Instruction II.D. of Form S-3 under the Securities Act.</w:t>
      </w:r>
    </w:p>
    <w:p>
      <w:pPr>
        <w:ind w:left="424" w:right="20" w:hanging="424"/>
        <w:spacing w:after="0" w:line="221" w:lineRule="auto"/>
        <w:tabs>
          <w:tab w:leader="none" w:pos="424"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such indeterminate amount of common stock as may be issued from time to time at indeterminate prices or upon conversion of debt securities and/or preferred stock, or upon exercise of warrants registered hereby, as the case may be.</w:t>
      </w:r>
    </w:p>
    <w:p>
      <w:pPr>
        <w:ind w:left="424" w:right="320" w:hanging="424"/>
        <w:spacing w:after="0" w:line="221" w:lineRule="auto"/>
        <w:tabs>
          <w:tab w:leader="none" w:pos="424"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such indeterminate amount of preferred stock as may be issued from time to time at indeterminate prices or upon conversion of debt securities and/or preferred stock, or upon exercise of warrants registered hereby, as the case may be.</w:t>
      </w:r>
    </w:p>
    <w:p>
      <w:pPr>
        <w:ind w:left="424" w:right="100" w:hanging="424"/>
        <w:spacing w:after="0" w:line="221" w:lineRule="auto"/>
        <w:tabs>
          <w:tab w:leader="none" w:pos="424"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Including such indeterminate principal amount of debt securities as may be issued from time to time at indeterminate prices or upon exercise of warrants registered hereby, as the case may be.</w:t>
      </w:r>
    </w:p>
    <w:p>
      <w:pPr>
        <w:ind w:left="424" w:right="180" w:hanging="424"/>
        <w:spacing w:after="0" w:line="221" w:lineRule="auto"/>
        <w:tabs>
          <w:tab w:leader="none" w:pos="424"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Warrants may be sold separately or together with any of the securities registered hereby and may be exercisable for shares of common stock, preferred stock, debt securities, or units registered hereby. Because the warrants will provide a right only to purchase such securities offered hereunder, no additional registration fee is required.</w:t>
      </w:r>
    </w:p>
    <w:p>
      <w:pPr>
        <w:ind w:left="424" w:right="360" w:hanging="424"/>
        <w:spacing w:after="0" w:line="239" w:lineRule="auto"/>
        <w:tabs>
          <w:tab w:leader="none" w:pos="424"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unit will be issued under a unit agreement and will represent an interest in two or more securities registered pursuant to this registration statement, which may or may not be separable from one another. Because the units will provide a right only to purchase such securities offered hereunder, no additional registration fee is required.</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3534A4"/>
    <w:multiLevelType w:val="hybridMultilevel"/>
    <w:lvl w:ilvl="0">
      <w:lvlJc w:val="left"/>
      <w:lvlText w:val="∎"/>
      <w:numFmt w:val="bullet"/>
      <w:start w:val="1"/>
    </w:lvl>
  </w:abstractNum>
  <w:abstractNum w:abstractNumId="1">
    <w:nsid w:val="73A1821B"/>
    <w:multiLevelType w:val="hybridMultilevel"/>
    <w:lvl w:ilvl="0">
      <w:lvlJc w:val="left"/>
      <w:lvlText w:val="∎"/>
      <w:numFmt w:val="bullet"/>
      <w:start w:val="1"/>
    </w:lvl>
  </w:abstractNum>
  <w:abstractNum w:abstractNumId="2">
    <w:nsid w:val="7DE67713"/>
    <w:multiLevelType w:val="hybridMultilevel"/>
    <w:lvl w:ilvl="0">
      <w:lvlJc w:val="left"/>
      <w:lvlText w:val="∎"/>
      <w:numFmt w:val="bullet"/>
      <w:start w:val="1"/>
    </w:lvl>
  </w:abstractNum>
  <w:abstractNum w:abstractNumId="3">
    <w:nsid w:val="555C55B5"/>
    <w:multiLevelType w:val="hybridMultilevel"/>
    <w:lvl w:ilvl="0">
      <w:lvlJc w:val="left"/>
      <w:lvlText w:val="∎"/>
      <w:numFmt w:val="bullet"/>
      <w:start w:val="1"/>
    </w:lvl>
  </w:abstractNum>
  <w:abstractNum w:abstractNumId="4">
    <w:nsid w:val="3FA62ACA"/>
    <w:multiLevelType w:val="hybridMultilevel"/>
    <w:lvl w:ilvl="0">
      <w:lvlJc w:val="left"/>
      <w:lvlText w:val="∎"/>
      <w:numFmt w:val="bullet"/>
      <w:start w:val="1"/>
    </w:lvl>
  </w:abstractNum>
  <w:abstractNum w:abstractNumId="5">
    <w:nsid w:val="14FCE74E"/>
    <w:multiLevelType w:val="hybridMultilevel"/>
    <w:lvl w:ilvl="0">
      <w:lvlJc w:val="left"/>
      <w:lvlText w:val="(%1)"/>
      <w:numFmt w:val="lowerRoman"/>
      <w:start w:val="1"/>
    </w:lvl>
  </w:abstractNum>
  <w:abstractNum w:abstractNumId="6">
    <w:nsid w:val="6A3DD3E8"/>
    <w:multiLevelType w:val="hybridMultilevel"/>
    <w:lvl w:ilvl="0">
      <w:lvlJc w:val="left"/>
      <w:lvlText w:val="∎"/>
      <w:numFmt w:val="bullet"/>
      <w:start w:val="1"/>
    </w:lvl>
  </w:abstractNum>
  <w:abstractNum w:abstractNumId="7">
    <w:nsid w:val="71C91298"/>
    <w:multiLevelType w:val="hybridMultilevel"/>
    <w:lvl w:ilvl="0">
      <w:lvlJc w:val="left"/>
      <w:lvlText w:val="∎"/>
      <w:numFmt w:val="bullet"/>
      <w:start w:val="1"/>
    </w:lvl>
  </w:abstractNum>
  <w:abstractNum w:abstractNumId="8">
    <w:nsid w:val="9DAF632"/>
    <w:multiLevelType w:val="hybridMultilevel"/>
    <w:lvl w:ilvl="0">
      <w:lvlJc w:val="left"/>
      <w:lvlText w:val="∎"/>
      <w:numFmt w:val="bullet"/>
      <w:start w:val="1"/>
    </w:lvl>
  </w:abstractNum>
  <w:abstractNum w:abstractNumId="9">
    <w:nsid w:val="53299938"/>
    <w:multiLevelType w:val="hybridMultilevel"/>
    <w:lvl w:ilvl="0">
      <w:lvlJc w:val="left"/>
      <w:lvlText w:val="∎"/>
      <w:numFmt w:val="bullet"/>
      <w:start w:val="1"/>
    </w:lvl>
  </w:abstractNum>
  <w:abstractNum w:abstractNumId="10">
    <w:nsid w:val="1FBFE8E0"/>
    <w:multiLevelType w:val="hybridMultilevel"/>
    <w:lvl w:ilvl="0">
      <w:lvlJc w:val="left"/>
      <w:lvlText w:val="∎"/>
      <w:numFmt w:val="bullet"/>
      <w:start w:val="1"/>
    </w:lvl>
  </w:abstractNum>
  <w:abstractNum w:abstractNumId="11">
    <w:nsid w:val="5092CA79"/>
    <w:multiLevelType w:val="hybridMultilevel"/>
    <w:lvl w:ilvl="0">
      <w:lvlJc w:val="left"/>
      <w:lvlText w:val="∎"/>
      <w:numFmt w:val="bullet"/>
      <w:start w:val="1"/>
    </w:lvl>
  </w:abstractNum>
  <w:abstractNum w:abstractNumId="12">
    <w:nsid w:val="1D545C4D"/>
    <w:multiLevelType w:val="hybridMultilevel"/>
    <w:lvl w:ilvl="0">
      <w:lvlJc w:val="left"/>
      <w:lvlText w:val="∎"/>
      <w:numFmt w:val="bullet"/>
      <w:start w:val="1"/>
    </w:lvl>
  </w:abstractNum>
  <w:abstractNum w:abstractNumId="13">
    <w:nsid w:val="59ADEA3D"/>
    <w:multiLevelType w:val="hybridMultilevel"/>
    <w:lvl w:ilvl="0">
      <w:lvlJc w:val="left"/>
      <w:lvlText w:val="∎"/>
      <w:numFmt w:val="bullet"/>
      <w:start w:val="1"/>
    </w:lvl>
  </w:abstractNum>
  <w:abstractNum w:abstractNumId="14">
    <w:nsid w:val="288F1A34"/>
    <w:multiLevelType w:val="hybridMultilevel"/>
    <w:lvl w:ilvl="0">
      <w:lvlJc w:val="left"/>
      <w:lvlText w:val="∎"/>
      <w:numFmt w:val="bullet"/>
      <w:start w:val="1"/>
    </w:lvl>
  </w:abstractNum>
  <w:abstractNum w:abstractNumId="15">
    <w:nsid w:val="2A155DBC"/>
    <w:multiLevelType w:val="hybridMultilevel"/>
    <w:lvl w:ilvl="0">
      <w:lvlJc w:val="left"/>
      <w:lvlText w:val="∎"/>
      <w:numFmt w:val="bullet"/>
      <w:start w:val="1"/>
    </w:lvl>
  </w:abstractNum>
  <w:abstractNum w:abstractNumId="16">
    <w:nsid w:val="1D9F6E5F"/>
    <w:multiLevelType w:val="hybridMultilevel"/>
    <w:lvl w:ilvl="0">
      <w:lvlJc w:val="left"/>
      <w:lvlText w:val="∎"/>
      <w:numFmt w:val="bullet"/>
      <w:start w:val="1"/>
    </w:lvl>
  </w:abstractNum>
  <w:abstractNum w:abstractNumId="17">
    <w:nsid w:val="97E1B4E"/>
    <w:multiLevelType w:val="hybridMultilevel"/>
    <w:lvl w:ilvl="0">
      <w:lvlJc w:val="left"/>
      <w:lvlText w:val="∎"/>
      <w:numFmt w:val="bullet"/>
      <w:start w:val="1"/>
    </w:lvl>
  </w:abstractNum>
  <w:abstractNum w:abstractNumId="18">
    <w:nsid w:val="51088277"/>
    <w:multiLevelType w:val="hybridMultilevel"/>
    <w:lvl w:ilvl="0">
      <w:lvlJc w:val="left"/>
      <w:lvlText w:val="∎"/>
      <w:numFmt w:val="bullet"/>
      <w:start w:val="1"/>
    </w:lvl>
  </w:abstractNum>
  <w:abstractNum w:abstractNumId="19">
    <w:nsid w:val="1CA0C5FA"/>
    <w:multiLevelType w:val="hybridMultilevel"/>
    <w:lvl w:ilvl="0">
      <w:lvlJc w:val="left"/>
      <w:lvlText w:val="∎"/>
      <w:numFmt w:val="bullet"/>
      <w:start w:val="1"/>
    </w:lvl>
  </w:abstractNum>
  <w:abstractNum w:abstractNumId="20">
    <w:nsid w:val="53584BCB"/>
    <w:multiLevelType w:val="hybridMultilevel"/>
    <w:lvl w:ilvl="0">
      <w:lvlJc w:val="left"/>
      <w:lvlText w:val="∎"/>
      <w:numFmt w:val="bullet"/>
      <w:start w:val="1"/>
    </w:lvl>
  </w:abstractNum>
  <w:abstractNum w:abstractNumId="21">
    <w:nsid w:val="415E286C"/>
    <w:multiLevelType w:val="hybridMultilevel"/>
    <w:lvl w:ilvl="0">
      <w:lvlJc w:val="left"/>
      <w:lvlText w:val="∎"/>
      <w:numFmt w:val="bullet"/>
      <w:start w:val="1"/>
    </w:lvl>
  </w:abstractNum>
  <w:abstractNum w:abstractNumId="22">
    <w:nsid w:val="7C58FD05"/>
    <w:multiLevelType w:val="hybridMultilevel"/>
    <w:lvl w:ilvl="0">
      <w:lvlJc w:val="left"/>
      <w:lvlText w:val="∎"/>
      <w:numFmt w:val="bullet"/>
      <w:start w:val="1"/>
    </w:lvl>
  </w:abstractNum>
  <w:abstractNum w:abstractNumId="23">
    <w:nsid w:val="23D86AAC"/>
    <w:multiLevelType w:val="hybridMultilevel"/>
    <w:lvl w:ilvl="0">
      <w:lvlJc w:val="left"/>
      <w:lvlText w:val="∎"/>
      <w:numFmt w:val="bullet"/>
      <w:start w:val="1"/>
    </w:lvl>
  </w:abstractNum>
  <w:abstractNum w:abstractNumId="24">
    <w:nsid w:val="45E6D486"/>
    <w:multiLevelType w:val="hybridMultilevel"/>
    <w:lvl w:ilvl="0">
      <w:lvlJc w:val="left"/>
      <w:lvlText w:val="(%1)"/>
      <w:numFmt w:val="lowerRoman"/>
      <w:start w:val="5"/>
    </w:lvl>
    <w:lvl w:ilvl="1">
      <w:lvlJc w:val="left"/>
      <w:lvlText w:val="∎"/>
      <w:numFmt w:val="bullet"/>
      <w:start w:val="1"/>
    </w:lvl>
  </w:abstractNum>
  <w:abstractNum w:abstractNumId="25">
    <w:nsid w:val="5C10FE21"/>
    <w:multiLevelType w:val="hybridMultilevel"/>
    <w:lvl w:ilvl="0">
      <w:lvlJc w:val="left"/>
      <w:lvlText w:val="∎"/>
      <w:numFmt w:val="bullet"/>
      <w:start w:val="1"/>
    </w:lvl>
  </w:abstractNum>
  <w:abstractNum w:abstractNumId="26">
    <w:nsid w:val="E7FFA2B"/>
    <w:multiLevelType w:val="hybridMultilevel"/>
    <w:lvl w:ilvl="0">
      <w:lvlJc w:val="left"/>
      <w:lvlText w:val="∎"/>
      <w:numFmt w:val="bullet"/>
      <w:start w:val="1"/>
    </w:lvl>
  </w:abstractNum>
  <w:abstractNum w:abstractNumId="27">
    <w:nsid w:val="3C5991AA"/>
    <w:multiLevelType w:val="hybridMultilevel"/>
    <w:lvl w:ilvl="0">
      <w:lvlJc w:val="left"/>
      <w:lvlText w:val="∎"/>
      <w:numFmt w:val="bullet"/>
      <w:start w:val="1"/>
    </w:lvl>
  </w:abstractNum>
  <w:abstractNum w:abstractNumId="28">
    <w:nsid w:val="4BD8591A"/>
    <w:multiLevelType w:val="hybridMultilevel"/>
    <w:lvl w:ilvl="0">
      <w:lvlJc w:val="left"/>
      <w:lvlText w:val="∎"/>
      <w:numFmt w:val="bullet"/>
      <w:start w:val="1"/>
    </w:lvl>
  </w:abstractNum>
  <w:abstractNum w:abstractNumId="29">
    <w:nsid w:val="78DF6A55"/>
    <w:multiLevelType w:val="hybridMultilevel"/>
    <w:lvl w:ilvl="0">
      <w:lvlJc w:val="left"/>
      <w:lvlText w:val="(%1)"/>
      <w:numFmt w:val="decimal"/>
      <w:start w:val="857"/>
    </w:lvl>
  </w:abstractNum>
  <w:abstractNum w:abstractNumId="30">
    <w:nsid w:val="39B7AAA2"/>
    <w:multiLevelType w:val="hybridMultilevel"/>
    <w:lvl w:ilvl="0">
      <w:lvlJc w:val="left"/>
      <w:lvlText w:val="∎"/>
      <w:numFmt w:val="bullet"/>
      <w:start w:val="1"/>
    </w:lvl>
  </w:abstractNum>
  <w:abstractNum w:abstractNumId="31">
    <w:nsid w:val="2B0D8DBE"/>
    <w:multiLevelType w:val="hybridMultilevel"/>
    <w:lvl w:ilvl="0">
      <w:lvlJc w:val="left"/>
      <w:lvlText w:val="∎"/>
      <w:numFmt w:val="bullet"/>
      <w:start w:val="1"/>
    </w:lvl>
  </w:abstractNum>
  <w:abstractNum w:abstractNumId="32">
    <w:nsid w:val="6C80EC70"/>
    <w:multiLevelType w:val="hybridMultilevel"/>
    <w:lvl w:ilvl="0">
      <w:lvlJc w:val="left"/>
      <w:lvlText w:val="∎"/>
      <w:numFmt w:val="bullet"/>
      <w:start w:val="1"/>
    </w:lvl>
  </w:abstractNum>
  <w:abstractNum w:abstractNumId="33">
    <w:nsid w:val="379E21B5"/>
    <w:multiLevelType w:val="hybridMultilevel"/>
    <w:lvl w:ilvl="0">
      <w:lvlJc w:val="left"/>
      <w:lvlText w:val="(%1)"/>
      <w:numFmt w:val="lowerRoman"/>
      <w:start w:val="4"/>
    </w:lvl>
  </w:abstractNum>
  <w:abstractNum w:abstractNumId="34">
    <w:nsid w:val="69E373"/>
    <w:multiLevelType w:val="hybridMultilevel"/>
    <w:lvl w:ilvl="0">
      <w:lvlJc w:val="left"/>
      <w:lvlText w:val="∎"/>
      <w:numFmt w:val="bullet"/>
      <w:start w:val="1"/>
    </w:lvl>
  </w:abstractNum>
  <w:abstractNum w:abstractNumId="35">
    <w:nsid w:val="2C27173B"/>
    <w:multiLevelType w:val="hybridMultilevel"/>
    <w:lvl w:ilvl="0">
      <w:lvlJc w:val="left"/>
      <w:lvlText w:val="∎"/>
      <w:numFmt w:val="bullet"/>
      <w:start w:val="1"/>
    </w:lvl>
  </w:abstractNum>
  <w:abstractNum w:abstractNumId="36">
    <w:nsid w:val="4C9B0904"/>
    <w:multiLevelType w:val="hybridMultilevel"/>
    <w:lvl w:ilvl="0">
      <w:lvlJc w:val="left"/>
      <w:lvlText w:val="∎"/>
      <w:numFmt w:val="bullet"/>
      <w:start w:val="1"/>
    </w:lvl>
  </w:abstractNum>
  <w:abstractNum w:abstractNumId="37">
    <w:nsid w:val="6AA7B75C"/>
    <w:multiLevelType w:val="hybridMultilevel"/>
    <w:lvl w:ilvl="0">
      <w:lvlJc w:val="left"/>
      <w:lvlText w:val="∎"/>
      <w:numFmt w:val="bullet"/>
      <w:start w:val="1"/>
    </w:lvl>
  </w:abstractNum>
  <w:abstractNum w:abstractNumId="38">
    <w:nsid w:val="1DF029D3"/>
    <w:multiLevelType w:val="hybridMultilevel"/>
    <w:lvl w:ilvl="0">
      <w:lvlJc w:val="left"/>
      <w:lvlText w:val="∎"/>
      <w:numFmt w:val="bullet"/>
      <w:start w:val="1"/>
    </w:lvl>
  </w:abstractNum>
  <w:abstractNum w:abstractNumId="39">
    <w:nsid w:val="5675FF36"/>
    <w:multiLevelType w:val="hybridMultilevel"/>
    <w:lvl w:ilvl="0">
      <w:lvlJc w:val="left"/>
      <w:lvlText w:val="%1"/>
      <w:numFmt w:val="decimal"/>
      <w:start w:val="24"/>
    </w:lvl>
  </w:abstractNum>
  <w:abstractNum w:abstractNumId="40">
    <w:nsid w:val="3DD15094"/>
    <w:multiLevelType w:val="hybridMultilevel"/>
    <w:lvl w:ilvl="0">
      <w:lvlJc w:val="left"/>
      <w:lvlText w:val="%1"/>
      <w:numFmt w:val="decimal"/>
      <w:start w:val="107"/>
    </w:lvl>
    <w:lvl w:ilvl="1">
      <w:lvlJc w:val="left"/>
      <w:lvlText w:val="*"/>
      <w:numFmt w:val="bullet"/>
      <w:start w:val="1"/>
    </w:lvl>
  </w:abstractNum>
  <w:abstractNum w:abstractNumId="41">
    <w:nsid w:val="3DB012B3"/>
    <w:multiLevelType w:val="hybridMultilevel"/>
    <w:lvl w:ilvl="0">
      <w:lvlJc w:val="left"/>
      <w:lvlText w:val="%1"/>
      <w:numFmt w:val="decimal"/>
      <w:start w:val="1"/>
    </w:lvl>
    <w:lvl w:ilvl="1">
      <w:lvlJc w:val="left"/>
      <w:lvlText w:val="**"/>
      <w:numFmt w:val="bullet"/>
      <w:start w:val="1"/>
    </w:lvl>
  </w:abstractNum>
  <w:abstractNum w:abstractNumId="42">
    <w:nsid w:val="2708C9AF"/>
    <w:multiLevelType w:val="hybridMultilevel"/>
    <w:lvl w:ilvl="0">
      <w:lvlJc w:val="left"/>
      <w:lvlText w:val="(%1)"/>
      <w:numFmt w:val="decimal"/>
      <w:start w:val="1"/>
    </w:lvl>
  </w:abstractNum>
  <w:abstractNum w:abstractNumId="43">
    <w:nsid w:val="5B25ACE2"/>
    <w:multiLevelType w:val="hybridMultilevel"/>
    <w:lvl w:ilvl="0">
      <w:lvlJc w:val="left"/>
      <w:lvlText w:val="(%1)"/>
      <w:numFmt w:val="lowerRoman"/>
      <w:start w:val="2"/>
    </w:lvl>
  </w:abstractNum>
  <w:abstractNum w:abstractNumId="44">
    <w:nsid w:val="175DFCF0"/>
    <w:multiLevelType w:val="hybridMultilevel"/>
    <w:lvl w:ilvl="0">
      <w:lvlJc w:val="left"/>
      <w:lvlText w:val="(%1)"/>
      <w:numFmt w:val="decimal"/>
      <w:start w:val="2"/>
    </w:lvl>
  </w:abstractNum>
  <w:abstractNum w:abstractNumId="45">
    <w:nsid w:val="4F97E3E4"/>
    <w:multiLevelType w:val="hybridMultilevel"/>
    <w:lvl w:ilvl="0">
      <w:lvlJc w:val="left"/>
      <w:lvlText w:val="(%1)"/>
      <w:numFmt w:val="lowerRoman"/>
      <w:start w:val="1"/>
    </w:lvl>
  </w:abstractNum>
  <w:abstractNum w:abstractNumId="46">
    <w:nsid w:val="53B0A9E"/>
    <w:multiLevelType w:val="hybridMultilevel"/>
    <w:lvl w:ilvl="0">
      <w:lvlJc w:val="left"/>
      <w:lvlText w:val="(%1)"/>
      <w:numFmt w:val="decimal"/>
      <w:start w:val="5"/>
    </w:lvl>
  </w:abstractNum>
  <w:abstractNum w:abstractNumId="47">
    <w:nsid w:val="34FD6B4F"/>
    <w:multiLevelType w:val="hybridMultilevel"/>
    <w:lvl w:ilvl="0">
      <w:lvlJc w:val="left"/>
      <w:lvlText w:val="(%1)"/>
      <w:numFmt w:val="lowerRoman"/>
      <w:start w:val="1"/>
    </w:lvl>
  </w:abstractNum>
  <w:abstractNum w:abstractNumId="48">
    <w:nsid w:val="5915FF32"/>
    <w:multiLevelType w:val="hybridMultilevel"/>
    <w:lvl w:ilvl="0">
      <w:lvlJc w:val="left"/>
      <w:lvlText w:val="(%1)"/>
      <w:numFmt w:val="decimal"/>
      <w:start w:val="6"/>
    </w:lvl>
  </w:abstractNum>
  <w:abstractNum w:abstractNumId="49">
    <w:nsid w:val="56438D15"/>
    <w:multiLevelType w:val="hybridMultilevel"/>
    <w:lvl w:ilvl="0">
      <w:lvlJc w:val="left"/>
      <w:lvlText w:val="(%1)"/>
      <w:numFmt w:val="lowerLetter"/>
      <w:start w:val="1"/>
    </w:lvl>
  </w:abstractNum>
  <w:abstractNum w:abstractNumId="50">
    <w:nsid w:val="519E3149"/>
    <w:multiLevelType w:val="hybridMultilevel"/>
    <w:lvl w:ilvl="0">
      <w:lvlJc w:val="left"/>
      <w:lvlText w:val="(%1)"/>
      <w:numFmt w:val="decimal"/>
      <w:start w:val="3"/>
    </w:lvl>
    <w:lvl w:ilvl="1">
      <w:lvlJc w:val="left"/>
      <w:lvlText w:val="(%2)"/>
      <w:numFmt w:val="lowerLetter"/>
      <w:start w:val="1"/>
    </w:lvl>
  </w:abstractNum>
  <w:abstractNum w:abstractNumId="51">
    <w:nsid w:val="2C6E4AFD"/>
    <w:multiLevelType w:val="hybridMultilevel"/>
    <w:lvl w:ilvl="0">
      <w:lvlJc w:val="left"/>
      <w:lvlText w:val="(%1)"/>
      <w:numFmt w:val="lowerLetter"/>
      <w:start w:val="2"/>
    </w:lvl>
  </w:abstractNum>
  <w:abstractNum w:abstractNumId="52">
    <w:nsid w:val="17A1B582"/>
    <w:multiLevelType w:val="hybridMultilevel"/>
    <w:lvl w:ilvl="0">
      <w:lvlJc w:val="left"/>
      <w:lvlText w:val="(%1)"/>
      <w:numFmt w:val="lowerLetter"/>
      <w:start w:val="3"/>
    </w:lvl>
  </w:abstractNum>
  <w:abstractNum w:abstractNumId="53">
    <w:nsid w:val="4DF72E4E"/>
    <w:multiLevelType w:val="hybridMultilevel"/>
    <w:lvl w:ilvl="0">
      <w:lvlJc w:val="left"/>
      <w:lvlText w:val="(%1)"/>
      <w:numFmt w:val="lowerLetter"/>
      <w:start w:val="8"/>
    </w:lvl>
  </w:abstractNum>
  <w:abstractNum w:abstractNumId="54">
    <w:nsid w:val="5046B5A9"/>
    <w:multiLevelType w:val="hybridMultilevel"/>
    <w:lvl w:ilvl="0">
      <w:lvlJc w:val="left"/>
      <w:lvlText w:val="(%1)"/>
      <w:numFmt w:val="lowerLetter"/>
      <w:start w:val="12"/>
    </w:lvl>
  </w:abstractNum>
  <w:abstractNum w:abstractNumId="55">
    <w:nsid w:val="5D888A08"/>
    <w:multiLevelType w:val="hybridMultilevel"/>
    <w:lvl w:ilvl="0">
      <w:lvlJc w:val="left"/>
      <w:lvlText w:val="(%1)"/>
      <w:numFmt w:val="lowerLetter"/>
      <w:start w:val="15"/>
    </w:lvl>
  </w:abstractNum>
  <w:abstractNum w:abstractNumId="56">
    <w:nsid w:val="2A082C70"/>
    <w:multiLevelType w:val="hybridMultilevel"/>
    <w:lvl w:ilvl="0">
      <w:lvlJc w:val="left"/>
      <w:lvlText w:val="(%1)"/>
      <w:numFmt w:val="lowerLetter"/>
      <w:start w:val="19"/>
    </w:lvl>
  </w:abstractNum>
  <w:abstractNum w:abstractNumId="57">
    <w:nsid w:val="5EC6AFD4"/>
    <w:multiLevelType w:val="hybridMultilevel"/>
    <w:lvl w:ilvl="0">
      <w:lvlJc w:val="left"/>
      <w:lvlText w:val="(%1)"/>
      <w:numFmt w:val="lowerLetter"/>
      <w:start w:val="21"/>
    </w:lvl>
  </w:abstractNum>
  <w:abstractNum w:abstractNumId="58">
    <w:nsid w:val="19E21BB2"/>
    <w:multiLevelType w:val="hybridMultilevel"/>
    <w:lvl w:ilvl="0">
      <w:lvlJc w:val="left"/>
      <w:lvlText w:val="(%1)"/>
      <w:numFmt w:val="lowerLetter"/>
      <w:start w:val="23"/>
    </w:lvl>
  </w:abstractNum>
  <w:abstractNum w:abstractNumId="59">
    <w:nsid w:val="75E0858A"/>
    <w:multiLevelType w:val="hybridMultilevel"/>
    <w:lvl w:ilvl="0">
      <w:lvlJc w:val="left"/>
      <w:lvlText w:val="(%1)"/>
      <w:numFmt w:val="lowerLetter"/>
      <w:start w:val="24"/>
    </w:lvl>
  </w:abstractNum>
  <w:abstractNum w:abstractNumId="60">
    <w:nsid w:val="57A61A29"/>
    <w:multiLevelType w:val="hybridMultilevel"/>
    <w:lvl w:ilvl="0">
      <w:lvlJc w:val="left"/>
      <w:lvlText w:val="(%1)"/>
      <w:numFmt w:val="lowerLetter"/>
      <w:start w:val="27"/>
    </w:lvl>
  </w:abstractNum>
  <w:abstractNum w:abstractNumId="61">
    <w:nsid w:val="5399C654"/>
    <w:multiLevelType w:val="hybridMultilevel"/>
    <w:lvl w:ilvl="0">
      <w:lvlJc w:val="left"/>
      <w:lvlText w:val="%1"/>
      <w:numFmt w:val="lowerLetter"/>
      <w:start w:val="1"/>
    </w:lvl>
    <w:lvl w:ilvl="1">
      <w:lvlJc w:val="left"/>
      <w:lvlText w:val="(%2)"/>
      <w:numFmt w:val="lowerLetter"/>
      <w:start w:val="29"/>
    </w:lvl>
  </w:abstractNum>
  <w:abstractNum w:abstractNumId="62">
    <w:nsid w:val="20EE1348"/>
    <w:multiLevelType w:val="hybridMultilevel"/>
    <w:lvl w:ilvl="0">
      <w:lvlJc w:val="left"/>
      <w:lvlText w:val="(%1)"/>
      <w:numFmt w:val="lowerLetter"/>
      <w:start w:val="61"/>
    </w:lvl>
    <w:lvl w:ilvl="1">
      <w:lvlJc w:val="left"/>
      <w:lvlText w:val="(%2)"/>
      <w:numFmt w:val="lowerLetter"/>
      <w:start w:val="33"/>
    </w:lvl>
  </w:abstractNum>
  <w:abstractNum w:abstractNumId="63">
    <w:nsid w:val="4427069A"/>
    <w:multiLevelType w:val="hybridMultilevel"/>
    <w:lvl w:ilvl="0">
      <w:lvlJc w:val="left"/>
      <w:lvlText w:val="(%1)"/>
      <w:numFmt w:val="lowerLetter"/>
      <w:start w:val="34"/>
    </w:lvl>
  </w:abstractNum>
  <w:abstractNum w:abstractNumId="64">
    <w:nsid w:val="B37E80A"/>
    <w:multiLevelType w:val="hybridMultilevel"/>
    <w:lvl w:ilvl="0">
      <w:lvlJc w:val="left"/>
      <w:lvlText w:val="(%1)"/>
      <w:numFmt w:val="lowerLetter"/>
      <w:start w:val="39"/>
    </w:lvl>
  </w:abstractNum>
  <w:abstractNum w:abstractNumId="65">
    <w:nsid w:val="2157F6BC"/>
    <w:multiLevelType w:val="hybridMultilevel"/>
    <w:lvl w:ilvl="0">
      <w:lvlJc w:val="left"/>
      <w:lvlText w:val="(%1)"/>
      <w:numFmt w:val="lowerLetter"/>
      <w:start w:val="42"/>
    </w:lvl>
  </w:abstractNum>
  <w:abstractNum w:abstractNumId="66">
    <w:nsid w:val="704E1DD5"/>
    <w:multiLevelType w:val="hybridMultilevel"/>
    <w:lvl w:ilvl="0">
      <w:lvlJc w:val="left"/>
      <w:lvlText w:val="(%1)"/>
      <w:numFmt w:val="lowerLetter"/>
      <w:start w:val="45"/>
    </w:lvl>
  </w:abstractNum>
  <w:abstractNum w:abstractNumId="67">
    <w:nsid w:val="57D2F10E"/>
    <w:multiLevelType w:val="hybridMultilevel"/>
    <w:lvl w:ilvl="0">
      <w:lvlJc w:val="left"/>
      <w:lvlText w:val="(%1)"/>
      <w:numFmt w:val="lowerLetter"/>
      <w:start w:val="1"/>
    </w:lvl>
  </w:abstractNum>
  <w:abstractNum w:abstractNumId="68">
    <w:nsid w:val="BFFAE18"/>
    <w:multiLevelType w:val="hybridMultilevel"/>
    <w:lvl w:ilvl="0">
      <w:lvlJc w:val="left"/>
      <w:lvlText w:val="%1"/>
      <w:numFmt w:val="upperLetter"/>
      <w:start w:val="1"/>
    </w:lvl>
    <w:lvl w:ilvl="1">
      <w:lvlJc w:val="left"/>
      <w:lvlText w:val="(%2)"/>
      <w:numFmt w:val="lowerRoman"/>
      <w:start w:val="1"/>
    </w:lvl>
  </w:abstractNum>
  <w:abstractNum w:abstractNumId="69">
    <w:nsid w:val="E3E47A8"/>
    <w:multiLevelType w:val="hybridMultilevel"/>
    <w:lvl w:ilvl="0">
      <w:lvlJc w:val="left"/>
      <w:lvlText w:val="(%1)"/>
      <w:numFmt w:val="upperLetter"/>
      <w:start w:val="9"/>
    </w:lvl>
    <w:lvl w:ilvl="1">
      <w:lvlJc w:val="left"/>
      <w:lvlText w:val="(%2)"/>
      <w:numFmt w:val="lowerRoman"/>
      <w:start w:val="2"/>
    </w:lvl>
  </w:abstractNum>
  <w:abstractNum w:abstractNumId="70">
    <w:nsid w:val="2E48F044"/>
    <w:multiLevelType w:val="hybridMultilevel"/>
    <w:lvl w:ilvl="0">
      <w:lvlJc w:val="left"/>
      <w:lvlText w:val="(%1)"/>
      <w:numFmt w:val="lowerRoman"/>
      <w:start w:val="5"/>
    </w:lvl>
  </w:abstractNum>
  <w:abstractNum w:abstractNumId="71">
    <w:nsid w:val="49D0FEAC"/>
    <w:multiLevelType w:val="hybridMultilevel"/>
    <w:lvl w:ilvl="0">
      <w:lvlJc w:val="left"/>
      <w:lvlText w:val="(%1)"/>
      <w:numFmt w:val="lowerLetter"/>
      <w:start w:val="3"/>
    </w:lvl>
  </w:abstractNum>
  <w:abstractNum w:abstractNumId="72">
    <w:nsid w:val="4BEE5A5B"/>
    <w:multiLevelType w:val="hybridMultilevel"/>
    <w:lvl w:ilvl="0">
      <w:lvlJc w:val="left"/>
      <w:lvlText w:val="(%1)"/>
      <w:numFmt w:val="lowerLetter"/>
      <w:start w:val="4"/>
    </w:lvl>
  </w:abstractNum>
  <w:abstractNum w:abstractNumId="73">
    <w:nsid w:val="5551B9F3"/>
    <w:multiLevelType w:val="hybridMultilevel"/>
    <w:lvl w:ilvl="0">
      <w:lvlJc w:val="left"/>
      <w:lvlText w:val="(%1)"/>
      <w:numFmt w:val="lowerLetter"/>
      <w:start w:val="1"/>
    </w:lvl>
  </w:abstractNum>
  <w:abstractNum w:abstractNumId="74">
    <w:nsid w:val="24F6AB8E"/>
    <w:multiLevelType w:val="hybridMultilevel"/>
    <w:lvl w:ilvl="0">
      <w:lvlJc w:val="left"/>
      <w:lvlText w:val="(%1)"/>
      <w:numFmt w:val="lowerLetter"/>
      <w:start w:val="2"/>
    </w:lvl>
  </w:abstractNum>
  <w:abstractNum w:abstractNumId="75">
    <w:nsid w:val="634C574C"/>
    <w:multiLevelType w:val="hybridMultilevel"/>
    <w:lvl w:ilvl="0">
      <w:lvlJc w:val="left"/>
      <w:lvlText w:val="(%1)"/>
      <w:numFmt w:val="lowerLetter"/>
      <w:start w:val="4"/>
    </w:lvl>
  </w:abstractNum>
  <w:abstractNum w:abstractNumId="76">
    <w:nsid w:val="24E99DD7"/>
    <w:multiLevelType w:val="hybridMultilevel"/>
    <w:lvl w:ilvl="0">
      <w:lvlJc w:val="left"/>
      <w:lvlText w:val="(%1)"/>
      <w:numFmt w:val="lowerLetter"/>
      <w:start w:val="7"/>
    </w:lvl>
  </w:abstractNum>
  <w:abstractNum w:abstractNumId="77">
    <w:nsid w:val="2A31B62D"/>
    <w:multiLevelType w:val="hybridMultilevel"/>
    <w:lvl w:ilvl="0">
      <w:lvlJc w:val="left"/>
      <w:lvlText w:val="(%1)"/>
      <w:numFmt w:val="lowerLetter"/>
      <w:start w:val="10"/>
    </w:lvl>
  </w:abstractNum>
  <w:abstractNum w:abstractNumId="78">
    <w:nsid w:val="1849C29B"/>
    <w:multiLevelType w:val="hybridMultilevel"/>
    <w:lvl w:ilvl="0">
      <w:lvlJc w:val="left"/>
      <w:lvlText w:val="(%1)"/>
      <w:numFmt w:val="upperLetter"/>
      <w:start w:val="1"/>
    </w:lvl>
  </w:abstractNum>
  <w:abstractNum w:abstractNumId="79">
    <w:nsid w:val="7DFF9D09"/>
    <w:multiLevelType w:val="hybridMultilevel"/>
    <w:lvl w:ilvl="0">
      <w:lvlJc w:val="left"/>
      <w:lvlText w:val="(%1)"/>
      <w:numFmt w:val="upperLetter"/>
      <w:start w:val="3"/>
    </w:lvl>
  </w:abstractNum>
  <w:abstractNum w:abstractNumId="80">
    <w:nsid w:val="754342"/>
    <w:multiLevelType w:val="hybridMultilevel"/>
    <w:lvl w:ilvl="0">
      <w:lvlJc w:val="left"/>
      <w:lvlText w:val="(%1)"/>
      <w:numFmt w:val="upperLetter"/>
      <w:start w:val="3"/>
    </w:lvl>
    <w:lvl w:ilvl="1">
      <w:lvlJc w:val="left"/>
      <w:lvlText w:val="(%2)"/>
      <w:numFmt w:val="lowerLetter"/>
      <w:start w:val="16"/>
    </w:lvl>
  </w:abstractNum>
  <w:abstractNum w:abstractNumId="81">
    <w:nsid w:val="69E7F3E5"/>
    <w:multiLevelType w:val="hybridMultilevel"/>
    <w:lvl w:ilvl="0">
      <w:lvlJc w:val="left"/>
      <w:lvlText w:val="%1"/>
      <w:numFmt w:val="lowerLetter"/>
      <w:start w:val="1"/>
    </w:lvl>
    <w:lvl w:ilvl="1">
      <w:lvlJc w:val="left"/>
      <w:lvlText w:val="(%2)"/>
      <w:numFmt w:val="lowerLetter"/>
      <w:start w:val="17"/>
    </w:lvl>
  </w:abstractNum>
  <w:abstractNum w:abstractNumId="82">
    <w:nsid w:val="2A6DE806"/>
    <w:multiLevelType w:val="hybridMultilevel"/>
    <w:lvl w:ilvl="0">
      <w:lvlJc w:val="left"/>
      <w:lvlText w:val="(%1)"/>
      <w:numFmt w:val="lowerLetter"/>
      <w:start w:val="9"/>
    </w:lvl>
    <w:lvl w:ilvl="1">
      <w:lvlJc w:val="left"/>
      <w:lvlText w:val="(%2)"/>
      <w:numFmt w:val="lowerLetter"/>
      <w:start w:val="19"/>
    </w:lvl>
  </w:abstractNum>
  <w:abstractNum w:abstractNumId="83">
    <w:nsid w:val="1816F8C4"/>
    <w:multiLevelType w:val="hybridMultilevel"/>
    <w:lvl w:ilvl="0">
      <w:lvlJc w:val="left"/>
      <w:lvlText w:val="%1"/>
      <w:numFmt w:val="lowerRoman"/>
      <w:start w:val="1"/>
    </w:lvl>
    <w:lvl w:ilvl="1">
      <w:lvlJc w:val="left"/>
      <w:lvlText w:val="(%2)"/>
      <w:numFmt w:val="lowerRoman"/>
      <w:start w:val="5"/>
    </w:lvl>
  </w:abstractNum>
  <w:abstractNum w:abstractNumId="84">
    <w:nsid w:val="37DF2233"/>
    <w:multiLevelType w:val="hybridMultilevel"/>
    <w:lvl w:ilvl="0">
      <w:lvlJc w:val="left"/>
      <w:lvlText w:val="(%1)"/>
      <w:numFmt w:val="lowerRoman"/>
      <w:start w:val="1"/>
    </w:lvl>
    <w:lvl w:ilvl="1">
      <w:lvlJc w:val="left"/>
      <w:lvlText w:val="%2"/>
      <w:numFmt w:val="lowerRoman"/>
      <w:start w:val="1"/>
    </w:lvl>
  </w:abstractNum>
  <w:abstractNum w:abstractNumId="85">
    <w:nsid w:val="7AB49DAF"/>
    <w:multiLevelType w:val="hybridMultilevel"/>
    <w:lvl w:ilvl="0">
      <w:lvlJc w:val="left"/>
      <w:lvlText w:val="(%1)"/>
      <w:numFmt w:val="lowerLetter"/>
      <w:start w:val="1"/>
    </w:lvl>
  </w:abstractNum>
  <w:abstractNum w:abstractNumId="86">
    <w:nsid w:val="759F82CD"/>
    <w:multiLevelType w:val="hybridMultilevel"/>
    <w:lvl w:ilvl="0">
      <w:lvlJc w:val="left"/>
      <w:lvlText w:val="(%1)"/>
      <w:numFmt w:val="lowerRoman"/>
      <w:start w:val="1"/>
    </w:lvl>
  </w:abstractNum>
  <w:abstractNum w:abstractNumId="87">
    <w:nsid w:val="61E74EA3"/>
    <w:multiLevelType w:val="hybridMultilevel"/>
    <w:lvl w:ilvl="0">
      <w:lvlJc w:val="left"/>
      <w:lvlText w:val="(%1)"/>
      <w:numFmt w:val="lowerRoman"/>
      <w:start w:val="2"/>
    </w:lvl>
  </w:abstractNum>
  <w:abstractNum w:abstractNumId="88">
    <w:nsid w:val="597B4D84"/>
    <w:multiLevelType w:val="hybridMultilevel"/>
    <w:lvl w:ilvl="0">
      <w:lvlJc w:val="left"/>
      <w:lvlText w:val="(%1)"/>
      <w:numFmt w:val="lowerLetter"/>
      <w:start w:val="2"/>
    </w:lvl>
  </w:abstractNum>
  <w:abstractNum w:abstractNumId="89">
    <w:nsid w:val="F819E7F"/>
    <w:multiLevelType w:val="hybridMultilevel"/>
    <w:lvl w:ilvl="0">
      <w:lvlJc w:val="left"/>
      <w:lvlText w:val="(%1)"/>
      <w:numFmt w:val="lowerLetter"/>
      <w:start w:val="3"/>
    </w:lvl>
  </w:abstractNum>
  <w:abstractNum w:abstractNumId="90">
    <w:nsid w:val="57C7D42D"/>
    <w:multiLevelType w:val="hybridMultilevel"/>
    <w:lvl w:ilvl="0">
      <w:lvlJc w:val="left"/>
      <w:lvlText w:val="%1"/>
      <w:numFmt w:val="lowerLetter"/>
      <w:start w:val="1"/>
    </w:lvl>
    <w:lvl w:ilvl="1">
      <w:lvlJc w:val="left"/>
      <w:lvlText w:val="(%2)"/>
      <w:numFmt w:val="lowerLetter"/>
      <w:start w:val="1"/>
    </w:lvl>
  </w:abstractNum>
  <w:abstractNum w:abstractNumId="91">
    <w:nsid w:val="312167AD"/>
    <w:multiLevelType w:val="hybridMultilevel"/>
    <w:lvl w:ilvl="0">
      <w:lvlJc w:val="left"/>
      <w:lvlText w:val="(%1)"/>
      <w:numFmt w:val="lowerLetter"/>
      <w:start w:val="35"/>
    </w:lvl>
    <w:lvl w:ilvl="1">
      <w:lvlJc w:val="left"/>
      <w:lvlText w:val="%2"/>
      <w:numFmt w:val="lowerLetter"/>
      <w:start w:val="1"/>
    </w:lvl>
  </w:abstractNum>
  <w:abstractNum w:abstractNumId="92">
    <w:nsid w:val="631B64D4"/>
    <w:multiLevelType w:val="hybridMultilevel"/>
    <w:lvl w:ilvl="0">
      <w:lvlJc w:val="left"/>
      <w:lvlText w:val="(%1)"/>
      <w:numFmt w:val="lowerLetter"/>
      <w:start w:val="2"/>
    </w:lvl>
  </w:abstractNum>
  <w:abstractNum w:abstractNumId="93">
    <w:nsid w:val="78B5E776"/>
    <w:multiLevelType w:val="hybridMultilevel"/>
    <w:lvl w:ilvl="0">
      <w:lvlJc w:val="left"/>
      <w:lvlText w:val="%1"/>
      <w:numFmt w:val="lowerLetter"/>
      <w:start w:val="1"/>
    </w:lvl>
    <w:lvl w:ilvl="1">
      <w:lvlJc w:val="left"/>
      <w:lvlText w:val="(%2)"/>
      <w:numFmt w:val="lowerLetter"/>
      <w:start w:val="4"/>
    </w:lvl>
  </w:abstractNum>
  <w:abstractNum w:abstractNumId="94">
    <w:nsid w:val="75486E47"/>
    <w:multiLevelType w:val="hybridMultilevel"/>
    <w:lvl w:ilvl="0">
      <w:lvlJc w:val="left"/>
      <w:lvlText w:val="(%1)"/>
      <w:numFmt w:val="lowerLetter"/>
      <w:start w:val="9"/>
    </w:lvl>
    <w:lvl w:ilvl="1">
      <w:lvlJc w:val="left"/>
      <w:lvlText w:val="(%2)"/>
      <w:numFmt w:val="lowerLetter"/>
      <w:start w:val="5"/>
    </w:lvl>
  </w:abstractNum>
  <w:abstractNum w:abstractNumId="95">
    <w:nsid w:val="6E534CDE"/>
    <w:multiLevelType w:val="hybridMultilevel"/>
    <w:lvl w:ilvl="0">
      <w:lvlJc w:val="left"/>
      <w:lvlText w:val="(%1)"/>
      <w:numFmt w:val="lowerLetter"/>
      <w:start w:val="1"/>
    </w:lvl>
  </w:abstractNum>
  <w:abstractNum w:abstractNumId="96">
    <w:nsid w:val="1A0DDE32"/>
    <w:multiLevelType w:val="hybridMultilevel"/>
    <w:lvl w:ilvl="0">
      <w:lvlJc w:val="left"/>
      <w:lvlText w:val="(%1)"/>
      <w:numFmt w:val="lowerRoman"/>
      <w:start w:val="1"/>
    </w:lvl>
  </w:abstractNum>
  <w:abstractNum w:abstractNumId="97">
    <w:nsid w:val="65968C1C"/>
    <w:multiLevelType w:val="hybridMultilevel"/>
    <w:lvl w:ilvl="0">
      <w:lvlJc w:val="left"/>
      <w:lvlText w:val="(%1)"/>
      <w:numFmt w:val="lowerLetter"/>
      <w:start w:val="1"/>
    </w:lvl>
  </w:abstractNum>
  <w:abstractNum w:abstractNumId="98">
    <w:nsid w:val="46263DEC"/>
    <w:multiLevelType w:val="hybridMultilevel"/>
    <w:lvl w:ilvl="0">
      <w:lvlJc w:val="left"/>
      <w:lvlText w:val="(%1)"/>
      <w:numFmt w:val="lowerLetter"/>
      <w:start w:val="3"/>
    </w:lvl>
  </w:abstractNum>
  <w:abstractNum w:abstractNumId="99">
    <w:nsid w:val="260D8C4A"/>
    <w:multiLevelType w:val="hybridMultilevel"/>
    <w:lvl w:ilvl="0">
      <w:lvlJc w:val="left"/>
      <w:lvlText w:val="%1"/>
      <w:numFmt w:val="decimal"/>
      <w:start w:val="520"/>
    </w:lvl>
  </w:abstractNum>
  <w:abstractNum w:abstractNumId="100">
    <w:nsid w:val="73D4D3C4"/>
    <w:multiLevelType w:val="hybridMultilevel"/>
    <w:lvl w:ilvl="0">
      <w:lvlJc w:val="left"/>
      <w:lvlText w:val="(%1)"/>
      <w:numFmt w:val="lowerLetter"/>
      <w:start w:val="5"/>
    </w:lvl>
  </w:abstractNum>
  <w:abstractNum w:abstractNumId="101">
    <w:nsid w:val="746F2E30"/>
    <w:multiLevelType w:val="hybridMultilevel"/>
    <w:lvl w:ilvl="0">
      <w:lvlJc w:val="left"/>
      <w:lvlText w:val="1"/>
      <w:numFmt w:val="bullet"/>
      <w:start w:val="1"/>
    </w:lvl>
  </w:abstractNum>
  <w:abstractNum w:abstractNumId="102">
    <w:nsid w:val="6FDE8AF6"/>
    <w:multiLevelType w:val="hybridMultilevel"/>
    <w:lvl w:ilvl="0">
      <w:lvlJc w:val="left"/>
      <w:lvlText w:val="(%1)"/>
      <w:numFmt w:val="decimal"/>
      <w:start w:val="1"/>
    </w:lvl>
  </w:abstractNum>
  <w:abstractNum w:abstractNumId="103">
    <w:nsid w:val="3FC32E20"/>
    <w:multiLevelType w:val="hybridMultilevel"/>
    <w:lvl w:ilvl="0">
      <w:lvlJc w:val="left"/>
      <w:lvlText w:val="(%1)"/>
      <w:numFmt w:val="decimal"/>
      <w:start w:val="2"/>
    </w:lvl>
  </w:abstractNum>
  <w:abstractNum w:abstractNumId="104">
    <w:nsid w:val="49C0E823"/>
    <w:multiLevelType w:val="hybridMultilevel"/>
    <w:lvl w:ilvl="0">
      <w:lvlJc w:val="left"/>
      <w:lvlText w:val="%1"/>
      <w:numFmt w:val="lowerLetter"/>
      <w:start w:val="1"/>
    </w:lvl>
    <w:lvl w:ilvl="1">
      <w:lvlJc w:val="left"/>
      <w:lvlText w:val="(%2)"/>
      <w:numFmt w:val="decimal"/>
      <w:start w:val="1"/>
    </w:lvl>
  </w:abstractNum>
  <w:abstractNum w:abstractNumId="105">
    <w:nsid w:val="14D53685"/>
    <w:multiLevelType w:val="hybridMultilevel"/>
    <w:lvl w:ilvl="0">
      <w:lvlJc w:val="left"/>
      <w:lvlText w:val="(%1)"/>
      <w:numFmt w:val="lowerLetter"/>
      <w:start w:val="1"/>
    </w:lvl>
    <w:lvl w:ilvl="1">
      <w:lvlJc w:val="left"/>
      <w:lvlText w:val="%2"/>
      <w:numFmt w:val="decimal"/>
      <w:start w:val="1"/>
    </w:lvl>
  </w:abstractNum>
  <w:abstractNum w:abstractNumId="106">
    <w:nsid w:val="230F856C"/>
    <w:multiLevelType w:val="hybridMultilevel"/>
    <w:lvl w:ilvl="0">
      <w:lvlJc w:val="left"/>
      <w:lvlText w:val="(%1)"/>
      <w:numFmt w:val="lowerLetter"/>
      <w:start w:val="8"/>
    </w:lvl>
  </w:abstractNum>
  <w:abstractNum w:abstractNumId="107">
    <w:nsid w:val="6EAA85FB"/>
    <w:multiLevelType w:val="hybridMultilevel"/>
    <w:lvl w:ilvl="0">
      <w:lvlJc w:val="left"/>
      <w:lvlText w:val="(%1)"/>
      <w:numFmt w:val="lowerLetter"/>
      <w:start w:val="19"/>
    </w:lvl>
  </w:abstractNum>
  <w:abstractNum w:abstractNumId="108">
    <w:nsid w:val="3F06ECB2"/>
    <w:multiLevelType w:val="hybridMultilevel"/>
    <w:lvl w:ilvl="0">
      <w:lvlJc w:val="left"/>
      <w:lvlText w:val="(%1)"/>
      <w:numFmt w:val="decimal"/>
      <w:start w:val="1"/>
    </w:lvl>
  </w:abstractNum>
  <w:abstractNum w:abstractNumId="109">
    <w:nsid w:val="3B594807"/>
    <w:multiLevelType w:val="hybridMultilevel"/>
    <w:lvl w:ilvl="0">
      <w:lvlJc w:val="left"/>
      <w:lvlText w:val="(%1)"/>
      <w:numFmt w:val="decimal"/>
      <w:start w:val="1"/>
    </w:lvl>
  </w:abstractNum>
  <w:abstractNum w:abstractNumId="110">
    <w:nsid w:val="6CAA2304"/>
    <w:multiLevelType w:val="hybridMultilevel"/>
    <w:lvl w:ilvl="0">
      <w:lvlJc w:val="left"/>
      <w:lvlText w:val="(%1)"/>
      <w:numFmt w:val="decimal"/>
      <w:start w:val="3"/>
    </w:lvl>
  </w:abstractNum>
  <w:abstractNum w:abstractNumId="111">
    <w:nsid w:val="3F7C2FF4"/>
    <w:multiLevelType w:val="hybridMultilevel"/>
    <w:lvl w:ilvl="0">
      <w:lvlJc w:val="left"/>
      <w:lvlText w:val="(%1)"/>
      <w:numFmt w:val="decimal"/>
      <w:start w:val="1"/>
    </w:lvl>
  </w:abstractNum>
  <w:abstractNum w:abstractNumId="112">
    <w:nsid w:val="25413BEC"/>
    <w:multiLevelType w:val="hybridMultilevel"/>
    <w:lvl w:ilvl="0">
      <w:lvlJc w:val="left"/>
      <w:lvlText w:val="(%1)"/>
      <w:numFmt w:val="decimal"/>
      <w:start w:val="1"/>
    </w:lvl>
  </w:abstractNum>
  <w:abstractNum w:abstractNumId="113">
    <w:nsid w:val="17180B0B"/>
    <w:multiLevelType w:val="hybridMultilevel"/>
    <w:lvl w:ilvl="0">
      <w:lvlJc w:val="left"/>
      <w:lvlText w:val="(%1)"/>
      <w:numFmt w:val="decimal"/>
      <w:start w:val="2"/>
    </w:lvl>
  </w:abstractNum>
  <w:abstractNum w:abstractNumId="114">
    <w:nsid w:val="579328B9"/>
    <w:multiLevelType w:val="hybridMultilevel"/>
    <w:lvl w:ilvl="0">
      <w:lvlJc w:val="left"/>
      <w:lvlText w:val="(%1)"/>
      <w:numFmt w:val="decimal"/>
      <w:start w:val="1"/>
    </w:lvl>
  </w:abstractNum>
  <w:abstractNum w:abstractNumId="115">
    <w:nsid w:val="5D205E20"/>
    <w:multiLevelType w:val="hybridMultilevel"/>
    <w:lvl w:ilvl="0">
      <w:lvlJc w:val="left"/>
      <w:lvlText w:val="%1"/>
      <w:numFmt w:val="lowerLetter"/>
      <w:start w:val="1"/>
    </w:lvl>
    <w:lvl w:ilvl="1">
      <w:lvlJc w:val="left"/>
      <w:lvlText w:val="(%2)"/>
      <w:numFmt w:val="decimal"/>
      <w:start w:val="1"/>
    </w:lvl>
  </w:abstractNum>
  <w:abstractNum w:abstractNumId="116">
    <w:nsid w:val="11CCA8BA"/>
    <w:multiLevelType w:val="hybridMultilevel"/>
    <w:lvl w:ilvl="0">
      <w:lvlJc w:val="left"/>
      <w:lvlText w:val="(%1)"/>
      <w:numFmt w:val="lowerLetter"/>
      <w:start w:val="1"/>
    </w:lvl>
    <w:lvl w:ilvl="1">
      <w:lvlJc w:val="left"/>
      <w:lvlText w:val="(%2)"/>
      <w:numFmt w:val="decimal"/>
      <w:start w:val="2"/>
    </w:lvl>
  </w:abstractNum>
  <w:abstractNum w:abstractNumId="117">
    <w:nsid w:val="4D32AB86"/>
    <w:multiLevelType w:val="hybridMultilevel"/>
    <w:lvl w:ilvl="0">
      <w:lvlJc w:val="left"/>
      <w:lvlText w:val="(%1)"/>
      <w:numFmt w:val="decimal"/>
      <w:start w:val="1"/>
    </w:lvl>
  </w:abstractNum>
  <w:abstractNum w:abstractNumId="118">
    <w:nsid w:val="3F07ACC3"/>
    <w:multiLevelType w:val="hybridMultilevel"/>
    <w:lvl w:ilvl="0">
      <w:lvlJc w:val="left"/>
      <w:lvlText w:val="(%1)"/>
      <w:numFmt w:val="decimal"/>
      <w:start w:val="1"/>
    </w:lvl>
  </w:abstractNum>
  <w:abstractNum w:abstractNumId="119">
    <w:nsid w:val="6B47F63E"/>
    <w:multiLevelType w:val="hybridMultilevel"/>
    <w:lvl w:ilvl="0">
      <w:lvlJc w:val="left"/>
      <w:lvlText w:val="(%1)"/>
      <w:numFmt w:val="decimal"/>
      <w:start w:val="2"/>
    </w:lvl>
  </w:abstractNum>
  <w:abstractNum w:abstractNumId="120">
    <w:nsid w:val="5CB44A05"/>
    <w:multiLevelType w:val="hybridMultilevel"/>
    <w:lvl w:ilvl="0">
      <w:lvlJc w:val="left"/>
      <w:lvlText w:val="(%1)"/>
      <w:numFmt w:val="decimal"/>
      <w:start w:val="1"/>
    </w:lvl>
  </w:abstractNum>
  <w:abstractNum w:abstractNumId="121">
    <w:nsid w:val="16CF80F1"/>
    <w:multiLevelType w:val="hybridMultilevel"/>
    <w:lvl w:ilvl="0">
      <w:lvlJc w:val="left"/>
      <w:lvlText w:val="%1"/>
      <w:numFmt w:val="lowerLetter"/>
      <w:start w:val="1"/>
    </w:lvl>
    <w:lvl w:ilvl="1">
      <w:lvlJc w:val="left"/>
      <w:lvlText w:val="(%2)"/>
      <w:numFmt w:val="decimal"/>
      <w:start w:val="1"/>
    </w:lvl>
  </w:abstractNum>
  <w:abstractNum w:abstractNumId="122">
    <w:nsid w:val="1C695DEC"/>
    <w:multiLevelType w:val="hybridMultilevel"/>
    <w:lvl w:ilvl="0">
      <w:lvlJc w:val="left"/>
      <w:lvlText w:val="(%1)"/>
      <w:numFmt w:val="lowerLetter"/>
      <w:start w:val="1"/>
    </w:lvl>
    <w:lvl w:ilvl="1">
      <w:lvlJc w:val="left"/>
      <w:lvlText w:val="%2"/>
      <w:numFmt w:val="decimal"/>
      <w:start w:val="1"/>
    </w:lvl>
  </w:abstractNum>
  <w:abstractNum w:abstractNumId="123">
    <w:nsid w:val="3FCFAED9"/>
    <w:multiLevelType w:val="hybridMultilevel"/>
    <w:lvl w:ilvl="0">
      <w:lvlJc w:val="left"/>
      <w:lvlText w:val="%1"/>
      <w:numFmt w:val="decimal"/>
      <w:start w:val="1"/>
    </w:lvl>
    <w:lvl w:ilvl="1">
      <w:lvlJc w:val="left"/>
      <w:lvlText w:val="(%2)"/>
      <w:numFmt w:val="lowerLetter"/>
      <w:start w:val="4"/>
    </w:lvl>
    <w:lvl w:ilvl="2">
      <w:lvlJc w:val="left"/>
      <w:lvlText w:val="(%3)"/>
      <w:numFmt w:val="decimal"/>
      <w:start w:val="2"/>
    </w:lvl>
  </w:abstractNum>
  <w:abstractNum w:abstractNumId="124">
    <w:nsid w:val="F856867"/>
    <w:multiLevelType w:val="hybridMultilevel"/>
    <w:lvl w:ilvl="0">
      <w:lvlJc w:val="left"/>
      <w:lvlText w:val="(%1)"/>
      <w:numFmt w:val="decimal"/>
      <w:start w:val="4"/>
    </w:lvl>
    <w:lvl w:ilvl="1">
      <w:lvlJc w:val="left"/>
      <w:lvlText w:val="%2"/>
      <w:numFmt w:val="lowerLetter"/>
      <w:start w:val="1"/>
    </w:lvl>
    <w:lvl w:ilvl="2">
      <w:lvlJc w:val="left"/>
      <w:lvlText w:val="(%3)"/>
      <w:numFmt w:val="decimal"/>
      <w:start w:val="3"/>
    </w:lvl>
  </w:abstractNum>
  <w:abstractNum w:abstractNumId="125">
    <w:nsid w:val="11B1CC33"/>
    <w:multiLevelType w:val="hybridMultilevel"/>
    <w:lvl w:ilvl="0">
      <w:lvlJc w:val="left"/>
      <w:lvlText w:val="(%1)"/>
      <w:numFmt w:val="decimal"/>
      <w:start w:val="4"/>
    </w:lvl>
  </w:abstractNum>
  <w:abstractNum w:abstractNumId="126">
    <w:nsid w:val="2E22FBB7"/>
    <w:multiLevelType w:val="hybridMultilevel"/>
    <w:lvl w:ilvl="0">
      <w:lvlJc w:val="left"/>
      <w:lvlText w:val="(%1)"/>
      <w:numFmt w:val="decimal"/>
      <w:start w:val="1"/>
    </w:lvl>
  </w:abstractNum>
  <w:abstractNum w:abstractNumId="127">
    <w:nsid w:val="29934699"/>
    <w:multiLevelType w:val="hybridMultilevel"/>
    <w:lvl w:ilvl="0">
      <w:lvlJc w:val="left"/>
      <w:lvlText w:val="(%1)"/>
      <w:numFmt w:val="decimal"/>
      <w:start w:val="2"/>
    </w:lvl>
  </w:abstractNum>
  <w:abstractNum w:abstractNumId="128">
    <w:nsid w:val="77485850"/>
    <w:multiLevelType w:val="hybridMultilevel"/>
    <w:lvl w:ilvl="0">
      <w:lvlJc w:val="left"/>
      <w:lvlText w:val="(%1)"/>
      <w:numFmt w:val="decimal"/>
      <w:start w:val="1"/>
    </w:lvl>
  </w:abstractNum>
  <w:abstractNum w:abstractNumId="129">
    <w:nsid w:val="744939A3"/>
    <w:multiLevelType w:val="hybridMultilevel"/>
    <w:lvl w:ilvl="0">
      <w:lvlJc w:val="left"/>
      <w:lvlText w:val="(%1)"/>
      <w:numFmt w:val="decimal"/>
      <w:start w:val="1"/>
    </w:lvl>
  </w:abstractNum>
  <w:abstractNum w:abstractNumId="130">
    <w:nsid w:val="4FA0D2E3"/>
    <w:multiLevelType w:val="hybridMultilevel"/>
    <w:lvl w:ilvl="0">
      <w:lvlJc w:val="left"/>
      <w:lvlText w:val="(%1)"/>
      <w:numFmt w:val="lowerLetter"/>
      <w:start w:val="1"/>
    </w:lvl>
    <w:lvl w:ilvl="1">
      <w:lvlJc w:val="left"/>
      <w:lvlText w:val="(%2)"/>
      <w:numFmt w:val="upperLetter"/>
      <w:start w:val="1"/>
    </w:lvl>
  </w:abstractNum>
  <w:abstractNum w:abstractNumId="131">
    <w:nsid w:val="6B1D2C14"/>
    <w:multiLevelType w:val="hybridMultilevel"/>
    <w:lvl w:ilvl="0">
      <w:lvlJc w:val="left"/>
      <w:lvlText w:val="(%1)"/>
      <w:numFmt w:val="decimal"/>
      <w:start w:val="1"/>
    </w:lvl>
  </w:abstractNum>
  <w:abstractNum w:abstractNumId="132">
    <w:nsid w:val="68B867D3"/>
    <w:multiLevelType w:val="hybridMultilevel"/>
    <w:lvl w:ilvl="0">
      <w:lvlJc w:val="left"/>
      <w:lvlText w:val="(%1)"/>
      <w:numFmt w:val="decimal"/>
      <w:start w:val="5"/>
    </w:lvl>
  </w:abstractNum>
  <w:abstractNum w:abstractNumId="133">
    <w:nsid w:val="3F7F5DD9"/>
    <w:multiLevelType w:val="hybridMultilevel"/>
    <w:lvl w:ilvl="0">
      <w:lvlJc w:val="left"/>
      <w:lvlText w:val="(%1)"/>
      <w:numFmt w:val="decimal"/>
      <w:start w:val="1"/>
    </w:lvl>
  </w:abstractNum>
  <w:abstractNum w:abstractNumId="134">
    <w:nsid w:val="2AE05A34"/>
    <w:multiLevelType w:val="hybridMultilevel"/>
    <w:lvl w:ilvl="0">
      <w:lvlJc w:val="left"/>
      <w:lvlText w:val="(%1)"/>
      <w:numFmt w:val="decimal"/>
      <w:start w:val="1"/>
    </w:lvl>
  </w:abstractNum>
  <w:abstractNum w:abstractNumId="135">
    <w:nsid w:val="32794FF7"/>
    <w:multiLevelType w:val="hybridMultilevel"/>
    <w:lvl w:ilvl="0">
      <w:lvlJc w:val="left"/>
      <w:lvlText w:val="(%1)"/>
      <w:numFmt w:val="decimal"/>
      <w:start w:val="1"/>
    </w:lvl>
  </w:abstractNum>
  <w:abstractNum w:abstractNumId="136">
    <w:nsid w:val="5454945E"/>
    <w:multiLevelType w:val="hybridMultilevel"/>
    <w:lvl w:ilvl="0">
      <w:lvlJc w:val="left"/>
      <w:lvlText w:val="(%1)"/>
      <w:numFmt w:val="lowerLetter"/>
      <w:start w:val="1"/>
    </w:lvl>
    <w:lvl w:ilvl="1">
      <w:lvlJc w:val="left"/>
      <w:lvlText w:val="(%2)"/>
      <w:numFmt w:val="decimal"/>
      <w:start w:val="3"/>
    </w:lvl>
  </w:abstractNum>
  <w:abstractNum w:abstractNumId="137">
    <w:nsid w:val="4DEFDFA0"/>
    <w:multiLevelType w:val="hybridMultilevel"/>
    <w:lvl w:ilvl="0">
      <w:lvlJc w:val="left"/>
      <w:lvlText w:val="(%1)"/>
      <w:numFmt w:val="decimal"/>
      <w:start w:val="1"/>
    </w:lvl>
  </w:abstractNum>
  <w:abstractNum w:abstractNumId="138">
    <w:nsid w:val="2123D5F2"/>
    <w:multiLevelType w:val="hybridMultilevel"/>
    <w:lvl w:ilvl="0">
      <w:lvlJc w:val="left"/>
      <w:lvlText w:val="(%1)"/>
      <w:numFmt w:val="decimal"/>
      <w:start w:val="3"/>
    </w:lvl>
  </w:abstractNum>
  <w:abstractNum w:abstractNumId="139">
    <w:nsid w:val="135B8110"/>
    <w:multiLevelType w:val="hybridMultilevel"/>
    <w:lvl w:ilvl="0">
      <w:lvlJc w:val="left"/>
      <w:lvlText w:val="(%1)"/>
      <w:numFmt w:val="decimal"/>
      <w:start w:val="1"/>
    </w:lvl>
  </w:abstractNum>
  <w:abstractNum w:abstractNumId="140">
    <w:nsid w:val="94927A8"/>
    <w:multiLevelType w:val="hybridMultilevel"/>
    <w:lvl w:ilvl="0">
      <w:lvlJc w:val="left"/>
      <w:lvlText w:val="(%1)"/>
      <w:numFmt w:val="decimal"/>
      <w:start w:val="5"/>
    </w:lvl>
  </w:abstractNum>
  <w:abstractNum w:abstractNumId="141">
    <w:nsid w:val="DCDF8F6"/>
    <w:multiLevelType w:val="hybridMultilevel"/>
    <w:lvl w:ilvl="0">
      <w:lvlJc w:val="left"/>
      <w:lvlText w:val="(%1)"/>
      <w:numFmt w:val="decimal"/>
      <w:start w:val="8"/>
    </w:lvl>
  </w:abstractNum>
  <w:abstractNum w:abstractNumId="142">
    <w:nsid w:val="52D7B105"/>
    <w:multiLevelType w:val="hybridMultilevel"/>
    <w:lvl w:ilvl="0">
      <w:lvlJc w:val="left"/>
      <w:lvlText w:val="(%1)"/>
      <w:numFmt w:val="lowerLetter"/>
      <w:start w:val="2"/>
    </w:lvl>
  </w:abstractNum>
  <w:abstractNum w:abstractNumId="143">
    <w:nsid w:val="2E8A6394"/>
    <w:multiLevelType w:val="hybridMultilevel"/>
    <w:lvl w:ilvl="0">
      <w:lvlJc w:val="left"/>
      <w:lvlText w:val="(%1)"/>
      <w:numFmt w:val="decimal"/>
      <w:start w:val="1"/>
    </w:lvl>
  </w:abstractNum>
  <w:abstractNum w:abstractNumId="144">
    <w:nsid w:val="24E60401"/>
    <w:multiLevelType w:val="hybridMultilevel"/>
    <w:lvl w:ilvl="0">
      <w:lvlJc w:val="left"/>
      <w:lvlText w:val="(%1)"/>
      <w:numFmt w:val="lowerLetter"/>
      <w:start w:val="2"/>
    </w:lvl>
  </w:abstractNum>
  <w:abstractNum w:abstractNumId="145">
    <w:nsid w:val="2A6AD9BE"/>
    <w:multiLevelType w:val="hybridMultilevel"/>
    <w:lvl w:ilvl="0">
      <w:lvlJc w:val="left"/>
      <w:lvlText w:val="(%1)"/>
      <w:numFmt w:val="decimal"/>
      <w:start w:val="1"/>
    </w:lvl>
  </w:abstractNum>
  <w:abstractNum w:abstractNumId="146">
    <w:nsid w:val="BAAC1B4"/>
    <w:multiLevelType w:val="hybridMultilevel"/>
    <w:lvl w:ilvl="0">
      <w:lvlJc w:val="left"/>
      <w:lvlText w:val="(%1)"/>
      <w:numFmt w:val="decimal"/>
      <w:start w:val="2"/>
    </w:lvl>
  </w:abstractNum>
  <w:abstractNum w:abstractNumId="147">
    <w:nsid w:val="36B2ACBC"/>
    <w:multiLevelType w:val="hybridMultilevel"/>
    <w:lvl w:ilvl="0">
      <w:lvlJc w:val="left"/>
      <w:lvlText w:val="2"/>
      <w:numFmt w:val="bullet"/>
      <w:start w:val="1"/>
    </w:lvl>
  </w:abstractNum>
  <w:abstractNum w:abstractNumId="148">
    <w:nsid w:val="779D8544"/>
    <w:multiLevelType w:val="hybridMultilevel"/>
    <w:lvl w:ilvl="0">
      <w:lvlJc w:val="left"/>
      <w:lvlText w:val="1"/>
      <w:numFmt w:val="bullet"/>
      <w:start w:val="1"/>
    </w:lvl>
  </w:abstractNum>
  <w:abstractNum w:abstractNumId="149">
    <w:nsid w:val="4AB26E78"/>
    <w:multiLevelType w:val="hybridMultilevel"/>
    <w:lvl w:ilvl="0">
      <w:lvlJc w:val="left"/>
      <w:lvlText w:val="(%1)"/>
      <w:numFmt w:val="decimal"/>
      <w:start w:val="1"/>
    </w:lvl>
  </w:abstractNum>
  <w:abstractNum w:abstractNumId="150">
    <w:nsid w:val="21FAA2FA"/>
    <w:multiLevelType w:val="hybridMultilevel"/>
    <w:lvl w:ilvl="0">
      <w:lvlJc w:val="left"/>
      <w:lvlText w:val="(%1)"/>
      <w:numFmt w:val="decimal"/>
      <w:start w:val="2"/>
    </w:lvl>
  </w:abstractNum>
  <w:abstractNum w:abstractNumId="151">
    <w:nsid w:val="5451CF49"/>
    <w:multiLevelType w:val="hybridMultilevel"/>
    <w:lvl w:ilvl="0">
      <w:lvlJc w:val="left"/>
      <w:lvlText w:val="(%1)"/>
      <w:numFmt w:val="decimal"/>
      <w:start w:val="1"/>
    </w:lvl>
    <w:lvl w:ilvl="1">
      <w:lvlJc w:val="left"/>
      <w:lvlText w:val="(%2)"/>
      <w:numFmt w:val="lowerLetter"/>
      <w:start w:val="1"/>
    </w:lvl>
  </w:abstractNum>
  <w:abstractNum w:abstractNumId="152">
    <w:nsid w:val="6181EF69"/>
    <w:multiLevelType w:val="hybridMultilevel"/>
    <w:lvl w:ilvl="0">
      <w:lvlJc w:val="left"/>
      <w:lvlText w:val="(%1)"/>
      <w:numFmt w:val="lowerLetter"/>
      <w:start w:val="8"/>
    </w:lvl>
  </w:abstractNum>
  <w:abstractNum w:abstractNumId="153">
    <w:nsid w:val="3E6400E6"/>
    <w:multiLevelType w:val="hybridMultilevel"/>
    <w:lvl w:ilvl="0">
      <w:lvlJc w:val="left"/>
      <w:lvlText w:val="(%1)"/>
      <w:numFmt w:val="lowerLetter"/>
      <w:start w:val="19"/>
    </w:lvl>
  </w:abstractNum>
  <w:abstractNum w:abstractNumId="154">
    <w:nsid w:val="14217E23"/>
    <w:multiLevelType w:val="hybridMultilevel"/>
    <w:lvl w:ilvl="0">
      <w:lvlJc w:val="left"/>
      <w:lvlText w:val="(%1)"/>
      <w:numFmt w:val="decimal"/>
      <w:start w:val="1"/>
    </w:lvl>
  </w:abstractNum>
  <w:abstractNum w:abstractNumId="155">
    <w:nsid w:val="710757D0"/>
    <w:multiLevelType w:val="hybridMultilevel"/>
    <w:lvl w:ilvl="0">
      <w:lvlJc w:val="left"/>
      <w:lvlText w:val="(%1)"/>
      <w:numFmt w:val="decimal"/>
      <w:start w:val="1"/>
    </w:lvl>
  </w:abstractNum>
  <w:abstractNum w:abstractNumId="156">
    <w:nsid w:val="5015CD1A"/>
    <w:multiLevelType w:val="hybridMultilevel"/>
    <w:lvl w:ilvl="0">
      <w:lvlJc w:val="left"/>
      <w:lvlText w:val="(%1)"/>
      <w:numFmt w:val="decimal"/>
      <w:start w:val="3"/>
    </w:lvl>
  </w:abstractNum>
  <w:abstractNum w:abstractNumId="157">
    <w:nsid w:val="424479DA"/>
    <w:multiLevelType w:val="hybridMultilevel"/>
    <w:lvl w:ilvl="0">
      <w:lvlJc w:val="left"/>
      <w:lvlText w:val="(%1)"/>
      <w:numFmt w:val="decimal"/>
      <w:start w:val="1"/>
    </w:lvl>
  </w:abstractNum>
  <w:abstractNum w:abstractNumId="158">
    <w:nsid w:val="1A9A9E69"/>
    <w:multiLevelType w:val="hybridMultilevel"/>
    <w:lvl w:ilvl="0">
      <w:lvlJc w:val="left"/>
      <w:lvlText w:val="(%1)"/>
      <w:numFmt w:val="decimal"/>
      <w:start w:val="1"/>
    </w:lvl>
  </w:abstractNum>
  <w:abstractNum w:abstractNumId="159">
    <w:nsid w:val="475E256A"/>
    <w:multiLevelType w:val="hybridMultilevel"/>
    <w:lvl w:ilvl="0">
      <w:lvlJc w:val="left"/>
      <w:lvlText w:val="(%1)"/>
      <w:numFmt w:val="decimal"/>
      <w:start w:val="2"/>
    </w:lvl>
  </w:abstractNum>
  <w:abstractNum w:abstractNumId="160">
    <w:nsid w:val="368DB37E"/>
    <w:multiLevelType w:val="hybridMultilevel"/>
    <w:lvl w:ilvl="0">
      <w:lvlJc w:val="left"/>
      <w:lvlText w:val="(%1)"/>
      <w:numFmt w:val="decimal"/>
      <w:start w:val="1"/>
    </w:lvl>
  </w:abstractNum>
  <w:abstractNum w:abstractNumId="161">
    <w:nsid w:val="6A3B714C"/>
    <w:multiLevelType w:val="hybridMultilevel"/>
    <w:lvl w:ilvl="0">
      <w:lvlJc w:val="left"/>
      <w:lvlText w:val="(%1)"/>
      <w:numFmt w:val="decimal"/>
      <w:start w:val="2"/>
    </w:lvl>
  </w:abstractNum>
  <w:abstractNum w:abstractNumId="162">
    <w:nsid w:val="327B517E"/>
    <w:multiLevelType w:val="hybridMultilevel"/>
    <w:lvl w:ilvl="0">
      <w:lvlJc w:val="left"/>
      <w:lvlText w:val="(%1)"/>
      <w:numFmt w:val="decimal"/>
      <w:start w:val="1"/>
    </w:lvl>
    <w:lvl w:ilvl="1">
      <w:lvlJc w:val="left"/>
      <w:lvlText w:val="(%2)"/>
      <w:numFmt w:val="lowerLetter"/>
      <w:start w:val="1"/>
    </w:lvl>
  </w:abstractNum>
  <w:abstractNum w:abstractNumId="163">
    <w:nsid w:val="1F461B51"/>
    <w:multiLevelType w:val="hybridMultilevel"/>
    <w:lvl w:ilvl="0">
      <w:lvlJc w:val="left"/>
      <w:lvlText w:val="(%1)"/>
      <w:numFmt w:val="decimal"/>
      <w:start w:val="1"/>
    </w:lvl>
  </w:abstractNum>
  <w:abstractNum w:abstractNumId="164">
    <w:nsid w:val="29BACF25"/>
    <w:multiLevelType w:val="hybridMultilevel"/>
    <w:lvl w:ilvl="0">
      <w:lvlJc w:val="left"/>
      <w:lvlText w:val="(%1)"/>
      <w:numFmt w:val="decimal"/>
      <w:start w:val="1"/>
    </w:lvl>
  </w:abstractNum>
  <w:abstractNum w:abstractNumId="165">
    <w:nsid w:val="5D5BABB3"/>
    <w:multiLevelType w:val="hybridMultilevel"/>
    <w:lvl w:ilvl="0">
      <w:lvlJc w:val="left"/>
      <w:lvlText w:val="(%1)"/>
      <w:numFmt w:val="decimal"/>
      <w:start w:val="2"/>
    </w:lvl>
  </w:abstractNum>
  <w:abstractNum w:abstractNumId="166">
    <w:nsid w:val="51BF6B48"/>
    <w:multiLevelType w:val="hybridMultilevel"/>
    <w:lvl w:ilvl="0">
      <w:lvlJc w:val="left"/>
      <w:lvlText w:val="%1"/>
      <w:numFmt w:val="decimal"/>
      <w:start w:val="1"/>
    </w:lvl>
    <w:lvl w:ilvl="1">
      <w:lvlJc w:val="left"/>
      <w:lvlText w:val="(%2)"/>
      <w:numFmt w:val="decimal"/>
      <w:start w:val="1"/>
    </w:lvl>
  </w:abstractNum>
  <w:abstractNum w:abstractNumId="167">
    <w:nsid w:val="7E0F6384"/>
    <w:multiLevelType w:val="hybridMultilevel"/>
    <w:lvl w:ilvl="0">
      <w:lvlJc w:val="left"/>
      <w:lvlText w:val="(%1)"/>
      <w:numFmt w:val="decimal"/>
      <w:start w:val="3"/>
    </w:lvl>
    <w:lvl w:ilvl="1">
      <w:lvlJc w:val="left"/>
      <w:lvlText w:val="%2"/>
      <w:numFmt w:val="decimal"/>
      <w:start w:val="1"/>
    </w:lvl>
  </w:abstractNum>
  <w:abstractNum w:abstractNumId="168">
    <w:nsid w:val="2B4B8B53"/>
    <w:multiLevelType w:val="hybridMultilevel"/>
    <w:lvl w:ilvl="0">
      <w:lvlJc w:val="left"/>
      <w:lvlText w:val="(%1)"/>
      <w:numFmt w:val="decimal"/>
      <w:start w:val="1"/>
    </w:lvl>
    <w:lvl w:ilvl="1">
      <w:lvlJc w:val="left"/>
      <w:lvlText w:val="(%2)"/>
      <w:numFmt w:val="lowerLetter"/>
      <w:start w:val="1"/>
    </w:lvl>
  </w:abstractNum>
  <w:abstractNum w:abstractNumId="169">
    <w:nsid w:val="72E3413A"/>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170">
    <w:nsid w:val="116AE494"/>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171">
    <w:nsid w:val="3494B2FB"/>
    <w:multiLevelType w:val="hybridMultilevel"/>
    <w:lvl w:ilvl="0">
      <w:lvlJc w:val="left"/>
      <w:lvlText w:val="(%1)"/>
      <w:numFmt w:val="decimal"/>
      <w:start w:val="4"/>
    </w:lvl>
    <w:lvl w:ilvl="1">
      <w:lvlJc w:val="left"/>
      <w:lvlText w:val="(%2)"/>
      <w:numFmt w:val="decimal"/>
      <w:start w:val="3"/>
    </w:lvl>
    <w:lvl w:ilvl="2">
      <w:lvlJc w:val="left"/>
      <w:lvlText w:val="%3"/>
      <w:numFmt w:val="lowerLetter"/>
      <w:start w:val="1"/>
    </w:lvl>
  </w:abstractNum>
  <w:abstractNum w:abstractNumId="172">
    <w:nsid w:val="B13A31"/>
    <w:multiLevelType w:val="hybridMultilevel"/>
    <w:lvl w:ilvl="0">
      <w:lvlJc w:val="left"/>
      <w:lvlText w:val="(%1)"/>
      <w:numFmt w:val="decimal"/>
      <w:start w:val="4"/>
    </w:lvl>
  </w:abstractNum>
  <w:abstractNum w:abstractNumId="173">
    <w:nsid w:val="64429599"/>
    <w:multiLevelType w:val="hybridMultilevel"/>
    <w:lvl w:ilvl="0">
      <w:lvlJc w:val="left"/>
      <w:lvlText w:val="(%1)"/>
      <w:numFmt w:val="decimal"/>
      <w:start w:val="1"/>
    </w:lvl>
  </w:abstractNum>
  <w:abstractNum w:abstractNumId="174">
    <w:nsid w:val="631F1690"/>
    <w:multiLevelType w:val="hybridMultilevel"/>
    <w:lvl w:ilvl="0">
      <w:lvlJc w:val="left"/>
      <w:lvlText w:val="(%1)"/>
      <w:numFmt w:val="decimal"/>
      <w:start w:val="2"/>
    </w:lvl>
  </w:abstractNum>
  <w:abstractNum w:abstractNumId="175">
    <w:nsid w:val="25973E32"/>
    <w:multiLevelType w:val="hybridMultilevel"/>
    <w:lvl w:ilvl="0">
      <w:lvlJc w:val="left"/>
      <w:lvlText w:val="(%1)"/>
      <w:numFmt w:val="decimal"/>
      <w:start w:val="1"/>
    </w:lvl>
  </w:abstractNum>
  <w:abstractNum w:abstractNumId="176">
    <w:nsid w:val="EAD6F57"/>
    <w:multiLevelType w:val="hybridMultilevel"/>
    <w:lvl w:ilvl="0">
      <w:lvlJc w:val="left"/>
      <w:lvlText w:val="(%1)"/>
      <w:numFmt w:val="decimal"/>
      <w:start w:val="1"/>
    </w:lvl>
  </w:abstractNum>
  <w:abstractNum w:abstractNumId="177">
    <w:nsid w:val="6EC9D844"/>
    <w:multiLevelType w:val="hybridMultilevel"/>
    <w:lvl w:ilvl="0">
      <w:lvlJc w:val="left"/>
      <w:lvlText w:val="(%1)"/>
      <w:numFmt w:val="lowerLetter"/>
      <w:start w:val="1"/>
    </w:lvl>
    <w:lvl w:ilvl="1">
      <w:lvlJc w:val="left"/>
      <w:lvlText w:val="(%2)"/>
      <w:numFmt w:val="upperLetter"/>
      <w:start w:val="1"/>
    </w:lvl>
  </w:abstractNum>
  <w:abstractNum w:abstractNumId="178">
    <w:nsid w:val="5C49EAEE"/>
    <w:multiLevelType w:val="hybridMultilevel"/>
    <w:lvl w:ilvl="0">
      <w:lvlJc w:val="left"/>
      <w:lvlText w:val="(%1)"/>
      <w:numFmt w:val="decimal"/>
      <w:start w:val="1"/>
    </w:lvl>
  </w:abstractNum>
  <w:abstractNum w:abstractNumId="179">
    <w:nsid w:val="64AF49B"/>
    <w:multiLevelType w:val="hybridMultilevel"/>
    <w:lvl w:ilvl="0">
      <w:lvlJc w:val="left"/>
      <w:lvlText w:val="(%1)"/>
      <w:numFmt w:val="decimal"/>
      <w:start w:val="5"/>
    </w:lvl>
  </w:abstractNum>
  <w:abstractNum w:abstractNumId="180">
    <w:nsid w:val="397C46BC"/>
    <w:multiLevelType w:val="hybridMultilevel"/>
    <w:lvl w:ilvl="0">
      <w:lvlJc w:val="left"/>
      <w:lvlText w:val="(%1)"/>
      <w:numFmt w:val="decimal"/>
      <w:start w:val="1"/>
    </w:lvl>
  </w:abstractNum>
  <w:abstractNum w:abstractNumId="181">
    <w:nsid w:val="7E448DE9"/>
    <w:multiLevelType w:val="hybridMultilevel"/>
    <w:lvl w:ilvl="0">
      <w:lvlJc w:val="left"/>
      <w:lvlText w:val="(%1)"/>
      <w:numFmt w:val="decimal"/>
      <w:start w:val="1"/>
    </w:lvl>
  </w:abstractNum>
  <w:abstractNum w:abstractNumId="182">
    <w:nsid w:val="5A9CC3E5"/>
    <w:multiLevelType w:val="hybridMultilevel"/>
    <w:lvl w:ilvl="0">
      <w:lvlJc w:val="left"/>
      <w:lvlText w:val="(%1)"/>
      <w:numFmt w:val="decimal"/>
      <w:start w:val="1"/>
    </w:lvl>
    <w:lvl w:ilvl="1">
      <w:lvlJc w:val="left"/>
      <w:lvlText w:val="(%2)"/>
      <w:numFmt w:val="lowerLetter"/>
      <w:start w:val="1"/>
    </w:lvl>
  </w:abstractNum>
  <w:abstractNum w:abstractNumId="183">
    <w:nsid w:val="1AFE3625"/>
    <w:multiLevelType w:val="hybridMultilevel"/>
    <w:lvl w:ilvl="0">
      <w:lvlJc w:val="left"/>
      <w:lvlText w:val="(%1)"/>
      <w:numFmt w:val="lowerLetter"/>
      <w:start w:val="2"/>
    </w:lvl>
  </w:abstractNum>
  <w:abstractNum w:abstractNumId="184">
    <w:nsid w:val="3CA88ECF"/>
    <w:multiLevelType w:val="hybridMultilevel"/>
    <w:lvl w:ilvl="0">
      <w:lvlJc w:val="left"/>
      <w:lvlText w:val="(%1)"/>
      <w:numFmt w:val="decimal"/>
      <w:start w:val="3"/>
    </w:lvl>
  </w:abstractNum>
  <w:abstractNum w:abstractNumId="185">
    <w:nsid w:val="6EBE4208"/>
    <w:multiLevelType w:val="hybridMultilevel"/>
    <w:lvl w:ilvl="0">
      <w:lvlJc w:val="left"/>
      <w:lvlText w:val="(%1)"/>
      <w:numFmt w:val="decimal"/>
      <w:start w:val="1"/>
    </w:lvl>
  </w:abstractNum>
  <w:abstractNum w:abstractNumId="186">
    <w:nsid w:val="C058DF5"/>
    <w:multiLevelType w:val="hybridMultilevel"/>
    <w:lvl w:ilvl="0">
      <w:lvlJc w:val="left"/>
      <w:lvlText w:val="(%1)"/>
      <w:numFmt w:val="decimal"/>
      <w:start w:val="3"/>
    </w:lvl>
  </w:abstractNum>
  <w:abstractNum w:abstractNumId="187">
    <w:nsid w:val="CBE5BE9"/>
    <w:multiLevelType w:val="hybridMultilevel"/>
    <w:lvl w:ilvl="0">
      <w:lvlJc w:val="left"/>
      <w:lvlText w:val="(%1)"/>
      <w:numFmt w:val="decimal"/>
      <w:start w:val="1"/>
    </w:lvl>
  </w:abstractNum>
  <w:abstractNum w:abstractNumId="188">
    <w:nsid w:val="3102BBE2"/>
    <w:multiLevelType w:val="hybridMultilevel"/>
    <w:lvl w:ilvl="0">
      <w:lvlJc w:val="left"/>
      <w:lvlText w:val="(%1)"/>
      <w:numFmt w:val="decimal"/>
      <w:start w:val="7"/>
    </w:lvl>
  </w:abstractNum>
  <w:abstractNum w:abstractNumId="189">
    <w:nsid w:val="26A02C5E"/>
    <w:multiLevelType w:val="hybridMultilevel"/>
    <w:lvl w:ilvl="0">
      <w:lvlJc w:val="left"/>
      <w:lvlText w:val="(%1)"/>
      <w:numFmt w:val="decimal"/>
      <w:start w:val="8"/>
    </w:lvl>
  </w:abstractNum>
  <w:abstractNum w:abstractNumId="190">
    <w:nsid w:val="541C8153"/>
    <w:multiLevelType w:val="hybridMultilevel"/>
    <w:lvl w:ilvl="0">
      <w:lvlJc w:val="left"/>
      <w:lvlText w:val="(%1)"/>
      <w:numFmt w:val="lowerLetter"/>
      <w:start w:val="2"/>
    </w:lvl>
  </w:abstractNum>
  <w:abstractNum w:abstractNumId="191">
    <w:nsid w:val="67906F60"/>
    <w:multiLevelType w:val="hybridMultilevel"/>
    <w:lvl w:ilvl="0">
      <w:lvlJc w:val="left"/>
      <w:lvlText w:val="(%1)"/>
      <w:numFmt w:val="decimal"/>
      <w:start w:val="1"/>
    </w:lvl>
  </w:abstractNum>
  <w:abstractNum w:abstractNumId="192">
    <w:nsid w:val="10DB9DAA"/>
    <w:multiLevelType w:val="hybridMultilevel"/>
    <w:lvl w:ilvl="0">
      <w:lvlJc w:val="left"/>
      <w:lvlText w:val="(%1)"/>
      <w:numFmt w:val="lowerLetter"/>
      <w:start w:val="2"/>
    </w:lvl>
  </w:abstractNum>
  <w:abstractNum w:abstractNumId="193">
    <w:nsid w:val="697D2D2"/>
    <w:multiLevelType w:val="hybridMultilevel"/>
    <w:lvl w:ilvl="0">
      <w:lvlJc w:val="left"/>
      <w:lvlText w:val="(%1)"/>
      <w:numFmt w:val="decimal"/>
      <w:start w:val="1"/>
    </w:lvl>
  </w:abstractNum>
  <w:abstractNum w:abstractNumId="194">
    <w:nsid w:val="6D68AB2"/>
    <w:multiLevelType w:val="hybridMultilevel"/>
    <w:lvl w:ilvl="0">
      <w:lvlJc w:val="left"/>
      <w:lvlText w:val="(%1)"/>
      <w:numFmt w:val="decimal"/>
      <w:start w:val="2"/>
    </w:lvl>
  </w:abstractNum>
  <w:abstractNum w:abstractNumId="195">
    <w:nsid w:val="3A966CD0"/>
    <w:multiLevelType w:val="hybridMultilevel"/>
    <w:lvl w:ilvl="0">
      <w:lvlJc w:val="left"/>
      <w:lvlText w:val="2"/>
      <w:numFmt w:val="bullet"/>
      <w:start w:val="1"/>
    </w:lvl>
  </w:abstractNum>
  <w:abstractNum w:abstractNumId="196">
    <w:nsid w:val="63F37E85"/>
    <w:multiLevelType w:val="hybridMultilevel"/>
    <w:lvl w:ilvl="0">
      <w:lvlJc w:val="left"/>
      <w:lvlText w:val="•"/>
      <w:numFmt w:val="bullet"/>
      <w:start w:val="1"/>
    </w:lvl>
  </w:abstractNum>
  <w:abstractNum w:abstractNumId="197">
    <w:nsid w:val="5895F5FA"/>
    <w:multiLevelType w:val="hybridMultilevel"/>
    <w:lvl w:ilvl="0">
      <w:lvlJc w:val="left"/>
      <w:lvlText w:val="•"/>
      <w:numFmt w:val="bullet"/>
      <w:start w:val="1"/>
    </w:lvl>
  </w:abstractNum>
  <w:abstractNum w:abstractNumId="198">
    <w:nsid w:val="38A5D054"/>
    <w:multiLevelType w:val="hybridMultilevel"/>
    <w:lvl w:ilvl="0">
      <w:lvlJc w:val="left"/>
      <w:lvlText w:val="%1."/>
      <w:numFmt w:val="decimal"/>
      <w:start w:val="1"/>
    </w:lvl>
  </w:abstractNum>
  <w:abstractNum w:abstractNumId="199">
    <w:nsid w:val="F3F09D8"/>
    <w:multiLevelType w:val="hybridMultilevel"/>
    <w:lvl w:ilvl="0">
      <w:lvlJc w:val="left"/>
      <w:lvlText w:val="%1."/>
      <w:numFmt w:val="decimal"/>
      <w:start w:val="1"/>
    </w:lvl>
  </w:abstractNum>
  <w:abstractNum w:abstractNumId="200">
    <w:nsid w:val="4B79373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jpe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2" Type="http://schemas.openxmlformats.org/officeDocument/2006/relationships/image" Target="media/image85.png"/><Relationship Id="rId103" Type="http://schemas.openxmlformats.org/officeDocument/2006/relationships/image" Target="media/image86.png"/><Relationship Id="rId104" Type="http://schemas.openxmlformats.org/officeDocument/2006/relationships/image" Target="media/image87.png"/><Relationship Id="rId105" Type="http://schemas.openxmlformats.org/officeDocument/2006/relationships/image" Target="media/image88.png"/><Relationship Id="rId110" Type="http://schemas.openxmlformats.org/officeDocument/2006/relationships/image" Target="media/image89.png"/><Relationship Id="rId111" Type="http://schemas.openxmlformats.org/officeDocument/2006/relationships/image" Target="media/image90.png"/><Relationship Id="rId112" Type="http://schemas.openxmlformats.org/officeDocument/2006/relationships/image" Target="media/image91.png"/><Relationship Id="rId113" Type="http://schemas.openxmlformats.org/officeDocument/2006/relationships/image" Target="media/image92.png"/><Relationship Id="rId114" Type="http://schemas.openxmlformats.org/officeDocument/2006/relationships/image" Target="media/image93.png"/><Relationship Id="rId115" Type="http://schemas.openxmlformats.org/officeDocument/2006/relationships/image" Target="media/image94.png"/><Relationship Id="rId116" Type="http://schemas.openxmlformats.org/officeDocument/2006/relationships/image" Target="media/image95.png"/><Relationship Id="rId117" Type="http://schemas.openxmlformats.org/officeDocument/2006/relationships/image" Target="media/image96.png"/><Relationship Id="rId118" Type="http://schemas.openxmlformats.org/officeDocument/2006/relationships/image" Target="media/image97.png"/><Relationship Id="rId119" Type="http://schemas.openxmlformats.org/officeDocument/2006/relationships/image" Target="media/image98.png"/><Relationship Id="rId120" Type="http://schemas.openxmlformats.org/officeDocument/2006/relationships/image" Target="media/image99.png"/><Relationship Id="rId121" Type="http://schemas.openxmlformats.org/officeDocument/2006/relationships/image" Target="media/image100.png"/><Relationship Id="rId122" Type="http://schemas.openxmlformats.org/officeDocument/2006/relationships/image" Target="media/image101.png"/><Relationship Id="rId123" Type="http://schemas.openxmlformats.org/officeDocument/2006/relationships/image" Target="media/image102.png"/><Relationship Id="rId124" Type="http://schemas.openxmlformats.org/officeDocument/2006/relationships/image" Target="media/image103.png"/><Relationship Id="rId125" Type="http://schemas.openxmlformats.org/officeDocument/2006/relationships/image" Target="media/image104.png"/><Relationship Id="rId126" Type="http://schemas.openxmlformats.org/officeDocument/2006/relationships/image" Target="media/image105.png"/><Relationship Id="rId127" Type="http://schemas.openxmlformats.org/officeDocument/2006/relationships/image" Target="media/image106.png"/><Relationship Id="rId128" Type="http://schemas.openxmlformats.org/officeDocument/2006/relationships/image" Target="media/image107.png"/><Relationship Id="rId129" Type="http://schemas.openxmlformats.org/officeDocument/2006/relationships/image" Target="media/image108.png"/><Relationship Id="rId130" Type="http://schemas.openxmlformats.org/officeDocument/2006/relationships/image" Target="media/image109.png"/><Relationship Id="rId131" Type="http://schemas.openxmlformats.org/officeDocument/2006/relationships/image" Target="media/image110.png"/><Relationship Id="rId132" Type="http://schemas.openxmlformats.org/officeDocument/2006/relationships/image" Target="media/image111.png"/><Relationship Id="rId133" Type="http://schemas.openxmlformats.org/officeDocument/2006/relationships/image" Target="media/image112.png"/><Relationship Id="rId134" Type="http://schemas.openxmlformats.org/officeDocument/2006/relationships/image" Target="media/image113.png"/><Relationship Id="rId135" Type="http://schemas.openxmlformats.org/officeDocument/2006/relationships/image" Target="media/image114.png"/><Relationship Id="rId136" Type="http://schemas.openxmlformats.org/officeDocument/2006/relationships/image" Target="media/image115.png"/><Relationship Id="rId137" Type="http://schemas.openxmlformats.org/officeDocument/2006/relationships/image" Target="media/image116.png"/><Relationship Id="rId138" Type="http://schemas.openxmlformats.org/officeDocument/2006/relationships/image" Target="media/image117.png"/><Relationship Id="rId139" Type="http://schemas.openxmlformats.org/officeDocument/2006/relationships/image" Target="media/image118.png"/><Relationship Id="rId140" Type="http://schemas.openxmlformats.org/officeDocument/2006/relationships/image" Target="media/image119.png"/><Relationship Id="rId141" Type="http://schemas.openxmlformats.org/officeDocument/2006/relationships/image" Target="media/image120.png"/><Relationship Id="rId142" Type="http://schemas.openxmlformats.org/officeDocument/2006/relationships/image" Target="media/image121.png"/><Relationship Id="rId143" Type="http://schemas.openxmlformats.org/officeDocument/2006/relationships/image" Target="media/image122.png"/><Relationship Id="rId144" Type="http://schemas.openxmlformats.org/officeDocument/2006/relationships/image" Target="media/image123.png"/><Relationship Id="rId145" Type="http://schemas.openxmlformats.org/officeDocument/2006/relationships/image" Target="media/image124.png"/><Relationship Id="rId146" Type="http://schemas.openxmlformats.org/officeDocument/2006/relationships/image" Target="media/image125.png"/><Relationship Id="rId147" Type="http://schemas.openxmlformats.org/officeDocument/2006/relationships/image" Target="media/image126.png"/><Relationship Id="rId148" Type="http://schemas.openxmlformats.org/officeDocument/2006/relationships/image" Target="media/image127.png"/><Relationship Id="rId149" Type="http://schemas.openxmlformats.org/officeDocument/2006/relationships/image" Target="media/image128.png"/><Relationship Id="rId150" Type="http://schemas.openxmlformats.org/officeDocument/2006/relationships/image" Target="media/image129.png"/><Relationship Id="rId151" Type="http://schemas.openxmlformats.org/officeDocument/2006/relationships/image" Target="media/image130.png"/><Relationship Id="rId152" Type="http://schemas.openxmlformats.org/officeDocument/2006/relationships/image" Target="media/image131.png"/><Relationship Id="rId153" Type="http://schemas.openxmlformats.org/officeDocument/2006/relationships/image" Target="media/image132.png"/><Relationship Id="rId154" Type="http://schemas.openxmlformats.org/officeDocument/2006/relationships/image" Target="media/image133.png"/><Relationship Id="rId155" Type="http://schemas.openxmlformats.org/officeDocument/2006/relationships/image" Target="media/image134.png"/><Relationship Id="rId156" Type="http://schemas.openxmlformats.org/officeDocument/2006/relationships/image" Target="media/image135.png"/><Relationship Id="rId157" Type="http://schemas.openxmlformats.org/officeDocument/2006/relationships/image" Target="media/image136.png"/><Relationship Id="rId158" Type="http://schemas.openxmlformats.org/officeDocument/2006/relationships/image" Target="media/image137.png"/><Relationship Id="rId159" Type="http://schemas.openxmlformats.org/officeDocument/2006/relationships/image" Target="media/image138.png"/><Relationship Id="rId160" Type="http://schemas.openxmlformats.org/officeDocument/2006/relationships/image" Target="media/image139.png"/><Relationship Id="rId161" Type="http://schemas.openxmlformats.org/officeDocument/2006/relationships/image" Target="media/image140.png"/><Relationship Id="rId162" Type="http://schemas.openxmlformats.org/officeDocument/2006/relationships/image" Target="media/image141.png"/><Relationship Id="rId163" Type="http://schemas.openxmlformats.org/officeDocument/2006/relationships/image" Target="media/image142.png"/><Relationship Id="rId164" Type="http://schemas.openxmlformats.org/officeDocument/2006/relationships/image" Target="media/image143.png"/><Relationship Id="rId165" Type="http://schemas.openxmlformats.org/officeDocument/2006/relationships/image" Target="media/image144.png"/><Relationship Id="rId166" Type="http://schemas.openxmlformats.org/officeDocument/2006/relationships/image" Target="media/image145.png"/><Relationship Id="rId167" Type="http://schemas.openxmlformats.org/officeDocument/2006/relationships/image" Target="media/image146.png"/><Relationship Id="rId168" Type="http://schemas.openxmlformats.org/officeDocument/2006/relationships/image" Target="media/image147.png"/><Relationship Id="rId169" Type="http://schemas.openxmlformats.org/officeDocument/2006/relationships/image" Target="media/image148.png"/><Relationship Id="rId170" Type="http://schemas.openxmlformats.org/officeDocument/2006/relationships/image" Target="media/image149.png"/><Relationship Id="rId171" Type="http://schemas.openxmlformats.org/officeDocument/2006/relationships/image" Target="media/image150.png"/><Relationship Id="rId172" Type="http://schemas.openxmlformats.org/officeDocument/2006/relationships/image" Target="media/image151.png"/><Relationship Id="rId173" Type="http://schemas.openxmlformats.org/officeDocument/2006/relationships/image" Target="media/image152.png"/><Relationship Id="rId174" Type="http://schemas.openxmlformats.org/officeDocument/2006/relationships/image" Target="media/image153.png"/><Relationship Id="rId175" Type="http://schemas.openxmlformats.org/officeDocument/2006/relationships/image" Target="media/image154.png"/><Relationship Id="rId176" Type="http://schemas.openxmlformats.org/officeDocument/2006/relationships/image" Target="media/image155.png"/><Relationship Id="rId177" Type="http://schemas.openxmlformats.org/officeDocument/2006/relationships/image" Target="media/image156.png"/><Relationship Id="rId178" Type="http://schemas.openxmlformats.org/officeDocument/2006/relationships/image" Target="media/image157.png"/><Relationship Id="rId179" Type="http://schemas.openxmlformats.org/officeDocument/2006/relationships/image" Target="media/image158.png"/><Relationship Id="rId180" Type="http://schemas.openxmlformats.org/officeDocument/2006/relationships/image" Target="media/image159.png"/><Relationship Id="rId181" Type="http://schemas.openxmlformats.org/officeDocument/2006/relationships/image" Target="media/image160.png"/><Relationship Id="rId182" Type="http://schemas.openxmlformats.org/officeDocument/2006/relationships/image" Target="media/image161.png"/><Relationship Id="rId183" Type="http://schemas.openxmlformats.org/officeDocument/2006/relationships/image" Target="media/image162.png"/><Relationship Id="rId184" Type="http://schemas.openxmlformats.org/officeDocument/2006/relationships/image" Target="media/image163.png"/><Relationship Id="rId185" Type="http://schemas.openxmlformats.org/officeDocument/2006/relationships/image" Target="media/image164.png"/><Relationship Id="rId186" Type="http://schemas.openxmlformats.org/officeDocument/2006/relationships/image" Target="media/image165.png"/><Relationship Id="rId187" Type="http://schemas.openxmlformats.org/officeDocument/2006/relationships/image" Target="media/image166.png"/><Relationship Id="rId188" Type="http://schemas.openxmlformats.org/officeDocument/2006/relationships/image" Target="media/image167.png"/><Relationship Id="rId189" Type="http://schemas.openxmlformats.org/officeDocument/2006/relationships/image" Target="media/image168.png"/><Relationship Id="rId190" Type="http://schemas.openxmlformats.org/officeDocument/2006/relationships/image" Target="media/image169.png"/><Relationship Id="rId191" Type="http://schemas.openxmlformats.org/officeDocument/2006/relationships/image" Target="media/image170.png"/><Relationship Id="rId192" Type="http://schemas.openxmlformats.org/officeDocument/2006/relationships/image" Target="media/image171.png"/><Relationship Id="rId193" Type="http://schemas.openxmlformats.org/officeDocument/2006/relationships/image" Target="media/image172.png"/><Relationship Id="rId194" Type="http://schemas.openxmlformats.org/officeDocument/2006/relationships/image" Target="media/image173.png"/><Relationship Id="rId195" Type="http://schemas.openxmlformats.org/officeDocument/2006/relationships/image" Target="media/image174.png"/><Relationship Id="rId196" Type="http://schemas.openxmlformats.org/officeDocument/2006/relationships/image" Target="media/image175.png"/><Relationship Id="rId197" Type="http://schemas.openxmlformats.org/officeDocument/2006/relationships/image" Target="media/image176.png"/><Relationship Id="rId198" Type="http://schemas.openxmlformats.org/officeDocument/2006/relationships/image" Target="media/image177.png"/><Relationship Id="rId199" Type="http://schemas.openxmlformats.org/officeDocument/2006/relationships/image" Target="media/image178.png"/><Relationship Id="rId200" Type="http://schemas.openxmlformats.org/officeDocument/2006/relationships/image" Target="media/image179.png"/><Relationship Id="rId201" Type="http://schemas.openxmlformats.org/officeDocument/2006/relationships/image" Target="media/image180.png"/><Relationship Id="rId202" Type="http://schemas.openxmlformats.org/officeDocument/2006/relationships/image" Target="media/image181.png"/><Relationship Id="rId203" Type="http://schemas.openxmlformats.org/officeDocument/2006/relationships/image" Target="media/image182.png"/><Relationship Id="rId204" Type="http://schemas.openxmlformats.org/officeDocument/2006/relationships/image" Target="media/image183.png"/><Relationship Id="rId205" Type="http://schemas.openxmlformats.org/officeDocument/2006/relationships/image" Target="media/image184.png"/><Relationship Id="rId206" Type="http://schemas.openxmlformats.org/officeDocument/2006/relationships/image" Target="media/image185.png"/><Relationship Id="rId207" Type="http://schemas.openxmlformats.org/officeDocument/2006/relationships/image" Target="media/image186.png"/><Relationship Id="rId208" Type="http://schemas.openxmlformats.org/officeDocument/2006/relationships/image" Target="media/image187.png"/><Relationship Id="rId209" Type="http://schemas.openxmlformats.org/officeDocument/2006/relationships/image" Target="media/image188.png"/><Relationship Id="rId210" Type="http://schemas.openxmlformats.org/officeDocument/2006/relationships/image" Target="media/image189.png"/><Relationship Id="rId211" Type="http://schemas.openxmlformats.org/officeDocument/2006/relationships/image" Target="media/image190.png"/><Relationship Id="rId212" Type="http://schemas.openxmlformats.org/officeDocument/2006/relationships/image" Target="media/image191.png"/><Relationship Id="rId213" Type="http://schemas.openxmlformats.org/officeDocument/2006/relationships/image" Target="media/image192.png"/><Relationship Id="rId214" Type="http://schemas.openxmlformats.org/officeDocument/2006/relationships/image" Target="media/image193.png"/><Relationship Id="rId215" Type="http://schemas.openxmlformats.org/officeDocument/2006/relationships/image" Target="media/image194.png"/><Relationship Id="rId216" Type="http://schemas.openxmlformats.org/officeDocument/2006/relationships/image" Target="media/image195.png"/><Relationship Id="rId217" Type="http://schemas.openxmlformats.org/officeDocument/2006/relationships/image" Target="media/image196.png"/><Relationship Id="rId218" Type="http://schemas.openxmlformats.org/officeDocument/2006/relationships/image" Target="media/image197.png"/><Relationship Id="rId219" Type="http://schemas.openxmlformats.org/officeDocument/2006/relationships/image" Target="media/image198.png"/><Relationship Id="rId220" Type="http://schemas.openxmlformats.org/officeDocument/2006/relationships/image" Target="media/image199.png"/><Relationship Id="rId221" Type="http://schemas.openxmlformats.org/officeDocument/2006/relationships/image" Target="media/image200.png"/><Relationship Id="rId222" Type="http://schemas.openxmlformats.org/officeDocument/2006/relationships/image" Target="media/image201.png"/><Relationship Id="rId223" Type="http://schemas.openxmlformats.org/officeDocument/2006/relationships/image" Target="media/image202.png"/><Relationship Id="rId224" Type="http://schemas.openxmlformats.org/officeDocument/2006/relationships/image" Target="media/image203.png"/><Relationship Id="rId225" Type="http://schemas.openxmlformats.org/officeDocument/2006/relationships/image" Target="media/image204.png"/><Relationship Id="rId226" Type="http://schemas.openxmlformats.org/officeDocument/2006/relationships/image" Target="media/image205.png"/><Relationship Id="rId227" Type="http://schemas.openxmlformats.org/officeDocument/2006/relationships/image" Target="media/image206.png"/><Relationship Id="rId228" Type="http://schemas.openxmlformats.org/officeDocument/2006/relationships/image" Target="media/image207.png"/><Relationship Id="rId229" Type="http://schemas.openxmlformats.org/officeDocument/2006/relationships/image" Target="media/image208.png"/><Relationship Id="rId230" Type="http://schemas.openxmlformats.org/officeDocument/2006/relationships/image" Target="media/image209.png"/><Relationship Id="rId231" Type="http://schemas.openxmlformats.org/officeDocument/2006/relationships/image" Target="media/image210.png"/><Relationship Id="rId232" Type="http://schemas.openxmlformats.org/officeDocument/2006/relationships/image" Target="media/image211.png"/><Relationship Id="rId233" Type="http://schemas.openxmlformats.org/officeDocument/2006/relationships/image" Target="media/image212.png"/><Relationship Id="rId234" Type="http://schemas.openxmlformats.org/officeDocument/2006/relationships/image" Target="media/image213.png"/><Relationship Id="rId235" Type="http://schemas.openxmlformats.org/officeDocument/2006/relationships/image" Target="media/image214.png"/><Relationship Id="rId236" Type="http://schemas.openxmlformats.org/officeDocument/2006/relationships/image" Target="media/image215.png"/><Relationship Id="rId237" Type="http://schemas.openxmlformats.org/officeDocument/2006/relationships/image" Target="media/image216.png"/><Relationship Id="rId238" Type="http://schemas.openxmlformats.org/officeDocument/2006/relationships/image" Target="media/image217.png"/><Relationship Id="rId239" Type="http://schemas.openxmlformats.org/officeDocument/2006/relationships/image" Target="media/image218.png"/><Relationship Id="rId240" Type="http://schemas.openxmlformats.org/officeDocument/2006/relationships/image" Target="media/image219.png"/><Relationship Id="rId241" Type="http://schemas.openxmlformats.org/officeDocument/2006/relationships/image" Target="media/image220.png"/><Relationship Id="rId242" Type="http://schemas.openxmlformats.org/officeDocument/2006/relationships/image" Target="media/image221.png"/><Relationship Id="rId243" Type="http://schemas.openxmlformats.org/officeDocument/2006/relationships/image" Target="media/image222.png"/><Relationship Id="rId244" Type="http://schemas.openxmlformats.org/officeDocument/2006/relationships/image" Target="media/image223.png"/><Relationship Id="rId245" Type="http://schemas.openxmlformats.org/officeDocument/2006/relationships/image" Target="media/image224.png"/><Relationship Id="rId246" Type="http://schemas.openxmlformats.org/officeDocument/2006/relationships/image" Target="media/image225.png"/><Relationship Id="rId247" Type="http://schemas.openxmlformats.org/officeDocument/2006/relationships/image" Target="media/image226.png"/><Relationship Id="rId248" Type="http://schemas.openxmlformats.org/officeDocument/2006/relationships/image" Target="media/image227.png"/><Relationship Id="rId249" Type="http://schemas.openxmlformats.org/officeDocument/2006/relationships/image" Target="media/image228.png"/><Relationship Id="rId250" Type="http://schemas.openxmlformats.org/officeDocument/2006/relationships/image" Target="media/image229.png"/><Relationship Id="rId251" Type="http://schemas.openxmlformats.org/officeDocument/2006/relationships/image" Target="media/image230.png"/><Relationship Id="rId252" Type="http://schemas.openxmlformats.org/officeDocument/2006/relationships/image" Target="media/image231.png"/><Relationship Id="rId253" Type="http://schemas.openxmlformats.org/officeDocument/2006/relationships/image" Target="media/image232.png"/><Relationship Id="rId254" Type="http://schemas.openxmlformats.org/officeDocument/2006/relationships/image" Target="media/image233.png"/><Relationship Id="rId255" Type="http://schemas.openxmlformats.org/officeDocument/2006/relationships/image" Target="media/image234.png"/><Relationship Id="rId256" Type="http://schemas.openxmlformats.org/officeDocument/2006/relationships/image" Target="media/image235.png"/><Relationship Id="rId257" Type="http://schemas.openxmlformats.org/officeDocument/2006/relationships/image" Target="media/image236.png"/><Relationship Id="rId258" Type="http://schemas.openxmlformats.org/officeDocument/2006/relationships/image" Target="media/image237.png"/><Relationship Id="rId259" Type="http://schemas.openxmlformats.org/officeDocument/2006/relationships/image" Target="media/image238.png"/><Relationship Id="rId260" Type="http://schemas.openxmlformats.org/officeDocument/2006/relationships/image" Target="media/image239.png"/><Relationship Id="rId261" Type="http://schemas.openxmlformats.org/officeDocument/2006/relationships/image" Target="media/image240.jpeg"/><Relationship Id="rId262" Type="http://schemas.openxmlformats.org/officeDocument/2006/relationships/image" Target="media/image241.png"/><Relationship Id="rId263" Type="http://schemas.openxmlformats.org/officeDocument/2006/relationships/image" Target="media/image242.jpeg"/><Relationship Id="rId52" Type="http://schemas.openxmlformats.org/officeDocument/2006/relationships/hyperlink" Target="http://www.sec.gov/ix?doc=/Archives/edgar/data/1819133/000095017022004721/tngx-20211231.htm" TargetMode="External"/><Relationship Id="rId53" Type="http://schemas.openxmlformats.org/officeDocument/2006/relationships/hyperlink" Target="http://www.sec.gov/Archives/edgar/data/1819133/000095017022006137/def_14a_proxy_-_tngx_apr.htm" TargetMode="External"/><Relationship Id="rId54" Type="http://schemas.openxmlformats.org/officeDocument/2006/relationships/hyperlink" Target="http://www.sec.gov/ix?doc=/Archives/edgar/data/1819133/000095017022009139/tngx-20220331.htm" TargetMode="External"/><Relationship Id="rId55" Type="http://schemas.openxmlformats.org/officeDocument/2006/relationships/hyperlink" Target="http://www.sec.gov/ix?doc=/Archives/edgar/data/1819133/000095017022016257/tngx-20220630.htm" TargetMode="External"/><Relationship Id="rId56" Type="http://schemas.openxmlformats.org/officeDocument/2006/relationships/hyperlink" Target="http://www.sec.gov/ix?doc=/Archives/edgar/data/1819133/000095017022011475/tngx-20220608.htm" TargetMode="External"/><Relationship Id="rId57" Type="http://schemas.openxmlformats.org/officeDocument/2006/relationships/hyperlink" Target="http://www.sec.gov/Archives/edgar/data/1819133/000121390020024994/ea126358-8a12b_bctgacquis.htm" TargetMode="External"/><Relationship Id="rId93" Type="http://schemas.openxmlformats.org/officeDocument/2006/relationships/hyperlink" Target="http://www.sec.gov/ix?doc=/Archives/edgar/data/0001819133/000095017022004721/tngx-20211231.htm" TargetMode="External"/><Relationship Id="rId94" Type="http://schemas.openxmlformats.org/officeDocument/2006/relationships/hyperlink" Target="http://www.sec.gov/ix?doc=/Archives/edgar/data/0001819133/000095017022009139/tngx-20220331.htm" TargetMode="External"/><Relationship Id="rId95" Type="http://schemas.openxmlformats.org/officeDocument/2006/relationships/hyperlink" Target="http://www.sec.gov/ix?doc=/Archives/edgar/data/0001819133/000095017022016257/tngx-20220630.htm" TargetMode="External"/><Relationship Id="rId96" Type="http://schemas.openxmlformats.org/officeDocument/2006/relationships/hyperlink" Target="http://www.sec.gov/Archives/edgar/data/1819133/000095017022004721/tngx-ex4_2.htm" TargetMode="External"/><Relationship Id="rId106" Type="http://schemas.openxmlformats.org/officeDocument/2006/relationships/hyperlink" Target="http://www.sec.gov/Archives/edgar/data/1819133/000119312521269987/d118907dex31.htm" TargetMode="External"/><Relationship Id="rId107" Type="http://schemas.openxmlformats.org/officeDocument/2006/relationships/hyperlink" Target="http://www.sec.gov/Archives/edgar/data/1819133/000119312521298942/d211731dex42.htm" TargetMode="External"/><Relationship Id="rId108" Type="http://schemas.openxmlformats.org/officeDocument/2006/relationships/hyperlink" Target="http://www.sec.gov/Archives/edgar/data/1819133/000119312521246234/d203347dex102.htm" TargetMode="External"/><Relationship Id="rId109" Type="http://schemas.openxmlformats.org/officeDocument/2006/relationships/hyperlink" Target="http://www.sec.gov/Archives/edgar/data/1819133/000121390021037131/ea144230ex4-5_bctgac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2022-09-01T15:22:30Z</dcterms:created>
  <dcterms:modified xsi:type="dcterms:W3CDTF">2022-09-01T15:22:30Z</dcterms:modified>
</cp:coreProperties>
</file>