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Tango Therapeutics,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87583X109</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November 13, 2024</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204" w:hanging="204"/>
        <w:spacing w:after="0"/>
        <w:tabs>
          <w:tab w:leader="none" w:pos="20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204" w:hanging="204"/>
        <w:spacing w:after="0"/>
        <w:tabs>
          <w:tab w:leader="none" w:pos="20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sz w:val="24"/>
          <w:szCs w:val="24"/>
          <w:color w:val="auto"/>
        </w:rPr>
      </w:pPr>
    </w:p>
    <w:p>
      <w:pPr>
        <w:ind w:left="424"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376" w:right="519" w:bottom="144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87583X109</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4" w:hanging="87"/>
        <w:spacing w:after="0"/>
        <w:tabs>
          <w:tab w:leader="none" w:pos="24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44" w:hanging="77"/>
        <w:spacing w:after="0"/>
        <w:tabs>
          <w:tab w:leader="none" w:pos="644"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TCG Crossover GP II, LLC</w:t>
      </w:r>
    </w:p>
    <w:p>
      <w:pPr>
        <w:spacing w:after="0" w:line="70" w:lineRule="exact"/>
        <w:rPr>
          <w:rFonts w:ascii="Times New Roman" w:cs="Times New Roman" w:eastAsia="Times New Roman" w:hAnsi="Times New Roman"/>
          <w:sz w:val="15"/>
          <w:szCs w:val="15"/>
          <w:color w:val="auto"/>
        </w:rPr>
      </w:pPr>
    </w:p>
    <w:p>
      <w:pPr>
        <w:ind w:left="244" w:hanging="87"/>
        <w:spacing w:after="0"/>
        <w:tabs>
          <w:tab w:leader="none" w:pos="24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  Delaware</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9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5.     SOLE VOTING POWER</w:t>
            </w:r>
          </w:p>
        </w:tc>
        <w:tc>
          <w:tcPr>
            <w:tcW w:w="0" w:type="dxa"/>
            <w:vAlign w:val="bottom"/>
          </w:tcPr>
          <w:p>
            <w:pPr>
              <w:spacing w:after="0"/>
              <w:rPr>
                <w:sz w:val="1"/>
                <w:szCs w:val="1"/>
                <w:color w:val="auto"/>
              </w:rPr>
            </w:pPr>
          </w:p>
        </w:tc>
      </w:tr>
      <w:tr>
        <w:trPr>
          <w:trHeight w:val="47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40" w:type="dxa"/>
            <w:vAlign w:val="bottom"/>
          </w:tcPr>
          <w:p>
            <w:pPr>
              <w:spacing w:after="0"/>
              <w:rPr>
                <w:sz w:val="18"/>
                <w:szCs w:val="18"/>
                <w:color w:val="auto"/>
              </w:rPr>
            </w:pP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10,500,612 (1)</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4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40" w:type="dxa"/>
            <w:vAlign w:val="bottom"/>
          </w:tcPr>
          <w:p>
            <w:pPr>
              <w:spacing w:after="0"/>
              <w:rPr>
                <w:sz w:val="19"/>
                <w:szCs w:val="19"/>
                <w:color w:val="auto"/>
              </w:rPr>
            </w:pP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4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84" w:hanging="94"/>
        <w:spacing w:after="0"/>
        <w:tabs>
          <w:tab w:leader="none" w:pos="198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10,500,612 (1)</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10,500,612 (1)</w:t>
      </w:r>
    </w:p>
    <w:p>
      <w:pPr>
        <w:spacing w:after="0" w:line="36" w:lineRule="exact"/>
        <w:rPr>
          <w:sz w:val="20"/>
          <w:szCs w:val="20"/>
          <w:color w:val="auto"/>
        </w:rPr>
      </w:pPr>
    </w:p>
    <w:p>
      <w:pPr>
        <w:ind w:left="564" w:hanging="407"/>
        <w:spacing w:after="0"/>
        <w:tabs>
          <w:tab w:leader="none" w:pos="5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(2)</w:t>
      </w:r>
    </w:p>
    <w:p>
      <w:pPr>
        <w:spacing w:after="0" w:line="3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right="160" w:hanging="424"/>
        <w:spacing w:after="0" w:line="255"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securities are held of record by TCG Crossover II (as defined in Item 2(a) below). TCG Crossover GP II (as defined in Item 2(a) below) is the general partner of TCG Crossover II and may be deemed to have voting, investment, and dispositive power with respect to these securities. Chen Yu is the sole managing member of TCG Crossover GP II and may be deemed to share voting, investment and dispositive power with respect to these securities.</w:t>
      </w:r>
    </w:p>
    <w:p>
      <w:pPr>
        <w:spacing w:after="0" w:line="2" w:lineRule="exact"/>
        <w:rPr>
          <w:rFonts w:ascii="Times New Roman" w:cs="Times New Roman" w:eastAsia="Times New Roman" w:hAnsi="Times New Roman"/>
          <w:sz w:val="18"/>
          <w:szCs w:val="18"/>
          <w:color w:val="auto"/>
        </w:rPr>
      </w:pPr>
    </w:p>
    <w:p>
      <w:pPr>
        <w:jc w:val="both"/>
        <w:ind w:left="424" w:right="260" w:hanging="424"/>
        <w:spacing w:after="0" w:line="255"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107,417,818 outstanding shares of Common Stock as of November 1, 2024, as reported by the Issuer in its Quarterly Report on Form 10-Q for the quarter ended September 30, 2024,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on November 6, 2024 (the “</w:t>
      </w:r>
      <w:r>
        <w:rPr>
          <w:rFonts w:ascii="Times New Roman" w:cs="Times New Roman" w:eastAsia="Times New Roman" w:hAnsi="Times New Roman"/>
          <w:sz w:val="18"/>
          <w:szCs w:val="18"/>
          <w:u w:val="single" w:color="auto"/>
          <w:color w:val="auto"/>
        </w:rPr>
        <w:t>Form 10-Q</w:t>
      </w:r>
      <w:r>
        <w:rPr>
          <w:rFonts w:ascii="Times New Roman" w:cs="Times New Roman" w:eastAsia="Times New Roman" w:hAnsi="Times New Roman"/>
          <w:sz w:val="18"/>
          <w:szCs w:val="18"/>
          <w:color w:val="auto"/>
        </w:rPr>
        <w:t>”).</w:t>
      </w:r>
    </w:p>
    <w:p>
      <w:pPr>
        <w:sectPr>
          <w:pgSz w:w="11900" w:h="16838" w:orient="portrait"/>
          <w:cols w:equalWidth="0" w:num="1">
            <w:col w:w="11024"/>
          </w:cols>
          <w:pgMar w:left="436" w:top="270" w:right="43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87583X109</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44" w:hanging="87"/>
        <w:spacing w:after="0"/>
        <w:tabs>
          <w:tab w:leader="none" w:pos="24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44" w:hanging="77"/>
        <w:spacing w:after="0"/>
        <w:tabs>
          <w:tab w:leader="none" w:pos="644" w:val="left"/>
        </w:tabs>
        <w:numPr>
          <w:ilvl w:val="1"/>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TCG Crossover Fund II, L.P.</w:t>
      </w:r>
    </w:p>
    <w:p>
      <w:pPr>
        <w:spacing w:after="0" w:line="70" w:lineRule="exact"/>
        <w:rPr>
          <w:rFonts w:ascii="Times New Roman" w:cs="Times New Roman" w:eastAsia="Times New Roman" w:hAnsi="Times New Roman"/>
          <w:sz w:val="15"/>
          <w:szCs w:val="15"/>
          <w:color w:val="auto"/>
        </w:rPr>
      </w:pPr>
    </w:p>
    <w:p>
      <w:pPr>
        <w:ind w:left="244" w:hanging="87"/>
        <w:spacing w:after="0"/>
        <w:tabs>
          <w:tab w:leader="none" w:pos="24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  Delaware</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9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5.     SOLE VOTING POWER</w:t>
            </w:r>
          </w:p>
        </w:tc>
        <w:tc>
          <w:tcPr>
            <w:tcW w:w="0" w:type="dxa"/>
            <w:vAlign w:val="bottom"/>
          </w:tcPr>
          <w:p>
            <w:pPr>
              <w:spacing w:after="0"/>
              <w:rPr>
                <w:sz w:val="1"/>
                <w:szCs w:val="1"/>
                <w:color w:val="auto"/>
              </w:rPr>
            </w:pPr>
          </w:p>
        </w:tc>
      </w:tr>
      <w:tr>
        <w:trPr>
          <w:trHeight w:val="47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40" w:type="dxa"/>
            <w:vAlign w:val="bottom"/>
          </w:tcPr>
          <w:p>
            <w:pPr>
              <w:spacing w:after="0"/>
              <w:rPr>
                <w:sz w:val="18"/>
                <w:szCs w:val="18"/>
                <w:color w:val="auto"/>
              </w:rPr>
            </w:pP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10,500,612 (1)</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4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40" w:type="dxa"/>
            <w:vAlign w:val="bottom"/>
          </w:tcPr>
          <w:p>
            <w:pPr>
              <w:spacing w:after="0"/>
              <w:rPr>
                <w:sz w:val="19"/>
                <w:szCs w:val="19"/>
                <w:color w:val="auto"/>
              </w:rPr>
            </w:pP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4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84" w:hanging="94"/>
        <w:spacing w:after="0"/>
        <w:tabs>
          <w:tab w:leader="none" w:pos="198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10,500,612 (1)</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10,500,612 (1)</w:t>
      </w:r>
    </w:p>
    <w:p>
      <w:pPr>
        <w:spacing w:after="0" w:line="36" w:lineRule="exact"/>
        <w:rPr>
          <w:sz w:val="20"/>
          <w:szCs w:val="20"/>
          <w:color w:val="auto"/>
        </w:rPr>
      </w:pPr>
    </w:p>
    <w:p>
      <w:pPr>
        <w:ind w:left="564" w:hanging="407"/>
        <w:spacing w:after="0"/>
        <w:tabs>
          <w:tab w:leader="none" w:pos="56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(2)</w:t>
      </w:r>
    </w:p>
    <w:p>
      <w:pPr>
        <w:spacing w:after="0" w:line="3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120" w:hanging="424"/>
        <w:spacing w:after="0" w:line="257"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securities are held of record by TCG Crossover II. TCG Crossover GP II is the general partner of TCG Crossover II and may be deemed to have voting, investment, and dispositive power with respect to these securities. Chen Yu is the sole managing member of TCG Crossover GP II and may be deemed to share voting, investment and dispositive power with respect to these securities.</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107,417,818 outstanding shares of Common Stock, as reported by the Issuer in its Form 10-Q.</w:t>
      </w:r>
    </w:p>
    <w:p>
      <w:pPr>
        <w:sectPr>
          <w:pgSz w:w="11900" w:h="16838" w:orient="portrait"/>
          <w:cols w:equalWidth="0" w:num="1">
            <w:col w:w="11024"/>
          </w:cols>
          <w:pgMar w:left="436" w:top="270" w:right="43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87583X109</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4" w:hanging="87"/>
        <w:spacing w:after="0"/>
        <w:tabs>
          <w:tab w:leader="none" w:pos="24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Chen Yu</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  United States of America</w:t>
      </w:r>
    </w:p>
    <w:p>
      <w:pPr>
        <w:spacing w:after="0" w:line="36" w:lineRule="exact"/>
        <w:rPr>
          <w:sz w:val="20"/>
          <w:szCs w:val="20"/>
          <w:color w:val="auto"/>
        </w:rPr>
      </w:pPr>
    </w:p>
    <w:p>
      <w:pPr>
        <w:ind w:left="1544"/>
        <w:spacing w:after="0"/>
        <w:tabs>
          <w:tab w:leader="none" w:pos="1864"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52" w:lineRule="exact"/>
        <w:rPr>
          <w:sz w:val="20"/>
          <w:szCs w:val="20"/>
          <w:color w:val="auto"/>
        </w:rPr>
      </w:pPr>
    </w:p>
    <w:tbl>
      <w:tblPr>
        <w:tblLayout w:type="fixed"/>
        <w:tblInd w:w="164" w:type="dxa"/>
        <w:tblCellMar>
          <w:top w:w="0" w:type="dxa"/>
          <w:left w:w="0" w:type="dxa"/>
          <w:bottom w:w="0" w:type="dxa"/>
          <w:right w:w="0" w:type="dxa"/>
        </w:tblCellMar>
      </w:tblPr>
      <w:tr>
        <w:trPr>
          <w:trHeight w:val="248"/>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tcBorders>
          </w:tcPr>
          <w:p>
            <w:pPr>
              <w:spacing w:after="0"/>
              <w:rPr>
                <w:sz w:val="21"/>
                <w:szCs w:val="21"/>
                <w:color w:val="auto"/>
              </w:rPr>
            </w:pPr>
          </w:p>
        </w:tc>
        <w:tc>
          <w:tcPr>
            <w:tcW w:w="9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40" w:type="dxa"/>
            <w:vAlign w:val="bottom"/>
          </w:tcPr>
          <w:p>
            <w:pPr>
              <w:spacing w:after="0"/>
              <w:rPr>
                <w:sz w:val="18"/>
                <w:szCs w:val="18"/>
                <w:color w:val="auto"/>
              </w:rPr>
            </w:pP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10,500,612 (1)</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4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4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40" w:type="dxa"/>
            <w:vAlign w:val="bottom"/>
          </w:tcPr>
          <w:p>
            <w:pPr>
              <w:spacing w:after="0"/>
              <w:rPr>
                <w:sz w:val="19"/>
                <w:szCs w:val="19"/>
                <w:color w:val="auto"/>
              </w:rPr>
            </w:pP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4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84" w:hanging="94"/>
        <w:spacing w:after="0"/>
        <w:tabs>
          <w:tab w:leader="none" w:pos="1984"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10,500,612 (1)</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10,500,612 (1)</w:t>
      </w:r>
    </w:p>
    <w:p>
      <w:pPr>
        <w:spacing w:after="0" w:line="36" w:lineRule="exact"/>
        <w:rPr>
          <w:sz w:val="20"/>
          <w:szCs w:val="20"/>
          <w:color w:val="auto"/>
        </w:rPr>
      </w:pPr>
    </w:p>
    <w:p>
      <w:pPr>
        <w:ind w:left="564" w:hanging="407"/>
        <w:spacing w:after="0"/>
        <w:tabs>
          <w:tab w:leader="none" w:pos="56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1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(2)</w:t>
      </w:r>
    </w:p>
    <w:p>
      <w:pPr>
        <w:spacing w:after="0" w:line="3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120" w:hanging="424"/>
        <w:spacing w:after="0" w:line="257"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securities are held of record by TCG Crossover II. TCG Crossover GP II is the general partner of TCG Crossover II and may be deemed to have voting, investment, and dispositive power with respect to these securities. Chen Yu is the sole managing member of TCG Crossover GP II and may be deemed to share voting, investment and dispositive power with respect to these securities.</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107,417,818 outstanding shares of Common Stock, as reported by the Issuer in its Form 10-Q.</w:t>
      </w:r>
    </w:p>
    <w:p>
      <w:pPr>
        <w:sectPr>
          <w:pgSz w:w="11900" w:h="16838" w:orient="portrait"/>
          <w:cols w:equalWidth="0" w:num="1">
            <w:col w:w="11024"/>
          </w:cols>
          <w:pgMar w:left="436" w:top="270"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87583X109</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Tango Therapeutics, Inc.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 Brookline Ave., Suite 901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02215</w:t>
      </w:r>
    </w:p>
    <w:p>
      <w:pPr>
        <w:spacing w:after="0" w:line="35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8"/>
          <w:szCs w:val="18"/>
          <w:b w:val="1"/>
          <w:bCs w:val="1"/>
          <w:color w:val="auto"/>
        </w:rPr>
        <w:t>Name of Person Filing:</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This joint statement on Schedule 13G is being filed by TCG Crossover Fund II, L.P. (“</w:t>
      </w:r>
      <w:r>
        <w:rPr>
          <w:rFonts w:ascii="Times New Roman" w:cs="Times New Roman" w:eastAsia="Times New Roman" w:hAnsi="Times New Roman"/>
          <w:sz w:val="18"/>
          <w:szCs w:val="18"/>
          <w:u w:val="single" w:color="auto"/>
          <w:color w:val="auto"/>
        </w:rPr>
        <w:t>TCG Crossover II</w:t>
      </w:r>
      <w:r>
        <w:rPr>
          <w:rFonts w:ascii="Times New Roman" w:cs="Times New Roman" w:eastAsia="Times New Roman" w:hAnsi="Times New Roman"/>
          <w:sz w:val="18"/>
          <w:szCs w:val="18"/>
          <w:color w:val="auto"/>
        </w:rPr>
        <w:t>”), TCG Crossover GP II, LLC (“</w:t>
      </w:r>
      <w:r>
        <w:rPr>
          <w:rFonts w:ascii="Times New Roman" w:cs="Times New Roman" w:eastAsia="Times New Roman" w:hAnsi="Times New Roman"/>
          <w:sz w:val="18"/>
          <w:szCs w:val="18"/>
          <w:u w:val="single" w:color="auto"/>
          <w:color w:val="auto"/>
        </w:rPr>
        <w:t>TCG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Crossover GP II</w:t>
      </w:r>
      <w:r>
        <w:rPr>
          <w:rFonts w:ascii="Times New Roman" w:cs="Times New Roman" w:eastAsia="Times New Roman" w:hAnsi="Times New Roman"/>
          <w:sz w:val="18"/>
          <w:szCs w:val="18"/>
          <w:color w:val="auto"/>
        </w:rPr>
        <w:t>” and together with TCG Crossover II, the “</w:t>
      </w:r>
      <w:r>
        <w:rPr>
          <w:rFonts w:ascii="Times New Roman" w:cs="Times New Roman" w:eastAsia="Times New Roman" w:hAnsi="Times New Roman"/>
          <w:sz w:val="18"/>
          <w:szCs w:val="18"/>
          <w:u w:val="single" w:color="auto"/>
          <w:color w:val="auto"/>
        </w:rPr>
        <w:t>Reporting Entities</w:t>
      </w:r>
      <w:r>
        <w:rPr>
          <w:rFonts w:ascii="Times New Roman" w:cs="Times New Roman" w:eastAsia="Times New Roman" w:hAnsi="Times New Roman"/>
          <w:sz w:val="18"/>
          <w:szCs w:val="18"/>
          <w:color w:val="auto"/>
        </w:rPr>
        <w:t>”) and Chen Yu (the “</w:t>
      </w:r>
      <w:r>
        <w:rPr>
          <w:rFonts w:ascii="Times New Roman" w:cs="Times New Roman" w:eastAsia="Times New Roman" w:hAnsi="Times New Roman"/>
          <w:sz w:val="18"/>
          <w:szCs w:val="18"/>
          <w:u w:val="single" w:color="auto"/>
          <w:color w:val="auto"/>
        </w:rPr>
        <w:t>Reporting Individual</w:t>
      </w:r>
      <w:r>
        <w:rPr>
          <w:rFonts w:ascii="Times New Roman" w:cs="Times New Roman" w:eastAsia="Times New Roman" w:hAnsi="Times New Roman"/>
          <w:sz w:val="18"/>
          <w:szCs w:val="18"/>
          <w:color w:val="auto"/>
        </w:rPr>
        <w:t>”). The Reporting Entities and the Reporting Individual are collectively referred to as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 xml:space="preserve">.” The Reporting Persons expressly disclaim status as a “group” for purposes of this Schedule 13G. The agreement among the Reporting Persons to file jointly in accordance with the provisions of Rule 13d-1(k)(1) under the Act is attached to this Statement as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Other than those securities reported herein as being held directly by such Reporting Person, each Reporting Person disclaims beneficial ownership of all securities reported in this Statement except to the extent of such Reporting Person’s pecuniary interest therein.</w:t>
      </w:r>
    </w:p>
    <w:p>
      <w:pPr>
        <w:spacing w:after="0" w:line="33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8"/>
          <w:szCs w:val="18"/>
          <w:b w:val="1"/>
          <w:bCs w:val="1"/>
          <w:color w:val="auto"/>
        </w:rPr>
        <w:t>Address of Principal Business Office, or if None, Residence: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address of the principal business office of each Reporting Person is 705 High St., Palo Alto, CA 94301.</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b w:val="1"/>
          <w:bCs w:val="1"/>
          <w:color w:val="auto"/>
        </w:rPr>
        <w:t>Citizenship:</w:t>
      </w:r>
    </w:p>
    <w:p>
      <w:pPr>
        <w:spacing w:after="0" w:line="12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TCG Crossover GP II is a limited liability company organized under the laws of the State of Delaware. TCG Crossover II is a limited partnership organized under the laws of the State of Delaware. The Reporting Individual is a citizen of the United States of America.</w:t>
      </w:r>
    </w:p>
    <w:p>
      <w:pPr>
        <w:spacing w:after="0" w:line="3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$0.001 par value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8"/>
          <w:szCs w:val="18"/>
          <w:b w:val="1"/>
          <w:bCs w:val="1"/>
          <w:color w:val="auto"/>
        </w:rPr>
        <w:t>CUSIP Number: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87583X109</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 240.13d-1(b), or 240.13d-2(b) or (c), check whether the person filing is 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20"/>
          </w:cols>
          <w:pgMar w:left="440" w:top="270" w:right="439" w:bottom="1440" w:gutter="0" w:footer="0" w:header="0"/>
        </w:sectPr>
      </w:pPr>
    </w:p>
    <w:bookmarkStart w:id="5" w:name="page6"/>
    <w:bookmarkEnd w:id="5"/>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87583X109</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35" w:lineRule="exact"/>
        <w:rPr>
          <w:sz w:val="20"/>
          <w:szCs w:val="20"/>
          <w:color w:val="auto"/>
        </w:rPr>
      </w:pPr>
    </w:p>
    <w:p>
      <w:pPr>
        <w:ind w:left="964" w:hanging="532"/>
        <w:spacing w:after="0"/>
        <w:tabs>
          <w:tab w:leader="none" w:pos="9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Row 9 of the cover page for each Reporting Person and the corresponding footnotes.*</w:t>
      </w:r>
    </w:p>
    <w:p>
      <w:pPr>
        <w:spacing w:after="0" w:line="131" w:lineRule="exact"/>
        <w:rPr>
          <w:sz w:val="20"/>
          <w:szCs w:val="20"/>
          <w:color w:val="auto"/>
        </w:rPr>
      </w:pPr>
    </w:p>
    <w:p>
      <w:pPr>
        <w:ind w:left="964" w:hanging="532"/>
        <w:spacing w:after="0"/>
        <w:tabs>
          <w:tab w:leader="none" w:pos="9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Row 11 of the cover page for each Reporting Person and the corresponding footnotes.*</w:t>
      </w:r>
    </w:p>
    <w:p>
      <w:pPr>
        <w:spacing w:after="0" w:line="131" w:lineRule="exact"/>
        <w:rPr>
          <w:sz w:val="20"/>
          <w:szCs w:val="20"/>
          <w:color w:val="auto"/>
        </w:rPr>
      </w:pPr>
    </w:p>
    <w:p>
      <w:pPr>
        <w:ind w:left="964" w:hanging="532"/>
        <w:spacing w:after="0"/>
        <w:tabs>
          <w:tab w:leader="none" w:pos="9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131" w:lineRule="exact"/>
        <w:rPr>
          <w:sz w:val="20"/>
          <w:szCs w:val="20"/>
          <w:color w:val="auto"/>
        </w:rPr>
      </w:pPr>
    </w:p>
    <w:p>
      <w:pPr>
        <w:ind w:left="964" w:hanging="532"/>
        <w:spacing w:after="0"/>
        <w:tabs>
          <w:tab w:leader="none" w:pos="9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Row 5 of the cover page for each Reporting Person and the corresponding footnotes.*</w:t>
      </w:r>
    </w:p>
    <w:p>
      <w:pPr>
        <w:spacing w:after="0" w:line="131" w:lineRule="exact"/>
        <w:rPr>
          <w:sz w:val="20"/>
          <w:szCs w:val="20"/>
          <w:color w:val="auto"/>
        </w:rPr>
      </w:pPr>
    </w:p>
    <w:p>
      <w:pPr>
        <w:ind w:left="964" w:hanging="532"/>
        <w:spacing w:after="0"/>
        <w:tabs>
          <w:tab w:leader="none" w:pos="96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Row 6 of the cover page for each Reporting Person and the corresponding footnotes.*</w:t>
      </w:r>
    </w:p>
    <w:p>
      <w:pPr>
        <w:spacing w:after="0" w:line="131" w:lineRule="exact"/>
        <w:rPr>
          <w:sz w:val="20"/>
          <w:szCs w:val="20"/>
          <w:color w:val="auto"/>
        </w:rPr>
      </w:pPr>
    </w:p>
    <w:p>
      <w:pPr>
        <w:ind w:left="964" w:hanging="532"/>
        <w:spacing w:after="0"/>
        <w:tabs>
          <w:tab w:leader="none" w:pos="96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Row 7 of the cover page for each Reporting Person and the corresponding footnotes.*</w:t>
      </w:r>
    </w:p>
    <w:p>
      <w:pPr>
        <w:spacing w:after="0" w:line="131" w:lineRule="exact"/>
        <w:rPr>
          <w:sz w:val="20"/>
          <w:szCs w:val="20"/>
          <w:color w:val="auto"/>
        </w:rPr>
      </w:pPr>
    </w:p>
    <w:p>
      <w:pPr>
        <w:ind w:left="964" w:hanging="532"/>
        <w:spacing w:after="0"/>
        <w:tabs>
          <w:tab w:leader="none" w:pos="9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Row 8 of the cover page for each Reporting Person and the corresponding footnotes.*</w:t>
      </w:r>
    </w:p>
    <w:p>
      <w:pPr>
        <w:spacing w:after="0" w:line="252" w:lineRule="exact"/>
        <w:rPr>
          <w:sz w:val="20"/>
          <w:szCs w:val="20"/>
          <w:color w:val="auto"/>
        </w:rPr>
      </w:pPr>
    </w:p>
    <w:p>
      <w:pPr>
        <w:ind w:left="424" w:right="460" w:hanging="424"/>
        <w:spacing w:after="0" w:line="282" w:lineRule="auto"/>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of his or its pecuniary interest therein, each Reporting Person disclaims beneficial ownership of such shares of Common Stock, except for the shares, if any, such Reporting Person holds of record.</w:t>
      </w:r>
    </w:p>
    <w:p>
      <w:pPr>
        <w:sectPr>
          <w:pgSz w:w="11900" w:h="16838" w:orient="portrait"/>
          <w:cols w:equalWidth="0" w:num="1">
            <w:col w:w="11024"/>
          </w:cols>
          <w:pgMar w:left="436" w:top="270" w:right="439" w:bottom="1440" w:gutter="0" w:footer="0" w:header="0"/>
        </w:sectPr>
      </w:pPr>
    </w:p>
    <w:p>
      <w:pPr>
        <w:spacing w:after="0" w:line="30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Ownership of Five Percent or Less of a Class.</w:t>
      </w:r>
    </w:p>
    <w:p>
      <w:pPr>
        <w:spacing w:after="0" w:line="133" w:lineRule="exact"/>
        <w:rPr>
          <w:sz w:val="20"/>
          <w:szCs w:val="20"/>
          <w:color w:val="auto"/>
        </w:rPr>
      </w:pPr>
    </w:p>
    <w:p>
      <w:pPr>
        <w:sectPr>
          <w:pgSz w:w="11900" w:h="16838" w:orient="portrait"/>
          <w:cols w:equalWidth="0" w:num="2">
            <w:col w:w="524" w:space="560"/>
            <w:col w:w="9940"/>
          </w:cols>
          <w:pgMar w:left="436" w:top="270"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24"/>
          </w:cols>
          <w:pgMar w:left="436" w:top="270" w:right="439" w:bottom="1440" w:gutter="0" w:footer="0" w:header="0"/>
          <w:type w:val="continuous"/>
        </w:sectPr>
      </w:pPr>
    </w:p>
    <w:p>
      <w:pPr>
        <w:spacing w:after="0" w:line="3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p>
      <w:pPr>
        <w:spacing w:after="0" w:line="121" w:lineRule="exact"/>
        <w:rPr>
          <w:sz w:val="20"/>
          <w:szCs w:val="20"/>
          <w:color w:val="auto"/>
        </w:rPr>
      </w:pPr>
    </w:p>
    <w:p>
      <w:pPr>
        <w:sectPr>
          <w:pgSz w:w="11900" w:h="16838" w:orient="portrait"/>
          <w:cols w:equalWidth="0" w:num="2">
            <w:col w:w="524" w:space="560"/>
            <w:col w:w="9940"/>
          </w:cols>
          <w:pgMar w:left="436" w:top="270" w:right="439" w:bottom="1440" w:gutter="0" w:footer="0" w:header="0"/>
          <w:type w:val="continuous"/>
        </w:sectPr>
      </w:pPr>
    </w:p>
    <w:p>
      <w:pPr>
        <w:jc w:val="both"/>
        <w:ind w:left="4" w:right="240"/>
        <w:spacing w:after="0" w:line="261" w:lineRule="auto"/>
        <w:rPr>
          <w:sz w:val="20"/>
          <w:szCs w:val="20"/>
          <w:color w:val="auto"/>
        </w:rPr>
      </w:pPr>
      <w:r>
        <w:rPr>
          <w:rFonts w:ascii="Times New Roman" w:cs="Times New Roman" w:eastAsia="Times New Roman" w:hAnsi="Times New Roman"/>
          <w:sz w:val="18"/>
          <w:szCs w:val="18"/>
          <w:color w:val="auto"/>
        </w:rPr>
        <w:t>Under certain circumstances set forth in the limited partnership agreement of TCG Crossover II and the limited liability company agreement of TCG Crossover GP II, the general and limited partners or members, as the case may be, of each of such entities may be deemed to have the right to receive dividends from, or the proceeds from, the sale of securities of the Issuer owned by each such entity of which they are a partner or member, as the case may be.</w:t>
      </w:r>
    </w:p>
    <w:p>
      <w:pPr>
        <w:sectPr>
          <w:pgSz w:w="11900" w:h="16838" w:orient="portrait"/>
          <w:cols w:equalWidth="0" w:num="1">
            <w:col w:w="11024"/>
          </w:cols>
          <w:pgMar w:left="436" w:top="270" w:right="439" w:bottom="1440" w:gutter="0" w:footer="0" w:header="0"/>
          <w:type w:val="continuous"/>
        </w:sectPr>
      </w:pPr>
    </w:p>
    <w:p>
      <w:pPr>
        <w:spacing w:after="0" w:line="3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51" w:lineRule="exact"/>
        <w:rPr>
          <w:sz w:val="20"/>
          <w:szCs w:val="20"/>
          <w:color w:val="auto"/>
        </w:rPr>
      </w:pPr>
    </w:p>
    <w:p>
      <w:pPr>
        <w:sectPr>
          <w:pgSz w:w="11900" w:h="16838" w:orient="portrait"/>
          <w:cols w:equalWidth="0" w:num="2">
            <w:col w:w="524" w:space="560"/>
            <w:col w:w="9940"/>
          </w:cols>
          <w:pgMar w:left="436" w:top="270"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24"/>
          </w:cols>
          <w:pgMar w:left="436" w:top="270" w:right="439" w:bottom="1440" w:gutter="0" w:footer="0" w:header="0"/>
          <w:type w:val="continuous"/>
        </w:sectPr>
      </w:pPr>
    </w:p>
    <w:p>
      <w:pPr>
        <w:spacing w:after="0" w:line="3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p>
      <w:pPr>
        <w:spacing w:after="0" w:line="121" w:lineRule="exact"/>
        <w:rPr>
          <w:sz w:val="20"/>
          <w:szCs w:val="20"/>
          <w:color w:val="auto"/>
        </w:rPr>
      </w:pPr>
    </w:p>
    <w:p>
      <w:pPr>
        <w:sectPr>
          <w:pgSz w:w="11900" w:h="16838" w:orient="portrait"/>
          <w:cols w:equalWidth="0" w:num="2">
            <w:col w:w="524" w:space="560"/>
            <w:col w:w="9940"/>
          </w:cols>
          <w:pgMar w:left="436" w:top="270"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24"/>
          </w:cols>
          <w:pgMar w:left="436" w:top="270" w:right="4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CUSIP No. 87583X109</w:t>
            </w:r>
          </w:p>
        </w:tc>
        <w:tc>
          <w:tcPr>
            <w:tcW w:w="3800" w:type="dxa"/>
            <w:vAlign w:val="bottom"/>
          </w:tcPr>
          <w:p>
            <w:pPr>
              <w:ind w:left="3480"/>
              <w:spacing w:after="0"/>
              <w:rPr>
                <w:sz w:val="20"/>
                <w:szCs w:val="20"/>
                <w:color w:val="auto"/>
              </w:rPr>
            </w:pPr>
            <w:r>
              <w:rPr>
                <w:rFonts w:ascii="Times New Roman" w:cs="Times New Roman" w:eastAsia="Times New Roman" w:hAnsi="Times New Roman"/>
                <w:sz w:val="18"/>
                <w:szCs w:val="18"/>
                <w:color w:val="auto"/>
                <w:w w:val="96"/>
              </w:rPr>
              <w:t>13G</w:t>
            </w:r>
          </w:p>
        </w:tc>
      </w:tr>
      <w:tr>
        <w:trPr>
          <w:trHeight w:val="486"/>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64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Notice of Dissolution of the Group.</w:t>
            </w:r>
          </w:p>
        </w:tc>
        <w:tc>
          <w:tcPr>
            <w:tcW w:w="3800" w:type="dxa"/>
            <w:vAlign w:val="bottom"/>
          </w:tcPr>
          <w:p>
            <w:pPr>
              <w:spacing w:after="0"/>
              <w:rPr>
                <w:sz w:val="24"/>
                <w:szCs w:val="24"/>
                <w:color w:val="auto"/>
              </w:rPr>
            </w:pPr>
          </w:p>
        </w:tc>
      </w:tr>
      <w:tr>
        <w:trPr>
          <w:trHeight w:val="324"/>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3800" w:type="dxa"/>
            <w:vAlign w:val="bottom"/>
          </w:tcPr>
          <w:p>
            <w:pPr>
              <w:spacing w:after="0"/>
              <w:rPr>
                <w:sz w:val="24"/>
                <w:szCs w:val="24"/>
                <w:color w:val="auto"/>
              </w:rPr>
            </w:pPr>
          </w:p>
        </w:tc>
      </w:tr>
    </w:tbl>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Certifications.</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Rule 14a-11 promulgated under the Act.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Material to be Filed as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 – Joint Filing Agreement.</w:t>
      </w:r>
    </w:p>
    <w:p>
      <w:pPr>
        <w:sectPr>
          <w:pgSz w:w="11900" w:h="16838" w:orient="portrait"/>
          <w:cols w:equalWidth="0" w:num="1">
            <w:col w:w="11020"/>
          </w:cols>
          <w:pgMar w:left="440" w:top="270" w:right="4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87583X109</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20,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TCG Crossover Fund II,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TCG Crossover GP II,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Craig Skaling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TCG Crossover GP II,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Craig Skaling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Craig Skaling, as attorney-in-fact for Chen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Chen Yu</w:t>
      </w:r>
    </w:p>
    <w:p>
      <w:pPr>
        <w:sectPr>
          <w:pgSz w:w="11900" w:h="16838" w:orient="portrait"/>
          <w:cols w:equalWidth="0" w:num="1">
            <w:col w:w="11020"/>
          </w:cols>
          <w:pgMar w:left="440" w:top="270" w:right="4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undersigned hereby agree that the foregoing statement on Schedule 13G is filed on behalf of each of the undersigned, and any amendments thereto executed by the undersigned shall be filed on behalf of each of the undersigned without the necessity of filing any additional joint filing agreement. The undersigned acknowledge that each is responsible for the timely filing of such statement on Schedule 13G and any amendments thereto, and for the completeness and accuracy of the information concerning him, her or it contained therein, but shall not be responsible for the completeness or accuracy of the information concerning the others of the undersigned, except to the extent that it knows or has reason to believe that such information is inaccurate or incomplete. This Joint Filing Agreement may be executed in any number of counterparts, all of which taken together shall constitute one and the same instrument.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20,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TCG Crossover Fund II,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TCG Crossover GP II,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Craig Skaling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TCG Crossover GP II,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Craig Skaling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Craig Skaling, as attorney-in-fact for Chen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Chen Yu</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
      <w:numFmt w:val="bullet"/>
      <w:start w:val="1"/>
    </w:lvl>
    <w:lvl w:ilvl="1">
      <w:lvlJc w:val="left"/>
      <w:lvlText w:val=" "/>
      <w:numFmt w:val="bullet"/>
      <w:start w:val="1"/>
    </w:lvl>
  </w:abstractNum>
  <w:abstractNum w:abstractNumId="5">
    <w:nsid w:val="4E6AFB66"/>
    <w:multiLevelType w:val="hybridMultilevel"/>
    <w:lvl w:ilvl="0">
      <w:lvlJc w:val="left"/>
      <w:lvlText w:val=" "/>
      <w:numFmt w:val="bullet"/>
      <w:start w:val="1"/>
    </w:lvl>
  </w:abstractNum>
  <w:abstractNum w:abstractNumId="6">
    <w:nsid w:val="25E45D32"/>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7">
    <w:nsid w:val="519B500D"/>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8">
    <w:nsid w:val="431BD7B7"/>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9">
    <w:nsid w:val="3F2DBA31"/>
    <w:multiLevelType w:val="hybridMultilevel"/>
    <w:lvl w:ilvl="0">
      <w:lvlJc w:val="left"/>
      <w:lvlText w:val=" "/>
      <w:numFmt w:val="bullet"/>
      <w:start w:val="1"/>
    </w:lvl>
    <w:lvl w:ilvl="1">
      <w:lvlJc w:val="left"/>
      <w:lvlText w:val=" "/>
      <w:numFmt w:val="bullet"/>
      <w:start w:val="1"/>
    </w:lvl>
  </w:abstractNum>
  <w:abstractNum w:abstractNumId="10">
    <w:nsid w:val="7C83E458"/>
    <w:multiLevelType w:val="hybridMultilevel"/>
    <w:lvl w:ilvl="0">
      <w:lvlJc w:val="left"/>
      <w:lvlText w:val=" "/>
      <w:numFmt w:val="bullet"/>
      <w:start w:val="1"/>
    </w:lvl>
  </w:abstractNum>
  <w:abstractNum w:abstractNumId="11">
    <w:nsid w:val="257130A3"/>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2">
    <w:nsid w:val="62BBD95A"/>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13">
    <w:nsid w:val="436C6125"/>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4">
    <w:nsid w:val="628C895D"/>
    <w:multiLevelType w:val="hybridMultilevel"/>
    <w:lvl w:ilvl="0">
      <w:lvlJc w:val="left"/>
      <w:lvlText w:val=" "/>
      <w:numFmt w:val="bullet"/>
      <w:start w:val="1"/>
    </w:lvl>
    <w:lvl w:ilvl="1">
      <w:lvlJc w:val="left"/>
      <w:lvlText w:val=" "/>
      <w:numFmt w:val="bullet"/>
      <w:start w:val="1"/>
    </w:lvl>
  </w:abstractNum>
  <w:abstractNum w:abstractNumId="15">
    <w:nsid w:val="333AB105"/>
    <w:multiLevelType w:val="hybridMultilevel"/>
    <w:lvl w:ilvl="0">
      <w:lvlJc w:val="left"/>
      <w:lvlText w:val=" "/>
      <w:numFmt w:val="bullet"/>
      <w:start w:val="1"/>
    </w:lvl>
  </w:abstractNum>
  <w:abstractNum w:abstractNumId="16">
    <w:nsid w:val="721DA317"/>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7">
    <w:nsid w:val="2443A858"/>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18">
    <w:nsid w:val="2D1D5AE9"/>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1)"/>
      <w:numFmt w:val="lowerLetter"/>
      <w:start w:val="2"/>
    </w:lvl>
  </w:abstractNum>
  <w:abstractNum w:abstractNumId="21">
    <w:nsid w:val="8EDBDAB"/>
    <w:multiLevelType w:val="hybridMultilevel"/>
    <w:lvl w:ilvl="0">
      <w:lvlJc w:val="left"/>
      <w:lvlText w:val="(%1)"/>
      <w:numFmt w:val="lowerLetter"/>
      <w:start w:val="3"/>
    </w:lvl>
  </w:abstractNum>
  <w:abstractNum w:abstractNumId="22">
    <w:nsid w:val="79838CB2"/>
    <w:multiLevelType w:val="hybridMultilevel"/>
    <w:lvl w:ilvl="0">
      <w:lvlJc w:val="left"/>
      <w:lvlText w:val="(%1)"/>
      <w:numFmt w:val="lowerRoman"/>
      <w:start w:val="1"/>
    </w:lvl>
  </w:abstractNum>
  <w:abstractNum w:abstractNumId="23">
    <w:nsid w:val="4353D0CD"/>
    <w:multiLevelType w:val="hybridMultilevel"/>
    <w:lvl w:ilvl="0">
      <w:lvlJc w:val="left"/>
      <w:lvlText w:val="(%1)"/>
      <w:numFmt w:val="lowerRoman"/>
      <w:start w:val="2"/>
    </w:lvl>
  </w:abstractNum>
  <w:abstractNum w:abstractNumId="24">
    <w:nsid w:val="B03E0C6"/>
    <w:multiLevelType w:val="hybridMultilevel"/>
    <w:lvl w:ilvl="0">
      <w:lvlJc w:val="left"/>
      <w:lvlText w:val="(%1)"/>
      <w:numFmt w:val="lowerRoman"/>
      <w:start w:val="3"/>
    </w:lvl>
  </w:abstractNum>
  <w:abstractNum w:abstractNumId="25">
    <w:nsid w:val="189A769B"/>
    <w:multiLevelType w:val="hybridMultilevel"/>
    <w:lvl w:ilvl="0">
      <w:lvlJc w:val="left"/>
      <w:lvlText w:val="(%1)"/>
      <w:numFmt w:val="lowerRoman"/>
      <w:start w:val="4"/>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2024-11-20T15:41:52Z</dcterms:created>
  <dcterms:modified xsi:type="dcterms:W3CDTF">2024-11-20T15:41:52Z</dcterms:modified>
</cp:coreProperties>
</file>