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96520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121285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March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240665</wp:posOffset>
            </wp:positionV>
            <wp:extent cx="1466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103505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2760" w:type="dxa"/>
            <w:vAlign w:val="bottom"/>
          </w:tcPr>
          <w:p>
            <w:pPr>
              <w:jc w:val="center"/>
              <w:ind w:right="123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35"/>
        </w:trPr>
        <w:tc>
          <w:tcPr>
            <w:tcW w:w="2760" w:type="dxa"/>
            <w:vAlign w:val="bottom"/>
          </w:tcPr>
          <w:p>
            <w:pPr>
              <w:jc w:val="center"/>
              <w:ind w:right="1271"/>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3520" w:type="dxa"/>
            <w:vAlign w:val="bottom"/>
          </w:tcPr>
          <w:p>
            <w:pPr>
              <w:ind w:left="1360"/>
              <w:spacing w:after="0" w:line="135"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20" w:type="dxa"/>
            <w:vAlign w:val="bottom"/>
          </w:tcPr>
          <w:p>
            <w:pPr>
              <w:jc w:val="center"/>
              <w:ind w:left="13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60" w:type="dxa"/>
            <w:vAlign w:val="bottom"/>
          </w:tcPr>
          <w:p>
            <w:pPr>
              <w:jc w:val="center"/>
              <w:ind w:right="125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20" w:type="dxa"/>
            <w:vAlign w:val="bottom"/>
          </w:tcPr>
          <w:p>
            <w:pPr>
              <w:ind w:left="13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200" w:lineRule="exact"/>
        <w:rPr>
          <w:sz w:val="24"/>
          <w:szCs w:val="24"/>
          <w:color w:val="auto"/>
        </w:rPr>
      </w:pPr>
    </w:p>
    <w:p>
      <w:pPr>
        <w:sectPr>
          <w:pgSz w:w="11900" w:h="16838" w:orient="portrait"/>
          <w:cols w:equalWidth="0" w:num="1">
            <w:col w:w="11240"/>
          </w:cols>
          <w:pgMar w:left="320" w:top="884" w:right="339" w:bottom="1440" w:gutter="0" w:footer="0" w:header="0"/>
        </w:sectPr>
      </w:pPr>
    </w:p>
    <w:p>
      <w:pPr>
        <w:spacing w:after="0" w:line="3"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p>
      <w:pPr>
        <w:spacing w:after="0" w:line="28"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02215</w:t>
      </w:r>
    </w:p>
    <w:p>
      <w:pPr>
        <w:spacing w:after="0" w:line="28" w:lineRule="exact"/>
        <w:rPr>
          <w:sz w:val="24"/>
          <w:szCs w:val="24"/>
          <w:color w:val="auto"/>
        </w:rPr>
      </w:pPr>
    </w:p>
    <w:p>
      <w:pPr>
        <w:sectPr>
          <w:pgSz w:w="11900" w:h="16838" w:orient="portrait"/>
          <w:cols w:equalWidth="0" w:num="2">
            <w:col w:w="6580" w:space="720"/>
            <w:col w:w="3940"/>
          </w:cols>
          <w:pgMar w:left="320" w:top="884" w:right="339" w:bottom="1440" w:gutter="0" w:footer="0" w:header="0"/>
          <w:type w:val="continuous"/>
        </w:sectPr>
      </w:pPr>
    </w:p>
    <w:p>
      <w:pPr>
        <w:jc w:val="center"/>
        <w:ind w:left="9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520" w:space="720"/>
            <w:col w:w="4000"/>
          </w:cols>
          <w:pgMar w:left="320" w:top="884"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116205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2"/>
              </w:rPr>
              <w:t>Trading</w:t>
            </w:r>
          </w:p>
        </w:tc>
        <w:tc>
          <w:tcPr>
            <w:tcW w:w="100" w:type="dxa"/>
            <w:vAlign w:val="bottom"/>
          </w:tcPr>
          <w:p>
            <w:pPr>
              <w:spacing w:after="0"/>
              <w:rPr>
                <w:sz w:val="12"/>
                <w:szCs w:val="12"/>
                <w:color w:val="auto"/>
              </w:rPr>
            </w:pPr>
          </w:p>
        </w:tc>
        <w:tc>
          <w:tcPr>
            <w:tcW w:w="3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6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6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222" w:lineRule="exact"/>
        <w:rPr>
          <w:sz w:val="24"/>
          <w:szCs w:val="24"/>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44" w:lineRule="exact"/>
        <w:rPr>
          <w:sz w:val="24"/>
          <w:szCs w:val="24"/>
          <w:color w:val="auto"/>
        </w:rPr>
      </w:pPr>
    </w:p>
    <w:p>
      <w:pPr>
        <w:ind w:left="9320"/>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234" w:lineRule="exact"/>
        <w:rPr>
          <w:sz w:val="24"/>
          <w:szCs w:val="24"/>
          <w:color w:val="auto"/>
        </w:r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86"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20"/>
          <w:szCs w:val="20"/>
          <w:color w:val="auto"/>
        </w:rPr>
        <w:t>On March 27, 2023, Tango Therapeutics, Inc. issued a press release relating to its results of operations and financial condition for the quarter and year ended December 31, 2022. A copy of the press release is furnished as Exhibit 99.1 to this Current Report on Form 8-K.</w:t>
      </w:r>
    </w:p>
    <w:p>
      <w:pPr>
        <w:spacing w:after="0" w:line="17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24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720" w:type="dxa"/>
            <w:vAlign w:val="bottom"/>
          </w:tcPr>
          <w:p>
            <w:pPr>
              <w:spacing w:after="0"/>
              <w:rPr>
                <w:sz w:val="18"/>
                <w:szCs w:val="18"/>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2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9"/>
              </w:rPr>
              <w:t>Press Release issued by Tango Therapeutics, Inc. on March 27, 2023 relating to its results of operations and financial condition</w:t>
            </w: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Borders>
              <w:right w:val="single" w:sz="8" w:color="0000FF"/>
            </w:tcBorders>
            <w:gridSpan w:val="3"/>
            <w:shd w:val="clear" w:color="auto" w:fill="0000FF"/>
          </w:tcPr>
          <w:p>
            <w:pPr>
              <w:spacing w:after="0" w:line="20" w:lineRule="exact"/>
              <w:rPr>
                <w:sz w:val="1"/>
                <w:szCs w:val="1"/>
                <w:color w:val="auto"/>
              </w:rPr>
            </w:pPr>
          </w:p>
        </w:tc>
        <w:tc>
          <w:tcPr>
            <w:tcW w:w="6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2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0000FF"/>
              </w:rPr>
              <w:t>for the quarter ended December 31, 2022.</w:t>
            </w: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300" w:type="dxa"/>
            <w:vAlign w:val="bottom"/>
            <w:tcBorders>
              <w:right w:val="single" w:sz="8" w:color="0000EE"/>
            </w:tcBorders>
            <w:gridSpan w:val="3"/>
            <w:shd w:val="clear" w:color="auto" w:fill="0000FF"/>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r>
      <w:tr>
        <w:trPr>
          <w:trHeight w:val="404"/>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338"/>
        </w:trPr>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8" w:lineRule="exact"/>
        <w:rPr>
          <w:sz w:val="20"/>
          <w:szCs w:val="20"/>
          <w:color w:val="auto"/>
        </w:rPr>
      </w:pPr>
    </w:p>
    <w:p>
      <w:pPr>
        <w:ind w:right="500" w:firstLine="50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00" w:type="dxa"/>
            <w:vAlign w:val="bottom"/>
          </w:tcPr>
          <w:p>
            <w:pPr>
              <w:spacing w:after="0"/>
              <w:rPr>
                <w:sz w:val="24"/>
                <w:szCs w:val="24"/>
                <w:color w:val="auto"/>
              </w:rPr>
            </w:pPr>
          </w:p>
        </w:tc>
        <w:tc>
          <w:tcPr>
            <w:tcW w:w="8440" w:type="dxa"/>
            <w:vAlign w:val="bottom"/>
            <w:gridSpan w:val="3"/>
          </w:tcPr>
          <w:p>
            <w:pPr>
              <w:ind w:left="74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33"/>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Dated: March 27, 2023</w:t>
            </w:r>
          </w:p>
        </w:tc>
        <w:tc>
          <w:tcPr>
            <w:tcW w:w="844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Douglas Barry</w:t>
            </w:r>
          </w:p>
        </w:tc>
      </w:tr>
      <w:tr>
        <w:trPr>
          <w:trHeight w:val="20"/>
        </w:trPr>
        <w:tc>
          <w:tcPr>
            <w:tcW w:w="2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236"/>
        </w:trPr>
        <w:tc>
          <w:tcPr>
            <w:tcW w:w="2800" w:type="dxa"/>
            <w:vAlign w:val="bottom"/>
          </w:tcPr>
          <w:p>
            <w:pPr>
              <w:spacing w:after="0"/>
              <w:rPr>
                <w:sz w:val="20"/>
                <w:szCs w:val="20"/>
                <w:color w:val="auto"/>
              </w:rPr>
            </w:pPr>
          </w:p>
        </w:tc>
        <w:tc>
          <w:tcPr>
            <w:tcW w:w="3140" w:type="dxa"/>
            <w:vAlign w:val="bottom"/>
            <w:gridSpan w:val="2"/>
          </w:tcPr>
          <w:p>
            <w:pPr>
              <w:ind w:left="740"/>
              <w:spacing w:after="0" w:line="236" w:lineRule="exact"/>
              <w:rPr>
                <w:sz w:val="20"/>
                <w:szCs w:val="20"/>
                <w:color w:val="auto"/>
              </w:rPr>
            </w:pPr>
            <w:r>
              <w:rPr>
                <w:rFonts w:ascii="Times New Roman" w:cs="Times New Roman" w:eastAsia="Times New Roman" w:hAnsi="Times New Roman"/>
                <w:sz w:val="22"/>
                <w:szCs w:val="22"/>
                <w:color w:val="auto"/>
              </w:rPr>
              <w:t>Name: Douglas Barry</w:t>
            </w:r>
          </w:p>
        </w:tc>
        <w:tc>
          <w:tcPr>
            <w:tcW w:w="5300" w:type="dxa"/>
            <w:vAlign w:val="bottom"/>
          </w:tcPr>
          <w:p>
            <w:pPr>
              <w:spacing w:after="0"/>
              <w:rPr>
                <w:sz w:val="20"/>
                <w:szCs w:val="20"/>
                <w:color w:val="auto"/>
              </w:rPr>
            </w:pPr>
          </w:p>
        </w:tc>
      </w:tr>
      <w:tr>
        <w:trPr>
          <w:trHeight w:val="282"/>
        </w:trPr>
        <w:tc>
          <w:tcPr>
            <w:tcW w:w="2800" w:type="dxa"/>
            <w:vAlign w:val="bottom"/>
          </w:tcPr>
          <w:p>
            <w:pPr>
              <w:spacing w:after="0"/>
              <w:rPr>
                <w:sz w:val="24"/>
                <w:szCs w:val="24"/>
                <w:color w:val="auto"/>
              </w:rPr>
            </w:pPr>
          </w:p>
        </w:tc>
        <w:tc>
          <w:tcPr>
            <w:tcW w:w="8440" w:type="dxa"/>
            <w:vAlign w:val="bottom"/>
            <w:gridSpan w:val="3"/>
          </w:tcPr>
          <w:p>
            <w:pPr>
              <w:ind w:left="740"/>
              <w:spacing w:after="0"/>
              <w:rPr>
                <w:sz w:val="20"/>
                <w:szCs w:val="20"/>
                <w:color w:val="auto"/>
              </w:rPr>
            </w:pPr>
            <w:r>
              <w:rPr>
                <w:rFonts w:ascii="Times New Roman" w:cs="Times New Roman" w:eastAsia="Times New Roman" w:hAnsi="Times New Roman"/>
                <w:sz w:val="22"/>
                <w:szCs w:val="22"/>
                <w:color w:val="auto"/>
              </w:rPr>
              <w:t>Title: General Counsel</w:t>
            </w:r>
          </w:p>
        </w:tc>
      </w:tr>
      <w:tr>
        <w:trPr>
          <w:trHeight w:val="103"/>
        </w:trPr>
        <w:tc>
          <w:tcPr>
            <w:tcW w:w="28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5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jc w:val="center"/>
        <w:ind w:right="20"/>
        <w:spacing w:after="0"/>
        <w:rPr>
          <w:sz w:val="20"/>
          <w:szCs w:val="20"/>
          <w:color w:val="auto"/>
        </w:rPr>
      </w:pPr>
      <w:r>
        <w:rPr>
          <w:rFonts w:ascii="Calibri" w:cs="Calibri" w:eastAsia="Calibri" w:hAnsi="Calibri"/>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t>Tango Therapeutcs Reports Fourth Quarter and Full Year 2022 Financial Results</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and Provides Business Highlights</w:t>
      </w:r>
    </w:p>
    <w:p>
      <w:pPr>
        <w:spacing w:after="0" w:line="27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i w:val="1"/>
          <w:iCs w:val="1"/>
          <w:color w:val="auto"/>
        </w:rPr>
        <w:t>– Fast Track Designaton granted to TNG462, next-generaton MTA-Cooperatve PRMT5 inhibitor –</w:t>
      </w:r>
    </w:p>
    <w:p>
      <w:pPr>
        <w:spacing w:after="0" w:line="27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i w:val="1"/>
          <w:iCs w:val="1"/>
          <w:color w:val="auto"/>
        </w:rPr>
        <w:t>– Adam Crystal, M.D., Ph.D. appointed President of Research and Development –</w:t>
      </w:r>
    </w:p>
    <w:p>
      <w:pPr>
        <w:spacing w:after="0" w:line="200" w:lineRule="exact"/>
        <w:rPr>
          <w:sz w:val="20"/>
          <w:szCs w:val="20"/>
          <w:color w:val="auto"/>
        </w:rPr>
      </w:pPr>
    </w:p>
    <w:p>
      <w:pPr>
        <w:spacing w:after="0" w:line="354" w:lineRule="exact"/>
        <w:rPr>
          <w:sz w:val="20"/>
          <w:szCs w:val="20"/>
          <w:color w:val="auto"/>
        </w:rPr>
      </w:pPr>
    </w:p>
    <w:p>
      <w:pPr>
        <w:ind w:right="80"/>
        <w:spacing w:after="0" w:line="237" w:lineRule="auto"/>
        <w:rPr>
          <w:sz w:val="20"/>
          <w:szCs w:val="20"/>
          <w:color w:val="auto"/>
        </w:rPr>
      </w:pPr>
      <w:r>
        <w:rPr>
          <w:rFonts w:ascii="Calibri" w:cs="Calibri" w:eastAsia="Calibri" w:hAnsi="Calibri"/>
          <w:sz w:val="22"/>
          <w:szCs w:val="22"/>
          <w:b w:val="1"/>
          <w:bCs w:val="1"/>
          <w:color w:val="auto"/>
        </w:rPr>
        <w:t xml:space="preserve">BOSTON, Mass. – March 27, 2023 </w:t>
      </w:r>
      <w:r>
        <w:rPr>
          <w:rFonts w:ascii="Calibri" w:cs="Calibri" w:eastAsia="Calibri" w:hAnsi="Calibri"/>
          <w:sz w:val="22"/>
          <w:szCs w:val="22"/>
          <w:color w:val="auto"/>
        </w:rPr>
        <w:t>– Tango Therapeutcs, Inc. (NASDAQ: TNGX), a clinical-stage biotechnology company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commited to discovering and delivering the next generaton of precision cancer medicines, reported its fnancial results for the fourth quarter and full year ended December 31, 2022, and provided business highlights.</w:t>
      </w:r>
    </w:p>
    <w:p>
      <w:pPr>
        <w:spacing w:after="0" w:line="230" w:lineRule="exact"/>
        <w:rPr>
          <w:sz w:val="20"/>
          <w:szCs w:val="20"/>
          <w:color w:val="auto"/>
        </w:rPr>
      </w:pPr>
    </w:p>
    <w:p>
      <w:pPr>
        <w:spacing w:after="0" w:line="239" w:lineRule="auto"/>
        <w:rPr>
          <w:sz w:val="20"/>
          <w:szCs w:val="20"/>
          <w:color w:val="auto"/>
        </w:rPr>
      </w:pPr>
      <w:r>
        <w:rPr>
          <w:rFonts w:ascii="Calibri" w:cs="Calibri" w:eastAsia="Calibri" w:hAnsi="Calibri"/>
          <w:sz w:val="22"/>
          <w:szCs w:val="22"/>
          <w:color w:val="auto"/>
        </w:rPr>
        <w:t>“2022 was an important year for Tango, as we made critcal strides in advancing our programs. We advanced our pipeline of precision oncology programs with the additon of three synthetc lethal development candidates and most importantly, initated the clinical trial of our lead program, TNG908. We also contnued to buildout our executve team with the additon of Adam Crystal, M.D., Ph.D. as President of Research and Development,” said Barbara Weber, M.D., President and Chief Executve Ofcer of Tango Therapeutcs. “We’ve contnued the momentum in 2023 with IND clearance for TNG462, a next-generaton MTA-cooperatve PRMT5 inhibitor, and antcipated IND flings for TNG260, a CoREST inhibitor, and TNG348, a USP1 inhibitor, this year. We look forward to providing an update on dose escalaton in the ongoing clinical trial of TNG908 focused on proof-of-mechanism in the second quarter.”</w:t>
      </w: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Recent Business Highlights</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Pipeline Update</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TNG908, an MTA-cooperatve PRMT5 inhibitor</w:t>
      </w:r>
    </w:p>
    <w:p>
      <w:pPr>
        <w:spacing w:after="0" w:line="122" w:lineRule="exact"/>
        <w:rPr>
          <w:sz w:val="20"/>
          <w:szCs w:val="20"/>
          <w:color w:val="auto"/>
        </w:rPr>
      </w:pPr>
    </w:p>
    <w:p>
      <w:pPr>
        <w:ind w:left="1020" w:right="980" w:hanging="503"/>
        <w:spacing w:after="0" w:line="235" w:lineRule="auto"/>
        <w:tabs>
          <w:tab w:leader="none" w:pos="1020" w:val="left"/>
        </w:tabs>
        <w:numPr>
          <w:ilvl w:val="0"/>
          <w:numId w:val="2"/>
        </w:numPr>
        <w:rPr>
          <w:rFonts w:ascii="Times New Roman" w:cs="Times New Roman" w:eastAsia="Times New Roman" w:hAnsi="Times New Roman"/>
          <w:sz w:val="22"/>
          <w:szCs w:val="22"/>
          <w:color w:val="auto"/>
        </w:rPr>
      </w:pPr>
      <w:r>
        <w:rPr>
          <w:rFonts w:ascii="Calibri" w:cs="Calibri" w:eastAsia="Calibri" w:hAnsi="Calibri"/>
          <w:sz w:val="22"/>
          <w:szCs w:val="22"/>
          <w:color w:val="auto"/>
        </w:rPr>
        <w:t>Patents are actvely being enrolled in the Phase 1/2 clinical trial. Based on a recent protocol amendment, glioblastoma (GBM) patents will be added to the ongoing trial.</w:t>
      </w:r>
    </w:p>
    <w:p>
      <w:pPr>
        <w:spacing w:after="0" w:line="122" w:lineRule="exact"/>
        <w:rPr>
          <w:rFonts w:ascii="Times New Roman" w:cs="Times New Roman" w:eastAsia="Times New Roman" w:hAnsi="Times New Roman"/>
          <w:sz w:val="22"/>
          <w:szCs w:val="22"/>
          <w:color w:val="auto"/>
        </w:rPr>
      </w:pPr>
    </w:p>
    <w:p>
      <w:pPr>
        <w:ind w:left="1020" w:right="60" w:hanging="503"/>
        <w:spacing w:after="0" w:line="235" w:lineRule="auto"/>
        <w:tabs>
          <w:tab w:leader="none" w:pos="1020" w:val="left"/>
        </w:tabs>
        <w:numPr>
          <w:ilvl w:val="0"/>
          <w:numId w:val="2"/>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the fourth quarter of 2022, the U.S. Food and Drug Administraton (FDA) granted Orphan Drug Designaton (ODD) to TNG908 for the treatment of malignant glioma (GBM).</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TNG908 is an MTA-cooperatve inhibitor of PRMT5 that works selectvely in cancer cells with MTAP deleton.</w:t>
      </w:r>
    </w:p>
    <w:p>
      <w:pPr>
        <w:spacing w:after="0" w:line="121" w:lineRule="exact"/>
        <w:rPr>
          <w:rFonts w:ascii="Times New Roman" w:cs="Times New Roman" w:eastAsia="Times New Roman" w:hAnsi="Times New Roman"/>
          <w:sz w:val="22"/>
          <w:szCs w:val="22"/>
          <w:color w:val="auto"/>
        </w:rPr>
      </w:pPr>
    </w:p>
    <w:p>
      <w:pPr>
        <w:ind w:left="1020" w:right="800" w:hanging="503"/>
        <w:spacing w:after="0" w:line="235" w:lineRule="auto"/>
        <w:tabs>
          <w:tab w:leader="none" w:pos="1020" w:val="left"/>
        </w:tabs>
        <w:numPr>
          <w:ilvl w:val="0"/>
          <w:numId w:val="2"/>
        </w:numPr>
        <w:rPr>
          <w:rFonts w:ascii="Times New Roman" w:cs="Times New Roman" w:eastAsia="Times New Roman" w:hAnsi="Times New Roman"/>
          <w:sz w:val="22"/>
          <w:szCs w:val="22"/>
          <w:color w:val="auto"/>
        </w:rPr>
      </w:pPr>
      <w:r>
        <w:rPr>
          <w:rFonts w:ascii="Calibri" w:cs="Calibri" w:eastAsia="Calibri" w:hAnsi="Calibri"/>
          <w:sz w:val="22"/>
          <w:szCs w:val="22"/>
          <w:color w:val="auto"/>
        </w:rPr>
        <w:t>MTAP deletons occur in approximately 10%-15% of all human cancers, including non-small cell lung cancer, mesothelioma, cholangiocarcinoma and GBM.</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TNG462, a next-generaton MTA-cooperatve PRMT5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ind w:left="1020" w:right="40" w:hanging="503"/>
        <w:spacing w:after="0" w:line="238"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U.S. FDA has granted Fast Track Designaton (FTD) to TNG462, a next-generaton MTA-cooperatve inhibitor of PRMT5 for the treatment of cancers with MTAP deleton. FTD is designed to facilitate the development and expedite the review of drugs to treat serious conditons and fulfll an unmet medical need, with the potental to allow drugs to reach more patents faster.</w:t>
      </w:r>
    </w:p>
    <w:p>
      <w:pPr>
        <w:spacing w:after="0" w:line="122" w:lineRule="exact"/>
        <w:rPr>
          <w:rFonts w:ascii="Times New Roman" w:cs="Times New Roman" w:eastAsia="Times New Roman" w:hAnsi="Times New Roman"/>
          <w:sz w:val="22"/>
          <w:szCs w:val="22"/>
          <w:color w:val="auto"/>
        </w:rPr>
      </w:pPr>
    </w:p>
    <w:p>
      <w:pPr>
        <w:ind w:left="1020" w:right="40" w:hanging="503"/>
        <w:spacing w:after="0" w:line="238"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January 2023, the U.S. FDA cleared the Investgatonal New Drug (IND) applicaton for TNG462. The Phase 1/2 trial, which will require all patents to have an MTAP deleton, will evaluate solid tumors, including but not limited to non-small cell lung cancer, mesothelioma and cholangiocarcinoma. Unlike TNG908, GBM patents will be excluded from the clinical trial as TNG462 does not cross the blood-brain barrier in preclinical studies.</w:t>
      </w:r>
    </w:p>
    <w:p>
      <w:pPr>
        <w:spacing w:after="0" w:line="122" w:lineRule="exact"/>
        <w:rPr>
          <w:rFonts w:ascii="Times New Roman" w:cs="Times New Roman" w:eastAsia="Times New Roman" w:hAnsi="Times New Roman"/>
          <w:sz w:val="22"/>
          <w:szCs w:val="22"/>
          <w:color w:val="auto"/>
        </w:rPr>
      </w:pPr>
    </w:p>
    <w:p>
      <w:pPr>
        <w:ind w:left="1020" w:right="140" w:hanging="503"/>
        <w:spacing w:after="0" w:line="238"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TNG462 has the same mechanism of acton as TNG908 with enhanced potency and selectvity in MTAP-deleted cell line and patent-derived xenografs. In preclinical studies, TNG462 is 45X selectve for MTAP-deletons (three-fold greater than TNG908) and 28X more potent than TNG908, which may translate into a wider therapeutc index and stronger target inhibiton than TNG908.</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TNG260, a frst-in-class CoREST complex inhibitor</w:t>
      </w:r>
    </w:p>
    <w:p>
      <w:pPr>
        <w:spacing w:after="0" w:line="11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TNG260 is a frst-in-class inhibitor of the CoREST complex (</w:t>
      </w:r>
      <w:r>
        <w:rPr>
          <w:rFonts w:ascii="Calibri" w:cs="Calibri" w:eastAsia="Calibri" w:hAnsi="Calibri"/>
          <w:sz w:val="22"/>
          <w:szCs w:val="22"/>
          <w:u w:val="single" w:color="auto"/>
          <w:color w:val="auto"/>
        </w:rPr>
        <w:t>C</w:t>
      </w:r>
      <w:r>
        <w:rPr>
          <w:rFonts w:ascii="Calibri" w:cs="Calibri" w:eastAsia="Calibri" w:hAnsi="Calibri"/>
          <w:sz w:val="22"/>
          <w:szCs w:val="22"/>
          <w:color w:val="auto"/>
        </w:rPr>
        <w:t xml:space="preserve">o-repressor of </w:t>
      </w:r>
      <w:r>
        <w:rPr>
          <w:rFonts w:ascii="Calibri" w:cs="Calibri" w:eastAsia="Calibri" w:hAnsi="Calibri"/>
          <w:sz w:val="22"/>
          <w:szCs w:val="22"/>
          <w:u w:val="single" w:color="auto"/>
          <w:color w:val="auto"/>
        </w:rPr>
        <w:t>R</w:t>
      </w:r>
      <w:r>
        <w:rPr>
          <w:rFonts w:ascii="Calibri" w:cs="Calibri" w:eastAsia="Calibri" w:hAnsi="Calibri"/>
          <w:sz w:val="22"/>
          <w:szCs w:val="22"/>
          <w:color w:val="auto"/>
        </w:rPr>
        <w:t xml:space="preserve">epressor </w:t>
      </w:r>
      <w:r>
        <w:rPr>
          <w:rFonts w:ascii="Calibri" w:cs="Calibri" w:eastAsia="Calibri" w:hAnsi="Calibri"/>
          <w:sz w:val="22"/>
          <w:szCs w:val="22"/>
          <w:u w:val="single" w:color="auto"/>
          <w:color w:val="auto"/>
        </w:rPr>
        <w:t>E</w:t>
      </w:r>
      <w:r>
        <w:rPr>
          <w:rFonts w:ascii="Calibri" w:cs="Calibri" w:eastAsia="Calibri" w:hAnsi="Calibri"/>
          <w:sz w:val="22"/>
          <w:szCs w:val="22"/>
          <w:color w:val="auto"/>
        </w:rPr>
        <w:t>lement-1</w:t>
      </w:r>
      <w:r>
        <w:rPr>
          <w:rFonts w:ascii="Calibri" w:cs="Calibri" w:eastAsia="Calibri" w:hAnsi="Calibri"/>
          <w:sz w:val="22"/>
          <w:szCs w:val="22"/>
          <w:u w:val="single" w:color="auto"/>
          <w:color w:val="auto"/>
        </w:rPr>
        <w:t>S</w:t>
      </w:r>
      <w:r>
        <w:rPr>
          <w:rFonts w:ascii="Calibri" w:cs="Calibri" w:eastAsia="Calibri" w:hAnsi="Calibri"/>
          <w:sz w:val="22"/>
          <w:szCs w:val="22"/>
          <w:color w:val="auto"/>
        </w:rPr>
        <w:t>ilencing</w:t>
      </w:r>
    </w:p>
    <w:p>
      <w:pPr>
        <w:spacing w:after="0" w:line="12" w:lineRule="exact"/>
        <w:rPr>
          <w:rFonts w:ascii="Times New Roman" w:cs="Times New Roman" w:eastAsia="Times New Roman" w:hAnsi="Times New Roman"/>
          <w:sz w:val="22"/>
          <w:szCs w:val="22"/>
          <w:color w:val="auto"/>
        </w:rPr>
      </w:pPr>
    </w:p>
    <w:p>
      <w:pPr>
        <w:ind w:left="1020" w:right="60"/>
        <w:spacing w:after="0" w:line="235" w:lineRule="auto"/>
        <w:rPr>
          <w:rFonts w:ascii="Times New Roman" w:cs="Times New Roman" w:eastAsia="Times New Roman" w:hAnsi="Times New Roman"/>
          <w:sz w:val="22"/>
          <w:szCs w:val="22"/>
          <w:color w:val="auto"/>
        </w:rPr>
      </w:pPr>
      <w:r>
        <w:rPr>
          <w:rFonts w:ascii="Calibri" w:cs="Calibri" w:eastAsia="Calibri" w:hAnsi="Calibri"/>
          <w:sz w:val="22"/>
          <w:szCs w:val="22"/>
          <w:u w:val="single" w:color="auto"/>
          <w:color w:val="auto"/>
        </w:rPr>
        <w:t>T</w:t>
      </w:r>
      <w:r>
        <w:rPr>
          <w:rFonts w:ascii="Calibri" w:cs="Calibri" w:eastAsia="Calibri" w:hAnsi="Calibri"/>
          <w:sz w:val="22"/>
          <w:szCs w:val="22"/>
          <w:color w:val="auto"/>
        </w:rPr>
        <w:t>ranscripton), for the treatment of STK11-mutant cancers, which reverses the immune evasion efect of STK11 loss-of-functon mutatons.</w:t>
      </w:r>
    </w:p>
    <w:p>
      <w:pPr>
        <w:spacing w:after="0" w:line="122" w:lineRule="exact"/>
        <w:rPr>
          <w:rFonts w:ascii="Times New Roman" w:cs="Times New Roman" w:eastAsia="Times New Roman" w:hAnsi="Times New Roman"/>
          <w:sz w:val="22"/>
          <w:szCs w:val="22"/>
          <w:color w:val="auto"/>
        </w:rPr>
      </w:pPr>
    </w:p>
    <w:p>
      <w:pPr>
        <w:ind w:left="1020" w:hanging="503"/>
        <w:spacing w:after="0" w:line="235"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CoREST complex plays a major role in regulatng the expression of immunomodulatory proteins in STK11-mutant cancers.</w:t>
      </w:r>
    </w:p>
    <w:p>
      <w:pPr>
        <w:spacing w:after="0" w:line="122" w:lineRule="exact"/>
        <w:rPr>
          <w:rFonts w:ascii="Times New Roman" w:cs="Times New Roman" w:eastAsia="Times New Roman" w:hAnsi="Times New Roman"/>
          <w:sz w:val="22"/>
          <w:szCs w:val="22"/>
          <w:color w:val="auto"/>
        </w:rPr>
      </w:pPr>
    </w:p>
    <w:p>
      <w:pPr>
        <w:ind w:left="1020" w:right="80" w:hanging="503"/>
        <w:spacing w:after="0" w:line="238"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Inhibiton of the CoREST complex by TNG260 reverses ant-PD1 resistance driven by STK11 mutatons in preclinical models. In syngeneic models with an STK11 mutaton and an intact immune system, the combinaton of TNG260 with an ant-PD-1 antbody resulted in sustained complete tumor regressions and the inducton of immune memory that prevented re-implantaton of the same tumor xenograf.</w:t>
      </w:r>
    </w:p>
    <w:p>
      <w:pPr>
        <w:spacing w:after="0" w:line="122" w:lineRule="exact"/>
        <w:rPr>
          <w:rFonts w:ascii="Times New Roman" w:cs="Times New Roman" w:eastAsia="Times New Roman" w:hAnsi="Times New Roman"/>
          <w:sz w:val="22"/>
          <w:szCs w:val="22"/>
          <w:color w:val="auto"/>
        </w:rPr>
      </w:pPr>
    </w:p>
    <w:p>
      <w:pPr>
        <w:ind w:left="1020" w:right="160" w:hanging="503"/>
        <w:spacing w:after="0" w:line="235"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STK11 mutatons occur in approximately 15% of non-small cell lung, 15% of cervical, 10% of carcinoma of unknown primary, 5% of breast and 3% of pancreatc cancers.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TNG348, a novel USP1 inhibitor</w:t>
      </w:r>
    </w:p>
    <w:p>
      <w:pPr>
        <w:spacing w:after="0" w:line="120" w:lineRule="exact"/>
        <w:rPr>
          <w:sz w:val="20"/>
          <w:szCs w:val="20"/>
          <w:color w:val="auto"/>
        </w:rPr>
      </w:pPr>
    </w:p>
    <w:p>
      <w:pPr>
        <w:ind w:left="1020" w:right="140" w:hanging="503"/>
        <w:spacing w:after="0" w:line="235"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TNG348 is an inhibitor of USP1 (ubiquitn-specifc protease 1) being developed for the treatment of BRCA1, BRCA2-mutant and other HRD+ (homologous recombinaton defcient) cancers.</w:t>
      </w:r>
    </w:p>
    <w:p>
      <w:pPr>
        <w:spacing w:after="0" w:line="122" w:lineRule="exact"/>
        <w:rPr>
          <w:rFonts w:ascii="Times New Roman" w:cs="Times New Roman" w:eastAsia="Times New Roman" w:hAnsi="Times New Roman"/>
          <w:sz w:val="22"/>
          <w:szCs w:val="22"/>
          <w:color w:val="auto"/>
        </w:rPr>
      </w:pPr>
    </w:p>
    <w:p>
      <w:pPr>
        <w:ind w:left="1020" w:right="160" w:hanging="503"/>
        <w:spacing w:after="0" w:line="237"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TNG348 has single agent efcacy and combinaton beneft with PARP inhibitors in BRCA1, BRCA2-mutant and other HRD+ cell-line and patent derived xenografs, including those that are intrinsically resistant to PARP inhibiton. These preclinical data demonstrate that TNG348 is synergistc with PARP inhibiton across a panel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 w:name="page6"/>
    <w:bookmarkEnd w:id="5"/>
    <w:p>
      <w:pPr>
        <w:jc w:val="center"/>
        <w:ind w:right="-39"/>
        <w:spacing w:after="0"/>
        <w:rPr>
          <w:sz w:val="20"/>
          <w:szCs w:val="20"/>
          <w:color w:val="auto"/>
        </w:rPr>
      </w:pPr>
      <w:r>
        <w:rPr>
          <w:rFonts w:ascii="Calibri" w:cs="Calibri" w:eastAsia="Calibri" w:hAnsi="Calibri"/>
          <w:sz w:val="22"/>
          <w:szCs w:val="22"/>
          <w:color w:val="auto"/>
        </w:rPr>
        <w:t>human ovarian and breast cancer cell lines, including both PARP inhibitor sensitve and resistant models.</w:t>
      </w:r>
    </w:p>
    <w:p>
      <w:pPr>
        <w:spacing w:after="0" w:line="120" w:lineRule="exact"/>
        <w:rPr>
          <w:sz w:val="20"/>
          <w:szCs w:val="20"/>
          <w:color w:val="auto"/>
        </w:rPr>
      </w:pPr>
    </w:p>
    <w:p>
      <w:pPr>
        <w:ind w:left="1020" w:right="120" w:hanging="503"/>
        <w:spacing w:after="0" w:line="237"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BRCA1/2 mutatons are present in approximately 15% of ovarian, 10% of breast, 5% of endometrial and 5% of pancreatc cancers and additonally, BRCA wild-type HRD+ mutatons are present in approximately 40% of ovarian, 15% of breast, 3% of prostate and 2% of pancreatc cancers.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Upcoming Milestones</w:t>
      </w:r>
    </w:p>
    <w:p>
      <w:pPr>
        <w:spacing w:after="0" w:line="120" w:lineRule="exact"/>
        <w:rPr>
          <w:sz w:val="20"/>
          <w:szCs w:val="20"/>
          <w:color w:val="auto"/>
        </w:rPr>
      </w:pPr>
    </w:p>
    <w:p>
      <w:pPr>
        <w:ind w:left="1020" w:right="320" w:hanging="503"/>
        <w:spacing w:after="0" w:line="235"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 update from the ongoing dose escalaton trial for TNG908 focused on proof-of-mechanism is on track for the second quarter of 2023.</w:t>
      </w:r>
    </w:p>
    <w:p>
      <w:pPr>
        <w:spacing w:after="0" w:line="111"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IND fling for TNG260 is on track for the frst half of 2023.</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initaton of the Phase 1/2 clinical trial for TNG462 is on track for mid-2023.</w:t>
      </w:r>
    </w:p>
    <w:p>
      <w:pPr>
        <w:spacing w:after="0" w:line="107"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IND fling for TNG348 is on track for mid-2023.</w:t>
      </w:r>
    </w:p>
    <w:p>
      <w:pPr>
        <w:spacing w:after="0" w:line="273"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Leadership Update</w:t>
      </w:r>
    </w:p>
    <w:p>
      <w:pPr>
        <w:spacing w:after="0" w:line="282" w:lineRule="exact"/>
        <w:rPr>
          <w:sz w:val="20"/>
          <w:szCs w:val="20"/>
          <w:color w:val="auto"/>
        </w:rPr>
      </w:pPr>
    </w:p>
    <w:p>
      <w:pPr>
        <w:ind w:right="80"/>
        <w:spacing w:after="0" w:line="239" w:lineRule="auto"/>
        <w:rPr>
          <w:sz w:val="20"/>
          <w:szCs w:val="20"/>
          <w:color w:val="auto"/>
        </w:rPr>
      </w:pPr>
      <w:r>
        <w:rPr>
          <w:rFonts w:ascii="Calibri" w:cs="Calibri" w:eastAsia="Calibri" w:hAnsi="Calibri"/>
          <w:sz w:val="22"/>
          <w:szCs w:val="22"/>
          <w:color w:val="auto"/>
        </w:rPr>
        <w:t>In February 2023, the Company strengthened its management team with the appointment of Adam Crystal, M.D., Ph.D. as President of Research and Development. In this executve leadership role, Dr. Crystal will oversee all phases of preclinical research, drug discovery and clinical development. Alan Huang, Ph.D., Chief Scientfc Ofcer, and Ron Weitzman, M.D., Chief Medical Ofcer, will contnue to lead the research and clinical development functons, respectvely, as members of Dr. Crystal’s team.</w:t>
      </w:r>
    </w:p>
    <w:p>
      <w:pPr>
        <w:spacing w:after="0" w:line="270"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Scientfc Presentatons</w:t>
      </w:r>
    </w:p>
    <w:p>
      <w:pPr>
        <w:spacing w:after="0" w:line="27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American Associaton for Cancer Research (AACR) 2023 Annual Meetng, April 14-19, 2023, Orlando, FL</w:t>
      </w:r>
    </w:p>
    <w:p>
      <w:pPr>
        <w:spacing w:after="0" w:line="120" w:lineRule="exact"/>
        <w:rPr>
          <w:sz w:val="20"/>
          <w:szCs w:val="20"/>
          <w:color w:val="auto"/>
        </w:rPr>
      </w:pPr>
    </w:p>
    <w:p>
      <w:pPr>
        <w:jc w:val="both"/>
        <w:ind w:left="1020" w:right="320" w:hanging="503"/>
        <w:spacing w:after="0" w:line="237" w:lineRule="auto"/>
        <w:tabs>
          <w:tab w:leader="none" w:pos="102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March 2023, the Company announced upcoming presentatons and accepted abstracts on its synthetc lethal pipeline at the AACR 2023 Annual Meetng. The presentatons will highlight the efcacy of TNG908 in preclinical glioblastoma models and the discovery and mechanism of acton of TNG260.</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Financial Results</w:t>
      </w:r>
    </w:p>
    <w:p>
      <w:pPr>
        <w:spacing w:after="0" w:line="282" w:lineRule="exact"/>
        <w:rPr>
          <w:sz w:val="20"/>
          <w:szCs w:val="20"/>
          <w:color w:val="auto"/>
        </w:rPr>
      </w:pPr>
    </w:p>
    <w:p>
      <w:pPr>
        <w:ind w:right="440"/>
        <w:spacing w:after="0" w:line="235" w:lineRule="auto"/>
        <w:rPr>
          <w:sz w:val="20"/>
          <w:szCs w:val="20"/>
          <w:color w:val="auto"/>
        </w:rPr>
      </w:pPr>
      <w:r>
        <w:rPr>
          <w:rFonts w:ascii="Calibri" w:cs="Calibri" w:eastAsia="Calibri" w:hAnsi="Calibri"/>
          <w:sz w:val="22"/>
          <w:szCs w:val="22"/>
          <w:color w:val="auto"/>
        </w:rPr>
        <w:t>As of December 31, 2022, the Company held $366.1 million in cash, cash equivalents and marketable securites, which the Company believes to be sufcient to fund operatons into 2025.</w:t>
      </w:r>
    </w:p>
    <w:p>
      <w:pPr>
        <w:spacing w:after="0" w:line="284" w:lineRule="exact"/>
        <w:rPr>
          <w:sz w:val="20"/>
          <w:szCs w:val="20"/>
          <w:color w:val="auto"/>
        </w:rPr>
      </w:pPr>
    </w:p>
    <w:p>
      <w:pPr>
        <w:spacing w:after="0" w:line="235" w:lineRule="auto"/>
        <w:rPr>
          <w:sz w:val="20"/>
          <w:szCs w:val="20"/>
          <w:color w:val="auto"/>
        </w:rPr>
      </w:pPr>
      <w:r>
        <w:rPr>
          <w:rFonts w:ascii="Calibri" w:cs="Calibri" w:eastAsia="Calibri" w:hAnsi="Calibri"/>
          <w:sz w:val="22"/>
          <w:szCs w:val="22"/>
          <w:color w:val="auto"/>
        </w:rPr>
        <w:t>Collaboraton revenue was $6.4 million for the three months ended December 31, 2022, compared to $5.7 million for the same period in 2021, and $24.9 million for the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92" w:right="459" w:bottom="1440" w:gutter="0" w:footer="0" w:header="0"/>
        </w:sectPr>
      </w:pPr>
    </w:p>
    <w:bookmarkStart w:id="6" w:name="page7"/>
    <w:bookmarkEnd w:id="6"/>
    <w:p>
      <w:pPr>
        <w:jc w:val="both"/>
        <w:ind w:right="120"/>
        <w:spacing w:after="0" w:line="237" w:lineRule="auto"/>
        <w:rPr>
          <w:sz w:val="20"/>
          <w:szCs w:val="20"/>
          <w:color w:val="auto"/>
        </w:rPr>
      </w:pPr>
      <w:r>
        <w:rPr>
          <w:rFonts w:ascii="Calibri" w:cs="Calibri" w:eastAsia="Calibri" w:hAnsi="Calibri"/>
          <w:sz w:val="22"/>
          <w:szCs w:val="22"/>
          <w:color w:val="auto"/>
        </w:rPr>
        <w:t>ended December 31, 2022 compared to $26.0 million for the same period in 2021. The year-to-date decrease was due to lower research costs incurred under the Gilead collaboraton during the twelve months ended December 31, 2022 resultng in lower collaboraton revenue recognized.</w:t>
      </w:r>
    </w:p>
    <w:p>
      <w:pPr>
        <w:spacing w:after="0" w:line="284" w:lineRule="exact"/>
        <w:rPr>
          <w:sz w:val="20"/>
          <w:szCs w:val="20"/>
          <w:color w:val="auto"/>
        </w:rPr>
      </w:pPr>
    </w:p>
    <w:p>
      <w:pPr>
        <w:spacing w:after="0" w:line="238" w:lineRule="auto"/>
        <w:rPr>
          <w:sz w:val="20"/>
          <w:szCs w:val="20"/>
          <w:color w:val="auto"/>
        </w:rPr>
      </w:pPr>
      <w:r>
        <w:rPr>
          <w:rFonts w:ascii="Calibri" w:cs="Calibri" w:eastAsia="Calibri" w:hAnsi="Calibri"/>
          <w:sz w:val="22"/>
          <w:szCs w:val="22"/>
          <w:color w:val="auto"/>
        </w:rPr>
        <w:t>There was no license revenue for the three and twelve months ended December 31, 2022, compared to $0.0 and $11.0 million for the three and twelve months ended December 31, 2021, respectvely. The $11.0 million of license revenue recognized during the twelve months ended December 31, 2021 is the direct result of Gilead licensing a program for $11.0 million during the second quarter of 2021.</w:t>
      </w:r>
    </w:p>
    <w:p>
      <w:pPr>
        <w:spacing w:after="0" w:line="285" w:lineRule="exact"/>
        <w:rPr>
          <w:sz w:val="20"/>
          <w:szCs w:val="20"/>
          <w:color w:val="auto"/>
        </w:rPr>
      </w:pPr>
    </w:p>
    <w:p>
      <w:pPr>
        <w:ind w:right="300"/>
        <w:spacing w:after="0" w:line="238" w:lineRule="auto"/>
        <w:rPr>
          <w:sz w:val="20"/>
          <w:szCs w:val="20"/>
          <w:color w:val="auto"/>
        </w:rPr>
      </w:pPr>
      <w:r>
        <w:rPr>
          <w:rFonts w:ascii="Calibri" w:cs="Calibri" w:eastAsia="Calibri" w:hAnsi="Calibri"/>
          <w:sz w:val="22"/>
          <w:szCs w:val="22"/>
          <w:color w:val="auto"/>
        </w:rPr>
        <w:t>Research and development expenses were $29.1 million for the three months ended December 31, 2022, compared to $21.6 million for the same period in 2021, and $105.9 million for the twelve months ended December 31, 2022 compared to $77.6 million for the same period in 2021. The change is primarily due to increased spend relatng to the advancement of our programs and personnel-related costs.</w:t>
      </w:r>
    </w:p>
    <w:p>
      <w:pPr>
        <w:spacing w:after="0" w:line="285" w:lineRule="exact"/>
        <w:rPr>
          <w:sz w:val="20"/>
          <w:szCs w:val="20"/>
          <w:color w:val="auto"/>
        </w:rPr>
      </w:pPr>
    </w:p>
    <w:p>
      <w:pPr>
        <w:jc w:val="both"/>
        <w:ind w:right="460"/>
        <w:spacing w:after="0" w:line="237" w:lineRule="auto"/>
        <w:rPr>
          <w:sz w:val="20"/>
          <w:szCs w:val="20"/>
          <w:color w:val="auto"/>
        </w:rPr>
      </w:pPr>
      <w:r>
        <w:rPr>
          <w:rFonts w:ascii="Calibri" w:cs="Calibri" w:eastAsia="Calibri" w:hAnsi="Calibri"/>
          <w:sz w:val="22"/>
          <w:szCs w:val="22"/>
          <w:color w:val="auto"/>
        </w:rPr>
        <w:t>General and administratve expenses were $7.9 million for the three months ended December 31, 2022, compared to $6.1 million for the same period in 2021, and $30.0 million for the twelve months ended December 31, 2022 compared to $17.6 million for the same period in 2021. The change was primarily due to increases in personnel-related costs.</w:t>
      </w:r>
    </w:p>
    <w:p>
      <w:pPr>
        <w:spacing w:after="0" w:line="284" w:lineRule="exact"/>
        <w:rPr>
          <w:sz w:val="20"/>
          <w:szCs w:val="20"/>
          <w:color w:val="auto"/>
        </w:rPr>
      </w:pPr>
    </w:p>
    <w:p>
      <w:pPr>
        <w:ind w:right="140"/>
        <w:spacing w:after="0" w:line="237" w:lineRule="auto"/>
        <w:rPr>
          <w:sz w:val="20"/>
          <w:szCs w:val="20"/>
          <w:color w:val="auto"/>
        </w:rPr>
      </w:pPr>
      <w:r>
        <w:rPr>
          <w:rFonts w:ascii="Calibri" w:cs="Calibri" w:eastAsia="Calibri" w:hAnsi="Calibri"/>
          <w:sz w:val="22"/>
          <w:szCs w:val="22"/>
          <w:color w:val="auto"/>
        </w:rPr>
        <w:t>Net loss for the three months ended December 31, 2022 was $29.1 million, or $0.33 per share, compared to a net loss of $22.0 million, or $0.25 per share, in the same period in 2021. Net loss for the twelve months ended December 31, 2022 was $108.2 million, or $1.23 per share, compared to a net loss of $58.2 million, or $0.94 per share, in the same period in 2021.</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Tango Therapeutcs</w:t>
      </w:r>
    </w:p>
    <w:p>
      <w:pPr>
        <w:spacing w:after="0" w:line="284" w:lineRule="exact"/>
        <w:rPr>
          <w:sz w:val="20"/>
          <w:szCs w:val="20"/>
          <w:color w:val="auto"/>
        </w:rPr>
      </w:pPr>
    </w:p>
    <w:p>
      <w:pPr>
        <w:spacing w:after="0" w:line="253" w:lineRule="auto"/>
        <w:rPr>
          <w:sz w:val="20"/>
          <w:szCs w:val="20"/>
          <w:color w:val="auto"/>
        </w:rPr>
      </w:pPr>
      <w:r>
        <w:rPr>
          <w:rFonts w:ascii="Calibri" w:cs="Calibri" w:eastAsia="Calibri" w:hAnsi="Calibri"/>
          <w:sz w:val="21"/>
          <w:szCs w:val="21"/>
          <w:color w:val="auto"/>
        </w:rPr>
        <w:t>Tango Therapeutcs is a clinical-stage biotechnology company dedicated to discovering novel drug targets and delivering the next generaton of precision medicine for the treatment of cancer. Using an approach that starts and ends with patents, Tango leverages the genetc principle of synthetc lethality to discover and develop therapies that take aim at critcal targets in cancer. This includes expanding the universe of precision oncology targets into novel areas such as tumor suppressor gene loss and their contributon to the ability of cancer cells to evade immune cell killing. For more informaton, please visit www.tangotx.com.</w:t>
      </w:r>
    </w:p>
    <w:p>
      <w:pPr>
        <w:spacing w:after="0" w:line="25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282" w:lineRule="exact"/>
        <w:rPr>
          <w:sz w:val="20"/>
          <w:szCs w:val="20"/>
          <w:color w:val="auto"/>
        </w:rPr>
      </w:pPr>
    </w:p>
    <w:p>
      <w:pPr>
        <w:jc w:val="both"/>
        <w:ind w:right="160"/>
        <w:spacing w:after="0" w:line="237" w:lineRule="auto"/>
        <w:rPr>
          <w:sz w:val="20"/>
          <w:szCs w:val="20"/>
          <w:color w:val="auto"/>
        </w:rPr>
      </w:pPr>
      <w:r>
        <w:rPr>
          <w:rFonts w:ascii="Calibri" w:cs="Calibri" w:eastAsia="Calibri" w:hAnsi="Calibri"/>
          <w:sz w:val="22"/>
          <w:szCs w:val="22"/>
          <w:color w:val="auto"/>
        </w:rPr>
        <w:t>Certain statements in this press release may be considered forward-looking statements. Forward-looking statements generally relate to future events, Tango’s future operatng performance and goals, the antcipated benefts of therapies and combinaton therapies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 w:name="page8"/>
    <w:bookmarkEnd w:id="7"/>
    <w:p>
      <w:pPr>
        <w:spacing w:after="0"/>
        <w:rPr>
          <w:sz w:val="20"/>
          <w:szCs w:val="20"/>
          <w:color w:val="auto"/>
        </w:rPr>
      </w:pPr>
      <w:r>
        <w:rPr>
          <w:rFonts w:ascii="Calibri" w:cs="Calibri" w:eastAsia="Calibri" w:hAnsi="Calibri"/>
          <w:sz w:val="22"/>
          <w:szCs w:val="22"/>
          <w:color w:val="auto"/>
        </w:rPr>
        <w:t>include a Tango pipeline product), expectatons, beliefs and development objectves for Tango’s product pipeline and clinical trials. In some cases, you can identfy forward-looking statements by terminology such as “may”, “should”, “expect”, “intend”, “will”, “goal”, “estmate”, “antcipate”, “believe”, “predict”, “designed,” “potental” or “contnue”, or the negatves of these terms or variatons of them or similar terminology. For example, statements concerning the following include or consttute forward-looking statements: the Company believes its cash, cash equivalents and marketable securites are sufcient to fund operatons into 2025; the Company expects to fle INDs for TNG260 and TNG348 shortly (targetng the frst half of 2023 and mid-2023, respectvely); the Company expects to provide an update on the dose escalaton component of the TNG908 clinical trial in the second quarter of this year, which is antcipated to focus on proof-of-mechanism for our MTA-cooperatve PRMT5 inhibitor; patents are actvely being enrolled in the TNG908 Phase 1/2 clinical trial; glioblastoma (GBM) patents will be added to the ongoing TNG908 clinical trial; Fast Track Designaton has the potental to allow drugs to reach more patents faster; TNG462’s drug propertes may translate into a wider therapeutc index and stronger target inhibiton than TNG908; the initaton of the Phase 1/2 clinical trial for TNG462 is on track for mid-2023; the potental of the Company’s proprietary discovery platorm to identfy synthetc lethal targets for future development; the potental of the Company’s PRMT5 therapies to address the high unmet need in MTAP-deleted cancers; the indicatons expected to be included in Company clinical trials; the potental applicability of synthetc lethal drugs targetng across a range of cancer types; the expected benefts of the Company's development candidates and other product candidates; and the expected tming of: (i) development candidate declaraton for certain targets, (ii) initatng IND-enabling studies; (iii) fling INDs; (iv) clinical trial initaton and (v) disclosing inital and fnal clinical trial results. Such forward-looking statements are subject to risks, uncertaintes, and other factors which could cause actual results to difer materially from those expressed or implied by such forward looking statements. These forward-looking statements are based upon estmates and assumptons that, while considered reasonable by Tango and its management, are inherently uncertain. New risks and uncertaintes may emerge from tme to tme, and it is not possible to predict all risks and uncertaintes. Factors that may cause actual results to difer materially from current expectatons include, but are not limited to: Tango has limited experience conductng clinical trials (and will rely on a third party to operate its clinical trials) and may not be able to commence the clinical trial (including opening clinical trial sites and enrolling and dosing an adequate number of clinical trial partcipants) when expected and may not generate results (including fnal or inital safety, efcacy data and proof-of-mechanism) in the antcipated tmeframe (or at all); benefts of product candidates seen in preclinical analyses may not be evident when tested in clinical trials or when used in broader patent populatons (if approved for commercial sale); the benefts of Tango pipeline products, development candidates and potental combinaton therapies that are seen in pre-clinical experiments may not be present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4" w:right="379" w:bottom="1440" w:gutter="0" w:footer="0" w:header="0"/>
        </w:sectPr>
      </w:pPr>
    </w:p>
    <w:bookmarkStart w:id="8" w:name="page9"/>
    <w:bookmarkEnd w:id="8"/>
    <w:p>
      <w:pPr>
        <w:spacing w:after="0"/>
        <w:rPr>
          <w:sz w:val="20"/>
          <w:szCs w:val="20"/>
          <w:color w:val="auto"/>
        </w:rPr>
      </w:pPr>
      <w:r>
        <w:rPr>
          <w:rFonts w:ascii="Calibri" w:cs="Calibri" w:eastAsia="Calibri" w:hAnsi="Calibri"/>
          <w:sz w:val="22"/>
          <w:szCs w:val="22"/>
          <w:color w:val="auto"/>
        </w:rPr>
        <w:t>clinical trials or in use commercially or may not be safe and/or efectve in humans; Tango has a limited operatng history and has not generated any revenue to date from product sales, and may never become proftable; other companies may be able to identfy and develop product candidates more quickly than the Company and commercially introduce the product prior to the Company; the Company’s proprietary discovery platorm is novel and may not identfy any synthetc lethal targets for future development; the Company may not be able to identfy development candidates on the schedule it antcipates due to technical, fnancial or other reasons; the Company may not be able to fle INDs for development candidates on tme, or at all, due to technical or fnancial reasons or otherwise; the Company may utlize cash resources more quickly than antcipated; Tango will need to raise capital in the future and if we are unable to raise capital when needed or on atractve terms, we would be forced to delay, scale back or discontnue some of our development programs or future commercializaton eforts; we may be unable to advance our preclinical development programs into and through the clinic for safety or efcacy reasons or commercialize our product candidates or we may experience signifcant delays in doing so as a result of factors beyond Tango’s control; the Company may not be able to realize the benefts of fast track designaton (and such designaton may not advance any antcipated approval tmelines); Tango’s approach to the discovery and development of product candidates is novel and unproven, which makes it difcult to predict the tme, cost of development, and likelihood of successfully developing any products; Tango may not identfy or discover additonal product candidates or may expend limited resources to pursue a partcular product candidate or indicaton and fail to capitalize on product candidates or indicatons that may be more proftable or for which there is a greater likelihood of success; our products candidates may cause adverse or other undesirable side efects (or may not show requisite efcacy) that could, among other things, delay or prevent regulatory approval; our dependence on third partes for conductng clinical trials and producing drug product; our ability to obtain and maintain patent and other intellectual property protecton for our technology and product candidates or the scope of intellectual property protecton obtained is not sufciently broad; and delays and other impacts on product development and clinical trials from the COVID-19 pandemic. Additonal informaton concerning risks, uncertaintes and assumptons can be found in Tango’s flings with the SEC, including the risk factors referenced in Tango’s Annual Report on Form 10-K for the fscal year ended December 31, 2021, as supplemented and/or modifed by its most recent Quarterly Report on Form 10-Q. You should not place undue reliance on forward-looking statements in this presentaton, which speak only as of the date they are made and are qualifed in their entrety by reference to the cautonary statements herein. Tango specifcally disclaims any duty to update these forward-looking statements.</w:t>
      </w:r>
    </w:p>
    <w:p>
      <w:pPr>
        <w:spacing w:after="0" w:line="29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9" w:name="page10"/>
    <w:bookmarkEnd w:id="9"/>
    <w:p>
      <w:pPr>
        <w:spacing w:after="0"/>
        <w:rPr>
          <w:sz w:val="20"/>
          <w:szCs w:val="20"/>
          <w:color w:val="auto"/>
        </w:rPr>
      </w:pPr>
      <w:r>
        <w:rPr>
          <w:rFonts w:ascii="Calibri" w:cs="Calibri" w:eastAsia="Calibri" w:hAnsi="Calibri"/>
          <w:sz w:val="22"/>
          <w:szCs w:val="22"/>
          <w:color w:val="auto"/>
        </w:rPr>
        <w:t>Sam Martn/Andrew Vulis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Argot Partners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tango@argotpartners.com</w:t>
      </w:r>
    </w:p>
    <w:p>
      <w:pPr>
        <w:spacing w:after="0" w:line="29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Media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Amanda Galgay</w:t>
      </w:r>
    </w:p>
    <w:p>
      <w:pPr>
        <w:spacing w:after="0" w:line="12" w:lineRule="exact"/>
        <w:rPr>
          <w:sz w:val="20"/>
          <w:szCs w:val="20"/>
          <w:color w:val="auto"/>
        </w:rPr>
      </w:pPr>
    </w:p>
    <w:p>
      <w:pPr>
        <w:spacing w:after="0"/>
        <w:rPr>
          <w:sz w:val="20"/>
          <w:szCs w:val="20"/>
          <w:color w:val="auto"/>
        </w:rPr>
      </w:pPr>
      <w:r>
        <w:rPr>
          <w:rFonts w:ascii="Calibri" w:cs="Calibri" w:eastAsia="Calibri" w:hAnsi="Calibri"/>
          <w:sz w:val="21"/>
          <w:szCs w:val="21"/>
          <w:color w:val="auto"/>
        </w:rPr>
        <w:t>SVP, Corporate Communicatons, Tango Therapeutcs</w:t>
      </w:r>
    </w:p>
    <w:p>
      <w:pPr>
        <w:spacing w:after="0" w:line="3" w:lineRule="exact"/>
        <w:rPr>
          <w:sz w:val="20"/>
          <w:szCs w:val="20"/>
          <w:color w:val="auto"/>
        </w:rPr>
      </w:pPr>
    </w:p>
    <w:p>
      <w:pPr>
        <w:spacing w:after="0"/>
        <w:rPr>
          <w:sz w:val="20"/>
          <w:szCs w:val="20"/>
          <w:color w:val="auto"/>
        </w:rPr>
      </w:pPr>
      <w:r>
        <w:rPr>
          <w:rFonts w:ascii="Calibri" w:cs="Calibri" w:eastAsia="Calibri" w:hAnsi="Calibri"/>
          <w:sz w:val="22"/>
          <w:szCs w:val="22"/>
          <w:color w:val="auto"/>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4" w:right="1440"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22"/>
          <w:szCs w:val="22"/>
          <w:b w:val="1"/>
          <w:bCs w:val="1"/>
          <w:color w:val="auto"/>
        </w:rPr>
        <w:t>Consolidated Statements of Operatons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 thousands, except share and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1"/>
                <w:szCs w:val="21"/>
                <w:color w:val="auto"/>
              </w:rPr>
            </w:pPr>
          </w:p>
        </w:tc>
      </w:tr>
      <w:tr>
        <w:trPr>
          <w:trHeight w:val="25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100" w:type="dxa"/>
            <w:vAlign w:val="bottom"/>
          </w:tcPr>
          <w:p>
            <w:pPr>
              <w:spacing w:after="0"/>
              <w:rPr>
                <w:sz w:val="22"/>
                <w:szCs w:val="22"/>
                <w:color w:val="auto"/>
              </w:rPr>
            </w:pPr>
          </w:p>
        </w:tc>
      </w:tr>
      <w:tr>
        <w:trPr>
          <w:trHeight w:val="257"/>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63"/>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29,091</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105,906</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77,636</w:t>
            </w:r>
          </w:p>
        </w:tc>
        <w:tc>
          <w:tcPr>
            <w:tcW w:w="100" w:type="dxa"/>
            <w:vAlign w:val="bottom"/>
          </w:tcPr>
          <w:p>
            <w:pPr>
              <w:spacing w:after="0"/>
              <w:rPr>
                <w:sz w:val="22"/>
                <w:szCs w:val="22"/>
                <w:color w:val="auto"/>
              </w:rPr>
            </w:pPr>
          </w:p>
        </w:tc>
      </w:tr>
      <w:tr>
        <w:trPr>
          <w:trHeight w:val="257"/>
        </w:trPr>
        <w:tc>
          <w:tcPr>
            <w:tcW w:w="5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30,025</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36,978</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135,931</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95,232</w:t>
            </w:r>
          </w:p>
        </w:tc>
        <w:tc>
          <w:tcPr>
            <w:tcW w:w="100" w:type="dxa"/>
            <w:vAlign w:val="bottom"/>
          </w:tcPr>
          <w:p>
            <w:pPr>
              <w:spacing w:after="0"/>
              <w:rPr>
                <w:sz w:val="21"/>
                <w:szCs w:val="21"/>
                <w:color w:val="auto"/>
              </w:rPr>
            </w:pPr>
          </w:p>
        </w:tc>
      </w:tr>
      <w:tr>
        <w:trPr>
          <w:trHeight w:val="250"/>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(30,567 )</w:t>
            </w:r>
          </w:p>
        </w:tc>
        <w:tc>
          <w:tcPr>
            <w:tcW w:w="3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(21,984 )</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(111,071 )</w:t>
            </w:r>
          </w:p>
        </w:tc>
        <w:tc>
          <w:tcPr>
            <w:tcW w:w="3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(58,190 )</w:t>
            </w:r>
          </w:p>
        </w:tc>
      </w:tr>
      <w:tr>
        <w:trPr>
          <w:trHeight w:val="250"/>
        </w:trPr>
        <w:tc>
          <w:tcPr>
            <w:tcW w:w="54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40" w:type="dxa"/>
            <w:vAlign w:val="bottom"/>
            <w:tcBorders>
              <w:top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40" w:type="dxa"/>
            <w:vAlign w:val="bottom"/>
            <w:tcBorders>
              <w:top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FF0FC"/>
            </w:tcBorders>
          </w:tcPr>
          <w:p>
            <w:pPr>
              <w:spacing w:after="0"/>
              <w:rPr>
                <w:sz w:val="21"/>
                <w:szCs w:val="21"/>
                <w:color w:val="auto"/>
              </w:rPr>
            </w:pPr>
          </w:p>
        </w:tc>
      </w:tr>
      <w:tr>
        <w:trPr>
          <w:trHeight w:val="270"/>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FF0FC"/>
          </w:tcPr>
          <w:p>
            <w:pPr>
              <w:spacing w:after="0"/>
              <w:rPr>
                <w:sz w:val="23"/>
                <w:szCs w:val="23"/>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(29,009 )</w:t>
            </w:r>
          </w:p>
        </w:tc>
        <w:tc>
          <w:tcPr>
            <w:tcW w:w="380" w:type="dxa"/>
            <w:vAlign w:val="bottom"/>
            <w:shd w:val="clear" w:color="auto" w:fill="CFF0FC"/>
          </w:tcPr>
          <w:p>
            <w:pPr>
              <w:spacing w:after="0"/>
              <w:rPr>
                <w:sz w:val="23"/>
                <w:szCs w:val="2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(21,869 )</w:t>
            </w:r>
          </w:p>
        </w:tc>
        <w:tc>
          <w:tcPr>
            <w:tcW w:w="260" w:type="dxa"/>
            <w:vAlign w:val="bottom"/>
            <w:shd w:val="clear" w:color="auto" w:fill="CFF0FC"/>
          </w:tcPr>
          <w:p>
            <w:pPr>
              <w:spacing w:after="0"/>
              <w:rPr>
                <w:sz w:val="23"/>
                <w:szCs w:val="23"/>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(108,122 )</w:t>
            </w:r>
          </w:p>
        </w:tc>
        <w:tc>
          <w:tcPr>
            <w:tcW w:w="360" w:type="dxa"/>
            <w:vAlign w:val="bottom"/>
            <w:shd w:val="clear" w:color="auto" w:fill="CFF0FC"/>
          </w:tcPr>
          <w:p>
            <w:pPr>
              <w:spacing w:after="0"/>
              <w:rPr>
                <w:sz w:val="23"/>
                <w:szCs w:val="23"/>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(57,943 )</w:t>
            </w:r>
          </w:p>
        </w:tc>
      </w:tr>
      <w:tr>
        <w:trPr>
          <w:trHeight w:val="250"/>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(51 )</w:t>
            </w:r>
          </w:p>
        </w:tc>
        <w:tc>
          <w:tcPr>
            <w:tcW w:w="3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(177 )</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(54 )</w:t>
            </w:r>
          </w:p>
        </w:tc>
        <w:tc>
          <w:tcPr>
            <w:tcW w:w="3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(292 )</w:t>
            </w:r>
          </w:p>
        </w:tc>
      </w:tr>
      <w:tr>
        <w:trPr>
          <w:trHeight w:val="20"/>
        </w:trPr>
        <w:tc>
          <w:tcPr>
            <w:tcW w:w="5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(29,060 )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(22,046 )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(108,176 )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(58,235 )</w:t>
            </w:r>
          </w:p>
        </w:tc>
      </w:tr>
      <w:tr>
        <w:trPr>
          <w:trHeight w:val="20"/>
        </w:trPr>
        <w:tc>
          <w:tcPr>
            <w:tcW w:w="54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53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(0.94 )</w:t>
            </w:r>
          </w:p>
        </w:tc>
      </w:tr>
      <w:tr>
        <w:trPr>
          <w:trHeight w:val="218"/>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87,971,485</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87,567,676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87,820,037</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62,108,032</w:t>
            </w:r>
          </w:p>
        </w:tc>
        <w:tc>
          <w:tcPr>
            <w:tcW w:w="100" w:type="dxa"/>
            <w:vAlign w:val="bottom"/>
            <w:shd w:val="clear" w:color="auto" w:fill="CFF0FC"/>
          </w:tcPr>
          <w:p>
            <w:pPr>
              <w:spacing w:after="0"/>
              <w:rPr>
                <w:sz w:val="21"/>
                <w:szCs w:val="21"/>
                <w:color w:val="auto"/>
              </w:rPr>
            </w:pPr>
          </w:p>
        </w:tc>
      </w:tr>
      <w:tr>
        <w:trPr>
          <w:trHeight w:val="3301"/>
        </w:trPr>
        <w:tc>
          <w:tcPr>
            <w:tcW w:w="5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-3779520</wp:posOffset>
            </wp:positionV>
            <wp:extent cx="7683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-3779520</wp:posOffset>
            </wp:positionV>
            <wp:extent cx="6858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-3779520</wp:posOffset>
            </wp:positionV>
            <wp:extent cx="6858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-3436620</wp:posOffset>
            </wp:positionV>
            <wp:extent cx="7683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-3436620</wp:posOffset>
            </wp:positionV>
            <wp:extent cx="6858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-3436620</wp:posOffset>
            </wp:positionV>
            <wp:extent cx="6858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-2750820</wp:posOffset>
            </wp:positionV>
            <wp:extent cx="76835" cy="351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3511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-2750820</wp:posOffset>
            </wp:positionV>
            <wp:extent cx="68580" cy="351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-2750820</wp:posOffset>
            </wp:positionV>
            <wp:extent cx="68580" cy="351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351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22"/>
          <w:szCs w:val="22"/>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380" w:type="dxa"/>
            <w:vAlign w:val="bottom"/>
          </w:tcPr>
          <w:p>
            <w:pPr>
              <w:spacing w:after="0"/>
              <w:rPr>
                <w:sz w:val="13"/>
                <w:szCs w:val="13"/>
                <w:color w:val="auto"/>
              </w:rPr>
            </w:pP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2022</w:t>
            </w:r>
          </w:p>
        </w:tc>
        <w:tc>
          <w:tcPr>
            <w:tcW w:w="6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r>
      <w:tr>
        <w:trPr>
          <w:trHeight w:val="223"/>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FF0FC"/>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59,968</w:t>
            </w:r>
          </w:p>
        </w:tc>
        <w:tc>
          <w:tcPr>
            <w:tcW w:w="78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142,745</w:t>
            </w:r>
          </w:p>
        </w:tc>
        <w:tc>
          <w:tcPr>
            <w:tcW w:w="100" w:type="dxa"/>
            <w:vAlign w:val="bottom"/>
            <w:shd w:val="clear" w:color="auto" w:fill="CFF0FC"/>
          </w:tcPr>
          <w:p>
            <w:pPr>
              <w:spacing w:after="0"/>
              <w:rPr>
                <w:sz w:val="20"/>
                <w:szCs w:val="20"/>
                <w:color w:val="auto"/>
              </w:rPr>
            </w:pPr>
          </w:p>
        </w:tc>
      </w:tr>
      <w:tr>
        <w:trPr>
          <w:trHeight w:val="220"/>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306,165</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342,510</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FF0FC"/>
          </w:tcPr>
          <w:p>
            <w:pPr>
              <w:spacing w:after="0"/>
              <w:rPr>
                <w:sz w:val="20"/>
                <w:szCs w:val="20"/>
                <w:color w:val="auto"/>
              </w:rPr>
            </w:pPr>
          </w:p>
        </w:tc>
      </w:tr>
      <w:tr>
        <w:trPr>
          <w:trHeight w:val="220"/>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9"/>
                <w:szCs w:val="19"/>
                <w:color w:val="auto"/>
              </w:rPr>
            </w:pPr>
          </w:p>
        </w:tc>
      </w:tr>
      <w:tr>
        <w:trPr>
          <w:trHeight w:val="233"/>
        </w:trPr>
        <w:tc>
          <w:tcPr>
            <w:tcW w:w="7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375,272</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492,338</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shd w:val="clear" w:color="auto" w:fill="CFF0FC"/>
          </w:tcPr>
          <w:p>
            <w:pPr>
              <w:spacing w:after="0"/>
              <w:rPr>
                <w:sz w:val="20"/>
                <w:szCs w:val="20"/>
                <w:color w:val="auto"/>
              </w:rPr>
            </w:pP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46,886</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shd w:val="clear" w:color="auto" w:fill="CFF0FC"/>
          </w:tcPr>
          <w:p>
            <w:pPr>
              <w:spacing w:after="0"/>
              <w:rPr>
                <w:sz w:val="20"/>
                <w:szCs w:val="20"/>
                <w:color w:val="auto"/>
              </w:rPr>
            </w:pP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r>
      <w:tr>
        <w:trPr>
          <w:trHeight w:val="223"/>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080" w:type="dxa"/>
            <w:vAlign w:val="bottom"/>
            <w:tcBorders>
              <w:bottom w:val="single" w:sz="8" w:color="auto"/>
            </w:tcBorders>
            <w:shd w:val="clear" w:color="auto" w:fill="CFF0FC"/>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436,470</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w:t>
            </w:r>
          </w:p>
        </w:tc>
        <w:tc>
          <w:tcPr>
            <w:tcW w:w="7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17,495</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100" w:type="dxa"/>
            <w:vAlign w:val="bottom"/>
            <w:shd w:val="clear" w:color="auto" w:fill="CFF0FC"/>
          </w:tcPr>
          <w:p>
            <w:pPr>
              <w:spacing w:after="0"/>
              <w:rPr>
                <w:sz w:val="20"/>
                <w:szCs w:val="20"/>
                <w:color w:val="auto"/>
              </w:rPr>
            </w:pPr>
          </w:p>
        </w:tc>
      </w:tr>
      <w:tr>
        <w:trPr>
          <w:trHeight w:val="220"/>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Pr>
          <w:p>
            <w:pPr>
              <w:spacing w:after="0"/>
              <w:rPr>
                <w:sz w:val="19"/>
                <w:szCs w:val="19"/>
                <w:color w:val="auto"/>
              </w:rPr>
            </w:pPr>
          </w:p>
        </w:tc>
      </w:tr>
      <w:tr>
        <w:trPr>
          <w:trHeight w:val="239"/>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31,792</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26,022</w:t>
            </w:r>
          </w:p>
        </w:tc>
        <w:tc>
          <w:tcPr>
            <w:tcW w:w="100" w:type="dxa"/>
            <w:vAlign w:val="bottom"/>
            <w:shd w:val="clear" w:color="auto" w:fill="CFF0FC"/>
          </w:tcPr>
          <w:p>
            <w:pPr>
              <w:spacing w:after="0"/>
              <w:rPr>
                <w:sz w:val="20"/>
                <w:szCs w:val="20"/>
                <w:color w:val="auto"/>
              </w:rPr>
            </w:pPr>
          </w:p>
        </w:tc>
      </w:tr>
      <w:tr>
        <w:trPr>
          <w:trHeight w:val="223"/>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payable</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9"/>
                <w:szCs w:val="19"/>
                <w:color w:val="auto"/>
              </w:rPr>
            </w:pPr>
          </w:p>
        </w:tc>
      </w:tr>
      <w:tr>
        <w:trPr>
          <w:trHeight w:val="229"/>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55,545</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100" w:type="dxa"/>
            <w:vAlign w:val="bottom"/>
            <w:shd w:val="clear" w:color="auto" w:fill="CFF0FC"/>
          </w:tcPr>
          <w:p>
            <w:pPr>
              <w:spacing w:after="0"/>
              <w:rPr>
                <w:sz w:val="19"/>
                <w:szCs w:val="19"/>
                <w:color w:val="auto"/>
              </w:rPr>
            </w:pP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39,361</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3"/>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0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92,088</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186,994</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155,408</w:t>
            </w:r>
          </w:p>
        </w:tc>
        <w:tc>
          <w:tcPr>
            <w:tcW w:w="100" w:type="dxa"/>
            <w:vAlign w:val="bottom"/>
          </w:tcPr>
          <w:p>
            <w:pPr>
              <w:spacing w:after="0"/>
              <w:rPr>
                <w:sz w:val="19"/>
                <w:szCs w:val="19"/>
                <w:color w:val="auto"/>
              </w:rPr>
            </w:pPr>
          </w:p>
        </w:tc>
      </w:tr>
      <w:tr>
        <w:trPr>
          <w:trHeight w:val="233"/>
        </w:trPr>
        <w:tc>
          <w:tcPr>
            <w:tcW w:w="7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249,476</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344,747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80" w:type="dxa"/>
            <w:vAlign w:val="bottom"/>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436,470</w:t>
            </w:r>
          </w:p>
        </w:tc>
        <w:tc>
          <w:tcPr>
            <w:tcW w:w="7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7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-3239770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-2348230</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-873760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-573405</wp:posOffset>
            </wp:positionV>
            <wp:extent cx="6858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2023-03-27T06:19:38Z</dcterms:created>
  <dcterms:modified xsi:type="dcterms:W3CDTF">2023-03-27T06:19:38Z</dcterms:modified>
</cp:coreProperties>
</file>