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333-259448</w:t>
      </w:r>
    </w:p>
    <w:p>
      <w:pPr>
        <w:spacing w:after="0" w:line="234" w:lineRule="auto"/>
        <w:rPr>
          <w:sz w:val="20"/>
          <w:szCs w:val="20"/>
          <w:color w:val="auto"/>
        </w:rPr>
      </w:pPr>
      <w:r>
        <w:rPr>
          <w:rFonts w:ascii="Arial" w:cs="Arial" w:eastAsia="Arial" w:hAnsi="Arial"/>
          <w:sz w:val="18"/>
          <w:szCs w:val="18"/>
          <w:b w:val="1"/>
          <w:bCs w:val="1"/>
          <w:color w:val="auto"/>
        </w:rPr>
        <w:t>Prospectus Supplement No. 1</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124460</wp:posOffset>
            </wp:positionV>
            <wp:extent cx="3094355" cy="1243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4355" cy="1243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Up to 68,175,412 Shares of Common Stock</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right="20"/>
        <w:spacing w:after="0" w:line="284" w:lineRule="auto"/>
        <w:rPr>
          <w:sz w:val="20"/>
          <w:szCs w:val="20"/>
          <w:color w:val="auto"/>
        </w:rPr>
      </w:pPr>
      <w:r>
        <w:rPr>
          <w:rFonts w:ascii="Arial" w:cs="Arial" w:eastAsia="Arial" w:hAnsi="Arial"/>
          <w:sz w:val="16"/>
          <w:szCs w:val="16"/>
          <w:color w:val="auto"/>
        </w:rPr>
        <w:t>This prospectus supplement updates and supplements the prospectus dated March 28, 2022 (the “Prospectus”), which forms a part of our Registration Statement on Form S-1, as amended (Registration No. 333-259448). This prospectus supplement is being filed to update and supplement the information in the Prospectus with the information contained in our Quarterly Report on Form 10-Q, filed with the Securities and Exchange Commission on May 11, 2022 (the “Quarterly Report on Form 10-Q”). Accordingly, we have attached the Quarterly Report on Form 10-Q to this prospectus supplement.</w:t>
      </w:r>
    </w:p>
    <w:p>
      <w:pPr>
        <w:spacing w:after="0" w:line="250" w:lineRule="exact"/>
        <w:rPr>
          <w:sz w:val="24"/>
          <w:szCs w:val="24"/>
          <w:color w:val="auto"/>
        </w:rPr>
      </w:pPr>
    </w:p>
    <w:p>
      <w:pPr>
        <w:ind w:right="60"/>
        <w:spacing w:after="0" w:line="259" w:lineRule="auto"/>
        <w:rPr>
          <w:sz w:val="20"/>
          <w:szCs w:val="20"/>
          <w:color w:val="auto"/>
        </w:rPr>
      </w:pPr>
      <w:r>
        <w:rPr>
          <w:rFonts w:ascii="Arial" w:cs="Arial" w:eastAsia="Arial" w:hAnsi="Arial"/>
          <w:sz w:val="17"/>
          <w:szCs w:val="17"/>
          <w:color w:val="auto"/>
        </w:rPr>
        <w:t>The Prospectus and this prospectus supplement relate to the offer and sale, from time to time, by the selling securityholders named in the Prospectus, or the Selling Securityholders, or any of their pledgees, donees, assignees and successors-in-interest, or collectively, the permitted transferees, of (i) up to 18,610,000 shares of our common stock that were issued to certain investors, or collectively, the PIPE Investors, in a private placement in connection with the closing of the Business Combination (as defined below) and (ii) up to 49,565,412 shares of our common stock that were issued to certain former shareholders of Tango Therapeutics Sub, Inc. at the closing of the Business Combination.</w:t>
      </w:r>
    </w:p>
    <w:p>
      <w:pPr>
        <w:spacing w:after="0" w:line="268" w:lineRule="exact"/>
        <w:rPr>
          <w:sz w:val="24"/>
          <w:szCs w:val="24"/>
          <w:color w:val="auto"/>
        </w:rPr>
      </w:pPr>
    </w:p>
    <w:p>
      <w:pPr>
        <w:ind w:right="40"/>
        <w:spacing w:after="0" w:line="243" w:lineRule="auto"/>
        <w:rPr>
          <w:sz w:val="20"/>
          <w:szCs w:val="20"/>
          <w:color w:val="auto"/>
        </w:rPr>
      </w:pPr>
      <w:r>
        <w:rPr>
          <w:rFonts w:ascii="Arial" w:cs="Arial" w:eastAsia="Arial" w:hAnsi="Arial"/>
          <w:sz w:val="18"/>
          <w:szCs w:val="18"/>
          <w:color w:val="auto"/>
        </w:rPr>
        <w:t>This prospectus supplement should be read in conjunction with the Prospectus. This prospectus supplement updates and supplements the information in the Prospectus and is not complete without, and may not be delivered or utilized except in combination with, the Prospectus, including any amendments or supplements thereto. If there is any inconsistency between the information in the Prospectus and this prospectus supplement, you should rely on the information in this prospectus supplement.</w:t>
      </w:r>
    </w:p>
    <w:p>
      <w:pPr>
        <w:spacing w:after="0" w:line="282" w:lineRule="exact"/>
        <w:rPr>
          <w:sz w:val="24"/>
          <w:szCs w:val="24"/>
          <w:color w:val="auto"/>
        </w:rPr>
      </w:pPr>
    </w:p>
    <w:p>
      <w:pPr>
        <w:ind w:right="80"/>
        <w:spacing w:after="0" w:line="261" w:lineRule="auto"/>
        <w:rPr>
          <w:sz w:val="20"/>
          <w:szCs w:val="20"/>
          <w:color w:val="auto"/>
        </w:rPr>
      </w:pPr>
      <w:r>
        <w:rPr>
          <w:rFonts w:ascii="Arial" w:cs="Arial" w:eastAsia="Arial" w:hAnsi="Arial"/>
          <w:sz w:val="18"/>
          <w:szCs w:val="18"/>
          <w:color w:val="auto"/>
        </w:rPr>
        <w:t>Our common stock is listed on the Nasdaq Global Market under the symbol “TNGX”. On May 10, 2022, the closing price of our common stock was $5.02 per share.</w:t>
      </w:r>
    </w:p>
    <w:p>
      <w:pPr>
        <w:spacing w:after="0" w:line="261"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b w:val="1"/>
          <w:bCs w:val="1"/>
          <w:color w:val="auto"/>
        </w:rPr>
        <w:t>Investing in our securities involves risks that are described in the “Risk Factors” section beginning on page 12 of the Prospectus and under similar headings in any further amendments or supplements to the Prospectus.</w:t>
      </w:r>
    </w:p>
    <w:p>
      <w:pPr>
        <w:spacing w:after="0" w:line="257" w:lineRule="exact"/>
        <w:rPr>
          <w:sz w:val="24"/>
          <w:szCs w:val="24"/>
          <w:color w:val="auto"/>
        </w:rPr>
      </w:pPr>
    </w:p>
    <w:p>
      <w:pPr>
        <w:ind w:right="100"/>
        <w:spacing w:after="0" w:line="250"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2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date of this prospectus supplement is May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0"/>
          <w:szCs w:val="20"/>
          <w:color w:val="auto"/>
        </w:rPr>
      </w:pPr>
    </w:p>
    <w:p>
      <w:pPr>
        <w:ind w:left="3820" w:right="1620" w:hanging="3799"/>
        <w:spacing w:after="0" w:line="352"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0"/>
          <w:szCs w:val="20"/>
          <w:color w:val="auto"/>
        </w:rPr>
      </w:pPr>
    </w:p>
    <w:p>
      <w:pPr>
        <w:ind w:left="3140" w:right="1600" w:hanging="3119"/>
        <w:spacing w:after="0" w:line="360"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43"/>
          <w:szCs w:val="43"/>
          <w:b w:val="1"/>
          <w:bCs w:val="1"/>
          <w:color w:val="auto"/>
        </w:rPr>
        <w:t>TANGO THERAPEUTICS, INC.</w:t>
      </w:r>
    </w:p>
    <w:p>
      <w:pPr>
        <w:sectPr>
          <w:pgSz w:w="11900" w:h="16838" w:orient="portrait"/>
          <w:cols w:equalWidth="0" w:num="1">
            <w:col w:w="11240"/>
          </w:cols>
          <w:pgMar w:left="320" w:top="449" w:right="339" w:bottom="1440" w:gutter="0" w:footer="0" w:header="0"/>
        </w:sectPr>
      </w:pP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0"/>
          <w:szCs w:val="20"/>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85-1195036</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0"/>
          <w:szCs w:val="20"/>
          <w:color w:val="auto"/>
        </w:rPr>
      </w:pPr>
    </w:p>
    <w:p>
      <w:pPr>
        <w:sectPr>
          <w:pgSz w:w="11900" w:h="16838" w:orient="portrait"/>
          <w:cols w:equalWidth="0" w:num="2">
            <w:col w:w="7700" w:space="240"/>
            <w:col w:w="3300"/>
          </w:cols>
          <w:pgMar w:left="320" w:top="449" w:right="3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4500" w:type="dxa"/>
            <w:vAlign w:val="bottom"/>
            <w:gridSpan w:val="3"/>
          </w:tcPr>
          <w:p>
            <w:pPr>
              <w:jc w:val="center"/>
              <w:ind w:left="1038"/>
              <w:spacing w:after="0" w:line="179" w:lineRule="exact"/>
              <w:rPr>
                <w:sz w:val="20"/>
                <w:szCs w:val="20"/>
                <w:color w:val="auto"/>
              </w:rPr>
            </w:pPr>
            <w:r>
              <w:rPr>
                <w:rFonts w:ascii="Arial" w:cs="Arial" w:eastAsia="Arial" w:hAnsi="Arial"/>
                <w:sz w:val="18"/>
                <w:szCs w:val="18"/>
                <w:b w:val="1"/>
                <w:bCs w:val="1"/>
                <w:color w:val="auto"/>
                <w:w w:val="89"/>
              </w:rPr>
              <w:t>100 Binney St., Suite 700</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00" w:type="dxa"/>
            <w:vAlign w:val="bottom"/>
            <w:vMerge w:val="restart"/>
          </w:tcPr>
          <w:p>
            <w:pPr>
              <w:jc w:val="right"/>
              <w:ind w:right="2501"/>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98"/>
        </w:trPr>
        <w:tc>
          <w:tcPr>
            <w:tcW w:w="4500" w:type="dxa"/>
            <w:vAlign w:val="bottom"/>
            <w:gridSpan w:val="3"/>
          </w:tcPr>
          <w:p>
            <w:pPr>
              <w:jc w:val="center"/>
              <w:ind w:left="1038"/>
              <w:spacing w:after="0" w:line="198" w:lineRule="exact"/>
              <w:rPr>
                <w:sz w:val="20"/>
                <w:szCs w:val="20"/>
                <w:color w:val="auto"/>
              </w:rPr>
            </w:pPr>
            <w:r>
              <w:rPr>
                <w:rFonts w:ascii="Arial" w:cs="Arial" w:eastAsia="Arial" w:hAnsi="Arial"/>
                <w:sz w:val="18"/>
                <w:szCs w:val="18"/>
                <w:b w:val="1"/>
                <w:bCs w:val="1"/>
                <w:color w:val="auto"/>
                <w:w w:val="95"/>
              </w:rPr>
              <w:t>Cambridge, MA</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500" w:type="dxa"/>
            <w:vAlign w:val="bottom"/>
            <w:gridSpan w:val="3"/>
          </w:tcPr>
          <w:p>
            <w:pPr>
              <w:jc w:val="center"/>
              <w:ind w:left="105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(857) 320-4900</w:t>
            </w:r>
          </w:p>
        </w:tc>
        <w:tc>
          <w:tcPr>
            <w:tcW w:w="540" w:type="dxa"/>
            <w:vAlign w:val="bottom"/>
          </w:tcPr>
          <w:p>
            <w:pPr>
              <w:spacing w:after="0"/>
              <w:rPr>
                <w:sz w:val="14"/>
                <w:szCs w:val="14"/>
                <w:color w:val="auto"/>
              </w:rPr>
            </w:pPr>
          </w:p>
        </w:tc>
        <w:tc>
          <w:tcPr>
            <w:tcW w:w="4500" w:type="dxa"/>
            <w:vAlign w:val="bottom"/>
          </w:tcPr>
          <w:p>
            <w:pPr>
              <w:jc w:val="center"/>
              <w:ind w:right="104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94"/>
        </w:trPr>
        <w:tc>
          <w:tcPr>
            <w:tcW w:w="4500" w:type="dxa"/>
            <w:vAlign w:val="bottom"/>
            <w:gridSpan w:val="3"/>
            <w:vMerge w:val="restart"/>
          </w:tcPr>
          <w:p>
            <w:pPr>
              <w:ind w:left="6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500" w:type="dxa"/>
            <w:vAlign w:val="bottom"/>
            <w:gridSpan w:val="3"/>
            <w:vMerge w:val="continue"/>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500" w:type="dxa"/>
            <w:vAlign w:val="bottom"/>
            <w:gridSpan w:val="3"/>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7"/>
              </w:rPr>
              <w:t>Trading</w:t>
            </w:r>
          </w:p>
        </w:tc>
        <w:tc>
          <w:tcPr>
            <w:tcW w:w="4500" w:type="dxa"/>
            <w:vAlign w:val="bottom"/>
            <w:vMerge w:val="restart"/>
          </w:tcPr>
          <w:p>
            <w:pPr>
              <w:jc w:val="center"/>
              <w:ind w:right="461"/>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gridSpan w:val="3"/>
            <w:vMerge w:val="continue"/>
          </w:tcPr>
          <w:p>
            <w:pPr>
              <w:spacing w:after="0"/>
              <w:rPr>
                <w:sz w:val="16"/>
                <w:szCs w:val="16"/>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Symbol(s)</w:t>
            </w:r>
          </w:p>
        </w:tc>
        <w:tc>
          <w:tcPr>
            <w:tcW w:w="4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TNGX</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461"/>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firstLine="59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0"/>
          <w:szCs w:val="20"/>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0"/>
          <w:szCs w:val="20"/>
          <w:color w:val="auto"/>
        </w:rPr>
      </w:pPr>
    </w:p>
    <w:p>
      <w:pPr>
        <w:jc w:val="both"/>
        <w:ind w:right="2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0"/>
          <w:szCs w:val="20"/>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ind w:left="600" w:right="2020"/>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2, 2022, the registrant had 87,897,475 shares of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4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FINANCIAL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20" w:type="dxa"/>
            <w:vAlign w:val="bottom"/>
            <w:tcBorders>
              <w:top w:val="single" w:sz="8" w:color="0000FF"/>
            </w:tcBorders>
            <w:gridSpan w:val="9"/>
          </w:tcPr>
          <w:p>
            <w:pPr>
              <w:spacing w:after="0" w:line="169" w:lineRule="exact"/>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Balance</w:t>
              </w:r>
            </w:hyperlink>
          </w:p>
        </w:tc>
        <w:tc>
          <w:tcPr>
            <w:tcW w:w="6880" w:type="dxa"/>
            <w:vAlign w:val="bottom"/>
            <w:gridSpan w:val="9"/>
          </w:tcPr>
          <w:p>
            <w:pPr>
              <w:ind w:left="40"/>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Sheets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w:anchor="page9">
              <w:r>
                <w:rPr>
                  <w:rFonts w:ascii="Arial" w:cs="Arial" w:eastAsia="Arial" w:hAnsi="Arial"/>
                  <w:sz w:val="18"/>
                  <w:szCs w:val="18"/>
                  <w:color w:val="0000FF"/>
                  <w:w w:val="91"/>
                </w:rPr>
                <w:t>Condensed Consolidated Statements of</w:t>
              </w:r>
            </w:hyperlink>
          </w:p>
        </w:tc>
        <w:tc>
          <w:tcPr>
            <w:tcW w:w="2600" w:type="dxa"/>
            <w:vAlign w:val="bottom"/>
            <w:tcBorders>
              <w:bottom w:val="single" w:sz="8" w:color="0000FF"/>
            </w:tcBorders>
            <w:gridSpan w:val="5"/>
          </w:tcPr>
          <w:p>
            <w:pPr>
              <w:spacing w:after="0" w:line="169" w:lineRule="exact"/>
              <w:rPr>
                <w:rFonts w:ascii="Arial" w:cs="Arial" w:eastAsia="Arial" w:hAnsi="Arial"/>
                <w:sz w:val="18"/>
                <w:szCs w:val="18"/>
                <w:color w:val="0000FF"/>
                <w:w w:val="86"/>
              </w:rPr>
            </w:pPr>
            <w:hyperlink w:anchor="page9">
              <w:r>
                <w:rPr>
                  <w:rFonts w:ascii="Arial" w:cs="Arial" w:eastAsia="Arial" w:hAnsi="Arial"/>
                  <w:sz w:val="18"/>
                  <w:szCs w:val="18"/>
                  <w:color w:val="0000FF"/>
                  <w:w w:val="86"/>
                </w:rPr>
                <w:t>Operations and Comprehensive Loss</w:t>
              </w:r>
            </w:hyperlink>
          </w:p>
        </w:tc>
        <w:tc>
          <w:tcPr>
            <w:tcW w:w="3780" w:type="dxa"/>
            <w:vAlign w:val="bottom"/>
            <w:gridSpan w:val="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18"/>
          </w:tcPr>
          <w:p>
            <w:pPr>
              <w:spacing w:after="0" w:line="16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Redeemable Convertible Preferred Stock and Stockholders' Equity</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11">
              <w:r>
                <w:rPr>
                  <w:rFonts w:ascii="Arial" w:cs="Arial" w:eastAsia="Arial" w:hAnsi="Arial"/>
                  <w:sz w:val="18"/>
                  <w:szCs w:val="18"/>
                  <w:color w:val="0000FF"/>
                </w:rPr>
                <w:t>Condensed Consolidated Statements of Cash Flows</w:t>
              </w:r>
            </w:hyperlink>
          </w:p>
        </w:tc>
        <w:tc>
          <w:tcPr>
            <w:tcW w:w="16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18"/>
          </w:tcPr>
          <w:p>
            <w:pPr>
              <w:spacing w:after="0" w:line="169" w:lineRule="exact"/>
              <w:rPr>
                <w:rFonts w:ascii="Arial" w:cs="Arial" w:eastAsia="Arial" w:hAnsi="Arial"/>
                <w:sz w:val="18"/>
                <w:szCs w:val="18"/>
                <w:color w:val="0000FF"/>
              </w:rPr>
            </w:pPr>
            <w:hyperlink w:anchor="page12">
              <w:r>
                <w:rPr>
                  <w:rFonts w:ascii="Arial" w:cs="Arial" w:eastAsia="Arial" w:hAnsi="Arial"/>
                  <w:sz w:val="18"/>
                  <w:szCs w:val="18"/>
                  <w:color w:val="0000FF"/>
                </w:rPr>
                <w:t>Notes to Unaudited Condensed Consolidated Financial Statements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189" w:lineRule="exact"/>
              <w:rPr>
                <w:sz w:val="20"/>
                <w:szCs w:val="20"/>
                <w:color w:val="auto"/>
              </w:rPr>
            </w:pPr>
            <w:r>
              <w:rPr>
                <w:rFonts w:ascii="Arial" w:cs="Arial" w:eastAsia="Arial" w:hAnsi="Arial"/>
                <w:sz w:val="18"/>
                <w:szCs w:val="18"/>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8"/>
          </w:tcPr>
          <w:p>
            <w:pPr>
              <w:spacing w:after="0" w:line="169" w:lineRule="exact"/>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284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494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OTHER INFORMATION</w:t>
              </w:r>
            </w:hyperlink>
          </w:p>
        </w:tc>
        <w:tc>
          <w:tcPr>
            <w:tcW w:w="74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1000" w:type="dxa"/>
            <w:vAlign w:val="bottom"/>
            <w:gridSpan w:val="4"/>
          </w:tcPr>
          <w:p>
            <w:pPr>
              <w:spacing w:after="0"/>
              <w:rPr>
                <w:sz w:val="14"/>
                <w:szCs w:val="14"/>
                <w:color w:val="auto"/>
              </w:rPr>
            </w:pPr>
          </w:p>
        </w:tc>
        <w:tc>
          <w:tcPr>
            <w:tcW w:w="2020" w:type="dxa"/>
            <w:vAlign w:val="bottom"/>
            <w:gridSpan w:val="4"/>
          </w:tcPr>
          <w:p>
            <w:pPr>
              <w:spacing w:after="0"/>
              <w:rPr>
                <w:sz w:val="14"/>
                <w:szCs w:val="14"/>
                <w:color w:val="auto"/>
              </w:rPr>
            </w:pPr>
          </w:p>
        </w:tc>
        <w:tc>
          <w:tcPr>
            <w:tcW w:w="496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000FF"/>
            </w:tcBorders>
            <w:gridSpan w:val="2"/>
          </w:tcPr>
          <w:p>
            <w:pPr>
              <w:spacing w:after="0" w:line="169" w:lineRule="exact"/>
              <w:rPr>
                <w:rFonts w:ascii="Arial" w:cs="Arial" w:eastAsia="Arial" w:hAnsi="Arial"/>
                <w:sz w:val="18"/>
                <w:szCs w:val="18"/>
                <w:color w:val="0000FF"/>
                <w:w w:val="85"/>
              </w:rPr>
            </w:pPr>
            <w:hyperlink w:anchor="page84">
              <w:r>
                <w:rPr>
                  <w:rFonts w:ascii="Arial" w:cs="Arial" w:eastAsia="Arial" w:hAnsi="Arial"/>
                  <w:sz w:val="18"/>
                  <w:szCs w:val="18"/>
                  <w:color w:val="0000FF"/>
                  <w:w w:val="85"/>
                </w:rPr>
                <w:t>Unregistered</w:t>
              </w:r>
            </w:hyperlink>
          </w:p>
        </w:tc>
        <w:tc>
          <w:tcPr>
            <w:tcW w:w="8400" w:type="dxa"/>
            <w:vAlign w:val="bottom"/>
            <w:gridSpan w:val="16"/>
          </w:tcPr>
          <w:p>
            <w:pPr>
              <w:ind w:left="60"/>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Sales of Equity Securities and Use of Proceeds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Defaults Upon Senior Securities</w:t>
              </w:r>
            </w:hyperlink>
          </w:p>
        </w:tc>
        <w:tc>
          <w:tcPr>
            <w:tcW w:w="496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Mine Safety Disclosures</w:t>
              </w:r>
            </w:hyperlink>
          </w:p>
        </w:tc>
        <w:tc>
          <w:tcPr>
            <w:tcW w:w="6980" w:type="dxa"/>
            <w:vAlign w:val="bottom"/>
            <w:gridSpan w:val="10"/>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Other Information</w:t>
              </w:r>
            </w:hyperlink>
          </w:p>
        </w:tc>
        <w:tc>
          <w:tcPr>
            <w:tcW w:w="7540" w:type="dxa"/>
            <w:vAlign w:val="bottom"/>
            <w:gridSpan w:val="1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Exhibits</w:t>
              </w:r>
            </w:hyperlink>
          </w:p>
        </w:tc>
        <w:tc>
          <w:tcPr>
            <w:tcW w:w="8000" w:type="dxa"/>
            <w:vAlign w:val="bottom"/>
            <w:gridSpan w:val="1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rFonts w:ascii="Arial" w:cs="Arial" w:eastAsia="Arial" w:hAnsi="Arial"/>
                <w:sz w:val="18"/>
                <w:szCs w:val="18"/>
                <w:color w:val="0000FF"/>
              </w:rPr>
            </w:pPr>
            <w:hyperlink w:anchor="page85">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70" w:lineRule="exact"/>
        <w:rPr>
          <w:sz w:val="20"/>
          <w:szCs w:val="20"/>
          <w:color w:val="auto"/>
        </w:rPr>
      </w:pPr>
    </w:p>
    <w:p>
      <w:pPr>
        <w:ind w:right="260" w:firstLine="599"/>
        <w:spacing w:after="0" w:line="324" w:lineRule="auto"/>
        <w:rPr>
          <w:sz w:val="20"/>
          <w:szCs w:val="20"/>
          <w:color w:val="auto"/>
        </w:rPr>
      </w:pPr>
      <w:r>
        <w:rPr>
          <w:rFonts w:ascii="Arial" w:cs="Arial" w:eastAsia="Arial" w:hAnsi="Arial"/>
          <w:sz w:val="16"/>
          <w:szCs w:val="16"/>
          <w:color w:val="auto"/>
        </w:rPr>
        <w:t>Our business is subject to numerous material and other risks that you should be aware of before making an investment decision. These risks are described more fully in the section of this Quarterly Report on Form 10-Q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These risks include, among others, the following:</w:t>
      </w:r>
    </w:p>
    <w:p>
      <w:pPr>
        <w:spacing w:after="0" w:line="3" w:lineRule="exact"/>
        <w:rPr>
          <w:sz w:val="20"/>
          <w:szCs w:val="20"/>
          <w:color w:val="auto"/>
        </w:rPr>
      </w:pPr>
    </w:p>
    <w:p>
      <w:pPr>
        <w:ind w:left="1040" w:right="620" w:hanging="465"/>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161" w:lineRule="exact"/>
        <w:rPr>
          <w:rFonts w:ascii="Arial" w:cs="Arial" w:eastAsia="Arial" w:hAnsi="Arial"/>
          <w:sz w:val="18"/>
          <w:szCs w:val="18"/>
          <w:color w:val="auto"/>
        </w:rPr>
      </w:pPr>
    </w:p>
    <w:p>
      <w:pPr>
        <w:ind w:left="1040" w:hanging="46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anticipate that we will continue to incur losses for the foreseeable future.</w:t>
      </w:r>
    </w:p>
    <w:p>
      <w:pPr>
        <w:spacing w:after="0" w:line="207" w:lineRule="exact"/>
        <w:rPr>
          <w:rFonts w:ascii="Arial" w:cs="Arial" w:eastAsia="Arial" w:hAnsi="Arial"/>
          <w:sz w:val="16"/>
          <w:szCs w:val="16"/>
          <w:color w:val="auto"/>
        </w:rPr>
      </w:pPr>
    </w:p>
    <w:p>
      <w:pPr>
        <w:ind w:left="1040" w:right="60" w:hanging="452"/>
        <w:spacing w:after="0" w:line="235"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161" w:lineRule="exact"/>
        <w:rPr>
          <w:rFonts w:ascii="Arial" w:cs="Arial" w:eastAsia="Arial" w:hAnsi="Arial"/>
          <w:sz w:val="18"/>
          <w:szCs w:val="18"/>
          <w:color w:val="auto"/>
        </w:rPr>
      </w:pPr>
    </w:p>
    <w:p>
      <w:pPr>
        <w:ind w:left="1040" w:right="180" w:hanging="465"/>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61" w:lineRule="exact"/>
        <w:rPr>
          <w:rFonts w:ascii="Arial" w:cs="Arial" w:eastAsia="Arial" w:hAnsi="Arial"/>
          <w:sz w:val="18"/>
          <w:szCs w:val="18"/>
          <w:color w:val="auto"/>
        </w:rPr>
      </w:pPr>
    </w:p>
    <w:p>
      <w:pPr>
        <w:ind w:left="1040" w:right="240" w:hanging="452"/>
        <w:spacing w:after="0" w:line="22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62" w:lineRule="exact"/>
        <w:rPr>
          <w:rFonts w:ascii="Arial" w:cs="Arial" w:eastAsia="Arial" w:hAnsi="Arial"/>
          <w:sz w:val="18"/>
          <w:szCs w:val="18"/>
          <w:color w:val="auto"/>
        </w:rPr>
      </w:pPr>
    </w:p>
    <w:p>
      <w:pPr>
        <w:ind w:left="1040" w:right="180" w:hanging="452"/>
        <w:spacing w:after="0" w:line="22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162" w:lineRule="exact"/>
        <w:rPr>
          <w:rFonts w:ascii="Arial" w:cs="Arial" w:eastAsia="Arial" w:hAnsi="Arial"/>
          <w:sz w:val="18"/>
          <w:szCs w:val="18"/>
          <w:color w:val="auto"/>
        </w:rPr>
      </w:pPr>
    </w:p>
    <w:p>
      <w:pPr>
        <w:ind w:left="1040" w:right="20" w:hanging="465"/>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61" w:lineRule="exact"/>
        <w:rPr>
          <w:rFonts w:ascii="Arial" w:cs="Arial" w:eastAsia="Arial" w:hAnsi="Arial"/>
          <w:sz w:val="18"/>
          <w:szCs w:val="18"/>
          <w:color w:val="auto"/>
        </w:rPr>
      </w:pPr>
    </w:p>
    <w:p>
      <w:pPr>
        <w:ind w:left="1040" w:right="180" w:hanging="452"/>
        <w:spacing w:after="0" w:line="22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162" w:lineRule="exact"/>
        <w:rPr>
          <w:rFonts w:ascii="Arial" w:cs="Arial" w:eastAsia="Arial" w:hAnsi="Arial"/>
          <w:sz w:val="18"/>
          <w:szCs w:val="18"/>
          <w:color w:val="auto"/>
        </w:rPr>
      </w:pPr>
    </w:p>
    <w:p>
      <w:pPr>
        <w:ind w:left="1040" w:right="20" w:hanging="452"/>
        <w:spacing w:after="0" w:line="21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62" w:lineRule="exact"/>
        <w:rPr>
          <w:rFonts w:ascii="Arial" w:cs="Arial" w:eastAsia="Arial" w:hAnsi="Arial"/>
          <w:sz w:val="18"/>
          <w:szCs w:val="18"/>
          <w:color w:val="auto"/>
        </w:rPr>
      </w:pPr>
    </w:p>
    <w:p>
      <w:pPr>
        <w:ind w:left="1040" w:hanging="465"/>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or enrollment of patients in clinical trials, the announcement of clinical trial results and our receipt of necessary regulatory approvals (if any) could be delayed or prevented.</w:t>
      </w:r>
    </w:p>
    <w:p>
      <w:pPr>
        <w:spacing w:after="0" w:line="161" w:lineRule="exact"/>
        <w:rPr>
          <w:rFonts w:ascii="Arial" w:cs="Arial" w:eastAsia="Arial" w:hAnsi="Arial"/>
          <w:sz w:val="18"/>
          <w:szCs w:val="18"/>
          <w:color w:val="auto"/>
        </w:rPr>
      </w:pPr>
    </w:p>
    <w:p>
      <w:pPr>
        <w:ind w:left="1040" w:right="520" w:hanging="452"/>
        <w:spacing w:after="0" w:line="22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62" w:lineRule="exact"/>
        <w:rPr>
          <w:rFonts w:ascii="Arial" w:cs="Arial" w:eastAsia="Arial" w:hAnsi="Arial"/>
          <w:sz w:val="18"/>
          <w:szCs w:val="18"/>
          <w:color w:val="auto"/>
        </w:rPr>
      </w:pPr>
    </w:p>
    <w:p>
      <w:pPr>
        <w:ind w:left="1040" w:right="60" w:hanging="452"/>
        <w:spacing w:after="0" w:line="22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62" w:lineRule="exact"/>
        <w:rPr>
          <w:rFonts w:ascii="Arial" w:cs="Arial" w:eastAsia="Arial" w:hAnsi="Arial"/>
          <w:sz w:val="18"/>
          <w:szCs w:val="18"/>
          <w:color w:val="auto"/>
        </w:rPr>
      </w:pPr>
    </w:p>
    <w:p>
      <w:pPr>
        <w:ind w:left="1040" w:right="140" w:hanging="452"/>
        <w:spacing w:after="0" w:line="22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4" w:name="page5"/>
    <w:bookmarkEnd w:id="4"/>
    <w:p>
      <w:pPr>
        <w:ind w:left="1040" w:right="320" w:hanging="465"/>
        <w:spacing w:after="0" w:line="22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162" w:lineRule="exact"/>
        <w:rPr>
          <w:rFonts w:ascii="Arial" w:cs="Arial" w:eastAsia="Arial" w:hAnsi="Arial"/>
          <w:sz w:val="18"/>
          <w:szCs w:val="18"/>
          <w:color w:val="auto"/>
        </w:rPr>
      </w:pPr>
    </w:p>
    <w:p>
      <w:pPr>
        <w:ind w:left="1040" w:right="40" w:hanging="452"/>
        <w:spacing w:after="0" w:line="219"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62" w:lineRule="exact"/>
        <w:rPr>
          <w:rFonts w:ascii="Arial" w:cs="Arial" w:eastAsia="Arial" w:hAnsi="Arial"/>
          <w:sz w:val="18"/>
          <w:szCs w:val="18"/>
          <w:color w:val="auto"/>
        </w:rPr>
      </w:pPr>
    </w:p>
    <w:p>
      <w:pPr>
        <w:ind w:left="1040" w:right="140" w:hanging="452"/>
        <w:spacing w:after="0" w:line="219"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62" w:lineRule="exact"/>
        <w:rPr>
          <w:rFonts w:ascii="Arial" w:cs="Arial" w:eastAsia="Arial" w:hAnsi="Arial"/>
          <w:sz w:val="18"/>
          <w:szCs w:val="18"/>
          <w:color w:val="auto"/>
        </w:rPr>
      </w:pPr>
    </w:p>
    <w:p>
      <w:pPr>
        <w:ind w:left="1040" w:right="440" w:hanging="452"/>
        <w:spacing w:after="0" w:line="258" w:lineRule="auto"/>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146" w:lineRule="exact"/>
        <w:rPr>
          <w:rFonts w:ascii="Arial" w:cs="Arial" w:eastAsia="Arial" w:hAnsi="Arial"/>
          <w:sz w:val="17"/>
          <w:szCs w:val="17"/>
          <w:color w:val="auto"/>
        </w:rPr>
      </w:pPr>
    </w:p>
    <w:p>
      <w:pPr>
        <w:ind w:left="1040" w:right="80" w:hanging="452"/>
        <w:spacing w:after="0" w:line="259" w:lineRule="auto"/>
        <w:tabs>
          <w:tab w:leader="none" w:pos="1040" w:val="left"/>
        </w:tabs>
        <w:numPr>
          <w:ilvl w:val="1"/>
          <w:numId w:val="4"/>
        </w:numPr>
        <w:rPr>
          <w:rFonts w:ascii="Arial" w:cs="Arial" w:eastAsia="Arial" w:hAnsi="Arial"/>
          <w:sz w:val="16"/>
          <w:szCs w:val="16"/>
          <w:color w:val="auto"/>
        </w:rPr>
      </w:pPr>
      <w:r>
        <w:rPr>
          <w:rFonts w:ascii="Arial" w:cs="Arial" w:eastAsia="Arial" w:hAnsi="Arial"/>
          <w:sz w:val="16"/>
          <w:szCs w:val="16"/>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146" w:lineRule="exact"/>
        <w:rPr>
          <w:rFonts w:ascii="Arial" w:cs="Arial" w:eastAsia="Arial" w:hAnsi="Arial"/>
          <w:sz w:val="16"/>
          <w:szCs w:val="16"/>
          <w:color w:val="auto"/>
        </w:rPr>
      </w:pPr>
    </w:p>
    <w:p>
      <w:pPr>
        <w:ind w:left="1040" w:right="360" w:hanging="452"/>
        <w:spacing w:after="0" w:line="235"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may be subject to damages or settlement costs resulting from claims that we or our employees have violated the intellectual property rights of third parties, or are in breach of our agreements.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02" w:lineRule="exact"/>
        <w:rPr>
          <w:sz w:val="20"/>
          <w:szCs w:val="20"/>
          <w:color w:val="auto"/>
        </w:rPr>
      </w:pPr>
    </w:p>
    <w:p>
      <w:pPr>
        <w:ind w:firstLine="495"/>
        <w:spacing w:after="0" w:line="254" w:lineRule="auto"/>
        <w:rPr>
          <w:sz w:val="20"/>
          <w:szCs w:val="20"/>
          <w:color w:val="auto"/>
        </w:rPr>
      </w:pPr>
      <w:r>
        <w:rPr>
          <w:rFonts w:ascii="Arial" w:cs="Arial" w:eastAsia="Arial" w:hAnsi="Arial"/>
          <w:sz w:val="17"/>
          <w:szCs w:val="17"/>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59" w:lineRule="exact"/>
        <w:rPr>
          <w:sz w:val="20"/>
          <w:szCs w:val="20"/>
          <w:color w:val="auto"/>
        </w:rPr>
      </w:pPr>
    </w:p>
    <w:p>
      <w:pPr>
        <w:jc w:val="both"/>
        <w:ind w:left="1040" w:right="20" w:hanging="452"/>
        <w:spacing w:after="0" w:line="259"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clinical trials and related preparatory work, the period during which the results of the clinical trials will become available, and our research and development programs;</w:t>
      </w:r>
    </w:p>
    <w:p>
      <w:pPr>
        <w:spacing w:after="0" w:line="146" w:lineRule="exact"/>
        <w:rPr>
          <w:rFonts w:ascii="Arial" w:cs="Arial" w:eastAsia="Arial" w:hAnsi="Arial"/>
          <w:sz w:val="16"/>
          <w:szCs w:val="16"/>
          <w:color w:val="auto"/>
        </w:rPr>
      </w:pPr>
    </w:p>
    <w:p>
      <w:pPr>
        <w:ind w:left="1040" w:right="300" w:hanging="452"/>
        <w:spacing w:after="0" w:line="23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and develop product candidates efficiently (including the advancement of development candidates on the timelines identified);</w:t>
      </w:r>
    </w:p>
    <w:p>
      <w:pPr>
        <w:spacing w:after="0" w:line="161" w:lineRule="exact"/>
        <w:rPr>
          <w:rFonts w:ascii="Arial" w:cs="Arial" w:eastAsia="Arial" w:hAnsi="Arial"/>
          <w:sz w:val="18"/>
          <w:szCs w:val="18"/>
          <w:color w:val="auto"/>
        </w:rPr>
      </w:pPr>
    </w:p>
    <w:p>
      <w:pPr>
        <w:ind w:left="1040" w:right="40" w:hanging="452"/>
        <w:spacing w:after="0" w:line="23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161" w:lineRule="exact"/>
        <w:rPr>
          <w:rFonts w:ascii="Arial" w:cs="Arial" w:eastAsia="Arial" w:hAnsi="Arial"/>
          <w:sz w:val="18"/>
          <w:szCs w:val="18"/>
          <w:color w:val="auto"/>
        </w:rPr>
      </w:pPr>
    </w:p>
    <w:p>
      <w:pPr>
        <w:ind w:left="1040" w:right="820" w:hanging="452"/>
        <w:spacing w:after="0" w:line="23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161" w:lineRule="exact"/>
        <w:rPr>
          <w:rFonts w:ascii="Arial" w:cs="Arial" w:eastAsia="Arial" w:hAnsi="Arial"/>
          <w:sz w:val="18"/>
          <w:szCs w:val="18"/>
          <w:color w:val="auto"/>
        </w:rPr>
      </w:pPr>
    </w:p>
    <w:p>
      <w:pPr>
        <w:ind w:left="1040" w:right="120" w:hanging="452"/>
        <w:spacing w:after="0" w:line="22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162"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if approved, maintain regulatory approval of our product candidates;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5" w:name="page6"/>
    <w:bookmarkEnd w:id="5"/>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184" w:lineRule="exact"/>
        <w:rPr>
          <w:rFonts w:ascii="Arial" w:cs="Arial" w:eastAsia="Arial" w:hAnsi="Arial"/>
          <w:sz w:val="18"/>
          <w:szCs w:val="18"/>
          <w:color w:val="auto"/>
        </w:rPr>
      </w:pPr>
    </w:p>
    <w:p>
      <w:pPr>
        <w:ind w:left="1040" w:right="80" w:hanging="452"/>
        <w:spacing w:after="0" w:line="23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61" w:lineRule="exact"/>
        <w:rPr>
          <w:rFonts w:ascii="Arial" w:cs="Arial" w:eastAsia="Arial" w:hAnsi="Arial"/>
          <w:sz w:val="18"/>
          <w:szCs w:val="18"/>
          <w:color w:val="auto"/>
        </w:rPr>
      </w:pPr>
    </w:p>
    <w:p>
      <w:pPr>
        <w:ind w:left="1040" w:right="180" w:hanging="452"/>
        <w:spacing w:after="0" w:line="23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product candidates (if approved) and any other approved products;</w:t>
      </w:r>
    </w:p>
    <w:p>
      <w:pPr>
        <w:spacing w:after="0" w:line="161"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including the expectation that we will continue to incur operating losses and negative cash flow;</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8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industry;</w:t>
      </w:r>
    </w:p>
    <w:p>
      <w:pPr>
        <w:spacing w:after="0" w:line="184" w:lineRule="exact"/>
        <w:rPr>
          <w:rFonts w:ascii="Arial" w:cs="Arial" w:eastAsia="Arial" w:hAnsi="Arial"/>
          <w:sz w:val="18"/>
          <w:szCs w:val="18"/>
          <w:color w:val="auto"/>
        </w:rPr>
      </w:pPr>
    </w:p>
    <w:p>
      <w:pPr>
        <w:ind w:left="1040" w:right="100" w:hanging="452"/>
        <w:spacing w:after="0" w:line="289"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123" w:lineRule="exact"/>
        <w:rPr>
          <w:rFonts w:ascii="Arial" w:cs="Arial" w:eastAsia="Arial" w:hAnsi="Arial"/>
          <w:sz w:val="16"/>
          <w:szCs w:val="16"/>
          <w:color w:val="auto"/>
        </w:rPr>
      </w:pPr>
    </w:p>
    <w:p>
      <w:pPr>
        <w:ind w:left="1040" w:hanging="452"/>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in this Quarterly Report on Form 10-Q under the section titled “Risk Factors.”</w:t>
      </w:r>
    </w:p>
    <w:p>
      <w:pPr>
        <w:spacing w:after="0" w:line="250" w:lineRule="exact"/>
        <w:rPr>
          <w:sz w:val="20"/>
          <w:szCs w:val="20"/>
          <w:color w:val="auto"/>
        </w:rPr>
      </w:pPr>
    </w:p>
    <w:p>
      <w:pPr>
        <w:ind w:firstLine="495"/>
        <w:spacing w:after="0" w:line="272" w:lineRule="auto"/>
        <w:rPr>
          <w:sz w:val="20"/>
          <w:szCs w:val="20"/>
          <w:color w:val="auto"/>
        </w:rPr>
      </w:pPr>
      <w:r>
        <w:rPr>
          <w:rFonts w:ascii="Arial" w:cs="Arial" w:eastAsia="Arial" w:hAnsi="Arial"/>
          <w:sz w:val="16"/>
          <w:szCs w:val="16"/>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of this Quarterly Report on Form 10-Q.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4" w:right="439" w:bottom="1440" w:gutter="0" w:footer="0" w:header="0"/>
        </w:sectPr>
      </w:pPr>
    </w:p>
    <w:bookmarkStart w:id="6" w:name="page7"/>
    <w:bookmarkEnd w:id="6"/>
    <w:p>
      <w:pPr>
        <w:ind w:right="20"/>
        <w:spacing w:after="0" w:line="261" w:lineRule="auto"/>
        <w:rPr>
          <w:sz w:val="20"/>
          <w:szCs w:val="20"/>
          <w:color w:val="auto"/>
        </w:rPr>
      </w:pPr>
      <w:r>
        <w:rPr>
          <w:rFonts w:ascii="Arial" w:cs="Arial" w:eastAsia="Arial" w:hAnsi="Arial"/>
          <w:sz w:val="18"/>
          <w:szCs w:val="18"/>
          <w:color w:val="auto"/>
        </w:rPr>
        <w:t>all such risks. We do not undertake any obligation to update or revise any forward-looking statements, whether as a result of new information, future events or otherwise, except as may be required under applicable securities laws.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Corporate Website</w:t>
      </w:r>
    </w:p>
    <w:p>
      <w:pPr>
        <w:spacing w:after="0" w:line="202"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4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Arial" w:cs="Arial" w:eastAsia="Arial" w:hAnsi="Arial"/>
          <w:sz w:val="18"/>
          <w:szCs w:val="18"/>
          <w:color w:val="auto"/>
        </w:rPr>
        <w:t>W</w:t>
      </w:r>
      <w:r>
        <w:rPr>
          <w:rFonts w:ascii="Arial" w:cs="Arial" w:eastAsia="Arial" w:hAnsi="Arial"/>
          <w:sz w:val="17"/>
          <w:szCs w:val="17"/>
          <w:color w:val="auto"/>
        </w:rPr>
        <w:t>e also make available, free of charge on our website, the reports filed with the SEC by our executive officers, directors and 10% stockholders pursuant to Section 16 under the Exchange Act as soon as reasonably practicable a</w:t>
      </w:r>
      <w:r>
        <w:rPr>
          <w:rFonts w:ascii="Arial" w:cs="Arial" w:eastAsia="Arial" w:hAnsi="Arial"/>
          <w:sz w:val="18"/>
          <w:szCs w:val="18"/>
          <w:color w:val="auto"/>
        </w:rPr>
        <w:t>f</w:t>
      </w:r>
      <w:r>
        <w:rPr>
          <w:rFonts w:ascii="Arial" w:cs="Arial" w:eastAsia="Arial" w:hAnsi="Arial"/>
          <w:sz w:val="17"/>
          <w:szCs w:val="17"/>
          <w:color w:val="auto"/>
        </w:rPr>
        <w:t>ter copies of those filings are provided to us by those persons</w:t>
      </w:r>
      <w:r>
        <w:rPr>
          <w:rFonts w:ascii="Arial" w:cs="Arial" w:eastAsia="Arial" w:hAnsi="Arial"/>
          <w:sz w:val="18"/>
          <w:szCs w:val="18"/>
          <w:color w:val="auto"/>
        </w:rPr>
        <w:t>. A</w:t>
      </w:r>
      <w:r>
        <w:rPr>
          <w:rFonts w:ascii="Arial" w:cs="Arial" w:eastAsia="Arial" w:hAnsi="Arial"/>
          <w:sz w:val="17"/>
          <w:szCs w:val="17"/>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Further, the company intends to use its website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The information contained on, or that may be accessed through, the website is not part of, and is not incorporated into, this Quarterly Report on Form 10-Q.</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executive office is located at 100 Binney Street, Suite 700, Cambridge, Massachusetts.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TANGO THERAPEUTICS, INC.</w:t>
      </w:r>
    </w:p>
    <w:p>
      <w:pPr>
        <w:spacing w:after="0" w:line="1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519"/>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84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99,909</w:t>
            </w:r>
          </w:p>
        </w:tc>
        <w:tc>
          <w:tcPr>
            <w:tcW w:w="24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142,745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349,976</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342,510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40" w:type="dxa"/>
            <w:vAlign w:val="bottom"/>
            <w:shd w:val="clear" w:color="auto" w:fill="CFF0FC"/>
          </w:tcPr>
          <w:p>
            <w:pPr>
              <w:ind w:left="360"/>
              <w:spacing w:after="0" w:line="183" w:lineRule="exact"/>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460,654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492,338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6,538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spacing w:after="0"/>
              <w:rPr>
                <w:sz w:val="20"/>
                <w:szCs w:val="20"/>
                <w:color w:val="auto"/>
              </w:rPr>
            </w:pPr>
            <w:r>
              <w:rPr>
                <w:rFonts w:ascii="Arial" w:cs="Arial" w:eastAsia="Arial" w:hAnsi="Arial"/>
                <w:sz w:val="16"/>
                <w:szCs w:val="16"/>
                <w:color w:val="auto"/>
              </w:rPr>
              <w:t>Restricted cash, net of current portion</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3,423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40" w:type="dxa"/>
            <w:vAlign w:val="bottom"/>
          </w:tcPr>
          <w:p>
            <w:pPr>
              <w:ind w:left="360"/>
              <w:spacing w:after="0" w:line="183" w:lineRule="exact"/>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471,525</w:t>
            </w:r>
          </w:p>
        </w:tc>
        <w:tc>
          <w:tcPr>
            <w:tcW w:w="24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500,155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3,367</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9,693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25,024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Income tax payable</w:t>
            </w:r>
          </w:p>
        </w:tc>
        <w:tc>
          <w:tcPr>
            <w:tcW w:w="2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40" w:type="dxa"/>
            <w:vAlign w:val="bottom"/>
          </w:tcPr>
          <w:p>
            <w:pPr>
              <w:ind w:left="360"/>
              <w:spacing w:after="0" w:line="183" w:lineRule="exact"/>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39,211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40,690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 net of current portion</w:t>
            </w:r>
          </w:p>
        </w:tc>
        <w:tc>
          <w:tcPr>
            <w:tcW w:w="26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684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111,958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114,718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Other long-term liabilities</w:t>
            </w:r>
          </w:p>
        </w:tc>
        <w:tc>
          <w:tcPr>
            <w:tcW w:w="2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840" w:type="dxa"/>
            <w:vAlign w:val="bottom"/>
            <w:tcBorders>
              <w:top w:val="single" w:sz="8" w:color="CFF0FC"/>
            </w:tcBorders>
          </w:tcPr>
          <w:p>
            <w:pPr>
              <w:ind w:left="360"/>
              <w:spacing w:after="0" w:line="183" w:lineRule="exact"/>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151,169</w:t>
            </w: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155,408</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8)</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40" w:type="dxa"/>
            <w:vAlign w:val="bottom"/>
          </w:tcPr>
          <w:p>
            <w:pPr>
              <w:spacing w:after="0" w:line="152" w:lineRule="exact"/>
              <w:rPr>
                <w:sz w:val="20"/>
                <w:szCs w:val="20"/>
                <w:color w:val="auto"/>
              </w:rPr>
            </w:pPr>
            <w:r>
              <w:rPr>
                <w:rFonts w:ascii="Arial" w:cs="Arial" w:eastAsia="Arial" w:hAnsi="Arial"/>
                <w:sz w:val="16"/>
                <w:szCs w:val="16"/>
                <w:color w:val="auto"/>
              </w:rPr>
              <w:t>Preferred stock, $0.001 par value; 10,000,000 shares authorized; no shares issued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840" w:type="dxa"/>
            <w:vAlign w:val="bottom"/>
          </w:tcPr>
          <w:p>
            <w:pPr>
              <w:ind w:left="140"/>
              <w:spacing w:after="0"/>
              <w:rPr>
                <w:sz w:val="20"/>
                <w:szCs w:val="20"/>
                <w:color w:val="auto"/>
              </w:rPr>
            </w:pPr>
            <w:r>
              <w:rPr>
                <w:rFonts w:ascii="Arial" w:cs="Arial" w:eastAsia="Arial" w:hAnsi="Arial"/>
                <w:sz w:val="16"/>
                <w:szCs w:val="16"/>
                <w:color w:val="auto"/>
              </w:rPr>
              <w:t>and outstanding as of March 31, 2022 and December 31, 2021, respectively</w:t>
            </w:r>
          </w:p>
        </w:tc>
        <w:tc>
          <w:tcPr>
            <w:tcW w:w="2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40" w:type="dxa"/>
            <w:vAlign w:val="bottom"/>
          </w:tcPr>
          <w:p>
            <w:pPr>
              <w:spacing w:after="0" w:line="152" w:lineRule="exact"/>
              <w:rPr>
                <w:sz w:val="20"/>
                <w:szCs w:val="20"/>
                <w:color w:val="auto"/>
              </w:rPr>
            </w:pPr>
            <w:r>
              <w:rPr>
                <w:rFonts w:ascii="Arial" w:cs="Arial" w:eastAsia="Arial" w:hAnsi="Arial"/>
                <w:sz w:val="16"/>
                <w:szCs w:val="16"/>
                <w:color w:val="auto"/>
              </w:rPr>
              <w:t>Common stock, $0.001 par value; 200,000,000 shares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40"/>
              <w:spacing w:after="0" w:line="162" w:lineRule="exact"/>
              <w:rPr>
                <w:sz w:val="20"/>
                <w:szCs w:val="20"/>
                <w:color w:val="auto"/>
              </w:rPr>
            </w:pPr>
            <w:r>
              <w:rPr>
                <w:rFonts w:ascii="Arial" w:cs="Arial" w:eastAsia="Arial" w:hAnsi="Arial"/>
                <w:sz w:val="16"/>
                <w:szCs w:val="16"/>
                <w:color w:val="auto"/>
              </w:rPr>
              <w:t>authorized at March 31, 2022 and December 31, 2021;</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40"/>
              <w:spacing w:after="0" w:line="162" w:lineRule="exact"/>
              <w:rPr>
                <w:sz w:val="20"/>
                <w:szCs w:val="20"/>
                <w:color w:val="auto"/>
              </w:rPr>
            </w:pPr>
            <w:r>
              <w:rPr>
                <w:rFonts w:ascii="Arial" w:cs="Arial" w:eastAsia="Arial" w:hAnsi="Arial"/>
                <w:sz w:val="16"/>
                <w:szCs w:val="16"/>
                <w:color w:val="auto"/>
              </w:rPr>
              <w:t>87,709,499 and 87,598,184 shares issued and outstanding as of</w:t>
            </w: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840" w:type="dxa"/>
            <w:vAlign w:val="bottom"/>
          </w:tcPr>
          <w:p>
            <w:pPr>
              <w:ind w:left="140"/>
              <w:spacing w:after="0"/>
              <w:rPr>
                <w:sz w:val="20"/>
                <w:szCs w:val="20"/>
                <w:color w:val="auto"/>
              </w:rPr>
            </w:pPr>
            <w:r>
              <w:rPr>
                <w:rFonts w:ascii="Arial" w:cs="Arial" w:eastAsia="Arial" w:hAnsi="Arial"/>
                <w:sz w:val="16"/>
                <w:szCs w:val="16"/>
                <w:color w:val="auto"/>
              </w:rPr>
              <w:t>March 31, 2022 and December 31, 2021, respectively</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510,222</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506,760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(3,410 )</w:t>
            </w:r>
          </w:p>
        </w:tc>
        <w:tc>
          <w:tcPr>
            <w:tcW w:w="20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(765 )</w:t>
            </w: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(186,544 )</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(161,336 )</w:t>
            </w:r>
          </w:p>
        </w:tc>
        <w:tc>
          <w:tcPr>
            <w:tcW w:w="0" w:type="dxa"/>
            <w:vAlign w:val="bottom"/>
          </w:tcPr>
          <w:p>
            <w:pPr>
              <w:spacing w:after="0"/>
              <w:rPr>
                <w:sz w:val="1"/>
                <w:szCs w:val="1"/>
                <w:color w:val="auto"/>
              </w:rPr>
            </w:pPr>
          </w:p>
        </w:tc>
      </w:tr>
      <w:tr>
        <w:trPr>
          <w:trHeight w:val="183"/>
        </w:trPr>
        <w:tc>
          <w:tcPr>
            <w:tcW w:w="6840" w:type="dxa"/>
            <w:vAlign w:val="bottom"/>
            <w:tcBorders>
              <w:top w:val="single" w:sz="8" w:color="CFF0FC"/>
            </w:tcBorders>
          </w:tcPr>
          <w:p>
            <w:pPr>
              <w:ind w:left="180"/>
              <w:spacing w:after="0" w:line="183" w:lineRule="exact"/>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320,356</w:t>
            </w: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344,747</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ind w:left="36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471,525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500,155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-3116580</wp:posOffset>
            </wp:positionV>
            <wp:extent cx="6032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-3116580</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-2139315</wp:posOffset>
            </wp:positionV>
            <wp:extent cx="603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-2139315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-1659255</wp:posOffset>
            </wp:positionV>
            <wp:extent cx="6032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-1659255</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-279400</wp:posOffset>
            </wp:positionV>
            <wp:extent cx="6032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-279400</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24" w:right="89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TANGO THERAPEUTICS, INC.</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60"/>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Collaboration revenue</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5,758</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24,330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6,807</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31,137</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18,467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7"/>
                <w:szCs w:val="17"/>
                <w:color w:val="auto"/>
              </w:rPr>
            </w:pPr>
          </w:p>
        </w:tc>
        <w:tc>
          <w:tcPr>
            <w:tcW w:w="14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(25,379 )</w:t>
            </w:r>
          </w:p>
        </w:tc>
        <w:tc>
          <w:tcPr>
            <w:tcW w:w="36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(12,081 )</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3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(47 )</w:t>
            </w: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196"/>
        </w:trPr>
        <w:tc>
          <w:tcPr>
            <w:tcW w:w="670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Total other income, net</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(25,208</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(12,032</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(25,208</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(12,106</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 per common share – basic and diluted</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(0.29 )</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(0.29 )</w:t>
            </w:r>
          </w:p>
        </w:tc>
        <w:tc>
          <w:tcPr>
            <w:tcW w:w="0" w:type="dxa"/>
            <w:vAlign w:val="bottom"/>
          </w:tcPr>
          <w:p>
            <w:pPr>
              <w:spacing w:after="0"/>
              <w:rPr>
                <w:sz w:val="1"/>
                <w:szCs w:val="1"/>
                <w:color w:val="auto"/>
              </w:rPr>
            </w:pPr>
          </w:p>
        </w:tc>
      </w:tr>
      <w:tr>
        <w:trPr>
          <w:trHeight w:val="162"/>
        </w:trPr>
        <w:tc>
          <w:tcPr>
            <w:tcW w:w="6700" w:type="dxa"/>
            <w:vAlign w:val="bottom"/>
          </w:tcPr>
          <w:p>
            <w:pPr>
              <w:spacing w:after="0" w:line="162" w:lineRule="exact"/>
              <w:rPr>
                <w:sz w:val="20"/>
                <w:szCs w:val="20"/>
                <w:color w:val="auto"/>
              </w:rPr>
            </w:pPr>
            <w:r>
              <w:rPr>
                <w:rFonts w:ascii="Arial" w:cs="Arial" w:eastAsia="Arial" w:hAnsi="Arial"/>
                <w:sz w:val="18"/>
                <w:szCs w:val="18"/>
                <w:color w:val="auto"/>
              </w:rPr>
              <w:t>Weighted average number of common shares outstanding</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87,670,653</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41,575,143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40"/>
              <w:spacing w:after="0"/>
              <w:rPr>
                <w:sz w:val="20"/>
                <w:szCs w:val="20"/>
                <w:color w:val="auto"/>
              </w:rPr>
            </w:pPr>
            <w:r>
              <w:rPr>
                <w:rFonts w:ascii="Arial" w:cs="Arial" w:eastAsia="Arial" w:hAnsi="Arial"/>
                <w:sz w:val="18"/>
                <w:szCs w:val="18"/>
                <w:color w:val="auto"/>
              </w:rPr>
              <w:t>– basic and diluted</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7"/>
                <w:szCs w:val="17"/>
                <w:color w:val="auto"/>
              </w:rPr>
            </w:pPr>
          </w:p>
        </w:tc>
        <w:tc>
          <w:tcPr>
            <w:tcW w:w="1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(25,208 )</w:t>
            </w:r>
          </w:p>
        </w:tc>
        <w:tc>
          <w:tcPr>
            <w:tcW w:w="36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(12,106 )</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comprehensive (loss) income:</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Unrealized (loss) gain on marketable securities</w:t>
            </w:r>
          </w:p>
        </w:tc>
        <w:tc>
          <w:tcPr>
            <w:tcW w:w="360" w:type="dxa"/>
            <w:vAlign w:val="bottom"/>
          </w:tcPr>
          <w:p>
            <w:pPr>
              <w:spacing w:after="0"/>
              <w:rPr>
                <w:sz w:val="17"/>
                <w:szCs w:val="17"/>
                <w:color w:val="auto"/>
              </w:rPr>
            </w:pPr>
          </w:p>
        </w:tc>
        <w:tc>
          <w:tcPr>
            <w:tcW w:w="1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(2,645 )</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(27,853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(12,091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-2242185</wp:posOffset>
            </wp:positionV>
            <wp:extent cx="603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-2242185</wp:posOffset>
            </wp:positionV>
            <wp:extent cx="6032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-1719580</wp:posOffset>
            </wp:positionV>
            <wp:extent cx="603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-1719580</wp:posOffset>
            </wp:positionV>
            <wp:extent cx="603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-1179195</wp:posOffset>
            </wp:positionV>
            <wp:extent cx="6032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-1179195</wp:posOffset>
            </wp:positionV>
            <wp:extent cx="6032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4" w:right="8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jc w:val="center"/>
        <w:ind w:right="40"/>
        <w:spacing w:after="0" w:line="234" w:lineRule="auto"/>
        <w:rPr>
          <w:sz w:val="20"/>
          <w:szCs w:val="20"/>
          <w:color w:val="auto"/>
        </w:rPr>
      </w:pPr>
      <w:r>
        <w:rPr>
          <w:rFonts w:ascii="Arial" w:cs="Arial" w:eastAsia="Arial" w:hAnsi="Arial"/>
          <w:sz w:val="18"/>
          <w:szCs w:val="18"/>
          <w:b w:val="1"/>
          <w:bCs w:val="1"/>
          <w:color w:val="auto"/>
        </w:rPr>
        <w:t>STOCK AND STOCKHOLDERS’ EQUITY</w:t>
      </w:r>
    </w:p>
    <w:p>
      <w:pPr>
        <w:jc w:val="center"/>
        <w:ind w:right="40"/>
        <w:spacing w:after="0" w:line="235"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left="158"/>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7"/>
            <w:vMerge w:val="restart"/>
          </w:tcPr>
          <w:p>
            <w:pPr>
              <w:ind w:left="20"/>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5"/>
          </w:tcPr>
          <w:p>
            <w:pPr>
              <w:ind w:left="20"/>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3"/>
                <w:szCs w:val="13"/>
                <w:color w:val="auto"/>
              </w:rPr>
            </w:pPr>
          </w:p>
        </w:tc>
        <w:tc>
          <w:tcPr>
            <w:tcW w:w="880" w:type="dxa"/>
            <w:vAlign w:val="bottom"/>
            <w:gridSpan w:val="2"/>
          </w:tcPr>
          <w:p>
            <w:pPr>
              <w:jc w:val="center"/>
              <w:ind w:left="158"/>
              <w:spacing w:after="0"/>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7"/>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3"/>
                <w:szCs w:val="13"/>
                <w:color w:val="auto"/>
              </w:rPr>
            </w:pPr>
          </w:p>
        </w:tc>
        <w:tc>
          <w:tcPr>
            <w:tcW w:w="1320" w:type="dxa"/>
            <w:vAlign w:val="bottom"/>
            <w:gridSpan w:val="5"/>
          </w:tcPr>
          <w:p>
            <w:pPr>
              <w:jc w:val="center"/>
              <w:ind w:right="133"/>
              <w:spacing w:after="0"/>
              <w:rPr>
                <w:sz w:val="20"/>
                <w:szCs w:val="20"/>
                <w:color w:val="auto"/>
              </w:rPr>
            </w:pPr>
            <w:r>
              <w:rPr>
                <w:rFonts w:ascii="Arial" w:cs="Arial" w:eastAsia="Arial" w:hAnsi="Arial"/>
                <w:sz w:val="12"/>
                <w:szCs w:val="12"/>
                <w:b w:val="1"/>
                <w:bCs w:val="1"/>
                <w:color w:val="auto"/>
                <w:w w:val="84"/>
              </w:rPr>
              <w:t>Comprehensive</w:t>
            </w:r>
          </w:p>
        </w:tc>
        <w:tc>
          <w:tcPr>
            <w:tcW w:w="80" w:type="dxa"/>
            <w:vAlign w:val="bottom"/>
          </w:tcPr>
          <w:p>
            <w:pPr>
              <w:spacing w:after="0"/>
              <w:rPr>
                <w:sz w:val="13"/>
                <w:szCs w:val="13"/>
                <w:color w:val="auto"/>
              </w:rPr>
            </w:pPr>
          </w:p>
        </w:tc>
        <w:tc>
          <w:tcPr>
            <w:tcW w:w="1560" w:type="dxa"/>
            <w:vAlign w:val="bottom"/>
            <w:gridSpan w:val="5"/>
          </w:tcPr>
          <w:p>
            <w:pPr>
              <w:jc w:val="right"/>
              <w:ind w:right="453"/>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gridSpan w:val="4"/>
          </w:tcPr>
          <w:p>
            <w:pPr>
              <w:ind w:left="300"/>
              <w:spacing w:after="0"/>
              <w:rPr>
                <w:sz w:val="20"/>
                <w:szCs w:val="20"/>
                <w:color w:val="auto"/>
              </w:rPr>
            </w:pPr>
            <w:r>
              <w:rPr>
                <w:rFonts w:ascii="Arial" w:cs="Arial" w:eastAsia="Arial" w:hAnsi="Arial"/>
                <w:sz w:val="12"/>
                <w:szCs w:val="12"/>
                <w:b w:val="1"/>
                <w:bCs w:val="1"/>
                <w:color w:val="auto"/>
                <w:w w:val="96"/>
              </w:rPr>
              <w:t>Amount</w:t>
            </w: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spacing w:after="0" w:line="136" w:lineRule="exact"/>
              <w:rPr>
                <w:sz w:val="20"/>
                <w:szCs w:val="20"/>
                <w:color w:val="auto"/>
              </w:rPr>
            </w:pPr>
            <w:r>
              <w:rPr>
                <w:rFonts w:ascii="Arial" w:cs="Arial" w:eastAsia="Arial" w:hAnsi="Arial"/>
                <w:sz w:val="12"/>
                <w:szCs w:val="12"/>
                <w:b w:val="1"/>
                <w:bCs w:val="1"/>
                <w:color w:val="auto"/>
              </w:rPr>
              <w:t>Capital</w:t>
            </w:r>
          </w:p>
        </w:tc>
        <w:tc>
          <w:tcPr>
            <w:tcW w:w="16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left="178"/>
              <w:spacing w:after="0" w:line="136" w:lineRule="exact"/>
              <w:rPr>
                <w:sz w:val="20"/>
                <w:szCs w:val="20"/>
                <w:color w:val="auto"/>
              </w:rPr>
            </w:pPr>
            <w:r>
              <w:rPr>
                <w:rFonts w:ascii="Arial" w:cs="Arial" w:eastAsia="Arial" w:hAnsi="Arial"/>
                <w:sz w:val="12"/>
                <w:szCs w:val="12"/>
                <w:b w:val="1"/>
                <w:bCs w:val="1"/>
                <w:color w:val="auto"/>
                <w:w w:val="85"/>
              </w:rPr>
              <w:t>Loss</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gridSpan w:val="3"/>
          </w:tcPr>
          <w:p>
            <w:pPr>
              <w:jc w:val="right"/>
              <w:spacing w:after="0" w:line="136" w:lineRule="exact"/>
              <w:rPr>
                <w:sz w:val="20"/>
                <w:szCs w:val="20"/>
                <w:color w:val="auto"/>
              </w:rPr>
            </w:pPr>
            <w:r>
              <w:rPr>
                <w:rFonts w:ascii="Arial" w:cs="Arial" w:eastAsia="Arial" w:hAnsi="Arial"/>
                <w:sz w:val="12"/>
                <w:szCs w:val="12"/>
                <w:b w:val="1"/>
                <w:bCs w:val="1"/>
                <w:color w:val="auto"/>
              </w:rPr>
              <w:t>Deficit</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6"/>
              <w:spacing w:after="0" w:line="136" w:lineRule="exact"/>
              <w:rPr>
                <w:sz w:val="20"/>
                <w:szCs w:val="20"/>
                <w:color w:val="auto"/>
              </w:rPr>
            </w:pPr>
            <w:r>
              <w:rPr>
                <w:rFonts w:ascii="Arial" w:cs="Arial" w:eastAsia="Arial" w:hAnsi="Arial"/>
                <w:sz w:val="12"/>
                <w:szCs w:val="12"/>
                <w:b w:val="1"/>
                <w:bCs w:val="1"/>
                <w:color w:val="auto"/>
              </w:rPr>
              <w:t>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87,598,184</w:t>
            </w:r>
          </w:p>
        </w:tc>
        <w:tc>
          <w:tcPr>
            <w:tcW w:w="560" w:type="dxa"/>
            <w:vAlign w:val="bottom"/>
            <w:gridSpan w:val="2"/>
            <w:shd w:val="clear" w:color="auto" w:fill="CFF0FC"/>
          </w:tcPr>
          <w:p>
            <w:pPr>
              <w:jc w:val="right"/>
              <w:ind w:right="25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420" w:type="dxa"/>
            <w:vAlign w:val="bottom"/>
            <w:gridSpan w:val="2"/>
            <w:shd w:val="clear" w:color="auto" w:fill="CFF0FC"/>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506,760</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(765 )</w:t>
            </w:r>
          </w:p>
        </w:tc>
        <w:tc>
          <w:tcPr>
            <w:tcW w:w="720" w:type="dxa"/>
            <w:vAlign w:val="bottom"/>
            <w:gridSpan w:val="2"/>
            <w:shd w:val="clear" w:color="auto" w:fill="CFF0FC"/>
          </w:tcPr>
          <w:p>
            <w:pPr>
              <w:jc w:val="right"/>
              <w:ind w:right="4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w w:val="94"/>
              </w:rPr>
              <w:t>(161,336 )</w:t>
            </w:r>
          </w:p>
        </w:tc>
        <w:tc>
          <w:tcPr>
            <w:tcW w:w="1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344,747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1140" w:type="dxa"/>
            <w:vAlign w:val="bottom"/>
            <w:gridSpan w:val="4"/>
          </w:tcPr>
          <w:p>
            <w:pPr>
              <w:jc w:val="right"/>
              <w:spacing w:after="0"/>
              <w:rPr>
                <w:sz w:val="20"/>
                <w:szCs w:val="20"/>
                <w:color w:val="auto"/>
              </w:rPr>
            </w:pPr>
            <w:r>
              <w:rPr>
                <w:rFonts w:ascii="Arial" w:cs="Arial" w:eastAsia="Arial" w:hAnsi="Arial"/>
                <w:sz w:val="13"/>
                <w:szCs w:val="13"/>
                <w:color w:val="auto"/>
              </w:rPr>
              <w:t>111,315</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265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Stock based compensation expense</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3,205</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660" w:type="dxa"/>
            <w:vAlign w:val="bottom"/>
            <w:gridSpan w:val="2"/>
          </w:tcPr>
          <w:p>
            <w:pPr>
              <w:ind w:left="20"/>
              <w:spacing w:after="0" w:line="124" w:lineRule="exact"/>
              <w:rPr>
                <w:sz w:val="20"/>
                <w:szCs w:val="20"/>
                <w:color w:val="auto"/>
              </w:rPr>
            </w:pPr>
            <w:r>
              <w:rPr>
                <w:rFonts w:ascii="Arial" w:cs="Arial" w:eastAsia="Arial" w:hAnsi="Arial"/>
                <w:sz w:val="13"/>
                <w:szCs w:val="13"/>
                <w:color w:val="auto"/>
              </w:rPr>
              <w:t>Business combination and PIPE financing,</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(8 )</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72"/>
        </w:trPr>
        <w:tc>
          <w:tcPr>
            <w:tcW w:w="2660" w:type="dxa"/>
            <w:vAlign w:val="bottom"/>
            <w:gridSpan w:val="2"/>
          </w:tcPr>
          <w:p>
            <w:pPr>
              <w:ind w:left="20"/>
              <w:spacing w:after="0"/>
              <w:rPr>
                <w:sz w:val="20"/>
                <w:szCs w:val="20"/>
                <w:color w:val="auto"/>
              </w:rPr>
            </w:pPr>
            <w:r>
              <w:rPr>
                <w:rFonts w:ascii="Arial" w:cs="Arial" w:eastAsia="Arial" w:hAnsi="Arial"/>
                <w:sz w:val="13"/>
                <w:szCs w:val="13"/>
                <w:color w:val="auto"/>
              </w:rPr>
              <w:t>issuance costs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w w:val="93"/>
              </w:rPr>
              <w:t>(2,645 )</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(2,645 )</w:t>
            </w:r>
          </w:p>
        </w:tc>
        <w:tc>
          <w:tcPr>
            <w:tcW w:w="0" w:type="dxa"/>
            <w:vAlign w:val="bottom"/>
          </w:tcPr>
          <w:p>
            <w:pPr>
              <w:spacing w:after="0"/>
              <w:rPr>
                <w:sz w:val="1"/>
                <w:szCs w:val="1"/>
                <w:color w:val="auto"/>
              </w:rPr>
            </w:pPr>
          </w:p>
        </w:tc>
      </w:tr>
      <w:tr>
        <w:trPr>
          <w:trHeight w:val="162"/>
        </w:trPr>
        <w:tc>
          <w:tcPr>
            <w:tcW w:w="2660" w:type="dxa"/>
            <w:vAlign w:val="bottom"/>
            <w:gridSpan w:val="2"/>
          </w:tcPr>
          <w:p>
            <w:pPr>
              <w:ind w:left="20"/>
              <w:spacing w:after="0"/>
              <w:rPr>
                <w:sz w:val="20"/>
                <w:szCs w:val="20"/>
                <w:color w:val="auto"/>
              </w:rPr>
            </w:pPr>
            <w:r>
              <w:rPr>
                <w:rFonts w:ascii="Arial" w:cs="Arial" w:eastAsia="Arial" w:hAnsi="Arial"/>
                <w:sz w:val="13"/>
                <w:szCs w:val="13"/>
                <w:color w:val="auto"/>
              </w:rPr>
              <w:t>Net loss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3"/>
              <w:spacing w:after="0"/>
              <w:rPr>
                <w:sz w:val="20"/>
                <w:szCs w:val="20"/>
                <w:color w:val="auto"/>
              </w:rPr>
            </w:pPr>
            <w:r>
              <w:rPr>
                <w:rFonts w:ascii="Arial" w:cs="Arial" w:eastAsia="Arial" w:hAnsi="Arial"/>
                <w:sz w:val="13"/>
                <w:szCs w:val="13"/>
                <w:color w:val="auto"/>
              </w:rPr>
              <w:t>(25,208 )</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(25,208 )</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1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3"/>
                <w:szCs w:val="13"/>
                <w:color w:val="auto"/>
              </w:rPr>
              <w:t>87,709,499</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ind w:right="257"/>
              <w:spacing w:after="0"/>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bottom w:val="single" w:sz="8" w:color="auto"/>
              <w:right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auto"/>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510,222</w:t>
            </w:r>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w w:val="92"/>
              </w:rPr>
              <w:t>(3,410</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ind w:right="478"/>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3"/>
              </w:rPr>
              <w:t>(186,544</w:t>
            </w:r>
          </w:p>
        </w:tc>
        <w:tc>
          <w:tcPr>
            <w:tcW w:w="1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320,356</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24"/>
                <w:szCs w:val="24"/>
                <w:color w:val="auto"/>
              </w:rPr>
            </w:pPr>
          </w:p>
        </w:tc>
        <w:tc>
          <w:tcPr>
            <w:tcW w:w="10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8"/>
            <w:vMerge w:val="restart"/>
          </w:tcPr>
          <w:p>
            <w:pPr>
              <w:ind w:left="1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tcPr>
          <w:p>
            <w:pPr>
              <w:jc w:val="right"/>
              <w:ind w:right="114"/>
              <w:spacing w:after="0" w:line="142" w:lineRule="exact"/>
              <w:rPr>
                <w:sz w:val="20"/>
                <w:szCs w:val="20"/>
                <w:color w:val="auto"/>
              </w:rPr>
            </w:pPr>
            <w:r>
              <w:rPr>
                <w:rFonts w:ascii="Arial" w:cs="Arial" w:eastAsia="Arial" w:hAnsi="Arial"/>
                <w:sz w:val="13"/>
                <w:szCs w:val="13"/>
                <w:b w:val="1"/>
                <w:bCs w:val="1"/>
                <w:color w:val="auto"/>
              </w:rPr>
              <w:t>Series B</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2"/>
                <w:szCs w:val="12"/>
                <w:color w:val="auto"/>
              </w:rPr>
            </w:pPr>
          </w:p>
        </w:tc>
        <w:tc>
          <w:tcPr>
            <w:tcW w:w="1020" w:type="dxa"/>
            <w:vAlign w:val="bottom"/>
            <w:gridSpan w:val="4"/>
          </w:tcPr>
          <w:p>
            <w:pPr>
              <w:jc w:val="center"/>
              <w:spacing w:after="0" w:line="142"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237"/>
              <w:spacing w:after="0" w:line="142" w:lineRule="exact"/>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2"/>
                <w:szCs w:val="12"/>
                <w:color w:val="auto"/>
              </w:rPr>
            </w:pP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37"/>
              <w:spacing w:after="0" w:line="142" w:lineRule="exact"/>
              <w:rPr>
                <w:sz w:val="20"/>
                <w:szCs w:val="20"/>
                <w:color w:val="auto"/>
              </w:rPr>
            </w:pPr>
            <w:r>
              <w:rPr>
                <w:rFonts w:ascii="Arial" w:cs="Arial" w:eastAsia="Arial" w:hAnsi="Arial"/>
                <w:sz w:val="13"/>
                <w:szCs w:val="13"/>
                <w:b w:val="1"/>
                <w:bCs w:val="1"/>
                <w:color w:val="auto"/>
              </w:rPr>
              <w:t>Amount</w:t>
            </w: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196"/>
              <w:spacing w:after="0" w:line="142"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258"/>
              <w:spacing w:after="0" w:line="142" w:lineRule="exact"/>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53"/>
              <w:spacing w:after="0" w:line="142" w:lineRule="exact"/>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246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2020</w:t>
            </w:r>
          </w:p>
        </w:tc>
        <w:tc>
          <w:tcPr>
            <w:tcW w:w="2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34"/>
              <w:spacing w:after="0" w:line="142"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40,372,133</w:t>
            </w: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40</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141,644</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95"/>
              <w:spacing w:after="0" w:line="142"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17</w:t>
            </w: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(103,101</w:t>
            </w:r>
          </w:p>
        </w:tc>
        <w:tc>
          <w:tcPr>
            <w:tcW w:w="18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38,600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Issuance of Series B redeemable</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660" w:type="dxa"/>
            <w:vAlign w:val="bottom"/>
            <w:gridSpan w:val="2"/>
          </w:tcPr>
          <w:p>
            <w:pPr>
              <w:ind w:left="120"/>
              <w:spacing w:after="0" w:line="122" w:lineRule="exact"/>
              <w:rPr>
                <w:sz w:val="20"/>
                <w:szCs w:val="20"/>
                <w:color w:val="auto"/>
              </w:rPr>
            </w:pPr>
            <w:r>
              <w:rPr>
                <w:rFonts w:ascii="Arial" w:cs="Arial" w:eastAsia="Arial" w:hAnsi="Arial"/>
                <w:sz w:val="13"/>
                <w:szCs w:val="13"/>
                <w:color w:val="auto"/>
              </w:rPr>
              <w:t>convertible preferred stock, net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5"/>
              </w:rPr>
              <w:t>22,686,025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color w:val="auto"/>
              </w:rPr>
              <w:t>29,990</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4"/>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660" w:type="dxa"/>
            <w:vAlign w:val="bottom"/>
            <w:gridSpan w:val="2"/>
          </w:tcPr>
          <w:p>
            <w:pPr>
              <w:ind w:left="120"/>
              <w:spacing w:after="0"/>
              <w:rPr>
                <w:sz w:val="20"/>
                <w:szCs w:val="20"/>
                <w:color w:val="auto"/>
              </w:rPr>
            </w:pPr>
            <w:r>
              <w:rPr>
                <w:rFonts w:ascii="Arial" w:cs="Arial" w:eastAsia="Arial" w:hAnsi="Arial"/>
                <w:sz w:val="13"/>
                <w:szCs w:val="13"/>
                <w:color w:val="auto"/>
              </w:rPr>
              <w:t>of issuance costs of $0.1 million</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Retroactive application of recapitalization</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0"/>
              </w:rPr>
              <w:t>(22,686,025 )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tcBorders>
              <w:right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(29,990 )</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7,706,861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29,982</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29,990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80"/>
              </w:rPr>
              <w:t>304,080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2"/>
                <w:szCs w:val="12"/>
                <w:color w:val="auto"/>
              </w:rPr>
              <w:t>Vesting of restricted common</w:t>
            </w:r>
          </w:p>
        </w:tc>
        <w:tc>
          <w:tcPr>
            <w:tcW w:w="7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40" w:type="dxa"/>
            <w:vAlign w:val="bottom"/>
            <w:gridSpan w:val="4"/>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9"/>
                <w:szCs w:val="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60" w:type="dxa"/>
            <w:vAlign w:val="bottom"/>
            <w:gridSpan w:val="2"/>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stock awards</w:t>
            </w:r>
          </w:p>
        </w:tc>
        <w:tc>
          <w:tcPr>
            <w:tcW w:w="7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vMerge w:val="continue"/>
            <w:shd w:val="clear" w:color="auto" w:fill="CFF0FC"/>
          </w:tcPr>
          <w:p>
            <w:pPr>
              <w:spacing w:after="0"/>
              <w:rPr>
                <w:sz w:val="14"/>
                <w:szCs w:val="14"/>
                <w:color w:val="auto"/>
              </w:rPr>
            </w:pPr>
          </w:p>
        </w:tc>
        <w:tc>
          <w:tcPr>
            <w:tcW w:w="240" w:type="dxa"/>
            <w:vAlign w:val="bottom"/>
            <w:gridSpan w:val="2"/>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4"/>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ind w:left="20"/>
              <w:spacing w:after="0"/>
              <w:rPr>
                <w:sz w:val="20"/>
                <w:szCs w:val="20"/>
                <w:color w:val="auto"/>
              </w:rPr>
            </w:pPr>
            <w:r>
              <w:rPr>
                <w:rFonts w:ascii="Arial" w:cs="Arial" w:eastAsia="Arial" w:hAnsi="Arial"/>
                <w:sz w:val="13"/>
                <w:szCs w:val="13"/>
                <w:color w:val="auto"/>
              </w:rPr>
              <w:t>Stock based compensation expense</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950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ind w:left="20"/>
              <w:spacing w:after="0"/>
              <w:rPr>
                <w:sz w:val="20"/>
                <w:szCs w:val="20"/>
                <w:color w:val="auto"/>
              </w:rPr>
            </w:pPr>
            <w:r>
              <w:rPr>
                <w:rFonts w:ascii="Arial" w:cs="Arial" w:eastAsia="Arial" w:hAnsi="Arial"/>
                <w:sz w:val="13"/>
                <w:szCs w:val="13"/>
                <w:color w:val="auto"/>
              </w:rPr>
              <w:t>Net loss</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57"/>
              <w:spacing w:after="0"/>
              <w:rPr>
                <w:sz w:val="20"/>
                <w:szCs w:val="20"/>
                <w:color w:val="auto"/>
              </w:rPr>
            </w:pPr>
            <w:r>
              <w:rPr>
                <w:rFonts w:ascii="Arial" w:cs="Arial" w:eastAsia="Arial" w:hAnsi="Arial"/>
                <w:sz w:val="13"/>
                <w:szCs w:val="13"/>
                <w:color w:val="auto"/>
              </w:rPr>
              <w:t>(12,106 )</w:t>
            </w:r>
          </w:p>
        </w:tc>
        <w:tc>
          <w:tcPr>
            <w:tcW w:w="1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(12,106 )</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34"/>
              <w:spacing w:after="0" w:line="142"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48,383,074</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w:t>
            </w: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173,017</w:t>
            </w: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95"/>
              <w:spacing w:after="0" w:line="142"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32</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(115,207</w:t>
            </w:r>
          </w:p>
        </w:tc>
        <w:tc>
          <w:tcPr>
            <w:tcW w:w="180" w:type="dxa"/>
            <w:vAlign w:val="bottom"/>
            <w:tcBorders>
              <w:bottom w:val="single" w:sz="8" w:color="CFF0FC"/>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57,891</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-1671320</wp:posOffset>
            </wp:positionV>
            <wp:extent cx="342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-1654175</wp:posOffset>
            </wp:positionV>
            <wp:extent cx="34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-1671320</wp:posOffset>
            </wp:positionV>
            <wp:extent cx="34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-1654175</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-1671320</wp:posOffset>
            </wp:positionV>
            <wp:extent cx="34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-1654175</wp:posOffset>
            </wp:positionV>
            <wp:extent cx="34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-1671320</wp:posOffset>
            </wp:positionV>
            <wp:extent cx="34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-1654175</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-1671320</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-1654175</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-1671320</wp:posOffset>
            </wp:positionV>
            <wp:extent cx="34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-1654175</wp:posOffset>
            </wp:positionV>
            <wp:extent cx="3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-25400</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-8255</wp:posOffset>
            </wp:positionV>
            <wp:extent cx="43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-25400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-8255</wp:posOffset>
            </wp:positionV>
            <wp:extent cx="431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26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26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26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26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25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25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25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25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342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342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980" w:type="dxa"/>
            <w:vAlign w:val="bottom"/>
          </w:tcPr>
          <w:p>
            <w:pPr>
              <w:jc w:val="right"/>
              <w:ind w:right="795"/>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w w:val="94"/>
              </w:rPr>
              <w:t>(25,208 )</w:t>
            </w:r>
          </w:p>
        </w:tc>
        <w:tc>
          <w:tcPr>
            <w:tcW w:w="980" w:type="dxa"/>
            <w:vAlign w:val="bottom"/>
          </w:tcPr>
          <w:p>
            <w:pPr>
              <w:jc w:val="right"/>
              <w:ind w:right="793"/>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1"/>
              </w:rPr>
              <w:t>(12,106 )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operating lease expense</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3,205</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net</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(3,687 )</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Other long-term assets</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(359 )</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Accrued expenses and other liabilities</w:t>
            </w:r>
          </w:p>
        </w:tc>
        <w:tc>
          <w:tcPr>
            <w:tcW w:w="980" w:type="dxa"/>
            <w:vAlign w:val="bottom"/>
          </w:tcPr>
          <w:p>
            <w:pPr>
              <w:spacing w:after="0"/>
              <w:rPr>
                <w:sz w:val="17"/>
                <w:szCs w:val="17"/>
                <w:color w:val="auto"/>
              </w:rPr>
            </w:pPr>
          </w:p>
        </w:tc>
        <w:tc>
          <w:tcPr>
            <w:tcW w:w="9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(157 )</w:t>
            </w:r>
          </w:p>
        </w:tc>
        <w:tc>
          <w:tcPr>
            <w:tcW w:w="9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(636 )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Operating lease liabilities</w:t>
            </w:r>
          </w:p>
        </w:tc>
        <w:tc>
          <w:tcPr>
            <w:tcW w:w="9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(429 )</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(372 )</w:t>
            </w: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7"/>
                <w:szCs w:val="17"/>
                <w:color w:val="auto"/>
              </w:rPr>
            </w:pPr>
          </w:p>
        </w:tc>
        <w:tc>
          <w:tcPr>
            <w:tcW w:w="9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(3,758 )</w:t>
            </w:r>
          </w:p>
        </w:tc>
        <w:tc>
          <w:tcPr>
            <w:tcW w:w="9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(4,386 )</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(29,665</w:t>
            </w:r>
          </w:p>
        </w:tc>
        <w:tc>
          <w:tcPr>
            <w:tcW w:w="3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(13,613</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9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(1,561 )</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Sales and maturities of marketable securities</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44,415</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40,645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marketable securities</w:t>
            </w:r>
          </w:p>
        </w:tc>
        <w:tc>
          <w:tcPr>
            <w:tcW w:w="9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4"/>
              </w:rPr>
              <w:t>(54,571 )</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(19,868 )</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Pr>
          <w:p>
            <w:pPr>
              <w:ind w:left="560"/>
              <w:spacing w:after="0" w:line="196" w:lineRule="exact"/>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Pr>
          <w:p>
            <w:pPr>
              <w:spacing w:after="0"/>
              <w:rPr>
                <w:sz w:val="17"/>
                <w:szCs w:val="17"/>
                <w:color w:val="auto"/>
              </w:rPr>
            </w:pPr>
          </w:p>
        </w:tc>
        <w:tc>
          <w:tcPr>
            <w:tcW w:w="9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w w:val="94"/>
              </w:rPr>
              <w:t>(11,717 )</w:t>
            </w:r>
          </w:p>
        </w:tc>
        <w:tc>
          <w:tcPr>
            <w:tcW w:w="9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20,612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preferred stock, net of issuance costs</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29,998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Payment of Business Combination and PIPE Financing transaction costs</w:t>
            </w:r>
          </w:p>
        </w:tc>
        <w:tc>
          <w:tcPr>
            <w:tcW w:w="980" w:type="dxa"/>
            <w:vAlign w:val="bottom"/>
          </w:tcPr>
          <w:p>
            <w:pPr>
              <w:spacing w:after="0"/>
              <w:rPr>
                <w:sz w:val="17"/>
                <w:szCs w:val="17"/>
                <w:color w:val="auto"/>
              </w:rPr>
            </w:pPr>
          </w:p>
        </w:tc>
        <w:tc>
          <w:tcPr>
            <w:tcW w:w="9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(8 )</w:t>
            </w:r>
          </w:p>
        </w:tc>
        <w:tc>
          <w:tcPr>
            <w:tcW w:w="9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w:t>
            </w:r>
          </w:p>
        </w:tc>
        <w:tc>
          <w:tcPr>
            <w:tcW w:w="3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30,411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Net change in cash, cash equivalents and restricted cash</w:t>
            </w:r>
          </w:p>
        </w:tc>
        <w:tc>
          <w:tcPr>
            <w:tcW w:w="980" w:type="dxa"/>
            <w:vAlign w:val="bottom"/>
          </w:tcPr>
          <w:p>
            <w:pPr>
              <w:spacing w:after="0"/>
              <w:rPr>
                <w:sz w:val="17"/>
                <w:szCs w:val="17"/>
                <w:color w:val="auto"/>
              </w:rPr>
            </w:pPr>
          </w:p>
        </w:tc>
        <w:tc>
          <w:tcPr>
            <w:tcW w:w="9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w w:val="94"/>
              </w:rPr>
              <w:t>(41,125 )</w:t>
            </w: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37,410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9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145,024</w:t>
            </w:r>
          </w:p>
        </w:tc>
        <w:tc>
          <w:tcPr>
            <w:tcW w:w="3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30,660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103,899</w:t>
            </w:r>
          </w:p>
        </w:tc>
        <w:tc>
          <w:tcPr>
            <w:tcW w:w="320" w:type="dxa"/>
            <w:vAlign w:val="bottom"/>
          </w:tcPr>
          <w:p>
            <w:pPr>
              <w:spacing w:after="0"/>
              <w:rPr>
                <w:sz w:val="24"/>
                <w:szCs w:val="24"/>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Supplemental cash flow information:</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leases</w:t>
            </w:r>
          </w:p>
        </w:tc>
        <w:tc>
          <w:tcPr>
            <w:tcW w:w="980" w:type="dxa"/>
            <w:vAlign w:val="bottom"/>
          </w:tcPr>
          <w:p>
            <w:pPr>
              <w:jc w:val="right"/>
              <w:ind w:right="795"/>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c>
          <w:tcPr>
            <w:tcW w:w="320" w:type="dxa"/>
            <w:vAlign w:val="bottom"/>
          </w:tcPr>
          <w:p>
            <w:pPr>
              <w:spacing w:after="0"/>
              <w:rPr>
                <w:sz w:val="17"/>
                <w:szCs w:val="17"/>
                <w:color w:val="auto"/>
              </w:rPr>
            </w:pPr>
          </w:p>
        </w:tc>
        <w:tc>
          <w:tcPr>
            <w:tcW w:w="980" w:type="dxa"/>
            <w:vAlign w:val="bottom"/>
          </w:tcPr>
          <w:p>
            <w:pPr>
              <w:jc w:val="right"/>
              <w:ind w:right="793"/>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980" w:type="dxa"/>
            <w:vAlign w:val="bottom"/>
          </w:tcPr>
          <w:p>
            <w:pPr>
              <w:jc w:val="right"/>
              <w:ind w:right="795"/>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320" w:type="dxa"/>
            <w:vAlign w:val="bottom"/>
          </w:tcPr>
          <w:p>
            <w:pPr>
              <w:spacing w:after="0"/>
              <w:rPr>
                <w:sz w:val="17"/>
                <w:szCs w:val="17"/>
                <w:color w:val="auto"/>
              </w:rPr>
            </w:pPr>
          </w:p>
        </w:tc>
        <w:tc>
          <w:tcPr>
            <w:tcW w:w="980" w:type="dxa"/>
            <w:vAlign w:val="bottom"/>
          </w:tcPr>
          <w:p>
            <w:pPr>
              <w:jc w:val="right"/>
              <w:ind w:right="793"/>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Preferred stock issuance costs included in accounts payable and accrued expenses</w:t>
            </w:r>
          </w:p>
        </w:tc>
        <w:tc>
          <w:tcPr>
            <w:tcW w:w="980" w:type="dxa"/>
            <w:vAlign w:val="bottom"/>
            <w:shd w:val="clear" w:color="auto" w:fill="CFF0FC"/>
          </w:tcPr>
          <w:p>
            <w:pPr>
              <w:jc w:val="right"/>
              <w:ind w:right="795"/>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3"/>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line="162" w:lineRule="exact"/>
              <w:rPr>
                <w:sz w:val="20"/>
                <w:szCs w:val="20"/>
                <w:color w:val="auto"/>
              </w:rPr>
            </w:pPr>
            <w:r>
              <w:rPr>
                <w:rFonts w:ascii="Arial" w:cs="Arial" w:eastAsia="Arial" w:hAnsi="Arial"/>
                <w:sz w:val="18"/>
                <w:szCs w:val="18"/>
                <w:color w:val="auto"/>
                <w:w w:val="97"/>
              </w:rPr>
              <w:t>Merger with BCTG and PIPE financing deferred offering costs included in accounts payable and</w:t>
            </w:r>
          </w:p>
        </w:tc>
        <w:tc>
          <w:tcPr>
            <w:tcW w:w="980" w:type="dxa"/>
            <w:vAlign w:val="bottom"/>
            <w:vMerge w:val="restart"/>
          </w:tcPr>
          <w:p>
            <w:pPr>
              <w:jc w:val="right"/>
              <w:ind w:right="795"/>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980" w:type="dxa"/>
            <w:vAlign w:val="bottom"/>
            <w:vMerge w:val="restart"/>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9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-2337435</wp:posOffset>
            </wp:positionV>
            <wp:extent cx="6032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-2337435</wp:posOffset>
            </wp:positionV>
            <wp:extent cx="514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-1291590</wp:posOffset>
            </wp:positionV>
            <wp:extent cx="6032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-1291590</wp:posOffset>
            </wp:positionV>
            <wp:extent cx="514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16"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Tango Therapeutics, Inc. (“Tango” or the “Company”) is a precision oncology company committed to the discovery and development of novel drugs in defined patient populations with high unmet medical need.</w:t>
      </w:r>
    </w:p>
    <w:p>
      <w:pPr>
        <w:spacing w:after="0" w:line="171" w:lineRule="exact"/>
        <w:rPr>
          <w:sz w:val="20"/>
          <w:szCs w:val="20"/>
          <w:color w:val="auto"/>
        </w:rPr>
      </w:pPr>
    </w:p>
    <w:p>
      <w:pPr>
        <w:ind w:right="80" w:firstLine="554"/>
        <w:spacing w:after="0"/>
        <w:rPr>
          <w:sz w:val="20"/>
          <w:szCs w:val="20"/>
          <w:color w:val="auto"/>
        </w:rPr>
      </w:pPr>
      <w:r>
        <w:rPr>
          <w:rFonts w:ascii="Arial" w:cs="Arial" w:eastAsia="Arial" w:hAnsi="Arial"/>
          <w:sz w:val="18"/>
          <w:szCs w:val="18"/>
          <w:color w:val="auto"/>
        </w:rPr>
        <w:t>Tango Therapeutics, Inc. (together with its consolidated subsidiaries, “Tango” or the “Company”) was incorporated in Delaware on May 21, 2020. On April 13, 2021, the Company, BCTG Merger Sub Inc., a Delaware corporation, and Tango Therapeutics, Inc. (now known as Tango Therapeutics Sub, Inc. or “Old Tango”) signed a definitive merger agreement (the "Merger Agreement").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BCTG was renamed Tango Therapeutics, Inc.</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72" w:lineRule="exact"/>
        <w:rPr>
          <w:sz w:val="20"/>
          <w:szCs w:val="20"/>
          <w:color w:val="auto"/>
        </w:rPr>
      </w:pPr>
    </w:p>
    <w:p>
      <w:pPr>
        <w:ind w:right="360" w:firstLine="509"/>
        <w:spacing w:after="0" w:line="257" w:lineRule="auto"/>
        <w:rPr>
          <w:sz w:val="20"/>
          <w:szCs w:val="20"/>
          <w:color w:val="auto"/>
        </w:rPr>
      </w:pPr>
      <w:r>
        <w:rPr>
          <w:rFonts w:ascii="Arial" w:cs="Arial" w:eastAsia="Arial" w:hAnsi="Arial"/>
          <w:sz w:val="17"/>
          <w:szCs w:val="17"/>
          <w:color w:val="auto"/>
        </w:rPr>
        <w:t>In the opinion of management, all adjustments necessary for a fair statement of the financial information, which are of a normal and recurring nature, have been made for the interim periods reported. Results of operations for the three months ended March 31, 2022 and 2021 are not necessarily indicative of the results for the year ending December 31, 2022, any other interim periods, or any future year or period. The unaudited condensed consolidated financial statements for the three months ended March 31, 2022 and 2021 have been prepared on the same basis as and should be read in conjunction with the audited consolidated financial statements and notes included in the Company’s Annual Report on Form 10-K for the year ended December 31, 2021 as filed with the SEC on March 28, 2022.</w:t>
      </w:r>
    </w:p>
    <w:p>
      <w:pPr>
        <w:spacing w:after="0" w:line="171"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16"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 xml:space="preserve">There have been no significant changes from the significant accounting policies disclosed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audited consolidated financial statements and notes included in the Company’s Annual Report on Form 10-K for the year ended December 31, 2021.</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6"/>
          <w:szCs w:val="16"/>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2"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1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On August 10, 2021 (the "Closing Date"), BCTG, a Delaware corporation and now predecessor of the Company, consummated the Business Combination, pursuant to the Merger Agreement, by and among BCTG, BCTG Merger Sub Inc., a Delaware corporation ("BCTG Merger Sub"), and Old Tango. Prior to consummation of the Business Combination, Old Tango changed its name from “Tango Therapeutics, Inc.” to “Tango Therapeutics Sub, Inc.” and in connection with the Business Combination, BCTG changed its name to “Tango Therapeutics, Inc.” (the former name of Old Tango). Pursuant to the Merger Agreement, on the Closing Date, BCTG Merger Sub merged with and into Old Tango, or the Merger, with Old Tango surviving the Merger as a wholly-owned subsidiary of BCTG, and BCTG changed its name to “Tango Therapeutics, Inc.”, or New Tango.</w:t>
      </w:r>
    </w:p>
    <w:p>
      <w:pPr>
        <w:spacing w:after="0" w:line="175"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Pursuant to the terms and conditions of the Merger Agreement, the aggregate consideration paid to Old Tango equity holders upon the closing of the Merger was 55,000,000 shares of New Tango common stock. Subsequent to the closing of the Business Combination, New Tango entered into subscription agreements with certain investors ("PIPE Investors") pursuant to which the PIPE Investors purchased 18,610,000 shares of New Tango common stock at $10.00 per share, for aggregate gross proceeds of $186.1 million, under the PIPE Financing.</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elements of the net proceeds from the Business Combination and PIPE Financing transaction (in thousands):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Recapitalization</w:t>
            </w:r>
          </w:p>
        </w:tc>
      </w:tr>
      <w:tr>
        <w:trPr>
          <w:trHeight w:val="196"/>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 BCTG's Trust Account and cash (net of redemptions)</w:t>
            </w: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156,013</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Cash - PIPE Financing</w:t>
            </w:r>
          </w:p>
        </w:tc>
        <w:tc>
          <w:tcPr>
            <w:tcW w:w="32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186,100</w:t>
            </w:r>
          </w:p>
        </w:tc>
        <w:tc>
          <w:tcPr>
            <w:tcW w:w="100" w:type="dxa"/>
            <w:vAlign w:val="bottom"/>
          </w:tcPr>
          <w:p>
            <w:pPr>
              <w:spacing w:after="0"/>
              <w:rPr>
                <w:sz w:val="17"/>
                <w:szCs w:val="17"/>
                <w:color w:val="auto"/>
              </w:rPr>
            </w:pPr>
          </w:p>
        </w:tc>
      </w:tr>
      <w:tr>
        <w:trPr>
          <w:trHeight w:val="203"/>
        </w:trPr>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transaction costs and advisory fees paid</w:t>
            </w:r>
          </w:p>
        </w:tc>
        <w:tc>
          <w:tcPr>
            <w:tcW w:w="3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(15,844 )</w:t>
            </w:r>
          </w:p>
        </w:tc>
      </w:tr>
      <w:tr>
        <w:trPr>
          <w:trHeight w:val="196"/>
        </w:trPr>
        <w:tc>
          <w:tcPr>
            <w:tcW w:w="79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cash proceeds from the Business Combination and PIPE Financing</w:t>
            </w:r>
          </w:p>
        </w:tc>
        <w:tc>
          <w:tcPr>
            <w:tcW w:w="3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326,269</w:t>
            </w:r>
          </w:p>
        </w:tc>
        <w:tc>
          <w:tcPr>
            <w:tcW w:w="100" w:type="dxa"/>
            <w:vAlign w:val="bottom"/>
            <w:tcBorders>
              <w:top w:val="single" w:sz="8" w:color="CCEEFF"/>
            </w:tcBorders>
          </w:tcPr>
          <w:p>
            <w:pPr>
              <w:spacing w:after="0"/>
              <w:rPr>
                <w:sz w:val="17"/>
                <w:szCs w:val="17"/>
                <w:color w:val="auto"/>
              </w:rPr>
            </w:pPr>
          </w:p>
        </w:tc>
      </w:tr>
      <w:tr>
        <w:trPr>
          <w:trHeight w:val="203"/>
        </w:trPr>
        <w:tc>
          <w:tcPr>
            <w:tcW w:w="79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Add: non-cash net assets assumed from BCTG</w:t>
            </w:r>
          </w:p>
        </w:tc>
        <w:tc>
          <w:tcPr>
            <w:tcW w:w="3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7920" w:type="dxa"/>
            <w:vAlign w:val="bottom"/>
          </w:tcPr>
          <w:p>
            <w:pPr>
              <w:spacing w:after="0" w:line="196" w:lineRule="exact"/>
              <w:rPr>
                <w:sz w:val="20"/>
                <w:szCs w:val="20"/>
                <w:color w:val="auto"/>
              </w:rPr>
            </w:pPr>
            <w:r>
              <w:rPr>
                <w:rFonts w:ascii="Arial" w:cs="Arial" w:eastAsia="Arial" w:hAnsi="Arial"/>
                <w:sz w:val="18"/>
                <w:szCs w:val="18"/>
                <w:color w:val="auto"/>
              </w:rPr>
              <w:t>Net contributions from Business Combination and PIPE Financing</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326,272</w:t>
            </w:r>
          </w:p>
        </w:tc>
        <w:tc>
          <w:tcPr>
            <w:tcW w:w="100" w:type="dxa"/>
            <w:vAlign w:val="bottom"/>
          </w:tcPr>
          <w:p>
            <w:pPr>
              <w:spacing w:after="0"/>
              <w:rPr>
                <w:sz w:val="17"/>
                <w:szCs w:val="17"/>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-424815</wp:posOffset>
            </wp:positionV>
            <wp:extent cx="6032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 and PIPE Financing transaction:</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2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 of Shares</w:t>
            </w:r>
          </w:p>
        </w:tc>
      </w:tr>
      <w:tr>
        <w:trPr>
          <w:trHeight w:val="196"/>
        </w:trPr>
        <w:tc>
          <w:tcPr>
            <w:tcW w:w="8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BCTG common shares outstanding prior to the Business Combination</w:t>
            </w:r>
          </w:p>
        </w:tc>
        <w:tc>
          <w:tcPr>
            <w:tcW w:w="1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21,377,250</w:t>
            </w:r>
          </w:p>
        </w:tc>
        <w:tc>
          <w:tcPr>
            <w:tcW w:w="100" w:type="dxa"/>
            <w:vAlign w:val="bottom"/>
            <w:shd w:val="clear" w:color="auto" w:fill="CCEEFF"/>
          </w:tcPr>
          <w:p>
            <w:pPr>
              <w:spacing w:after="0"/>
              <w:rPr>
                <w:sz w:val="17"/>
                <w:szCs w:val="17"/>
                <w:color w:val="auto"/>
              </w:rPr>
            </w:pPr>
          </w:p>
        </w:tc>
      </w:tr>
      <w:tr>
        <w:trPr>
          <w:trHeight w:val="203"/>
        </w:trPr>
        <w:tc>
          <w:tcPr>
            <w:tcW w:w="8520" w:type="dxa"/>
            <w:vAlign w:val="bottom"/>
          </w:tcPr>
          <w:p>
            <w:pPr>
              <w:ind w:left="20"/>
              <w:spacing w:after="0" w:line="202" w:lineRule="exact"/>
              <w:rPr>
                <w:sz w:val="20"/>
                <w:szCs w:val="20"/>
                <w:color w:val="auto"/>
              </w:rPr>
            </w:pPr>
            <w:r>
              <w:rPr>
                <w:rFonts w:ascii="Arial" w:cs="Arial" w:eastAsia="Arial" w:hAnsi="Arial"/>
                <w:sz w:val="18"/>
                <w:szCs w:val="18"/>
                <w:color w:val="auto"/>
              </w:rPr>
              <w:t>Less redemption of BCTG shares</w:t>
            </w:r>
          </w:p>
        </w:tc>
        <w:tc>
          <w:tcPr>
            <w:tcW w:w="2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(1,106,814 )</w:t>
            </w:r>
          </w:p>
        </w:tc>
      </w:tr>
      <w:tr>
        <w:trPr>
          <w:trHeight w:val="196"/>
        </w:trPr>
        <w:tc>
          <w:tcPr>
            <w:tcW w:w="8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Common shares of BCTG outstanding as of the Business Combination</w:t>
            </w:r>
          </w:p>
        </w:tc>
        <w:tc>
          <w:tcPr>
            <w:tcW w:w="1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20,270,436</w:t>
            </w:r>
          </w:p>
        </w:tc>
        <w:tc>
          <w:tcPr>
            <w:tcW w:w="100" w:type="dxa"/>
            <w:vAlign w:val="bottom"/>
            <w:shd w:val="clear" w:color="auto" w:fill="CCEEFF"/>
          </w:tcPr>
          <w:p>
            <w:pPr>
              <w:spacing w:after="0"/>
              <w:rPr>
                <w:sz w:val="17"/>
                <w:szCs w:val="17"/>
                <w:color w:val="auto"/>
              </w:rPr>
            </w:pPr>
          </w:p>
        </w:tc>
      </w:tr>
      <w:tr>
        <w:trPr>
          <w:trHeight w:val="203"/>
        </w:trPr>
        <w:tc>
          <w:tcPr>
            <w:tcW w:w="8520" w:type="dxa"/>
            <w:vAlign w:val="bottom"/>
          </w:tcPr>
          <w:p>
            <w:pPr>
              <w:ind w:left="20"/>
              <w:spacing w:after="0" w:line="202" w:lineRule="exact"/>
              <w:rPr>
                <w:sz w:val="20"/>
                <w:szCs w:val="20"/>
                <w:color w:val="auto"/>
              </w:rPr>
            </w:pPr>
            <w:r>
              <w:rPr>
                <w:rFonts w:ascii="Arial" w:cs="Arial" w:eastAsia="Arial" w:hAnsi="Arial"/>
                <w:sz w:val="18"/>
                <w:szCs w:val="18"/>
                <w:color w:val="auto"/>
              </w:rPr>
              <w:t>Shares issued pursuant to the PIPE Financing</w:t>
            </w:r>
          </w:p>
        </w:tc>
        <w:tc>
          <w:tcPr>
            <w:tcW w:w="1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18,610,000</w:t>
            </w:r>
          </w:p>
        </w:tc>
        <w:tc>
          <w:tcPr>
            <w:tcW w:w="100" w:type="dxa"/>
            <w:vAlign w:val="bottom"/>
          </w:tcPr>
          <w:p>
            <w:pPr>
              <w:spacing w:after="0"/>
              <w:rPr>
                <w:sz w:val="17"/>
                <w:szCs w:val="17"/>
                <w:color w:val="auto"/>
              </w:rPr>
            </w:pPr>
          </w:p>
        </w:tc>
      </w:tr>
      <w:tr>
        <w:trPr>
          <w:trHeight w:val="196"/>
        </w:trPr>
        <w:tc>
          <w:tcPr>
            <w:tcW w:w="8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Business Combination and PIPE Financing shares</w:t>
            </w:r>
          </w:p>
        </w:tc>
        <w:tc>
          <w:tcPr>
            <w:tcW w:w="1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38,880,436</w:t>
            </w:r>
          </w:p>
        </w:tc>
        <w:tc>
          <w:tcPr>
            <w:tcW w:w="100" w:type="dxa"/>
            <w:vAlign w:val="bottom"/>
            <w:shd w:val="clear" w:color="auto" w:fill="CCEEFF"/>
          </w:tcPr>
          <w:p>
            <w:pPr>
              <w:spacing w:after="0"/>
              <w:rPr>
                <w:sz w:val="17"/>
                <w:szCs w:val="17"/>
                <w:color w:val="auto"/>
              </w:rPr>
            </w:pPr>
          </w:p>
        </w:tc>
      </w:tr>
      <w:tr>
        <w:trPr>
          <w:trHeight w:val="203"/>
        </w:trPr>
        <w:tc>
          <w:tcPr>
            <w:tcW w:w="8520" w:type="dxa"/>
            <w:vAlign w:val="bottom"/>
          </w:tcPr>
          <w:p>
            <w:pPr>
              <w:ind w:left="20"/>
              <w:spacing w:after="0" w:line="202" w:lineRule="exact"/>
              <w:rPr>
                <w:sz w:val="20"/>
                <w:szCs w:val="20"/>
                <w:color w:val="auto"/>
              </w:rPr>
            </w:pPr>
            <w:r>
              <w:rPr>
                <w:rFonts w:ascii="Arial" w:cs="Arial" w:eastAsia="Arial" w:hAnsi="Arial"/>
                <w:sz w:val="18"/>
                <w:szCs w:val="18"/>
                <w:color w:val="auto"/>
              </w:rPr>
              <w:t>Old Tango common shares (after preferred shares were converted 1-for-1 for common shares)</w:t>
            </w:r>
          </w:p>
        </w:tc>
        <w:tc>
          <w:tcPr>
            <w:tcW w:w="1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48,593,803</w:t>
            </w:r>
          </w:p>
        </w:tc>
        <w:tc>
          <w:tcPr>
            <w:tcW w:w="100" w:type="dxa"/>
            <w:vAlign w:val="bottom"/>
          </w:tcPr>
          <w:p>
            <w:pPr>
              <w:spacing w:after="0"/>
              <w:rPr>
                <w:sz w:val="17"/>
                <w:szCs w:val="17"/>
                <w:color w:val="auto"/>
              </w:rPr>
            </w:pPr>
          </w:p>
        </w:tc>
      </w:tr>
      <w:tr>
        <w:trPr>
          <w:trHeight w:val="236"/>
        </w:trPr>
        <w:tc>
          <w:tcPr>
            <w:tcW w:w="8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shares of Common Stock immediately after Business Combination consummation</w:t>
            </w:r>
          </w:p>
        </w:tc>
        <w:tc>
          <w:tcPr>
            <w:tcW w:w="1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87,474,239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merger consideration of 55,000,000 shares of New Tango common stock issued to Old Tango equity holders consists of 48,593,803 shares issued in exchange for Old Tango common and preferred shares outstanding, included in the table above, as well as 6,406,197 shares issued in exchange for the Old Tango unvested restricted stock awards and unexercised stock options outstanding immediately prior to the effective time of the Business Combination.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Retroactive Application of Recapitalization</w:t>
      </w:r>
    </w:p>
    <w:p>
      <w:pPr>
        <w:spacing w:after="0" w:line="21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As discussed above, the Business Combination with BCTG, which was consummated on August 10, 2021, is accounted for as a reverse recapitalization of equity structure. Under the reverse recapitalization model, the Business Combination was treated as Old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Old Tango’s stockholders possess a majority of the voting power of the combined company, the combined company comprises all of the ongoing operations of Old Tango, the combined company comprises a majority of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governing body of Old Tango, and the combined company’s senior management comprises all of the senior management of Old Tango.</w:t>
      </w:r>
    </w:p>
    <w:p>
      <w:pPr>
        <w:spacing w:after="0" w:line="212"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color w:val="auto"/>
        </w:rPr>
        <w:t>These unaudited condensed consolidated financial statements contain recasted stockholders' equity balances resulting from the retroactive application of reverse recapitalization accounting in accordance with U.S. GAAP.</w:t>
      </w:r>
    </w:p>
    <w:p>
      <w:pPr>
        <w:spacing w:after="0" w:line="171"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Pursuant to the terms of the Merger Agreement, upon the closing of the Business Combination on August 10, 2021 (the “Effective Time”), each share of Old Tango’s redeemable convertible preferred stock (the “Preferred Stock”) issued and outstanding immediately prior to the Effective Time was converted into a share of the Company’s common stock using the exchange ratio of 0.34.</w:t>
      </w:r>
    </w:p>
    <w:p>
      <w:pPr>
        <w:spacing w:after="0" w:line="182"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All common shares, as well as previously issued share options and restricted stock awards (“RSAs”), presented in the accompanying unaudited recasted condensed consolidated statements of redeemable convertible preferred stock and stockholders' equity and/or in the related notes are presented on an as-converted basis, converted at the ratio of 0.34. The basic and diluted weighted-average shares of common stock outstanding for the three month period ended March 31, 2021 has been retroactively converted using the exchange ratio of 0.34. The historical proceeds from the issuance of preferred stock, less the par value of the historical preferred shares that were converted into common shares using the 0.34 ratio at the Effective Time, have been reclassified to additional paid in capital for the three month period ended March 31, 2021.</w:t>
      </w:r>
    </w:p>
    <w:p>
      <w:pPr>
        <w:spacing w:after="0" w:line="16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Redeemable Convertible</w:t>
            </w:r>
          </w:p>
        </w:tc>
        <w:tc>
          <w:tcPr>
            <w:tcW w:w="1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Preferred to</w:t>
            </w:r>
          </w:p>
        </w:tc>
        <w:tc>
          <w:tcPr>
            <w:tcW w:w="1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8/10/2021 Merger</w:t>
            </w:r>
          </w:p>
        </w:tc>
        <w:tc>
          <w:tcPr>
            <w:tcW w:w="1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Recapitalization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2"/>
                <w:szCs w:val="12"/>
                <w:color w:val="auto"/>
              </w:rPr>
            </w:pPr>
          </w:p>
        </w:tc>
        <w:tc>
          <w:tcPr>
            <w:tcW w:w="218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Exchange</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Recapitalization</w:t>
            </w: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1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Exchange Ratio</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3/18/2021</w:t>
            </w:r>
          </w:p>
        </w:tc>
        <w:tc>
          <w:tcPr>
            <w:tcW w:w="12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Series B (tranche 2)</w:t>
            </w: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22,686,025</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22,686,025</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7,706,861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weighted-average common shares, basic and diluted, for the three months ended March 31, 2021:</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As previously</w:t>
            </w:r>
          </w:p>
        </w:tc>
        <w:tc>
          <w:tcPr>
            <w:tcW w:w="16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7"/>
              </w:rPr>
              <w:t>8/10/2021 Merger</w:t>
            </w:r>
          </w:p>
        </w:tc>
        <w:tc>
          <w:tcPr>
            <w:tcW w:w="160" w:type="dxa"/>
            <w:vAlign w:val="bottom"/>
          </w:tcPr>
          <w:p>
            <w:pPr>
              <w:spacing w:after="0"/>
              <w:rPr>
                <w:sz w:val="14"/>
                <w:szCs w:val="14"/>
                <w:color w:val="auto"/>
              </w:rPr>
            </w:pPr>
          </w:p>
        </w:tc>
        <w:tc>
          <w:tcPr>
            <w:tcW w:w="12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Recapitalized</w:t>
            </w:r>
          </w:p>
        </w:tc>
        <w:tc>
          <w:tcPr>
            <w:tcW w:w="18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Days Outstanding</w:t>
            </w:r>
          </w:p>
        </w:tc>
        <w:tc>
          <w:tcPr>
            <w:tcW w:w="1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2"/>
                <w:szCs w:val="12"/>
                <w:color w:val="auto"/>
              </w:rPr>
            </w:pPr>
          </w:p>
        </w:tc>
        <w:tc>
          <w:tcPr>
            <w:tcW w:w="22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common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Exchange Ratio</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2021</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weighting</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Weighted-average shares,</w:t>
            </w: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3/31/2021</w:t>
            </w:r>
          </w:p>
        </w:tc>
        <w:tc>
          <w:tcPr>
            <w:tcW w:w="1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basic and diluted</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13,731,583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4,643,802</w:t>
            </w:r>
          </w:p>
        </w:tc>
        <w:tc>
          <w:tcPr>
            <w:tcW w:w="134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w w:val="89"/>
              </w:rPr>
              <w:t>89</w:t>
            </w:r>
          </w:p>
        </w:tc>
        <w:tc>
          <w:tcPr>
            <w:tcW w:w="94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w w:val="94"/>
              </w:rPr>
              <w:t>100%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4,643,802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jc w:val="right"/>
              <w:spacing w:after="0"/>
              <w:rPr>
                <w:sz w:val="20"/>
                <w:szCs w:val="20"/>
                <w:color w:val="auto"/>
              </w:rPr>
            </w:pPr>
            <w:r>
              <w:rPr>
                <w:rFonts w:ascii="Arial" w:cs="Arial" w:eastAsia="Arial" w:hAnsi="Arial"/>
                <w:sz w:val="14"/>
                <w:szCs w:val="14"/>
                <w:color w:val="auto"/>
              </w:rPr>
              <w:t>12/31/2019</w:t>
            </w: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Series A shares</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55,700,000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18,922,317</w:t>
            </w:r>
          </w:p>
        </w:tc>
        <w:tc>
          <w:tcPr>
            <w:tcW w:w="1340" w:type="dxa"/>
            <w:vAlign w:val="bottom"/>
            <w:gridSpan w:val="2"/>
          </w:tcPr>
          <w:p>
            <w:pPr>
              <w:jc w:val="center"/>
              <w:ind w:left="88"/>
              <w:spacing w:after="0"/>
              <w:rPr>
                <w:sz w:val="20"/>
                <w:szCs w:val="20"/>
                <w:color w:val="auto"/>
              </w:rPr>
            </w:pPr>
            <w:r>
              <w:rPr>
                <w:rFonts w:ascii="Arial" w:cs="Arial" w:eastAsia="Arial" w:hAnsi="Arial"/>
                <w:sz w:val="14"/>
                <w:szCs w:val="14"/>
                <w:color w:val="auto"/>
                <w:w w:val="89"/>
              </w:rPr>
              <w:t>89</w:t>
            </w:r>
          </w:p>
        </w:tc>
        <w:tc>
          <w:tcPr>
            <w:tcW w:w="940" w:type="dxa"/>
            <w:vAlign w:val="bottom"/>
            <w:gridSpan w:val="2"/>
          </w:tcPr>
          <w:p>
            <w:pPr>
              <w:jc w:val="center"/>
              <w:ind w:left="8"/>
              <w:spacing w:after="0"/>
              <w:rPr>
                <w:sz w:val="20"/>
                <w:szCs w:val="20"/>
                <w:color w:val="auto"/>
              </w:rPr>
            </w:pPr>
            <w:r>
              <w:rPr>
                <w:rFonts w:ascii="Arial" w:cs="Arial" w:eastAsia="Arial" w:hAnsi="Arial"/>
                <w:sz w:val="14"/>
                <w:szCs w:val="14"/>
                <w:color w:val="auto"/>
                <w:w w:val="94"/>
              </w:rPr>
              <w:t>100%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18,922,317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4/7/2020</w:t>
            </w:r>
          </w:p>
        </w:tc>
        <w:tc>
          <w:tcPr>
            <w:tcW w:w="1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Series B shares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22,686,025</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7,706,443</w:t>
            </w:r>
          </w:p>
        </w:tc>
        <w:tc>
          <w:tcPr>
            <w:tcW w:w="134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w w:val="89"/>
              </w:rPr>
              <w:t>89</w:t>
            </w:r>
          </w:p>
        </w:tc>
        <w:tc>
          <w:tcPr>
            <w:tcW w:w="94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w w:val="94"/>
              </w:rPr>
              <w:t>100%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7,706,443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jc w:val="right"/>
              <w:spacing w:after="0"/>
              <w:rPr>
                <w:sz w:val="20"/>
                <w:szCs w:val="20"/>
                <w:color w:val="auto"/>
              </w:rPr>
            </w:pPr>
            <w:r>
              <w:rPr>
                <w:rFonts w:ascii="Arial" w:cs="Arial" w:eastAsia="Arial" w:hAnsi="Arial"/>
                <w:sz w:val="14"/>
                <w:szCs w:val="14"/>
                <w:color w:val="auto"/>
              </w:rPr>
              <w:t>8/17/2020</w:t>
            </w: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Series B-1 shares</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27,152,255</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9,223,621</w:t>
            </w:r>
          </w:p>
        </w:tc>
        <w:tc>
          <w:tcPr>
            <w:tcW w:w="1340" w:type="dxa"/>
            <w:vAlign w:val="bottom"/>
            <w:gridSpan w:val="2"/>
          </w:tcPr>
          <w:p>
            <w:pPr>
              <w:jc w:val="center"/>
              <w:ind w:left="88"/>
              <w:spacing w:after="0"/>
              <w:rPr>
                <w:sz w:val="20"/>
                <w:szCs w:val="20"/>
                <w:color w:val="auto"/>
              </w:rPr>
            </w:pPr>
            <w:r>
              <w:rPr>
                <w:rFonts w:ascii="Arial" w:cs="Arial" w:eastAsia="Arial" w:hAnsi="Arial"/>
                <w:sz w:val="14"/>
                <w:szCs w:val="14"/>
                <w:color w:val="auto"/>
                <w:w w:val="89"/>
              </w:rPr>
              <w:t>89</w:t>
            </w:r>
          </w:p>
        </w:tc>
        <w:tc>
          <w:tcPr>
            <w:tcW w:w="940" w:type="dxa"/>
            <w:vAlign w:val="bottom"/>
            <w:gridSpan w:val="2"/>
          </w:tcPr>
          <w:p>
            <w:pPr>
              <w:jc w:val="center"/>
              <w:ind w:left="8"/>
              <w:spacing w:after="0"/>
              <w:rPr>
                <w:sz w:val="20"/>
                <w:szCs w:val="20"/>
                <w:color w:val="auto"/>
              </w:rPr>
            </w:pPr>
            <w:r>
              <w:rPr>
                <w:rFonts w:ascii="Arial" w:cs="Arial" w:eastAsia="Arial" w:hAnsi="Arial"/>
                <w:sz w:val="14"/>
                <w:szCs w:val="14"/>
                <w:color w:val="auto"/>
                <w:w w:val="94"/>
              </w:rPr>
              <w:t>100%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9,223,621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3/18/2021</w:t>
            </w:r>
          </w:p>
        </w:tc>
        <w:tc>
          <w:tcPr>
            <w:tcW w:w="12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Series B shares (tranche 2)</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22,686,025</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7,706,861</w:t>
            </w:r>
          </w:p>
        </w:tc>
        <w:tc>
          <w:tcPr>
            <w:tcW w:w="1340" w:type="dxa"/>
            <w:vAlign w:val="bottom"/>
            <w:tcBorders>
              <w:bottom w:val="single" w:sz="8" w:color="CFF0FC"/>
            </w:tcBorders>
            <w:gridSpan w:val="2"/>
            <w:shd w:val="clear" w:color="auto" w:fill="CFF0FC"/>
          </w:tcPr>
          <w:p>
            <w:pPr>
              <w:jc w:val="center"/>
              <w:ind w:left="88"/>
              <w:spacing w:after="0"/>
              <w:rPr>
                <w:sz w:val="20"/>
                <w:szCs w:val="20"/>
                <w:color w:val="auto"/>
              </w:rPr>
            </w:pPr>
            <w:r>
              <w:rPr>
                <w:rFonts w:ascii="Arial" w:cs="Arial" w:eastAsia="Arial" w:hAnsi="Arial"/>
                <w:sz w:val="14"/>
                <w:szCs w:val="14"/>
                <w:color w:val="auto"/>
                <w:w w:val="89"/>
              </w:rPr>
              <w:t>13</w:t>
            </w:r>
          </w:p>
        </w:tc>
        <w:tc>
          <w:tcPr>
            <w:tcW w:w="940" w:type="dxa"/>
            <w:vAlign w:val="bottom"/>
            <w:tcBorders>
              <w:bottom w:val="single" w:sz="8" w:color="CFF0FC"/>
            </w:tcBorders>
            <w:gridSpan w:val="2"/>
            <w:shd w:val="clear" w:color="auto" w:fill="CFF0FC"/>
          </w:tcPr>
          <w:p>
            <w:pPr>
              <w:jc w:val="center"/>
              <w:ind w:left="8"/>
              <w:spacing w:after="0"/>
              <w:rPr>
                <w:sz w:val="20"/>
                <w:szCs w:val="20"/>
                <w:color w:val="auto"/>
              </w:rPr>
            </w:pPr>
            <w:r>
              <w:rPr>
                <w:rFonts w:ascii="Arial" w:cs="Arial" w:eastAsia="Arial" w:hAnsi="Arial"/>
                <w:sz w:val="14"/>
                <w:szCs w:val="14"/>
                <w:color w:val="auto"/>
                <w:w w:val="92"/>
              </w:rPr>
              <w:t>14%</w:t>
            </w:r>
          </w:p>
        </w:tc>
        <w:tc>
          <w:tcPr>
            <w:tcW w:w="1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1,078,960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40" w:type="dxa"/>
            <w:vAlign w:val="bottom"/>
            <w:gridSpan w:val="11"/>
          </w:tcPr>
          <w:p>
            <w:pPr>
              <w:ind w:left="1460"/>
              <w:spacing w:after="0" w:line="155" w:lineRule="exact"/>
              <w:rPr>
                <w:sz w:val="20"/>
                <w:szCs w:val="20"/>
                <w:color w:val="auto"/>
              </w:rPr>
            </w:pPr>
            <w:r>
              <w:rPr>
                <w:rFonts w:ascii="Arial" w:cs="Arial" w:eastAsia="Arial" w:hAnsi="Arial"/>
                <w:sz w:val="14"/>
                <w:szCs w:val="14"/>
                <w:color w:val="auto"/>
                <w:w w:val="92"/>
              </w:rPr>
              <w:t>Weighted average number of common shares outstanding – basic and diluted for the three months ended March 31, 2021</w:t>
            </w:r>
          </w:p>
        </w:tc>
        <w:tc>
          <w:tcPr>
            <w:tcW w:w="1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41,575,143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-142240</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0" w:lineRule="exact"/>
        <w:rPr>
          <w:sz w:val="20"/>
          <w:szCs w:val="20"/>
          <w:color w:val="auto"/>
        </w:rPr>
      </w:pPr>
    </w:p>
    <w:p>
      <w:pPr>
        <w:ind w:left="520" w:right="8680" w:hanging="512"/>
        <w:spacing w:after="0" w:line="548" w:lineRule="auto"/>
        <w:tabs>
          <w:tab w:leader="none" w:pos="52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Agreements </w:t>
      </w:r>
      <w:r>
        <w:rPr>
          <w:rFonts w:ascii="Arial" w:cs="Arial" w:eastAsia="Arial" w:hAnsi="Arial"/>
          <w:sz w:val="16"/>
          <w:szCs w:val="16"/>
          <w:b w:val="1"/>
          <w:bCs w:val="1"/>
          <w:i w:val="1"/>
          <w:iCs w:val="1"/>
          <w:color w:val="auto"/>
        </w:rPr>
        <w:t>2018 Gilead Agreement</w:t>
      </w:r>
    </w:p>
    <w:p>
      <w:pPr>
        <w:spacing w:after="0" w:line="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8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88"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 xml:space="preserve">The Company assessed this arrangement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of the 2018 Gilead Agreement, the Company also determined that the Gilead program license options provided to Gilead did not include a material right.</w:t>
      </w:r>
    </w:p>
    <w:p>
      <w:pPr>
        <w:spacing w:after="0" w:line="23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212"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August 2020, Gilead made an equity investment of $20.0 million into the Company as a participant in the Company’s Series B-1 preferred stock offering. At the time of the original investment, as well as of the March 31, 2022 balance sheet date, Gilead maintains an ownership of less than 10% of the Company's common stock and is thus not considered to be a related party to the Company.</w:t>
      </w:r>
    </w:p>
    <w:p>
      <w:pPr>
        <w:spacing w:after="0" w:line="18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74" w:lineRule="exact"/>
        <w:rPr>
          <w:sz w:val="20"/>
          <w:szCs w:val="20"/>
          <w:color w:val="auto"/>
        </w:rPr>
      </w:pPr>
    </w:p>
    <w:p>
      <w:pPr>
        <w:ind w:left="1020" w:right="38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62" w:lineRule="exact"/>
        <w:rPr>
          <w:rFonts w:ascii="Arial" w:cs="Arial" w:eastAsia="Arial" w:hAnsi="Arial"/>
          <w:sz w:val="18"/>
          <w:szCs w:val="18"/>
          <w:color w:val="auto"/>
        </w:rPr>
      </w:pPr>
    </w:p>
    <w:p>
      <w:pPr>
        <w:ind w:left="1020" w:right="78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62" w:lineRule="exact"/>
        <w:rPr>
          <w:rFonts w:ascii="Arial" w:cs="Arial" w:eastAsia="Arial" w:hAnsi="Arial"/>
          <w:sz w:val="18"/>
          <w:szCs w:val="18"/>
          <w:color w:val="auto"/>
        </w:rPr>
      </w:pPr>
    </w:p>
    <w:p>
      <w:pPr>
        <w:jc w:val="both"/>
        <w:ind w:left="1020" w:right="80" w:hanging="503"/>
        <w:spacing w:after="0" w:line="32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16" w:lineRule="exact"/>
        <w:rPr>
          <w:rFonts w:ascii="Arial" w:cs="Arial" w:eastAsia="Arial" w:hAnsi="Arial"/>
          <w:sz w:val="16"/>
          <w:szCs w:val="16"/>
          <w:color w:val="auto"/>
        </w:rPr>
      </w:pPr>
    </w:p>
    <w:p>
      <w:pPr>
        <w:ind w:left="1020" w:right="140" w:hanging="503"/>
        <w:spacing w:after="0" w:line="24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71"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The Company is eligible to receive up to $410.0 million per program in license, research extension, and clinical, regulatory, and commercial milestones and royalties on future sales of commercialized products, if any.</w:t>
      </w:r>
    </w:p>
    <w:p>
      <w:pPr>
        <w:spacing w:after="0" w:line="171"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8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extensions is paid to the Company in equal quarterly installment payments over an agreed upon payment schedule. Although future research installment payments are not payable in the event of scientific failure, the Company determined that the variable consideration of $12.0 million for each of the extensions should not be constrained as the potential for a significant reversal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jc w:val="both"/>
        <w:ind w:right="180"/>
        <w:spacing w:after="0" w:line="261" w:lineRule="auto"/>
        <w:rPr>
          <w:sz w:val="20"/>
          <w:szCs w:val="20"/>
          <w:color w:val="auto"/>
        </w:rPr>
      </w:pPr>
      <w:r>
        <w:rPr>
          <w:rFonts w:ascii="Arial" w:cs="Arial" w:eastAsia="Arial" w:hAnsi="Arial"/>
          <w:sz w:val="18"/>
          <w:szCs w:val="18"/>
          <w:color w:val="auto"/>
        </w:rPr>
        <w:t>cumulative revenue recognized at the contract level is remote, and therefore the research extension consideration was added to the transaction price under the Gilead Agreement.</w:t>
      </w:r>
    </w:p>
    <w:p>
      <w:pPr>
        <w:spacing w:after="0" w:line="171"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In April 2021, Gilead licensed a program for an $11.0 million license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total transaction price allocated to the combined performance obligation under the Gilead Agreement was $199.0 million at March 31, 2022.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total transaction price was comprised of the $50.0 million upfront payment pursuant to the 2018 Gilead Agreement, the $125.0 million upfront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payment pursuant to the Gilead Agreement, the $12.0 million payment pursuant to the research extension fee in December 2020, and the $12.0 million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payment pursuant to the research extension fee in September 2021. During the three months ended March 31, 2022 and 2021, the Company recognized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$5.8 million and $6.4 million, respectively, of collaboration revenue associated with the Gilead Agreements based on performance completed during each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96"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March 31, 2022 and December 31, 2021, the Company had short-term deferred revenue of $25.0 million and $26.0 million, respectively, and long-term deferred revenue of $112.0 million and $114.7 million, respectively, related to the Gilead collaboration. The remaining long-term revenue is expected to be recognized proportionally to the completed obligations over an expected remaining contractual term of approximately 5.4 years.</w:t>
      </w:r>
    </w:p>
    <w:p>
      <w:pPr>
        <w:spacing w:after="0" w:line="175"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as deferred revenue on the Company’s unaudited condensed consolidated balance sheets. As of March 31, 2022, $4.0 million of the ongoing research extension fee total of $12.0 million had been received, $2.0 million had been recorded as accounts receivable and the remaining $6.0 million was determined to be conditional upon the satisfaction of additional research obligations, and thus a contract asset. The contract asset balance is presented net of the deferred revenue contract liability.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208"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1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5"/>
              </w:rPr>
              <w:t>Fair Market Value Measurements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3"/>
              </w:rPr>
              <w:t>as of March 31, 2022</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3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13,861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ind w:left="56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13,861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38,797</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38,797</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Marketable debt securities:</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290,201</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290,201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U.S. government agency bonds</w:t>
            </w:r>
          </w:p>
        </w:tc>
        <w:tc>
          <w:tcPr>
            <w:tcW w:w="1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59,775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59,775</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4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13,861</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388,773</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402,634</w:t>
            </w: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-504825</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-488315</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-504825</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-488315</wp:posOffset>
            </wp:positionV>
            <wp:extent cx="431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-504825</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-488315</wp:posOffset>
            </wp:positionV>
            <wp:extent cx="342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-504825</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-488315</wp:posOffset>
            </wp:positionV>
            <wp:extent cx="34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5"/>
              </w:rPr>
              <w:t>Fair Market Value Measurements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5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0"/>
              </w:rPr>
              <w:t>as of December 31, 2021</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5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89"/>
              </w:rPr>
              <w:t>(in thousands)</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10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62,244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ind w:left="56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62,244</w:t>
            </w:r>
          </w:p>
        </w:tc>
        <w:tc>
          <w:tcPr>
            <w:tcW w:w="60" w:type="dxa"/>
            <w:vAlign w:val="bottom"/>
          </w:tcPr>
          <w:p>
            <w:pPr>
              <w:spacing w:after="0"/>
              <w:rPr>
                <w:sz w:val="17"/>
                <w:szCs w:val="17"/>
                <w:color w:val="auto"/>
              </w:rPr>
            </w:pPr>
          </w:p>
        </w:tc>
      </w:tr>
      <w:tr>
        <w:trPr>
          <w:trHeight w:val="203"/>
        </w:trPr>
        <w:tc>
          <w:tcPr>
            <w:tcW w:w="51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38,433</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38,433</w:t>
            </w:r>
          </w:p>
        </w:tc>
        <w:tc>
          <w:tcPr>
            <w:tcW w:w="6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Marketable debt securities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287,123</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287,123</w:t>
            </w:r>
          </w:p>
        </w:tc>
        <w:tc>
          <w:tcPr>
            <w:tcW w:w="60" w:type="dxa"/>
            <w:vAlign w:val="bottom"/>
            <w:shd w:val="clear" w:color="auto" w:fill="CFF0FC"/>
          </w:tcPr>
          <w:p>
            <w:pPr>
              <w:spacing w:after="0"/>
              <w:rPr>
                <w:sz w:val="17"/>
                <w:szCs w:val="17"/>
                <w:color w:val="auto"/>
              </w:rPr>
            </w:pPr>
          </w:p>
        </w:tc>
      </w:tr>
      <w:tr>
        <w:trPr>
          <w:trHeight w:val="203"/>
        </w:trPr>
        <w:tc>
          <w:tcPr>
            <w:tcW w:w="5100" w:type="dxa"/>
            <w:vAlign w:val="bottom"/>
          </w:tcPr>
          <w:p>
            <w:pPr>
              <w:ind w:left="180"/>
              <w:spacing w:after="0" w:line="202" w:lineRule="exact"/>
              <w:rPr>
                <w:sz w:val="20"/>
                <w:szCs w:val="20"/>
                <w:color w:val="auto"/>
              </w:rPr>
            </w:pPr>
            <w:r>
              <w:rPr>
                <w:rFonts w:ascii="Arial" w:cs="Arial" w:eastAsia="Arial" w:hAnsi="Arial"/>
                <w:sz w:val="18"/>
                <w:szCs w:val="18"/>
                <w:color w:val="auto"/>
              </w:rPr>
              <w:t>U.S. government agency bonds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55,387</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55,387</w:t>
            </w:r>
          </w:p>
        </w:tc>
        <w:tc>
          <w:tcPr>
            <w:tcW w:w="60" w:type="dxa"/>
            <w:vAlign w:val="bottom"/>
          </w:tcPr>
          <w:p>
            <w:pPr>
              <w:spacing w:after="0"/>
              <w:rPr>
                <w:sz w:val="17"/>
                <w:szCs w:val="17"/>
                <w:color w:val="auto"/>
              </w:rPr>
            </w:pPr>
          </w:p>
        </w:tc>
      </w:tr>
      <w:tr>
        <w:trPr>
          <w:trHeight w:val="236"/>
        </w:trPr>
        <w:tc>
          <w:tcPr>
            <w:tcW w:w="51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62,244</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380,943</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443,187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342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three months ended March 31, 2022.</w:t>
      </w:r>
    </w:p>
    <w:p>
      <w:pPr>
        <w:spacing w:after="0" w:line="208"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16"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Fair Value Measurements as of March 31, 2022</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1"/>
                <w:szCs w:val="11"/>
                <w:color w:val="auto"/>
              </w:rPr>
            </w:pPr>
          </w:p>
        </w:tc>
        <w:tc>
          <w:tcPr>
            <w:tcW w:w="900" w:type="dxa"/>
            <w:vAlign w:val="bottom"/>
          </w:tcPr>
          <w:p>
            <w:pPr>
              <w:jc w:val="center"/>
              <w:ind w:left="144"/>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900" w:type="dxa"/>
            <w:vAlign w:val="bottom"/>
            <w:vMerge w:val="restart"/>
          </w:tcPr>
          <w:p>
            <w:pPr>
              <w:jc w:val="center"/>
              <w:ind w:right="23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Marketable debt securities:</w:t>
            </w: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292,838</w:t>
            </w:r>
          </w:p>
        </w:tc>
        <w:tc>
          <w:tcPr>
            <w:tcW w:w="1080" w:type="dxa"/>
            <w:vAlign w:val="bottom"/>
            <w:gridSpan w:val="2"/>
          </w:tcPr>
          <w:p>
            <w:pPr>
              <w:jc w:val="right"/>
              <w:ind w:right="72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cente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(2,637 )</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290,201</w:t>
            </w:r>
          </w:p>
        </w:tc>
        <w:tc>
          <w:tcPr>
            <w:tcW w:w="0" w:type="dxa"/>
            <w:vAlign w:val="bottom"/>
          </w:tcPr>
          <w:p>
            <w:pPr>
              <w:spacing w:after="0"/>
              <w:rPr>
                <w:sz w:val="1"/>
                <w:szCs w:val="1"/>
                <w:color w:val="auto"/>
              </w:rPr>
            </w:pPr>
          </w:p>
        </w:tc>
      </w:tr>
      <w:tr>
        <w:trPr>
          <w:trHeight w:val="203"/>
        </w:trPr>
        <w:tc>
          <w:tcPr>
            <w:tcW w:w="5040" w:type="dxa"/>
            <w:vAlign w:val="bottom"/>
            <w:tcBorders>
              <w:right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U.S. government agency bonds</w:t>
            </w: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60,548</w:t>
            </w:r>
          </w:p>
        </w:tc>
        <w:tc>
          <w:tcPr>
            <w:tcW w:w="1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(773 )</w:t>
            </w:r>
          </w:p>
        </w:tc>
        <w:tc>
          <w:tcPr>
            <w:tcW w:w="26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59,775</w:t>
            </w:r>
          </w:p>
        </w:tc>
        <w:tc>
          <w:tcPr>
            <w:tcW w:w="0" w:type="dxa"/>
            <w:vAlign w:val="bottom"/>
          </w:tcPr>
          <w:p>
            <w:pPr>
              <w:spacing w:after="0"/>
              <w:rPr>
                <w:sz w:val="1"/>
                <w:szCs w:val="1"/>
                <w:color w:val="auto"/>
              </w:rPr>
            </w:pPr>
          </w:p>
        </w:tc>
      </w:tr>
      <w:tr>
        <w:trPr>
          <w:trHeight w:val="20"/>
        </w:trPr>
        <w:tc>
          <w:tcPr>
            <w:tcW w:w="50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353,386</w:t>
            </w:r>
          </w:p>
        </w:tc>
        <w:tc>
          <w:tcPr>
            <w:tcW w:w="180" w:type="dxa"/>
            <w:vAlign w:val="bottom"/>
          </w:tcPr>
          <w:p>
            <w:pPr>
              <w:spacing w:after="0"/>
              <w:rPr>
                <w:sz w:val="17"/>
                <w:szCs w:val="17"/>
                <w:color w:val="auto"/>
              </w:rPr>
            </w:pPr>
          </w:p>
        </w:tc>
        <w:tc>
          <w:tcPr>
            <w:tcW w:w="900" w:type="dxa"/>
            <w:vAlign w:val="bottom"/>
          </w:tcPr>
          <w:p>
            <w:pPr>
              <w:jc w:val="right"/>
              <w:ind w:right="724"/>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6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(3,410 )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349,976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Fair Value Measurements as of December 31, 2021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1"/>
                <w:szCs w:val="11"/>
                <w:color w:val="auto"/>
              </w:rPr>
            </w:pPr>
          </w:p>
        </w:tc>
        <w:tc>
          <w:tcPr>
            <w:tcW w:w="900" w:type="dxa"/>
            <w:vAlign w:val="bottom"/>
          </w:tcPr>
          <w:p>
            <w:pPr>
              <w:jc w:val="center"/>
              <w:ind w:left="104"/>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900" w:type="dxa"/>
            <w:vAlign w:val="bottom"/>
            <w:vMerge w:val="restart"/>
          </w:tcPr>
          <w:p>
            <w:pPr>
              <w:jc w:val="center"/>
              <w:ind w:right="23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3"/>
          </w:tcPr>
          <w:p>
            <w:pPr>
              <w:jc w:val="center"/>
              <w:ind w:right="699"/>
              <w:spacing w:after="0"/>
              <w:rPr>
                <w:sz w:val="20"/>
                <w:szCs w:val="20"/>
                <w:color w:val="auto"/>
              </w:rPr>
            </w:pPr>
            <w:r>
              <w:rPr>
                <w:rFonts w:ascii="Arial" w:cs="Arial" w:eastAsia="Arial" w:hAnsi="Arial"/>
                <w:sz w:val="13"/>
                <w:szCs w:val="13"/>
                <w:b w:val="1"/>
                <w:bCs w:val="1"/>
                <w:color w:val="auto"/>
                <w:w w:val="71"/>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Marketable debt securities:</w:t>
            </w: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287,699</w:t>
            </w:r>
          </w:p>
        </w:tc>
        <w:tc>
          <w:tcPr>
            <w:tcW w:w="1080" w:type="dxa"/>
            <w:vAlign w:val="bottom"/>
            <w:gridSpan w:val="2"/>
          </w:tcPr>
          <w:p>
            <w:pPr>
              <w:jc w:val="right"/>
              <w:ind w:right="72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gridSpan w:val="2"/>
          </w:tcPr>
          <w:p>
            <w:pPr>
              <w:jc w:val="center"/>
              <w:ind w:left="4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(577 )</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287,123</w:t>
            </w:r>
          </w:p>
        </w:tc>
        <w:tc>
          <w:tcPr>
            <w:tcW w:w="0" w:type="dxa"/>
            <w:vAlign w:val="bottom"/>
          </w:tcPr>
          <w:p>
            <w:pPr>
              <w:spacing w:after="0"/>
              <w:rPr>
                <w:sz w:val="1"/>
                <w:szCs w:val="1"/>
                <w:color w:val="auto"/>
              </w:rPr>
            </w:pPr>
          </w:p>
        </w:tc>
      </w:tr>
      <w:tr>
        <w:trPr>
          <w:trHeight w:val="203"/>
        </w:trPr>
        <w:tc>
          <w:tcPr>
            <w:tcW w:w="5040" w:type="dxa"/>
            <w:vAlign w:val="bottom"/>
            <w:tcBorders>
              <w:right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U.S. government agency bonds</w:t>
            </w: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55,576</w:t>
            </w:r>
          </w:p>
        </w:tc>
        <w:tc>
          <w:tcPr>
            <w:tcW w:w="1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(189 )</w:t>
            </w:r>
          </w:p>
        </w:tc>
        <w:tc>
          <w:tcPr>
            <w:tcW w:w="26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55,387</w:t>
            </w:r>
          </w:p>
        </w:tc>
        <w:tc>
          <w:tcPr>
            <w:tcW w:w="0" w:type="dxa"/>
            <w:vAlign w:val="bottom"/>
          </w:tcPr>
          <w:p>
            <w:pPr>
              <w:spacing w:after="0"/>
              <w:rPr>
                <w:sz w:val="1"/>
                <w:szCs w:val="1"/>
                <w:color w:val="auto"/>
              </w:rPr>
            </w:pPr>
          </w:p>
        </w:tc>
      </w:tr>
      <w:tr>
        <w:trPr>
          <w:trHeight w:val="20"/>
        </w:trPr>
        <w:tc>
          <w:tcPr>
            <w:tcW w:w="50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343,275</w:t>
            </w:r>
          </w:p>
        </w:tc>
        <w:tc>
          <w:tcPr>
            <w:tcW w:w="180" w:type="dxa"/>
            <w:vAlign w:val="bottom"/>
          </w:tcPr>
          <w:p>
            <w:pPr>
              <w:spacing w:after="0"/>
              <w:rPr>
                <w:sz w:val="17"/>
                <w:szCs w:val="17"/>
                <w:color w:val="auto"/>
              </w:rPr>
            </w:pPr>
          </w:p>
        </w:tc>
        <w:tc>
          <w:tcPr>
            <w:tcW w:w="900" w:type="dxa"/>
            <w:vAlign w:val="bottom"/>
          </w:tcPr>
          <w:p>
            <w:pPr>
              <w:jc w:val="right"/>
              <w:ind w:right="724"/>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6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(766 )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342,510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-1402080</wp:posOffset>
            </wp:positionV>
            <wp:extent cx="431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-1402080</wp:posOffset>
            </wp:positionV>
            <wp:extent cx="431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-1402080</wp:posOffset>
            </wp:positionV>
            <wp:extent cx="6032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-1402080</wp:posOffset>
            </wp:positionV>
            <wp:extent cx="3429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-159385</wp:posOffset>
            </wp:positionV>
            <wp:extent cx="431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-159385</wp:posOffset>
            </wp:positionV>
            <wp:extent cx="431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-159385</wp:posOffset>
            </wp:positionV>
            <wp:extent cx="6032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Company holds investment grade marketable securities, with $3.4 million of U.S. Treasury bills and U.S. government agency bonds considered to be in an unrealized loss position as of March 31, 2022 and $0.8 million considered to be in an unrealized loss position as of December 31, 2021. Although these marketable securities are held at an unrealized loss position at March 31, 2022, the Company does not intend to sell the marketable securities prior to the value of the securities being recovered. Further,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As a result, the Company did not record any impairments to marketable securities or reserves for credit losses related to its marketable debt securities during the periods then ended. Marketable securities include $0.2 million in accrued interest at both March 31, 2022 and December 31, 2021.</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3" w:right="399" w:bottom="1440" w:gutter="0" w:footer="0" w:header="0"/>
        </w:sectPr>
      </w:pPr>
    </w:p>
    <w:bookmarkStart w:id="17" w:name="page18"/>
    <w:bookmarkEnd w:id="17"/>
    <w:p>
      <w:pPr>
        <w:ind w:left="520" w:right="7440" w:hanging="512"/>
        <w:spacing w:after="0" w:line="487" w:lineRule="auto"/>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Balance Sheet Information </w:t>
      </w:r>
      <w:r>
        <w:rPr>
          <w:rFonts w:ascii="Arial" w:cs="Arial" w:eastAsia="Arial" w:hAnsi="Arial"/>
          <w:sz w:val="18"/>
          <w:szCs w:val="18"/>
          <w:b w:val="1"/>
          <w:bCs w:val="1"/>
          <w:i w:val="1"/>
          <w:iCs w:val="1"/>
          <w:color w:val="auto"/>
        </w:rPr>
        <w:t>Property and Equipment</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as of March 31, 2022 and December 31, 2021 consists of the following:</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73"/>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w:t>
            </w:r>
          </w:p>
        </w:tc>
        <w:tc>
          <w:tcPr>
            <w:tcW w:w="1440" w:type="dxa"/>
            <w:vAlign w:val="bottom"/>
            <w:tcBorders>
              <w:bottom w:val="single" w:sz="8" w:color="auto"/>
            </w:tcBorders>
            <w:gridSpan w:val="3"/>
          </w:tcPr>
          <w:p>
            <w:pPr>
              <w:jc w:val="center"/>
              <w:ind w:right="833"/>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4"/>
                <w:szCs w:val="14"/>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5,703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5,587</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software</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738</w:t>
            </w:r>
          </w:p>
        </w:tc>
        <w:tc>
          <w:tcPr>
            <w:tcW w:w="10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9,368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7,361</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7"/>
                <w:szCs w:val="17"/>
                <w:color w:val="auto"/>
              </w:rPr>
            </w:pPr>
          </w:p>
        </w:tc>
        <w:tc>
          <w:tcPr>
            <w:tcW w:w="128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(2,830 )</w:t>
            </w:r>
          </w:p>
        </w:tc>
        <w:tc>
          <w:tcPr>
            <w:tcW w:w="14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(2,529 )</w:t>
            </w:r>
          </w:p>
        </w:tc>
      </w:tr>
      <w:tr>
        <w:trPr>
          <w:trHeight w:val="236"/>
        </w:trPr>
        <w:tc>
          <w:tcPr>
            <w:tcW w:w="50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6,538</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4,832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$0.3 million and $0.2 million for the three months ended March 31, 2022 and 2021, respectively.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as of March 31, 2022 and December 31, 2021 include the following:</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38"/>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4"/>
                <w:szCs w:val="14"/>
                <w:color w:val="auto"/>
              </w:rPr>
            </w:pPr>
          </w:p>
        </w:tc>
      </w:tr>
      <w:tr>
        <w:trPr>
          <w:trHeight w:val="185"/>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(in</w:t>
            </w:r>
          </w:p>
        </w:tc>
        <w:tc>
          <w:tcPr>
            <w:tcW w:w="144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3"/>
                <w:szCs w:val="13"/>
                <w:b w:val="1"/>
                <w:bCs w:val="1"/>
                <w:color w:val="auto"/>
                <w:w w:val="71"/>
              </w:rPr>
              <w:t>thousands)</w:t>
            </w:r>
          </w:p>
        </w:tc>
        <w:tc>
          <w:tcPr>
            <w:tcW w:w="6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employee-related costs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1,352</w:t>
            </w:r>
          </w:p>
        </w:tc>
        <w:tc>
          <w:tcPr>
            <w:tcW w:w="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3,688</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7,441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5,533</w:t>
            </w:r>
          </w:p>
        </w:tc>
        <w:tc>
          <w:tcPr>
            <w:tcW w:w="6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900</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9,693</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9,887</w:t>
            </w:r>
          </w:p>
        </w:tc>
        <w:tc>
          <w:tcPr>
            <w:tcW w:w="6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-159385</wp:posOffset>
            </wp:positionV>
            <wp:extent cx="431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March 31, 2022 and 2021, the Company maintained a restricted cash balance of $4.0 million and $2.3 million, respectively, all of which was related to security deposits associated with the Company’s facility leases. The cash will remain restricted in accordance with the lease agreements absent the event of a lease termination or modification. The reconciliation of cash and cash equivalents and restricted cash to amounts presented in the condensed consolidated statements of cash flows are as follows:</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9"/>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237"/>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r>
      <w:tr>
        <w:trPr>
          <w:trHeight w:val="185"/>
        </w:trPr>
        <w:tc>
          <w:tcPr>
            <w:tcW w:w="5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69"/>
        </w:trPr>
        <w:tc>
          <w:tcPr>
            <w:tcW w:w="5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99,909</w:t>
            </w:r>
          </w:p>
        </w:tc>
        <w:tc>
          <w:tcPr>
            <w:tcW w:w="48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65,791</w:t>
            </w: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2,279</w:t>
            </w:r>
          </w:p>
        </w:tc>
        <w:tc>
          <w:tcPr>
            <w:tcW w:w="60" w:type="dxa"/>
            <w:vAlign w:val="bottom"/>
          </w:tcPr>
          <w:p>
            <w:pPr>
              <w:spacing w:after="0"/>
              <w:rPr>
                <w:sz w:val="17"/>
                <w:szCs w:val="17"/>
                <w:color w:val="auto"/>
              </w:rPr>
            </w:pPr>
          </w:p>
        </w:tc>
      </w:tr>
      <w:tr>
        <w:trPr>
          <w:trHeight w:val="236"/>
        </w:trPr>
        <w:tc>
          <w:tcPr>
            <w:tcW w:w="50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Cash, cash equivalents and restricted cash</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103,899</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68,070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80" w:lineRule="exact"/>
        <w:rPr>
          <w:sz w:val="20"/>
          <w:szCs w:val="20"/>
          <w:color w:val="auto"/>
        </w:rPr>
      </w:pPr>
    </w:p>
    <w:p>
      <w:pPr>
        <w:ind w:left="520" w:right="8060" w:hanging="512"/>
        <w:spacing w:after="0" w:line="585" w:lineRule="auto"/>
        <w:tabs>
          <w:tab w:leader="none" w:pos="52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Other Funding Commitments</w:t>
      </w:r>
    </w:p>
    <w:p>
      <w:pPr>
        <w:ind w:right="320" w:firstLine="509"/>
        <w:spacing w:after="0" w:line="243" w:lineRule="auto"/>
        <w:rPr>
          <w:sz w:val="20"/>
          <w:szCs w:val="20"/>
          <w:color w:val="auto"/>
        </w:rPr>
      </w:pPr>
      <w:r>
        <w:rPr>
          <w:rFonts w:ascii="Arial" w:cs="Arial" w:eastAsia="Arial" w:hAnsi="Arial"/>
          <w:sz w:val="18"/>
          <w:szCs w:val="18"/>
          <w:color w:val="auto"/>
        </w:rPr>
        <w:t>As of March 31, 2022, the Company had ongoing preclinical and clinical studies. The Company enters into contracts in the normal course of business with contract research organizations in preparation for clinical trials, professional consultants for expert advice and other vendors for clinical supply manufacturing or other preclinical services. These contracts are generally cancellable, with notice, at the Company's option and do not have significant cancellation penalties.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0" w:right="45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Guarantees</w:t>
      </w:r>
    </w:p>
    <w:p>
      <w:pPr>
        <w:spacing w:after="0" w:line="212"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and clinical trial sites.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Litigation</w:t>
      </w:r>
    </w:p>
    <w:p>
      <w:pPr>
        <w:spacing w:after="0" w:line="212"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The Company, from time to time, may be party to litigation arising in the ordinary course of business. The Company was not subject to any material legal proceedings as of March 31, 2022,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366"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March 2021, Old Tango sold 22,686,025 additional shares of Series B stock at a price of $1.32 per share upon the achievement of specified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development milestones in connection with the second tranche of the Series B stock purchase agreement. Proceeds from this issuance totaled $30.0 million.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Total issuance costs associated with the March 2021 issuance of Series B preferred stock was less than $0.1 million.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Conversion of Redeemable Convertible Preferred Stock</w:t>
      </w:r>
    </w:p>
    <w:p>
      <w:pPr>
        <w:spacing w:after="0" w:line="212"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Pursuant to the terms of the Merger Agreement, upon the Effective Time, each share of Old Tango’s Preferred Stock issued and outstanding immediately prior to the Effective Time was converted into a share of Old Tango’s common stock and subsequently converted into shares of New Tango common stock using an exchange ratio of 0.34. A retroactive adjustment has been applied to all periods presented to reflect the Business Combination and reverse recapitalization, therefore, resulting in no outstanding Preferred Stock as of March 31, 2022 and 2021. Refer to Note 3 for additional discussion.</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12"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March 31, 2022. The shares of preferred stock are currently undesignated.</w:t>
      </w:r>
    </w:p>
    <w:p>
      <w:pPr>
        <w:spacing w:after="0" w:line="178" w:lineRule="exact"/>
        <w:rPr>
          <w:sz w:val="20"/>
          <w:szCs w:val="20"/>
          <w:color w:val="auto"/>
        </w:rPr>
      </w:pPr>
    </w:p>
    <w:p>
      <w:pPr>
        <w:ind w:left="520" w:right="8600" w:hanging="512"/>
        <w:spacing w:after="0" w:line="585" w:lineRule="auto"/>
        <w:tabs>
          <w:tab w:leader="none" w:pos="520"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Incentive Plan</w:t>
      </w:r>
    </w:p>
    <w:p>
      <w:pPr>
        <w:jc w:val="both"/>
        <w:ind w:right="440" w:firstLine="509"/>
        <w:spacing w:after="0" w:line="248" w:lineRule="auto"/>
        <w:rPr>
          <w:sz w:val="20"/>
          <w:szCs w:val="20"/>
          <w:color w:val="auto"/>
        </w:rPr>
      </w:pPr>
      <w:r>
        <w:rPr>
          <w:rFonts w:ascii="Arial" w:cs="Arial" w:eastAsia="Arial" w:hAnsi="Arial"/>
          <w:sz w:val="18"/>
          <w:szCs w:val="18"/>
          <w:color w:val="auto"/>
        </w:rPr>
        <w:t>In March 2017, Old Tango's stockholders approved the 2017 Stock Option and Grant Plan, pursuant to which Old Tango issued stock options, restricted stock awards (“RSAs”), unrestricted stock awards, restricted stock units, or any combination of the forgoing to eligible employees, officers, directors, consultants, or other key persons who provide services to the Company.</w:t>
      </w:r>
    </w:p>
    <w:p>
      <w:pPr>
        <w:spacing w:after="0" w:line="182"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2021 Stock Option and Incentive Plan (the “2021 Plan”) became effective upon the closing of the Business Combination and replaced the 2017 Stock Option and Grant Plan. The 2021 Plan allows the Company to make equity and equity-based incentive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 w:name="page20"/>
    <w:bookmarkEnd w:id="19"/>
    <w:p>
      <w:pPr>
        <w:ind w:right="380"/>
        <w:spacing w:after="0" w:line="261" w:lineRule="auto"/>
        <w:rPr>
          <w:sz w:val="20"/>
          <w:szCs w:val="20"/>
          <w:color w:val="auto"/>
        </w:rPr>
      </w:pPr>
      <w:r>
        <w:rPr>
          <w:rFonts w:ascii="Arial" w:cs="Arial" w:eastAsia="Arial" w:hAnsi="Arial"/>
          <w:sz w:val="18"/>
          <w:szCs w:val="18"/>
          <w:color w:val="auto"/>
        </w:rPr>
        <w:t>awards to officers, employees, non-employee directors and consultants. As of March 31, 2022, the Company had 7,149,519 shares available for future issuance under the 2021 Plan.</w:t>
      </w:r>
    </w:p>
    <w:p>
      <w:pPr>
        <w:spacing w:after="0" w:line="171"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The Company recorded stock-based compensation expense in the following expense categories in its accompanying condensed consolidated statements of operations: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060" w:type="dxa"/>
            <w:vAlign w:val="bottom"/>
          </w:tcPr>
          <w:p>
            <w:pPr>
              <w:spacing w:after="0"/>
              <w:rPr>
                <w:sz w:val="14"/>
                <w:szCs w:val="14"/>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0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FF0FC"/>
          </w:tcPr>
          <w:p>
            <w:pPr>
              <w:jc w:val="right"/>
              <w:ind w:right="113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1,642</w:t>
            </w:r>
          </w:p>
        </w:tc>
        <w:tc>
          <w:tcPr>
            <w:tcW w:w="1520" w:type="dxa"/>
            <w:vAlign w:val="bottom"/>
            <w:gridSpan w:val="2"/>
            <w:shd w:val="clear" w:color="auto" w:fill="CFF0FC"/>
          </w:tcPr>
          <w:p>
            <w:pPr>
              <w:jc w:val="right"/>
              <w:ind w:right="1079"/>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460</w:t>
            </w:r>
          </w:p>
        </w:tc>
        <w:tc>
          <w:tcPr>
            <w:tcW w:w="6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1,563</w:t>
            </w: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490</w:t>
            </w:r>
          </w:p>
        </w:tc>
        <w:tc>
          <w:tcPr>
            <w:tcW w:w="60" w:type="dxa"/>
            <w:vAlign w:val="bottom"/>
          </w:tcPr>
          <w:p>
            <w:pPr>
              <w:spacing w:after="0"/>
              <w:rPr>
                <w:sz w:val="17"/>
                <w:szCs w:val="17"/>
                <w:color w:val="auto"/>
              </w:rPr>
            </w:pPr>
          </w:p>
        </w:tc>
      </w:tr>
      <w:tr>
        <w:trPr>
          <w:trHeight w:val="236"/>
        </w:trPr>
        <w:tc>
          <w:tcPr>
            <w:tcW w:w="6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FF0FC"/>
          </w:tcPr>
          <w:p>
            <w:pPr>
              <w:jc w:val="right"/>
              <w:ind w:right="113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3,205</w:t>
            </w:r>
          </w:p>
        </w:tc>
        <w:tc>
          <w:tcPr>
            <w:tcW w:w="26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07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1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Pursuant to the terms of the Business Combination, upon the Closing Date, each option to purchase Old Tango’s common stock became an option to purchase shares of common stock of the surviving entity and was subsequently adjusted using an exchange ratio of 0.34. A retroactive adjustment has been applied to all periods presented to reflect the Business Combination and reverse recapitalization as discussed further in Note 3.</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2022:</w:t>
      </w: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5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880" w:type="dxa"/>
            <w:vAlign w:val="bottom"/>
          </w:tcPr>
          <w:p>
            <w:pPr>
              <w:jc w:val="center"/>
              <w:ind w:left="26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80" w:type="dxa"/>
            <w:vAlign w:val="bottom"/>
          </w:tcPr>
          <w:p>
            <w:pPr>
              <w:jc w:val="center"/>
              <w:ind w:lef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13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880" w:type="dxa"/>
            <w:vAlign w:val="bottom"/>
            <w:tcBorders>
              <w:bottom w:val="single" w:sz="8" w:color="auto"/>
            </w:tcBorders>
          </w:tcPr>
          <w:p>
            <w:pPr>
              <w:jc w:val="center"/>
              <w:ind w:left="240"/>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w:t>
            </w: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7"/>
              </w:rPr>
              <w:t>years)</w:t>
            </w: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Options outstanding as of December 31, 2021</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9,372,993</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0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5"/>
              </w:rPr>
              <w:t>5.59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8.55</w:t>
            </w:r>
          </w:p>
        </w:tc>
        <w:tc>
          <w:tcPr>
            <w:tcW w:w="4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51,415,394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3,499,675</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85"/>
              </w:rPr>
              <w:t>9.31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(111,315 )</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5"/>
              </w:rPr>
              <w:t>2.39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(19,407 )</w:t>
            </w:r>
          </w:p>
        </w:tc>
        <w:tc>
          <w:tcPr>
            <w:tcW w:w="8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85"/>
              </w:rPr>
              <w:t>2.84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Options outstanding as of March 31, 2022</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12,741,946</w:t>
            </w:r>
          </w:p>
        </w:tc>
        <w:tc>
          <w:tcPr>
            <w:tcW w:w="24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70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5"/>
              </w:rPr>
              <w:t>6.64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8.49</w:t>
            </w:r>
          </w:p>
        </w:tc>
        <w:tc>
          <w:tcPr>
            <w:tcW w:w="4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27,139,806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Options exercisable as of March 31, 2022</w:t>
            </w:r>
          </w:p>
        </w:tc>
        <w:tc>
          <w:tcPr>
            <w:tcW w:w="1320" w:type="dxa"/>
            <w:vAlign w:val="bottom"/>
          </w:tcPr>
          <w:p>
            <w:pPr>
              <w:jc w:val="right"/>
              <w:spacing w:after="0"/>
              <w:rPr>
                <w:sz w:val="20"/>
                <w:szCs w:val="20"/>
                <w:color w:val="auto"/>
              </w:rPr>
            </w:pPr>
            <w:r>
              <w:rPr>
                <w:rFonts w:ascii="Arial" w:cs="Arial" w:eastAsia="Arial" w:hAnsi="Arial"/>
                <w:sz w:val="18"/>
                <w:szCs w:val="18"/>
                <w:color w:val="auto"/>
              </w:rPr>
              <w:t>2,898,853</w:t>
            </w:r>
          </w:p>
        </w:tc>
        <w:tc>
          <w:tcPr>
            <w:tcW w:w="240" w:type="dxa"/>
            <w:vAlign w:val="bottom"/>
          </w:tcPr>
          <w:p>
            <w:pPr>
              <w:spacing w:after="0"/>
              <w:rPr>
                <w:sz w:val="20"/>
                <w:szCs w:val="20"/>
                <w:color w:val="auto"/>
              </w:rPr>
            </w:pPr>
          </w:p>
        </w:tc>
        <w:tc>
          <w:tcPr>
            <w:tcW w:w="880" w:type="dxa"/>
            <w:vAlign w:val="bottom"/>
          </w:tcPr>
          <w:p>
            <w:pPr>
              <w:jc w:val="right"/>
              <w:ind w:right="70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2.84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14,120,122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As of March 31, 2022, total unrecognized compensation expense related to stock options was $27.1 million, which the Company expects to recognize over a remaining weighted-average period of 3.1 years.</w:t>
      </w:r>
    </w:p>
    <w:p>
      <w:pPr>
        <w:spacing w:after="0" w:line="16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1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common stockholders was calculated as follows: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40" w:type="dxa"/>
            <w:vAlign w:val="bottom"/>
            <w:gridSpan w:val="5"/>
          </w:tcPr>
          <w:p>
            <w:pPr>
              <w:jc w:val="right"/>
              <w:ind w:right="101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602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540" w:type="dxa"/>
            <w:vAlign w:val="bottom"/>
            <w:tcBorders>
              <w:top w:val="single" w:sz="8" w:color="auto"/>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r>
      <w:tr>
        <w:trPr>
          <w:trHeight w:val="169"/>
        </w:trPr>
        <w:tc>
          <w:tcPr>
            <w:tcW w:w="60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(25,208 )</w:t>
            </w: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(12,106 )</w:t>
            </w: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ind w:left="180"/>
              <w:spacing w:after="0" w:line="202" w:lineRule="exact"/>
              <w:rPr>
                <w:sz w:val="20"/>
                <w:szCs w:val="20"/>
                <w:color w:val="auto"/>
              </w:rPr>
            </w:pPr>
            <w:r>
              <w:rPr>
                <w:rFonts w:ascii="Arial" w:cs="Arial" w:eastAsia="Arial" w:hAnsi="Arial"/>
                <w:sz w:val="18"/>
                <w:szCs w:val="18"/>
                <w:color w:val="auto"/>
              </w:rPr>
              <w:t>Weighted-average common stock outstanding – basic and diluted</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87,670,653</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41,575,143</w:t>
            </w:r>
          </w:p>
        </w:tc>
        <w:tc>
          <w:tcPr>
            <w:tcW w:w="100" w:type="dxa"/>
            <w:vAlign w:val="bottom"/>
          </w:tcPr>
          <w:p>
            <w:pPr>
              <w:spacing w:after="0"/>
              <w:rPr>
                <w:sz w:val="17"/>
                <w:szCs w:val="17"/>
                <w:color w:val="auto"/>
              </w:rPr>
            </w:pPr>
          </w:p>
        </w:tc>
      </w:tr>
      <w:tr>
        <w:trPr>
          <w:trHeight w:val="196"/>
        </w:trPr>
        <w:tc>
          <w:tcPr>
            <w:tcW w:w="60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Net loss per common share – basic and diluted</w:t>
            </w: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-5080</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-5080</wp:posOffset>
            </wp:positionV>
            <wp:extent cx="6032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Company’s potential dilutive securities, which include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0" w:name="page21"/>
    <w:bookmarkEnd w:id="20"/>
    <w:p>
      <w:pPr>
        <w:ind w:right="260"/>
        <w:spacing w:after="0" w:line="261" w:lineRule="auto"/>
        <w:rPr>
          <w:sz w:val="20"/>
          <w:szCs w:val="20"/>
          <w:color w:val="auto"/>
        </w:rPr>
      </w:pPr>
      <w:r>
        <w:rPr>
          <w:rFonts w:ascii="Arial" w:cs="Arial" w:eastAsia="Arial" w:hAnsi="Arial"/>
          <w:sz w:val="18"/>
          <w:szCs w:val="18"/>
          <w:color w:val="auto"/>
        </w:rPr>
        <w:t>outstanding at each period end, from the computation of diluted net loss per share attributable to common stockholders for the periods indicated because including them would have had an anti-dilutive effect:</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20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16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4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12,741,946</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6,445,622</w:t>
            </w:r>
          </w:p>
        </w:tc>
        <w:tc>
          <w:tcPr>
            <w:tcW w:w="60" w:type="dxa"/>
            <w:vAlign w:val="bottom"/>
            <w:shd w:val="clear" w:color="auto" w:fill="CFF0FC"/>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Unvested restricted common stock</w:t>
            </w:r>
          </w:p>
        </w:tc>
        <w:tc>
          <w:tcPr>
            <w:tcW w:w="220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87,249</w:t>
            </w:r>
          </w:p>
        </w:tc>
        <w:tc>
          <w:tcPr>
            <w:tcW w:w="60" w:type="dxa"/>
            <w:vAlign w:val="bottom"/>
          </w:tcPr>
          <w:p>
            <w:pPr>
              <w:spacing w:after="0"/>
              <w:rPr>
                <w:sz w:val="17"/>
                <w:szCs w:val="17"/>
                <w:color w:val="auto"/>
              </w:rPr>
            </w:pPr>
          </w:p>
        </w:tc>
      </w:tr>
      <w:tr>
        <w:trPr>
          <w:trHeight w:val="196"/>
        </w:trPr>
        <w:tc>
          <w:tcPr>
            <w:tcW w:w="44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12,741,946</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6,532,871</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-5080</wp:posOffset>
            </wp:positionV>
            <wp:extent cx="431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-5080</wp:posOffset>
            </wp:positionV>
            <wp:extent cx="3429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72"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Company’s effective income tax rate was 0.0% and -0.6% for the three months ended March 31, 2022 and 2021, respectively. The income tax provision was $0 and $74 thousand for the three months ended March 31, 2022 and 2021, respectively. The change in the provision for income taxes for the three months ended March 31, 2022 compared to the three months ended March 31, 2021 was primarily due to taxable deferred revenue in 2021 partially offset by the utilization of federal and state net operating losses and federal and state tax credits. For 2022, the Company assessed the new requirement to capitalize and amortize research and experimentation expenditures for US tax purposes, which became effective as of January 1, 2022. The Company is forecasting a taxable loss position in 2022 for which no tax benefit is recorded due to the valuation allowance maintained against the Company’s deferred tax assets.</w:t>
      </w:r>
    </w:p>
    <w:p>
      <w:pPr>
        <w:spacing w:after="0" w:line="191"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The effective income tax rate for the three months ended March 31, 2022 and 2021 differed from the federal statutory rate primarily due to the valuation allowance maintained against the Company’s deferred tax assets.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firstLine="495"/>
        <w:spacing w:after="0" w:line="25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2021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72"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i w:val="1"/>
          <w:iCs w:val="1"/>
          <w:color w:val="auto"/>
        </w:rPr>
        <w:t>Unless otherwise indicated, references in this Management’s Discussion and Analysis of Financial Condition and Results of Operations section to “Tango,” “we,” “us,” “our” and other similar terms refer to our wholly-owned subsidiary Tango Therapeutics Sub, Inc. and its subsidiary prior to the closing of the business combination with BCTG Acquisition Corp. and to Tango Therapeutics, Inc. and its consolidated subsidiaries after giving effect to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7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lead program, TNG908, a protein arginine methyl transferase 5, or PRMT5, inhibitor is synthetic lethal with MTAP deletion,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In the first quarter of 2022, the U.S. Food and Drug Administration (FDA) cleared the Investigational New Drug (IND) application for the Phase 1/2 clinical trial and granted Fast Track designation to TNG908. The Phase 1/2 clinical trial is open for enrollment and will evaluate safety and efficacy in multiple indications, with specific cohorts for non-small cell lung cancer, malignant peripheral nerve sheath cancer, mesothelioma, and cholangiocarcinoma, with glioblastoma planned for the dose expansion phase. The clinical trial also includes a histology-agnostic cohort for all other MTAP-deleted solid tumors. We expect to have initial safety and efficacy data in the first half of 2023.</w:t>
      </w:r>
    </w:p>
    <w:p>
      <w:pPr>
        <w:spacing w:after="0" w:line="18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Given the large number of patients with MTAP-deleted cancers, we are investing in our PRMT5 franchise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We plan to file an IND for TNG462 in the first half of 2023. The clinical development path for TNG462 is expected to be similar to TNG908, evaluating safety and efficacy in multiple tumor types in a Phase 1/2 clinical trial. Glioblastoma will be excluded from the clinical trial as TNG462 does not cross the blood-brain barrier in preclinical primate models.</w:t>
      </w:r>
    </w:p>
    <w:p>
      <w:pPr>
        <w:spacing w:after="0" w:line="18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development candidate, TNG260, an inhibitor of an undisclosed synthetic lethal target (Target 3), reverses the immune evasion effect of serine-threonine kinase 11 (STK11) loss-of-function mutations. In syngeneic models with an STK11 mutation and an intact immune system, the combination of TNG260 with an anti-PD1 antibody resulted in sustained complete tumor regressions and the induction of immune memory against re-implantation of tumors. We expect to file an IND for TNG260 in 2023.</w:t>
      </w:r>
    </w:p>
    <w:p>
      <w:pPr>
        <w:spacing w:after="0" w:line="18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 xml:space="preserve">We are also developing a ubiquitin-specific protease 1, or USP1, inhibitor that is synthetic lethal with BRCA1 and BRCA2-mutant tumors.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data for USP1 demonstrated potent anti-tumor activity. We expect this molecule to have both single agent activity in PARPi-naïve and PARPi-resistant BRCA1/2 mutant cancers and to synergize with PARP inhibitors. We anticipate declaring a development candidate in the second half of 2022 and filing an IND for this program in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2" w:name="page23"/>
    <w:bookmarkEnd w:id="22"/>
    <w:p>
      <w:pPr>
        <w:ind w:firstLine="509"/>
        <w:spacing w:after="0" w:line="238" w:lineRule="auto"/>
        <w:rPr>
          <w:sz w:val="20"/>
          <w:szCs w:val="20"/>
          <w:color w:val="auto"/>
        </w:rPr>
      </w:pPr>
      <w:r>
        <w:rPr>
          <w:rFonts w:ascii="Arial" w:cs="Arial" w:eastAsia="Arial" w:hAnsi="Arial"/>
          <w:sz w:val="18"/>
          <w:szCs w:val="18"/>
          <w:color w:val="auto"/>
        </w:rPr>
        <w:t>On April 13, 2021, the Company, BCTG Merger Sub Inc., a Delaware corporation, and Tango Therapeutics, Inc. (now known as Tango Therapeutics Sub, Inc., or “Old Tango”) signed a definitive merger agreement, or the Merger Agreement, memorializing the terms of BCTG’s acquisition of 100% of Old Tango’s issued and outstanding equity securities in exchange for $550.0 million worth of consideration in the form of BCTG common stock, or the Business Combination. The Business Combination was approved on August 9, 2021 by shareholders of BCTG, resulting in BCTG acquiring 100% of our issued and outstanding equity securities on August 10, 2021. Upon the closing of the Business Combination, BCTG Merger Sub Inc. merged with and into Tango, with Tango as the surviving company in the Merger, and BCTG changed its name to “Tango Therapeutics, Inc.”, or New Tango. For additional information on the Business Combination, see Note 3 to the unaudited condensed consolidated financial statements included elsewhere in this Quarterly Report on Form 10-Q.</w:t>
      </w:r>
    </w:p>
    <w:p>
      <w:pPr>
        <w:spacing w:after="0" w:line="19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received gross proceeds of $167.1 million upon the closing of the Business Combination. Simultaneous with the closing of the Business Combination, Tango entered into agreements with certain investors, the PIPE Investors, pursuant to which these PIPE Investors purchased 18,610,000 shares of our common stock at $10.00 per share, for aggregate gross proceeds of $186.1 million, upon the closing of the PIPE financing. Total transaction costs and redemptions totaled $26.9 million, resulting in total net proceeds of $326.3 million.</w:t>
      </w:r>
    </w:p>
    <w:p>
      <w:pPr>
        <w:spacing w:after="0" w:line="188"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conversion ratio of 0.34. At the effective time of the Business Combination, each option to purchase Old Tango common stock became an option to purchase shares of New Tango common stock, subject to adjustment in accordance with the exchange ratio.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16"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Since our inception, we have funded our operations primarily through equity financings and from the proceeds received from our collaboration agreement with Gilead Sciences, Inc., or Gilead. Since inception, we have raised an aggregate of $166.9 million of gross proceeds from the sale of our preferred shares, $342.1 million in gross proceeds through the closing of the Business Combination and PIPE Financing transactions (as described above) and another $214.1 million through our collaboration with Gilead.</w:t>
      </w:r>
    </w:p>
    <w:p>
      <w:pPr>
        <w:spacing w:after="0" w:line="189"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believe that our existing cash, cash equivalents and marketable securities on hand as of March 31, 2022 of $449.9 million will enable us to fund our operating expenses and capital expenditure requirements at least into the second half of 2024. Since inception, we have incurred significant operating losses. For the three months ended March 31, 2022 and 2021, our net losses were $25.2 million and $12.1 million, respectively. We had an accumulated deficit of $186.5 million as of March 31, 2022. 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80"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69"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sustain profitability on a continuing basis, then we may be unable to continue our operations at planned levels and be forced to reduce our operations.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212"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8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August 2020, the 2018 Gilead Agreement was expanded into a broader collaboration via an amended and restated research collaboration and license agreement, or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8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December 2020 and September 2021, Gilead elected to extend two programs for research extension fees totaling $24.0 million, which was added to our estimate of the transaction price to total $199.0 million. A total of $8.0 million of fees related to the research extensions have not been received as of March 31, 2022 as these were determined to be conditional upon the satisfaction of additional research obligations, and thus a contract asset, however, we determined that achievement of the entire research extension fees was probable and that a significant reversal in the amount of cumulative revenue recognized would not occur.</w:t>
      </w:r>
    </w:p>
    <w:p>
      <w:pPr>
        <w:spacing w:after="0" w:line="18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April 2021, Gilead licensed a program for an $11.0 million fee. The $11.0 million license fee was received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8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As of March 31, 2022, $56.0 million has been recognized as collaboration revenue related to the upfront and research extension payments from the Gilead Agreement.</w:t>
      </w:r>
    </w:p>
    <w:p>
      <w:pPr>
        <w:spacing w:after="0" w:line="171"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During the three months ended March 31, 2022 and 2021, we recognized $5.8 million and $6.4 million, respectively, of collaboration revenue associated with the Gilead Agreement based on performance completed during each period.</w:t>
      </w:r>
    </w:p>
    <w:p>
      <w:pPr>
        <w:spacing w:after="0" w:line="171" w:lineRule="exact"/>
        <w:rPr>
          <w:sz w:val="20"/>
          <w:szCs w:val="20"/>
          <w:color w:val="auto"/>
        </w:rPr>
      </w:pPr>
    </w:p>
    <w:p>
      <w:pPr>
        <w:jc w:val="both"/>
        <w:ind w:right="240" w:firstLine="509"/>
        <w:spacing w:after="0" w:line="294" w:lineRule="auto"/>
        <w:rPr>
          <w:sz w:val="20"/>
          <w:szCs w:val="20"/>
          <w:color w:val="auto"/>
        </w:rPr>
      </w:pPr>
      <w:r>
        <w:rPr>
          <w:rFonts w:ascii="Arial" w:cs="Arial" w:eastAsia="Arial" w:hAnsi="Arial"/>
          <w:sz w:val="16"/>
          <w:szCs w:val="16"/>
          <w:color w:val="auto"/>
        </w:rPr>
        <w:t>Refer to Note 4 to our unaudited condensed consolidated financial statements and related notes appearing elsewhere in this Quarterly Report on Form 10-Q and our audited consolidated financial statements and related notes for the year ended December 31, 2021 included in our Annual Report on Form 10-K for additional information regarding our revenue recognition accounting policy and our collaboration agreement with Gilead.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63" w:lineRule="exact"/>
        <w:rPr>
          <w:sz w:val="20"/>
          <w:szCs w:val="20"/>
          <w:color w:val="auto"/>
        </w:rPr>
      </w:pPr>
    </w:p>
    <w:p>
      <w:pPr>
        <w:ind w:left="10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and 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4" w:name="page25"/>
    <w:bookmarkEnd w:id="24"/>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fulfill our obligations under the collaboration with Gilead;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facilities, depreciation and other allocated expenses, which include direct and allocated expenses for rent, utilities and insurance.</w:t>
      </w:r>
    </w:p>
    <w:p>
      <w:pPr>
        <w:spacing w:after="0" w:line="223"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2"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47"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17"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6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6"/>
              </w:rPr>
              <w:t>Three Months Ended March 31,</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5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(in</w:t>
            </w:r>
          </w:p>
        </w:tc>
        <w:tc>
          <w:tcPr>
            <w:tcW w:w="1120" w:type="dxa"/>
            <w:vAlign w:val="bottom"/>
            <w:gridSpan w:val="2"/>
          </w:tcPr>
          <w:p>
            <w:pPr>
              <w:jc w:val="center"/>
              <w:ind w:right="519"/>
              <w:spacing w:after="0"/>
              <w:rPr>
                <w:sz w:val="20"/>
                <w:szCs w:val="20"/>
                <w:color w:val="auto"/>
              </w:rPr>
            </w:pPr>
            <w:r>
              <w:rPr>
                <w:rFonts w:ascii="Arial" w:cs="Arial" w:eastAsia="Arial" w:hAnsi="Arial"/>
                <w:sz w:val="13"/>
                <w:szCs w:val="13"/>
                <w:b w:val="1"/>
                <w:bCs w:val="1"/>
                <w:color w:val="auto"/>
                <w:w w:val="74"/>
              </w:rPr>
              <w:t>thousands)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TNG908 direct program expenses</w:t>
            </w:r>
          </w:p>
        </w:tc>
        <w:tc>
          <w:tcPr>
            <w:tcW w:w="940" w:type="dxa"/>
            <w:vAlign w:val="bottom"/>
            <w:shd w:val="clear" w:color="auto" w:fill="CFF0FC"/>
          </w:tcPr>
          <w:p>
            <w:pPr>
              <w:jc w:val="right"/>
              <w:ind w:right="759"/>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2,529</w:t>
            </w:r>
          </w:p>
        </w:tc>
        <w:tc>
          <w:tcPr>
            <w:tcW w:w="1120" w:type="dxa"/>
            <w:vAlign w:val="bottom"/>
            <w:gridSpan w:val="2"/>
            <w:shd w:val="clear" w:color="auto" w:fill="CFF0FC"/>
          </w:tcPr>
          <w:p>
            <w:pPr>
              <w:jc w:val="center"/>
              <w:ind w:right="519"/>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2,207</w:t>
            </w:r>
          </w:p>
        </w:tc>
        <w:tc>
          <w:tcPr>
            <w:tcW w:w="40" w:type="dxa"/>
            <w:vAlign w:val="bottom"/>
            <w:shd w:val="clear" w:color="auto" w:fill="CFF0FC"/>
          </w:tcPr>
          <w:p>
            <w:pPr>
              <w:spacing w:after="0"/>
              <w:rPr>
                <w:sz w:val="17"/>
                <w:szCs w:val="17"/>
                <w:color w:val="auto"/>
              </w:rPr>
            </w:pP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USP1 direct program expenses</w:t>
            </w:r>
          </w:p>
        </w:tc>
        <w:tc>
          <w:tcPr>
            <w:tcW w:w="9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2,183</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1,468</w:t>
            </w:r>
          </w:p>
        </w:tc>
        <w:tc>
          <w:tcPr>
            <w:tcW w:w="40" w:type="dxa"/>
            <w:vAlign w:val="bottom"/>
          </w:tcPr>
          <w:p>
            <w:pPr>
              <w:spacing w:after="0"/>
              <w:rPr>
                <w:sz w:val="17"/>
                <w:szCs w:val="17"/>
                <w:color w:val="auto"/>
              </w:rPr>
            </w:pP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Discovery direct program expenses</w:t>
            </w: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10,485</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4,927</w:t>
            </w:r>
          </w:p>
        </w:tc>
        <w:tc>
          <w:tcPr>
            <w:tcW w:w="40" w:type="dxa"/>
            <w:vAlign w:val="bottom"/>
            <w:shd w:val="clear" w:color="auto" w:fill="CFF0FC"/>
          </w:tcPr>
          <w:p>
            <w:pPr>
              <w:spacing w:after="0"/>
              <w:rPr>
                <w:sz w:val="17"/>
                <w:szCs w:val="17"/>
                <w:color w:val="auto"/>
              </w:rPr>
            </w:pP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Unallocated research and development expenses:</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8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Personnel related expenses</w:t>
            </w: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6,530</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3,879</w:t>
            </w:r>
          </w:p>
        </w:tc>
        <w:tc>
          <w:tcPr>
            <w:tcW w:w="40" w:type="dxa"/>
            <w:vAlign w:val="bottom"/>
            <w:shd w:val="clear" w:color="auto" w:fill="CFF0FC"/>
          </w:tcPr>
          <w:p>
            <w:pPr>
              <w:spacing w:after="0"/>
              <w:rPr>
                <w:sz w:val="17"/>
                <w:szCs w:val="17"/>
                <w:color w:val="auto"/>
              </w:rPr>
            </w:pPr>
          </w:p>
        </w:tc>
      </w:tr>
      <w:tr>
        <w:trPr>
          <w:trHeight w:val="203"/>
        </w:trPr>
        <w:tc>
          <w:tcPr>
            <w:tcW w:w="5980" w:type="dxa"/>
            <w:vAlign w:val="bottom"/>
          </w:tcPr>
          <w:p>
            <w:pPr>
              <w:ind w:left="320"/>
              <w:spacing w:after="0" w:line="202" w:lineRule="exact"/>
              <w:rPr>
                <w:sz w:val="20"/>
                <w:szCs w:val="20"/>
                <w:color w:val="auto"/>
              </w:rPr>
            </w:pPr>
            <w:r>
              <w:rPr>
                <w:rFonts w:ascii="Arial" w:cs="Arial" w:eastAsia="Arial" w:hAnsi="Arial"/>
                <w:sz w:val="18"/>
                <w:szCs w:val="18"/>
                <w:color w:val="auto"/>
              </w:rPr>
              <w:t>Facilities and other related expenses</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2,603</w:t>
            </w:r>
          </w:p>
        </w:tc>
        <w:tc>
          <w:tcPr>
            <w:tcW w:w="2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2,519</w:t>
            </w:r>
          </w:p>
        </w:tc>
        <w:tc>
          <w:tcPr>
            <w:tcW w:w="40" w:type="dxa"/>
            <w:vAlign w:val="bottom"/>
          </w:tcPr>
          <w:p>
            <w:pPr>
              <w:spacing w:after="0"/>
              <w:rPr>
                <w:sz w:val="17"/>
                <w:szCs w:val="17"/>
                <w:color w:val="auto"/>
              </w:rPr>
            </w:pPr>
          </w:p>
        </w:tc>
      </w:tr>
      <w:tr>
        <w:trPr>
          <w:trHeight w:val="236"/>
        </w:trPr>
        <w:tc>
          <w:tcPr>
            <w:tcW w:w="5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research and development expenses</w:t>
            </w:r>
          </w:p>
        </w:tc>
        <w:tc>
          <w:tcPr>
            <w:tcW w:w="940" w:type="dxa"/>
            <w:vAlign w:val="bottom"/>
            <w:tcBorders>
              <w:bottom w:val="single" w:sz="8" w:color="auto"/>
            </w:tcBorders>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24,330</w:t>
            </w:r>
          </w:p>
        </w:tc>
        <w:tc>
          <w:tcPr>
            <w:tcW w:w="2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center"/>
              <w:ind w:right="71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15,000</w:t>
            </w:r>
          </w:p>
        </w:tc>
        <w:tc>
          <w:tcPr>
            <w:tcW w:w="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-25400</wp:posOffset>
            </wp:positionV>
            <wp:extent cx="342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342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-25400</wp:posOffset>
            </wp:positionV>
            <wp:extent cx="342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34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63" w:lineRule="exact"/>
        <w:rPr>
          <w:sz w:val="20"/>
          <w:szCs w:val="20"/>
          <w:color w:val="auto"/>
        </w:rPr>
      </w:pPr>
    </w:p>
    <w:p>
      <w:pPr>
        <w:ind w:left="1140" w:right="580" w:hanging="383"/>
        <w:spacing w:after="0" w:line="26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 enabling studies;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our collaboration with Gilead;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12"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4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212"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Interest income consists of income earned and losses incurred in connection with our investments in money market funds, U.S. Treasury bills and U.S. government agency bonds.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Net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net consists of miscellaneous expense unrelated to our core operations.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2" w:lineRule="exact"/>
        <w:rPr>
          <w:sz w:val="20"/>
          <w:szCs w:val="20"/>
          <w:color w:val="auto"/>
        </w:rPr>
      </w:pPr>
    </w:p>
    <w:p>
      <w:pPr>
        <w:jc w:val="both"/>
        <w:ind w:right="20" w:firstLine="509"/>
        <w:spacing w:after="0" w:line="270" w:lineRule="auto"/>
        <w:rPr>
          <w:sz w:val="20"/>
          <w:szCs w:val="20"/>
          <w:color w:val="auto"/>
        </w:rPr>
      </w:pPr>
      <w:r>
        <w:rPr>
          <w:rFonts w:ascii="Arial" w:cs="Arial" w:eastAsia="Arial" w:hAnsi="Arial"/>
          <w:sz w:val="17"/>
          <w:szCs w:val="17"/>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no provision for income taxes for the three months ended March 31, 2022 and an insignificant provision for income taxes for the three months ended March 31, 2021.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2022 and 2021:</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Collaboration revenue</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(628 )</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24,330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9,330</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6,807</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3,467</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3,340</w:t>
            </w:r>
          </w:p>
        </w:tc>
        <w:tc>
          <w:tcPr>
            <w:tcW w:w="100" w:type="dxa"/>
            <w:vAlign w:val="bottom"/>
          </w:tcPr>
          <w:p>
            <w:pPr>
              <w:spacing w:after="0"/>
              <w:rPr>
                <w:sz w:val="17"/>
                <w:szCs w:val="17"/>
                <w:color w:val="auto"/>
              </w:rPr>
            </w:pPr>
          </w:p>
        </w:tc>
      </w:tr>
      <w:tr>
        <w:trPr>
          <w:trHeight w:val="196"/>
        </w:trPr>
        <w:tc>
          <w:tcPr>
            <w:tcW w:w="4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31,137</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18,467</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7"/>
                <w:szCs w:val="17"/>
                <w:color w:val="auto"/>
              </w:rPr>
            </w:pPr>
          </w:p>
        </w:tc>
        <w:tc>
          <w:tcPr>
            <w:tcW w:w="132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(25,379 )</w:t>
            </w:r>
          </w:p>
        </w:tc>
        <w:tc>
          <w:tcPr>
            <w:tcW w:w="160" w:type="dxa"/>
            <w:vAlign w:val="bottom"/>
          </w:tcPr>
          <w:p>
            <w:pPr>
              <w:spacing w:after="0"/>
              <w:rPr>
                <w:sz w:val="17"/>
                <w:szCs w:val="17"/>
                <w:color w:val="auto"/>
              </w:rPr>
            </w:pPr>
          </w:p>
        </w:tc>
        <w:tc>
          <w:tcPr>
            <w:tcW w:w="144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(12,081 )</w:t>
            </w:r>
          </w:p>
        </w:tc>
        <w:tc>
          <w:tcPr>
            <w:tcW w:w="26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(13,298 )</w:t>
            </w:r>
          </w:p>
        </w:tc>
      </w:tr>
      <w:tr>
        <w:trPr>
          <w:trHeight w:val="203"/>
        </w:trPr>
        <w:tc>
          <w:tcPr>
            <w:tcW w:w="4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r>
      <w:tr>
        <w:trPr>
          <w:trHeight w:val="203"/>
        </w:trPr>
        <w:tc>
          <w:tcPr>
            <w:tcW w:w="43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(47 )</w:t>
            </w: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(55 )</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196"/>
        </w:trPr>
        <w:tc>
          <w:tcPr>
            <w:tcW w:w="432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Total other income, net</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w:t>
            </w:r>
          </w:p>
        </w:tc>
        <w:tc>
          <w:tcPr>
            <w:tcW w:w="100" w:type="dxa"/>
            <w:vAlign w:val="bottom"/>
            <w:tcBorders>
              <w:top w:val="single" w:sz="8" w:color="CFF0FC"/>
            </w:tcBorders>
          </w:tcPr>
          <w:p>
            <w:pPr>
              <w:spacing w:after="0"/>
              <w:rPr>
                <w:sz w:val="17"/>
                <w:szCs w:val="17"/>
                <w:color w:val="auto"/>
              </w:rPr>
            </w:pPr>
          </w:p>
        </w:tc>
      </w:tr>
      <w:tr>
        <w:trPr>
          <w:trHeight w:val="19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(25,208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(12,032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(13,176</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320" w:type="dxa"/>
            <w:vAlign w:val="bottom"/>
          </w:tcPr>
          <w:p>
            <w:pPr>
              <w:ind w:left="100"/>
              <w:spacing w:after="0" w:line="202" w:lineRule="exact"/>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7"/>
                <w:szCs w:val="17"/>
                <w:color w:val="auto"/>
              </w:rPr>
            </w:pPr>
          </w:p>
        </w:tc>
        <w:tc>
          <w:tcPr>
            <w:tcW w:w="132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(74 )</w:t>
            </w: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r>
      <w:tr>
        <w:trPr>
          <w:trHeight w:val="196"/>
        </w:trPr>
        <w:tc>
          <w:tcPr>
            <w:tcW w:w="4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(25,208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(12,106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(13,102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320" w:type="dxa"/>
            <w:vAlign w:val="bottom"/>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(27,853 )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(12,091 )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(15,762 )</w:t>
            </w:r>
          </w:p>
        </w:tc>
      </w:tr>
      <w:tr>
        <w:trPr>
          <w:trHeight w:val="20"/>
        </w:trPr>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-1205230</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-1205230</wp:posOffset>
            </wp:positionV>
            <wp:extent cx="6032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-1205230</wp:posOffset>
            </wp:positionV>
            <wp:extent cx="5969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-681990</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-681990</wp:posOffset>
            </wp:positionV>
            <wp:extent cx="6032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-681990</wp:posOffset>
            </wp:positionV>
            <wp:extent cx="5969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-142240</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-142240</wp:posOffset>
            </wp:positionV>
            <wp:extent cx="6032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-142240</wp:posOffset>
            </wp:positionV>
            <wp:extent cx="596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Collaboration revenue of $5.8 million and $6.4 million for the three months ended March 31, 2022 and 2021, respectively, was derived from the Gilead collaboration. The decrease of $0.6 million was due to lower research costs incurred under the collaboration during the three months ended March 31, 2022 resulting in lower collaboration revenue recognition.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Research and development expense was $24.3 million for the three months ended March 31, 2022 compared to $15.0 million for the three months ended March 31, 2021. The increase of $9.3 million was primarily due to a $6.2 million increase in external CRO expenses and lab supplies primarily relating to the advancement of our programs. Additionally, personnel-related costs increased $2.2 million primarily due to an increase of share-based compensation expense and additional headcount to support our research and development activities.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General and administrative expense was $6.8 million for the three months ended March 31, 2022 compared to $3.5 million for the three months ended March 31, 2021. The increase of $3.3 million was primarily due to a $2.0 million increase in personnel-related costs due to an increase in share-based compensation expense and additional headcount.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212"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Interest income was $0.2 million for the three months ended March 31, 2022 compared to interest income of $0.1 million for the three months ended March 31, 2021. Interest income and expense was not significant for the three month periods primarily due to low interest rates in each period.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Net</w:t>
      </w:r>
    </w:p>
    <w:p>
      <w:pPr>
        <w:spacing w:after="0" w:line="212"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Other expense, net was less than $0.1 million for both the three months ended March 31, 2022 and 2021. Other expense was not significant for both the three months ended March 31, 2022 and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21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Provision for income taxes was $0 for the three months ended March 31, 2022 compared to $0.1 million for the three months ended March 31, 2021. The tax provision in the period ended March 31, 2021 is primarily attributable to taxable deferred revenue partially offset by the utilization of federal and state net operating losses and federal and state tax credits.</w:t>
      </w:r>
    </w:p>
    <w:p>
      <w:pPr>
        <w:spacing w:after="0" w:line="178" w:lineRule="exact"/>
        <w:rPr>
          <w:sz w:val="20"/>
          <w:szCs w:val="20"/>
          <w:color w:val="auto"/>
        </w:rPr>
      </w:pPr>
    </w:p>
    <w:p>
      <w:pPr>
        <w:jc w:val="center"/>
        <w:ind w:right="8740"/>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and $214.1 million through the collaboration with Gilead. As of March 31, 2022, we had cash and cash equivalents and marketable securities of $449.9 million.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12"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We believe that our existing cash, cash equivalents and marketable securities on hand as of March 31, 2022 of $449.9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nine month periods presented:</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r>
      <w:tr>
        <w:trPr>
          <w:trHeight w:val="169"/>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71"/>
              </w:rPr>
              <w:t>thousands)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(29,665 )</w:t>
            </w:r>
          </w:p>
        </w:tc>
        <w:tc>
          <w:tcPr>
            <w:tcW w:w="420" w:type="dxa"/>
            <w:vAlign w:val="bottom"/>
            <w:shd w:val="clear" w:color="auto" w:fill="CFF0FC"/>
          </w:tcPr>
          <w:p>
            <w:pPr>
              <w:jc w:val="center"/>
              <w:ind w:right="2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(13,613 )</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(16,052 )</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17"/>
                <w:szCs w:val="17"/>
                <w:color w:val="auto"/>
              </w:rPr>
            </w:pPr>
          </w:p>
        </w:tc>
        <w:tc>
          <w:tcPr>
            <w:tcW w:w="13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(11,717 )</w:t>
            </w: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20,612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(32,329 )</w:t>
            </w:r>
          </w:p>
        </w:tc>
      </w:tr>
      <w:tr>
        <w:trPr>
          <w:trHeight w:val="203"/>
        </w:trPr>
        <w:tc>
          <w:tcPr>
            <w:tcW w:w="5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30,411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(30,154 )</w:t>
            </w:r>
          </w:p>
        </w:tc>
      </w:tr>
      <w:tr>
        <w:trPr>
          <w:trHeight w:val="20"/>
        </w:trPr>
        <w:tc>
          <w:tcPr>
            <w:tcW w:w="58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Net (decrease) increase in cash, cash equivalents and restricted cash</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(41,125 )</w:t>
            </w:r>
          </w:p>
        </w:tc>
        <w:tc>
          <w:tcPr>
            <w:tcW w:w="42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37,410</w:t>
            </w:r>
          </w:p>
        </w:tc>
        <w:tc>
          <w:tcPr>
            <w:tcW w:w="2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(78,535 )</w:t>
            </w:r>
          </w:p>
        </w:tc>
      </w:tr>
      <w:tr>
        <w:trPr>
          <w:trHeight w:val="20"/>
        </w:trPr>
        <w:tc>
          <w:tcPr>
            <w:tcW w:w="5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-159385</wp:posOffset>
            </wp:positionV>
            <wp:extent cx="6032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-159385</wp:posOffset>
            </wp:positionV>
            <wp:extent cx="514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-159385</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21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88"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Net cash used in operating activities was $29.7 million for the three months ended March 31, 2022 compared to net cash used in operating activities of $13.6 million for the three months ended March 31, 2021. The increase in net cash used in operating activities for the three months ended March 31, 2022 was primarily due to an increase to the net loss as a direct result of higher operating expenses related to the advancement of our programs and personnel-related costs. The increase was partially offset by higher non-cash expenses, including stock compensation.</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21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Net cash used in investing activities was $11.7 million for the three months ended March 31, 2022 compared to net cash provided by investing activities of $20.6 million for the three months ended March 31, 2021. The increase in net cash used in investing activities was primarily due to an increase in purchases of marketable securities partially offset by increased sales and maturities of marketable securities as compared to the three month period ended March 31, 2021.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Net cash provided by financing activities was $0.3 million for the three months ended March 31, 2022 compared to net cash provided by financing activities of $30.4 million for the three months ended March 31, 2021. The decrease in net cash provided by financing activities was a result of $30.0 million in net proceeds related to the issuance of shares of redeemable convertible Series B preferred stock in March 2021. The cash provided by financing activities for the three months ended March 31, 2022 was the result of cash provided from the exercises of stock options.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6"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following table summarizes our contractual obligations at March 31, 2022 and the effects that such obligations are expected to have on our liquidity and cash flows in future periods:</w:t>
      </w:r>
    </w:p>
    <w:p>
      <w:pPr>
        <w:spacing w:after="0" w:line="176"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Payments Due by Period</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279"/>
              <w:spacing w:after="0" w:line="133"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1 – 3 Years</w:t>
            </w:r>
          </w:p>
        </w:tc>
        <w:tc>
          <w:tcPr>
            <w:tcW w:w="180" w:type="dxa"/>
            <w:vAlign w:val="bottom"/>
          </w:tcPr>
          <w:p>
            <w:pPr>
              <w:spacing w:after="0"/>
              <w:rPr>
                <w:sz w:val="11"/>
                <w:szCs w:val="11"/>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21"/>
              <w:spacing w:after="0" w:line="133" w:lineRule="exact"/>
              <w:rPr>
                <w:sz w:val="20"/>
                <w:szCs w:val="20"/>
                <w:color w:val="auto"/>
              </w:rPr>
            </w:pPr>
            <w:r>
              <w:rPr>
                <w:rFonts w:ascii="Arial" w:cs="Arial" w:eastAsia="Arial" w:hAnsi="Arial"/>
                <w:sz w:val="14"/>
                <w:szCs w:val="14"/>
                <w:b w:val="1"/>
                <w:bCs w:val="1"/>
                <w:color w:val="auto"/>
              </w:rPr>
              <w:t>More than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59"/>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21"/>
              <w:spacing w:after="0"/>
              <w:rPr>
                <w:sz w:val="20"/>
                <w:szCs w:val="20"/>
                <w:color w:val="auto"/>
              </w:rPr>
            </w:pPr>
            <w:r>
              <w:rPr>
                <w:rFonts w:ascii="Arial" w:cs="Arial" w:eastAsia="Arial" w:hAnsi="Arial"/>
                <w:sz w:val="14"/>
                <w:szCs w:val="14"/>
                <w:b w:val="1"/>
                <w:bCs w:val="1"/>
                <w:color w:val="auto"/>
              </w:rPr>
              <w:t>5 Years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commitments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1,108</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1,108</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1,108</w:t>
            </w:r>
          </w:p>
        </w:tc>
        <w:tc>
          <w:tcPr>
            <w:tcW w:w="18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1,108</w:t>
            </w:r>
          </w:p>
        </w:tc>
        <w:tc>
          <w:tcPr>
            <w:tcW w:w="300" w:type="dxa"/>
            <w:vAlign w:val="bottom"/>
            <w:gridSpan w:val="2"/>
          </w:tcPr>
          <w:p>
            <w:pPr>
              <w:ind w:left="20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-142240</wp:posOffset>
            </wp:positionV>
            <wp:extent cx="431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-142240</wp:posOffset>
            </wp:positionV>
            <wp:extent cx="431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-142240</wp:posOffset>
            </wp:positionV>
            <wp:extent cx="431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-142240</wp:posOffset>
            </wp:positionV>
            <wp:extent cx="3429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-142240</wp:posOffset>
            </wp:positionV>
            <wp:extent cx="342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commitment amounts in the table above reflect the minimum payments due under our operating lease for office and laboratory space at our 100 Binney Street, Cambridge, Massachusetts location. These commitments are also recognized as operating lease liabilities in our balance sheet at March 31, 2022. In November 2021, we entered into a lease termination agreement for the leased office and laboratory space at 100 Binney Street in Cambridge, Massachusetts. The lease termination agreement is a modification of the lease agreement for these premises that provides, among other things, the acceleration of the expiration of the original term of the lease from June 30, 2026 to an earlier lease termination date, which earlier date shall be no later than October 15, 2022.</w:t>
      </w:r>
    </w:p>
    <w:p>
      <w:pPr>
        <w:spacing w:after="0" w:line="18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table does not include the minimum payments due under our new operating lease for office and laboratory space at 201 Brookline Avenue, Boston, Massachusetts as we have not occupied the premises and the lease payments in connection with this lease are yet to commence as of March 31, 2022. Commitments pertaining to the 201 Brookline Avenue lease will be added to the table above, and also recognized as operating lease liabilities on our balance sheet upon achievement of the new lease commencement date. The fixed annual rent payable under the lease is $5.1 million, increasing by 3% annually from the rent commencement date.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Obligations</w:t>
      </w:r>
    </w:p>
    <w:p>
      <w:pPr>
        <w:spacing w:after="0" w:line="21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March 31, 2022.</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Agreement Obligations</w:t>
      </w:r>
    </w:p>
    <w:p>
      <w:pPr>
        <w:spacing w:after="0" w:line="212"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March 31, 2022 and December 31, 2021, we were unable to estimate the timing or likelihood of achieving these milestones or generating future product sales. Refer to Note 8 of our unaudited condensed consolidated financial statements and related notes in this Quarterly Report on Form 10-Q for a description of our license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6"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ind w:right="120"/>
        <w:spacing w:after="0" w:line="248" w:lineRule="auto"/>
        <w:rPr>
          <w:sz w:val="20"/>
          <w:szCs w:val="20"/>
          <w:color w:val="auto"/>
        </w:rPr>
      </w:pPr>
      <w:r>
        <w:rPr>
          <w:rFonts w:ascii="Arial" w:cs="Arial" w:eastAsia="Arial" w:hAnsi="Arial"/>
          <w:sz w:val="18"/>
          <w:szCs w:val="18"/>
          <w:color w:val="auto"/>
        </w:rPr>
        <w:t>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2"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and related notes included in our Annual Report on Form 10-K for the year ended December 31, 2021, we believe that the following accounting policies are those most critical to the judgments and estimates used in the preparation of our financial statements.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1" w:lineRule="exact"/>
        <w:rPr>
          <w:sz w:val="20"/>
          <w:szCs w:val="20"/>
          <w:color w:val="auto"/>
        </w:rPr>
      </w:pPr>
    </w:p>
    <w:p>
      <w:pPr>
        <w:ind w:right="120" w:firstLine="509"/>
        <w:spacing w:after="0" w:line="268" w:lineRule="auto"/>
        <w:rPr>
          <w:sz w:val="20"/>
          <w:szCs w:val="20"/>
          <w:color w:val="auto"/>
        </w:rPr>
      </w:pPr>
      <w:r>
        <w:rPr>
          <w:rFonts w:ascii="Arial" w:cs="Arial" w:eastAsia="Arial" w:hAnsi="Arial"/>
          <w:sz w:val="16"/>
          <w:szCs w:val="16"/>
          <w:color w:val="auto"/>
        </w:rPr>
        <w:t xml:space="preserve">We recognize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7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9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5" w:lineRule="exact"/>
        <w:rPr>
          <w:sz w:val="20"/>
          <w:szCs w:val="20"/>
          <w:color w:val="auto"/>
        </w:rPr>
      </w:pPr>
    </w:p>
    <w:p>
      <w:pPr>
        <w:ind w:right="340" w:firstLine="509"/>
        <w:spacing w:after="0" w:line="241" w:lineRule="auto"/>
        <w:rPr>
          <w:sz w:val="20"/>
          <w:szCs w:val="20"/>
          <w:color w:val="auto"/>
        </w:rPr>
      </w:pPr>
      <w:r>
        <w:rPr>
          <w:rFonts w:ascii="Arial" w:cs="Arial" w:eastAsia="Arial" w:hAnsi="Arial"/>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0" w:name="page31"/>
    <w:bookmarkEnd w:id="30"/>
    <w:p>
      <w:pPr>
        <w:ind w:right="140"/>
        <w:spacing w:after="0" w:line="261" w:lineRule="auto"/>
        <w:rPr>
          <w:sz w:val="20"/>
          <w:szCs w:val="20"/>
          <w:color w:val="auto"/>
        </w:rPr>
      </w:pPr>
      <w:r>
        <w:rPr>
          <w:rFonts w:ascii="Arial" w:cs="Arial" w:eastAsia="Arial" w:hAnsi="Arial"/>
          <w:sz w:val="18"/>
          <w:szCs w:val="18"/>
          <w:color w:val="auto"/>
        </w:rPr>
        <w:t>to determine the standalone selling price may include forecasted revenues, development timelines, reimbursement rates for personnel costs, discount rates and probabilities of technical and regulatory success.</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8" w:lineRule="exact"/>
        <w:rPr>
          <w:sz w:val="20"/>
          <w:szCs w:val="20"/>
          <w:color w:val="auto"/>
        </w:rPr>
      </w:pPr>
    </w:p>
    <w:p>
      <w:pPr>
        <w:jc w:val="both"/>
        <w:ind w:right="120" w:firstLine="509"/>
        <w:spacing w:after="0" w:line="284" w:lineRule="auto"/>
        <w:rPr>
          <w:sz w:val="20"/>
          <w:szCs w:val="20"/>
          <w:color w:val="auto"/>
        </w:rPr>
      </w:pPr>
      <w:r>
        <w:rPr>
          <w:rFonts w:ascii="Arial" w:cs="Arial" w:eastAsia="Arial" w:hAnsi="Arial"/>
          <w:sz w:val="16"/>
          <w:szCs w:val="16"/>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5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88" w:lineRule="exact"/>
        <w:rPr>
          <w:sz w:val="20"/>
          <w:szCs w:val="20"/>
          <w:color w:val="auto"/>
        </w:rPr>
      </w:pPr>
    </w:p>
    <w:p>
      <w:pPr>
        <w:ind w:right="180" w:firstLine="509"/>
        <w:spacing w:after="0" w:line="274" w:lineRule="auto"/>
        <w:rPr>
          <w:sz w:val="20"/>
          <w:szCs w:val="20"/>
          <w:color w:val="auto"/>
        </w:rPr>
      </w:pPr>
      <w:r>
        <w:rPr>
          <w:rFonts w:ascii="Arial" w:cs="Arial" w:eastAsia="Arial" w:hAnsi="Arial"/>
          <w:sz w:val="16"/>
          <w:szCs w:val="16"/>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12"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1" w:name="page32"/>
    <w:bookmarkEnd w:id="31"/>
    <w:p>
      <w:pPr>
        <w:ind w:right="80"/>
        <w:spacing w:after="0" w:line="284" w:lineRule="auto"/>
        <w:rPr>
          <w:sz w:val="20"/>
          <w:szCs w:val="20"/>
          <w:color w:val="auto"/>
        </w:rPr>
      </w:pPr>
      <w:r>
        <w:rPr>
          <w:rFonts w:ascii="Arial" w:cs="Arial" w:eastAsia="Arial" w:hAnsi="Arial"/>
          <w:sz w:val="16"/>
          <w:szCs w:val="16"/>
          <w:color w:val="auto"/>
        </w:rPr>
        <w:t>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55"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82"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 xml:space="preserve">Prior to the consummation of the Business Combination, as there was not a public market for our common stock prior to becoming publicly traded in August 2021,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379"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82" w:lineRule="exact"/>
        <w:rPr>
          <w:sz w:val="20"/>
          <w:szCs w:val="20"/>
          <w:color w:val="auto"/>
        </w:rPr>
      </w:pPr>
    </w:p>
    <w:p>
      <w:pPr>
        <w:jc w:val="both"/>
        <w:ind w:right="20" w:firstLine="509"/>
        <w:spacing w:after="0" w:line="291" w:lineRule="auto"/>
        <w:rPr>
          <w:sz w:val="20"/>
          <w:szCs w:val="20"/>
          <w:color w:val="auto"/>
        </w:rPr>
      </w:pPr>
      <w:r>
        <w:rPr>
          <w:rFonts w:ascii="Arial" w:cs="Arial" w:eastAsia="Arial" w:hAnsi="Arial"/>
          <w:sz w:val="17"/>
          <w:szCs w:val="17"/>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16"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private entities. As an emerging growth company, we may take advantage of certain exemptions and reduced reporting requirements under the JOBS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Subject to certain conditions, as an emerging growth company:</w:t>
      </w:r>
    </w:p>
    <w:p>
      <w:pPr>
        <w:spacing w:after="0" w:line="88" w:lineRule="exact"/>
        <w:rPr>
          <w:sz w:val="20"/>
          <w:szCs w:val="20"/>
          <w:color w:val="auto"/>
        </w:rPr>
      </w:pPr>
    </w:p>
    <w:p>
      <w:pPr>
        <w:ind w:left="1020" w:right="4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provide reduced disclosure about our executive compensation arrangements;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require nonbinding advisory votes on executive compensation or stockholder approval of any golden parachute payments.</w:t>
      </w:r>
    </w:p>
    <w:p>
      <w:pPr>
        <w:spacing w:after="0" w:line="223"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62"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1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had cash, cash equivalents and marketable securities of $449.9 million and $485.3 million as of March 31, 2022 and December 31, 2021,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12"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1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33" w:name="page34"/>
    <w:bookmarkEnd w:id="33"/>
    <w:p>
      <w:pPr>
        <w:ind w:firstLine="509"/>
        <w:spacing w:after="0" w:line="257"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35" w:lineRule="exact"/>
        <w:rPr>
          <w:sz w:val="20"/>
          <w:szCs w:val="20"/>
          <w:color w:val="auto"/>
        </w:rPr>
      </w:pPr>
    </w:p>
    <w:p>
      <w:pPr>
        <w:ind w:right="200" w:firstLine="8"/>
        <w:spacing w:after="0" w:line="24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the quarter ended March 31, 2022 that materially affected, or were reasonably likely to materially affect, the Company’s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4" w:name="page35"/>
    <w:bookmarkEnd w:id="34"/>
    <w:p>
      <w:pPr>
        <w:jc w:val="center"/>
        <w:ind w:right="-19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8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We are not currently a party to any litigation or legal proceedings that, in the opinion of our management, are probable to have a material adverse effect on our business.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80" w:firstLine="576"/>
        <w:spacing w:after="0" w:line="269"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other information in this Quarterly Report on Form 10-Q,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precision oncology company with a limited operating history.</w:t>
      </w:r>
    </w:p>
    <w:p>
      <w:pPr>
        <w:spacing w:after="0" w:line="104" w:lineRule="exact"/>
        <w:rPr>
          <w:sz w:val="20"/>
          <w:szCs w:val="20"/>
          <w:color w:val="auto"/>
        </w:rPr>
      </w:pPr>
    </w:p>
    <w:p>
      <w:pPr>
        <w:ind w:right="40" w:firstLine="576"/>
        <w:spacing w:after="0" w:line="253" w:lineRule="auto"/>
        <w:rPr>
          <w:sz w:val="20"/>
          <w:szCs w:val="20"/>
          <w:color w:val="auto"/>
        </w:rPr>
      </w:pPr>
      <w:r>
        <w:rPr>
          <w:rFonts w:ascii="Arial" w:cs="Arial" w:eastAsia="Arial" w:hAnsi="Arial"/>
          <w:sz w:val="17"/>
          <w:szCs w:val="17"/>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first investigational new drug, or IND, application, for TNG908, was cleared by the FDA in the first quarter of 2022. Other than TNG908, all of our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our stockholders’ equity and working capital.</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net losses since our inception and anticipate that we will continue to incur losses for the foreseeable future.</w:t>
      </w:r>
    </w:p>
    <w:p>
      <w:pPr>
        <w:spacing w:after="0" w:line="115" w:lineRule="exact"/>
        <w:rPr>
          <w:sz w:val="20"/>
          <w:szCs w:val="20"/>
          <w:color w:val="auto"/>
        </w:rPr>
      </w:pPr>
    </w:p>
    <w:p>
      <w:pPr>
        <w:ind w:firstLine="576"/>
        <w:spacing w:after="0" w:line="254" w:lineRule="auto"/>
        <w:rPr>
          <w:sz w:val="20"/>
          <w:szCs w:val="20"/>
          <w:color w:val="auto"/>
        </w:rPr>
      </w:pPr>
      <w:r>
        <w:rPr>
          <w:rFonts w:ascii="Arial" w:cs="Arial" w:eastAsia="Arial" w:hAnsi="Arial"/>
          <w:sz w:val="17"/>
          <w:szCs w:val="17"/>
          <w:color w:val="auto"/>
        </w:rPr>
        <w:t>We have incurred significant net losses since our inception. For the three months ended March 31, 2022, our net loss was $25.2 million. As of March 31, 2022, we had an accumulated deficit of $186.5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3"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74" w:lineRule="exact"/>
        <w:rPr>
          <w:sz w:val="20"/>
          <w:szCs w:val="20"/>
          <w:color w:val="auto"/>
        </w:rPr>
      </w:pPr>
    </w:p>
    <w:p>
      <w:pPr>
        <w:ind w:right="760" w:firstLine="198"/>
        <w:spacing w:after="0" w:line="261" w:lineRule="auto"/>
        <w:rPr>
          <w:sz w:val="20"/>
          <w:szCs w:val="20"/>
          <w:color w:val="auto"/>
        </w:rPr>
      </w:pPr>
      <w:r>
        <w:rPr>
          <w:rFonts w:ascii="Arial" w:cs="Arial" w:eastAsia="Arial" w:hAnsi="Arial"/>
          <w:sz w:val="18"/>
          <w:szCs w:val="18"/>
          <w:color w:val="auto"/>
        </w:rPr>
        <w:t>the timing and success or failure of future clinical trials for our product candidates or competing product candidates, or any other change in the competitive landscape of our industry, including consolidation among our competitors or partners;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6" w:name="page37"/>
    <w:bookmarkEnd w:id="36"/>
    <w:p>
      <w:pPr>
        <w:ind w:right="120" w:firstLine="198"/>
        <w:spacing w:after="0" w:line="244" w:lineRule="auto"/>
        <w:rPr>
          <w:sz w:val="20"/>
          <w:szCs w:val="20"/>
          <w:color w:val="auto"/>
        </w:rPr>
      </w:pPr>
      <w:r>
        <w:rPr>
          <w:rFonts w:ascii="Arial" w:cs="Arial" w:eastAsia="Arial" w:hAnsi="Arial"/>
          <w:sz w:val="18"/>
          <w:szCs w:val="18"/>
          <w:color w:val="auto"/>
        </w:rPr>
        <w:t>our ability to obtain INDs for our pipeline product candidates, successfully open clinical trial sites and recruit and retain subjects for clinical trials, and any delays caused by difficulties in such efforts;</w:t>
      </w:r>
    </w:p>
    <w:p>
      <w:pPr>
        <w:ind w:left="200"/>
        <w:spacing w:after="0" w:line="234" w:lineRule="auto"/>
        <w:rPr>
          <w:sz w:val="20"/>
          <w:szCs w:val="20"/>
          <w:color w:val="auto"/>
        </w:rPr>
      </w:pPr>
      <w:r>
        <w:rPr>
          <w:rFonts w:ascii="Arial" w:cs="Arial" w:eastAsia="Arial" w:hAnsi="Arial"/>
          <w:sz w:val="18"/>
          <w:szCs w:val="18"/>
          <w:color w:val="auto"/>
        </w:rPr>
        <w:t>our ability to obtain regulatory approval for our product candidates, and the timing and scope of any such approvals we may receive;</w:t>
      </w:r>
    </w:p>
    <w:p>
      <w:pPr>
        <w:spacing w:after="0" w:line="1" w:lineRule="exact"/>
        <w:rPr>
          <w:sz w:val="20"/>
          <w:szCs w:val="20"/>
          <w:color w:val="auto"/>
        </w:rPr>
      </w:pPr>
    </w:p>
    <w:p>
      <w:pPr>
        <w:ind w:right="640" w:firstLine="198"/>
        <w:spacing w:after="0" w:line="234" w:lineRule="auto"/>
        <w:rPr>
          <w:sz w:val="20"/>
          <w:szCs w:val="20"/>
          <w:color w:val="auto"/>
        </w:rPr>
      </w:pPr>
      <w:r>
        <w:rPr>
          <w:rFonts w:ascii="Arial" w:cs="Arial" w:eastAsia="Arial" w:hAnsi="Arial"/>
          <w:sz w:val="18"/>
          <w:szCs w:val="18"/>
          <w:color w:val="auto"/>
        </w:rPr>
        <w:t>the timing and cost of, and level of investment in, research and development activities relating to our product candidates and any future product candidates and research-stage programs, which may change from time to time;</w:t>
      </w:r>
    </w:p>
    <w:p>
      <w:pPr>
        <w:spacing w:after="0" w:line="1" w:lineRule="exact"/>
        <w:rPr>
          <w:sz w:val="20"/>
          <w:szCs w:val="20"/>
          <w:color w:val="auto"/>
        </w:rPr>
      </w:pPr>
    </w:p>
    <w:p>
      <w:pPr>
        <w:ind w:right="140" w:firstLine="198"/>
        <w:spacing w:after="0" w:line="248" w:lineRule="auto"/>
        <w:rPr>
          <w:sz w:val="20"/>
          <w:szCs w:val="20"/>
          <w:color w:val="auto"/>
        </w:rPr>
      </w:pPr>
      <w:r>
        <w:rPr>
          <w:rFonts w:ascii="Arial" w:cs="Arial" w:eastAsia="Arial" w:hAnsi="Arial"/>
          <w:sz w:val="17"/>
          <w:szCs w:val="17"/>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ind w:left="200"/>
        <w:spacing w:after="0" w:line="235" w:lineRule="auto"/>
        <w:rPr>
          <w:sz w:val="20"/>
          <w:szCs w:val="20"/>
          <w:color w:val="auto"/>
        </w:rPr>
      </w:pPr>
      <w:r>
        <w:rPr>
          <w:rFonts w:ascii="Arial" w:cs="Arial" w:eastAsia="Arial" w:hAnsi="Arial"/>
          <w:sz w:val="18"/>
          <w:szCs w:val="18"/>
          <w:color w:val="auto"/>
        </w:rPr>
        <w:t>our ability to attract, hire and retain qualified personnel;</w:t>
      </w:r>
    </w:p>
    <w:p>
      <w:pPr>
        <w:ind w:left="200"/>
        <w:spacing w:after="0" w:line="235" w:lineRule="auto"/>
        <w:rPr>
          <w:sz w:val="20"/>
          <w:szCs w:val="20"/>
          <w:color w:val="auto"/>
        </w:rPr>
      </w:pPr>
      <w:r>
        <w:rPr>
          <w:rFonts w:ascii="Arial" w:cs="Arial" w:eastAsia="Arial" w:hAnsi="Arial"/>
          <w:sz w:val="18"/>
          <w:szCs w:val="18"/>
          <w:color w:val="auto"/>
        </w:rPr>
        <w:t>expenditures that we will or may incur to develop additional product candidates;</w:t>
      </w:r>
    </w:p>
    <w:p>
      <w:pPr>
        <w:ind w:left="200"/>
        <w:spacing w:after="0" w:line="235" w:lineRule="auto"/>
        <w:rPr>
          <w:sz w:val="20"/>
          <w:szCs w:val="20"/>
          <w:color w:val="auto"/>
        </w:rPr>
      </w:pPr>
      <w:r>
        <w:rPr>
          <w:rFonts w:ascii="Arial" w:cs="Arial" w:eastAsia="Arial" w:hAnsi="Arial"/>
          <w:sz w:val="18"/>
          <w:szCs w:val="18"/>
          <w:color w:val="auto"/>
        </w:rPr>
        <w:t>the level of demand for our product candidates should they receive regulatory approval, which may vary significantly;</w:t>
      </w:r>
    </w:p>
    <w:p>
      <w:pPr>
        <w:spacing w:after="0" w:line="1" w:lineRule="exact"/>
        <w:rPr>
          <w:sz w:val="20"/>
          <w:szCs w:val="20"/>
          <w:color w:val="auto"/>
        </w:rPr>
      </w:pPr>
    </w:p>
    <w:p>
      <w:pPr>
        <w:ind w:right="840" w:firstLine="198"/>
        <w:spacing w:after="0" w:line="234" w:lineRule="auto"/>
        <w:rPr>
          <w:sz w:val="20"/>
          <w:szCs w:val="20"/>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 w:lineRule="exact"/>
        <w:rPr>
          <w:sz w:val="20"/>
          <w:szCs w:val="20"/>
          <w:color w:val="auto"/>
        </w:rPr>
      </w:pPr>
    </w:p>
    <w:p>
      <w:pPr>
        <w:ind w:left="200" w:right="2280"/>
        <w:spacing w:after="0" w:line="243" w:lineRule="auto"/>
        <w:rPr>
          <w:sz w:val="20"/>
          <w:szCs w:val="20"/>
          <w:color w:val="auto"/>
        </w:rPr>
      </w:pPr>
      <w:r>
        <w:rPr>
          <w:rFonts w:ascii="Arial" w:cs="Arial" w:eastAsia="Arial" w:hAnsi="Arial"/>
          <w:sz w:val="18"/>
          <w:szCs w:val="18"/>
          <w:color w:val="auto"/>
        </w:rPr>
        <w:t>the changing and volatile U.S. and global economic environments, including as a result of the COVID-19 pandemic; and future accounting pronouncements or changes in our accounting policies.</w:t>
      </w:r>
    </w:p>
    <w:p>
      <w:pPr>
        <w:spacing w:after="0" w:line="18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individual or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successfully complete our planned preclinical studies for our novel precision oncology development programs;</w:t>
      </w:r>
    </w:p>
    <w:p>
      <w:pPr>
        <w:spacing w:after="0" w:line="12" w:lineRule="exact"/>
        <w:rPr>
          <w:sz w:val="20"/>
          <w:szCs w:val="20"/>
          <w:color w:val="auto"/>
        </w:rPr>
      </w:pPr>
    </w:p>
    <w:p>
      <w:pPr>
        <w:ind w:left="200" w:right="1860"/>
        <w:spacing w:after="0" w:line="234" w:lineRule="auto"/>
        <w:rPr>
          <w:sz w:val="20"/>
          <w:szCs w:val="20"/>
          <w:color w:val="auto"/>
        </w:rPr>
      </w:pPr>
      <w:r>
        <w:rPr>
          <w:rFonts w:ascii="Arial" w:cs="Arial" w:eastAsia="Arial" w:hAnsi="Arial"/>
          <w:sz w:val="18"/>
          <w:szCs w:val="18"/>
          <w:color w:val="auto"/>
        </w:rPr>
        <w:t>timely file INDs for our other programs, and clearance of these INDs to allow for commencement of such future clinical trials; timely patient enrollment and patient dosing in our TNG908 clinical trial; successfully complete our TNG908 clinical trial and any future clinical trials;</w:t>
      </w:r>
    </w:p>
    <w:p>
      <w:pPr>
        <w:spacing w:after="0" w:line="2" w:lineRule="exact"/>
        <w:rPr>
          <w:sz w:val="20"/>
          <w:szCs w:val="20"/>
          <w:color w:val="auto"/>
        </w:rPr>
      </w:pPr>
    </w:p>
    <w:p>
      <w:pPr>
        <w:ind w:left="200" w:right="360"/>
        <w:spacing w:after="0" w:line="248" w:lineRule="auto"/>
        <w:rPr>
          <w:sz w:val="20"/>
          <w:szCs w:val="20"/>
          <w:color w:val="auto"/>
        </w:rPr>
      </w:pPr>
      <w:r>
        <w:rPr>
          <w:rFonts w:ascii="Arial" w:cs="Arial" w:eastAsia="Arial" w:hAnsi="Arial"/>
          <w:sz w:val="17"/>
          <w:szCs w:val="17"/>
          <w:color w:val="auto"/>
        </w:rPr>
        <w:t>initiate and successfully complete all safety and efficacy studies required to obtain U.S. and foreign regulatory approval for our product candidates; make and maintain arrangements with third-party manufacturers for clinical supply and commercial manufacturing;</w:t>
      </w:r>
    </w:p>
    <w:p>
      <w:pPr>
        <w:spacing w:after="0" w:line="1" w:lineRule="exact"/>
        <w:rPr>
          <w:sz w:val="20"/>
          <w:szCs w:val="20"/>
          <w:color w:val="auto"/>
        </w:rPr>
      </w:pPr>
    </w:p>
    <w:p>
      <w:pPr>
        <w:ind w:left="200" w:right="3020"/>
        <w:spacing w:after="0" w:line="264" w:lineRule="auto"/>
        <w:rPr>
          <w:sz w:val="20"/>
          <w:szCs w:val="20"/>
          <w:color w:val="auto"/>
        </w:rPr>
      </w:pPr>
      <w:r>
        <w:rPr>
          <w:rFonts w:ascii="Arial" w:cs="Arial" w:eastAsia="Arial" w:hAnsi="Arial"/>
          <w:sz w:val="16"/>
          <w:szCs w:val="16"/>
          <w:color w:val="auto"/>
        </w:rPr>
        <w:t>obtain and maintain patent and trade secret protection or regulatory exclusivity for our product candidates; launch commercial sales of our products, if and when approved, whether alone or in collaboration with others;</w:t>
      </w:r>
    </w:p>
    <w:p>
      <w:pPr>
        <w:ind w:left="200"/>
        <w:spacing w:after="0" w:line="235" w:lineRule="auto"/>
        <w:rPr>
          <w:sz w:val="20"/>
          <w:szCs w:val="20"/>
          <w:color w:val="auto"/>
        </w:rPr>
      </w:pPr>
      <w:r>
        <w:rPr>
          <w:rFonts w:ascii="Arial" w:cs="Arial" w:eastAsia="Arial" w:hAnsi="Arial"/>
          <w:sz w:val="18"/>
          <w:szCs w:val="18"/>
          <w:color w:val="auto"/>
        </w:rPr>
        <w:t>obtain and maintain acceptance of our products, if and when approved, by patients, the medical community and third-party payors;</w:t>
      </w:r>
    </w:p>
    <w:p>
      <w:pPr>
        <w:ind w:left="200"/>
        <w:spacing w:after="0" w:line="234" w:lineRule="auto"/>
        <w:rPr>
          <w:sz w:val="20"/>
          <w:szCs w:val="20"/>
          <w:color w:val="auto"/>
        </w:rPr>
      </w:pPr>
      <w:r>
        <w:rPr>
          <w:rFonts w:ascii="Arial" w:cs="Arial" w:eastAsia="Arial" w:hAnsi="Arial"/>
          <w:sz w:val="18"/>
          <w:szCs w:val="18"/>
          <w:color w:val="auto"/>
        </w:rPr>
        <w:t>position our products to effectively compete with other therapies;</w:t>
      </w:r>
    </w:p>
    <w:p>
      <w:pPr>
        <w:ind w:left="200"/>
        <w:spacing w:after="0" w:line="235" w:lineRule="auto"/>
        <w:rPr>
          <w:sz w:val="20"/>
          <w:szCs w:val="20"/>
          <w:color w:val="auto"/>
        </w:rPr>
      </w:pPr>
      <w:r>
        <w:rPr>
          <w:rFonts w:ascii="Arial" w:cs="Arial" w:eastAsia="Arial" w:hAnsi="Arial"/>
          <w:sz w:val="18"/>
          <w:szCs w:val="18"/>
          <w:color w:val="auto"/>
        </w:rPr>
        <w:t>obtain and maintain healthcare coverage and adequate reimbursement;</w:t>
      </w:r>
    </w:p>
    <w:p>
      <w:pPr>
        <w:ind w:left="200"/>
        <w:spacing w:after="0" w:line="235" w:lineRule="auto"/>
        <w:rPr>
          <w:sz w:val="20"/>
          <w:szCs w:val="20"/>
          <w:color w:val="auto"/>
        </w:rPr>
      </w:pPr>
      <w:r>
        <w:rPr>
          <w:rFonts w:ascii="Arial" w:cs="Arial" w:eastAsia="Arial" w:hAnsi="Arial"/>
          <w:sz w:val="18"/>
          <w:szCs w:val="18"/>
          <w:color w:val="auto"/>
        </w:rPr>
        <w:t>enforce and defend intellectual property rights and claims;</w:t>
      </w:r>
    </w:p>
    <w:p>
      <w:pPr>
        <w:ind w:left="200" w:right="200"/>
        <w:spacing w:after="0" w:line="243" w:lineRule="auto"/>
        <w:rPr>
          <w:sz w:val="20"/>
          <w:szCs w:val="20"/>
          <w:color w:val="auto"/>
        </w:rPr>
      </w:pPr>
      <w:r>
        <w:rPr>
          <w:rFonts w:ascii="Arial" w:cs="Arial" w:eastAsia="Arial" w:hAnsi="Arial"/>
          <w:sz w:val="18"/>
          <w:szCs w:val="18"/>
          <w:color w:val="auto"/>
        </w:rPr>
        <w:t>implement measures to help minimize the risk of COVID-19 to our employees as well as patients and subjects to be enrolled in our clinical trials; and maintain a continued acceptable safety profile of our products following approval.</w:t>
      </w:r>
    </w:p>
    <w:p>
      <w:pPr>
        <w:spacing w:after="0" w:line="186" w:lineRule="exact"/>
        <w:rPr>
          <w:sz w:val="20"/>
          <w:szCs w:val="20"/>
          <w:color w:val="auto"/>
        </w:rPr>
      </w:pPr>
    </w:p>
    <w:p>
      <w:pPr>
        <w:ind w:right="40" w:firstLine="576"/>
        <w:spacing w:after="0" w:line="294" w:lineRule="auto"/>
        <w:rPr>
          <w:sz w:val="20"/>
          <w:szCs w:val="20"/>
          <w:color w:val="auto"/>
        </w:rPr>
      </w:pPr>
      <w:r>
        <w:rPr>
          <w:rFonts w:ascii="Arial" w:cs="Arial" w:eastAsia="Arial" w:hAnsi="Arial"/>
          <w:sz w:val="16"/>
          <w:szCs w:val="16"/>
          <w:color w:val="auto"/>
        </w:rPr>
        <w:t>If we do not achieve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or we may be required to sell or license assets to third parties on terms that are not favorable to us, if at all.</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37" w:name="page38"/>
    <w:bookmarkEnd w:id="37"/>
    <w:p>
      <w:pPr>
        <w:ind w:firstLine="576"/>
        <w:spacing w:after="0" w:line="238" w:lineRule="auto"/>
        <w:rPr>
          <w:sz w:val="20"/>
          <w:szCs w:val="20"/>
          <w:color w:val="auto"/>
        </w:rPr>
      </w:pPr>
      <w:r>
        <w:rPr>
          <w:rFonts w:ascii="Arial" w:cs="Arial" w:eastAsia="Arial" w:hAnsi="Arial"/>
          <w:sz w:val="18"/>
          <w:szCs w:val="18"/>
          <w:color w:val="auto"/>
        </w:rPr>
        <w:t>Further, our most advanced program is a PRMT5 inhibitor, TNG908. Given the large number of patients with MTAP-deleted cancers, we are investing in our PRMT5 franchise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The clinical development path for TNG462 is expected to be similar to TNG908, evaluating safety and efficacy in multiple tumor types in a Phase 1/2 clinical trial. Glioblastoma will be excluded from the clinical trial as TNG462 does not cross the blood-brain barrier in preclinical primate models. If additional preclinical or clinical evaluation of our next-generation compounds supports this hypothesis, we may elect to promote TNG462 as our lead PRMT5 inhibitor, which may result in a delay to our development timeline for the lead PRMT5 program of approximately 12 to 18 months. If we elect to promote this next-generation compound, it may result in the delay in receiving potential revenue from product sales, if approved by regulatory authorities.</w:t>
      </w:r>
    </w:p>
    <w:p>
      <w:pPr>
        <w:spacing w:after="0" w:line="29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3" w:lineRule="exact"/>
        <w:rPr>
          <w:sz w:val="20"/>
          <w:szCs w:val="20"/>
          <w:color w:val="auto"/>
        </w:rPr>
      </w:pPr>
    </w:p>
    <w:p>
      <w:pPr>
        <w:ind w:firstLine="576"/>
        <w:spacing w:after="0" w:line="257" w:lineRule="auto"/>
        <w:rPr>
          <w:sz w:val="20"/>
          <w:szCs w:val="20"/>
          <w:color w:val="auto"/>
        </w:rPr>
      </w:pPr>
      <w:r>
        <w:rPr>
          <w:rFonts w:ascii="Arial" w:cs="Arial" w:eastAsia="Arial" w:hAnsi="Arial"/>
          <w:sz w:val="17"/>
          <w:szCs w:val="17"/>
          <w:color w:val="auto"/>
        </w:rPr>
        <w:t>The development of pharmaceutical products is capital-intensive. We are currently advancing our precision oncology programs through clinical and preclinical development. We received FDA clearance of our IND application for TNG908 in the first quarter of 2022 and our Phase 1/2 clinical trial is open for enrollment. We also plan to file an IND for TNG462, our next generation PRMT5 inhibitor, in the first half of 2023. Additionally, we plan to file INDs for TNG260, our inhibitor of an undisclosed target for STK11-mutant cancers (Target 3) and for our USP1 inhibitor program in 2023. Consequently, we expect our expenses to significantly increase in connection with our ongoing activities, particularly as we continue the research and development of, initiate and complete clinical trials of, and seek regulatory approval for, our product candidates.</w:t>
      </w:r>
    </w:p>
    <w:p>
      <w:pPr>
        <w:spacing w:after="0" w:line="67" w:lineRule="exact"/>
        <w:rPr>
          <w:sz w:val="20"/>
          <w:szCs w:val="20"/>
          <w:color w:val="auto"/>
        </w:rPr>
      </w:pPr>
    </w:p>
    <w:p>
      <w:pPr>
        <w:ind w:right="380" w:firstLine="576"/>
        <w:spacing w:after="0" w:line="239" w:lineRule="auto"/>
        <w:rPr>
          <w:sz w:val="20"/>
          <w:szCs w:val="20"/>
          <w:color w:val="auto"/>
        </w:rPr>
      </w:pPr>
      <w:r>
        <w:rPr>
          <w:rFonts w:ascii="Arial" w:cs="Arial" w:eastAsia="Arial" w:hAnsi="Arial"/>
          <w:sz w:val="18"/>
          <w:szCs w:val="18"/>
          <w:color w:val="auto"/>
        </w:rPr>
        <w:t>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91" w:lineRule="exact"/>
        <w:rPr>
          <w:sz w:val="20"/>
          <w:szCs w:val="20"/>
          <w:color w:val="auto"/>
        </w:rPr>
      </w:pPr>
    </w:p>
    <w:p>
      <w:pPr>
        <w:ind w:right="60" w:firstLine="584"/>
        <w:spacing w:after="0" w:line="248" w:lineRule="auto"/>
        <w:rPr>
          <w:sz w:val="20"/>
          <w:szCs w:val="20"/>
          <w:color w:val="auto"/>
        </w:rPr>
      </w:pPr>
      <w:r>
        <w:rPr>
          <w:rFonts w:ascii="Arial" w:cs="Arial" w:eastAsia="Arial" w:hAnsi="Arial"/>
          <w:sz w:val="18"/>
          <w:szCs w:val="18"/>
          <w:color w:val="auto"/>
        </w:rPr>
        <w:t>We expect that our existing cash, cash equivalents and marketable securities will fund our projected operating requirements at least into the second half of 2024. However, our future capital requirements will depend on and could increase significantly as a result of many factors (which may result in exhausting such cash resources prior to the second half of 2024), including:</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scope, progress, results and costs of product discovery, preclinical and clinical development, and clinical trials for our product candidates;</w:t>
      </w:r>
    </w:p>
    <w:p>
      <w:pPr>
        <w:spacing w:after="0" w:line="23" w:lineRule="exact"/>
        <w:rPr>
          <w:sz w:val="20"/>
          <w:szCs w:val="20"/>
          <w:color w:val="auto"/>
        </w:rPr>
      </w:pPr>
    </w:p>
    <w:p>
      <w:pPr>
        <w:ind w:left="200" w:right="340"/>
        <w:spacing w:after="0" w:line="234" w:lineRule="auto"/>
        <w:rPr>
          <w:sz w:val="20"/>
          <w:szCs w:val="20"/>
          <w:color w:val="auto"/>
        </w:rPr>
      </w:pPr>
      <w:r>
        <w:rPr>
          <w:rFonts w:ascii="Arial" w:cs="Arial" w:eastAsia="Arial" w:hAnsi="Arial"/>
          <w:sz w:val="18"/>
          <w:szCs w:val="18"/>
          <w:color w:val="auto"/>
        </w:rPr>
        <w:t>the potential additional expenses attributable to adjusting our development plans (including any supply related matters) to the COVID-19 pandemic; the scope, prioritization and number of our research and development programs; the costs, timing and outcome of regulatory review of our product candidates;</w:t>
      </w:r>
    </w:p>
    <w:p>
      <w:pPr>
        <w:ind w:left="200"/>
        <w:spacing w:after="0" w:line="237" w:lineRule="auto"/>
        <w:rPr>
          <w:sz w:val="20"/>
          <w:szCs w:val="20"/>
          <w:color w:val="auto"/>
        </w:rPr>
      </w:pPr>
      <w:r>
        <w:rPr>
          <w:rFonts w:ascii="Arial" w:cs="Arial" w:eastAsia="Arial" w:hAnsi="Arial"/>
          <w:sz w:val="18"/>
          <w:szCs w:val="18"/>
          <w:color w:val="auto"/>
        </w:rPr>
        <w:t>our ability to establish and maintain additional collaborations on favorable terms, if at all;</w:t>
      </w:r>
    </w:p>
    <w:p>
      <w:pPr>
        <w:ind w:right="100" w:firstLine="198"/>
        <w:spacing w:after="0" w:line="234" w:lineRule="auto"/>
        <w:rPr>
          <w:sz w:val="20"/>
          <w:szCs w:val="20"/>
          <w:color w:val="auto"/>
        </w:rPr>
      </w:pPr>
      <w:r>
        <w:rPr>
          <w:rFonts w:ascii="Arial" w:cs="Arial" w:eastAsia="Arial" w:hAnsi="Arial"/>
          <w:sz w:val="18"/>
          <w:szCs w:val="18"/>
          <w:color w:val="auto"/>
        </w:rPr>
        <w:t>the achievement of milestones or occurrence of other developments that trigger payments under our existing collaboration agreements or any additional collaboration agreements we may establish;</w:t>
      </w:r>
    </w:p>
    <w:p>
      <w:pPr>
        <w:spacing w:after="0" w:line="1" w:lineRule="exact"/>
        <w:rPr>
          <w:sz w:val="20"/>
          <w:szCs w:val="20"/>
          <w:color w:val="auto"/>
        </w:rPr>
      </w:pPr>
    </w:p>
    <w:p>
      <w:pPr>
        <w:ind w:left="200" w:right="260"/>
        <w:spacing w:after="0" w:line="264" w:lineRule="auto"/>
        <w:rPr>
          <w:sz w:val="20"/>
          <w:szCs w:val="20"/>
          <w:color w:val="auto"/>
        </w:rPr>
      </w:pPr>
      <w:r>
        <w:rPr>
          <w:rFonts w:ascii="Arial" w:cs="Arial" w:eastAsia="Arial" w:hAnsi="Arial"/>
          <w:sz w:val="16"/>
          <w:szCs w:val="16"/>
          <w:color w:val="auto"/>
        </w:rPr>
        <w:t>the extent to which we are obligated to reimburse, or entitled to reimbursement of, clinical trial costs under future collaboration agreements, if any; the costs of preparing, filing and prosecuting patent applications, maintaining and enforcing our intellectual property rights and defending intellectual</w:t>
      </w:r>
    </w:p>
    <w:p>
      <w:pPr>
        <w:spacing w:after="0" w:line="235" w:lineRule="auto"/>
        <w:rPr>
          <w:sz w:val="20"/>
          <w:szCs w:val="20"/>
          <w:color w:val="auto"/>
        </w:rPr>
      </w:pPr>
      <w:r>
        <w:rPr>
          <w:rFonts w:ascii="Arial" w:cs="Arial" w:eastAsia="Arial" w:hAnsi="Arial"/>
          <w:sz w:val="18"/>
          <w:szCs w:val="18"/>
          <w:color w:val="auto"/>
        </w:rPr>
        <w:t>property-related claims;</w:t>
      </w:r>
    </w:p>
    <w:p>
      <w:pPr>
        <w:ind w:left="200" w:right="4520"/>
        <w:spacing w:after="0" w:line="264" w:lineRule="auto"/>
        <w:rPr>
          <w:sz w:val="20"/>
          <w:szCs w:val="20"/>
          <w:color w:val="auto"/>
        </w:rPr>
      </w:pPr>
      <w:r>
        <w:rPr>
          <w:rFonts w:ascii="Arial" w:cs="Arial" w:eastAsia="Arial" w:hAnsi="Arial"/>
          <w:sz w:val="16"/>
          <w:szCs w:val="16"/>
          <w:color w:val="auto"/>
        </w:rPr>
        <w:t>the extent to which we acquire or in-license other product candidates and technologies; the costs of securing manufacturing arrangements for clinical and commercial production;</w:t>
      </w:r>
    </w:p>
    <w:p>
      <w:pPr>
        <w:ind w:left="200" w:right="1380"/>
        <w:spacing w:after="0" w:line="234" w:lineRule="auto"/>
        <w:rPr>
          <w:sz w:val="20"/>
          <w:szCs w:val="20"/>
          <w:color w:val="auto"/>
        </w:rPr>
      </w:pPr>
      <w:r>
        <w:rPr>
          <w:rFonts w:ascii="Arial" w:cs="Arial" w:eastAsia="Arial" w:hAnsi="Arial"/>
          <w:sz w:val="18"/>
          <w:szCs w:val="18"/>
          <w:color w:val="auto"/>
        </w:rPr>
        <w:t>our ability to hire and retain skilled scientific and operational personnel to meet our development, clinical and commercial objectives; costs related to the development of any companion diagnostics we may use in the future;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8" w:name="page39"/>
    <w:bookmarkEnd w:id="38"/>
    <w:p>
      <w:pPr>
        <w:ind w:right="80" w:firstLine="576"/>
        <w:spacing w:after="0" w:line="241"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89" w:lineRule="exact"/>
        <w:rPr>
          <w:sz w:val="20"/>
          <w:szCs w:val="20"/>
          <w:color w:val="auto"/>
        </w:rPr>
      </w:pPr>
    </w:p>
    <w:p>
      <w:pPr>
        <w:jc w:val="both"/>
        <w:ind w:right="180" w:firstLine="576"/>
        <w:spacing w:after="0" w:line="243"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Disruptions in the financial markets in general and due to the ongoing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188"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9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3" w:lineRule="exact"/>
        <w:rPr>
          <w:sz w:val="20"/>
          <w:szCs w:val="20"/>
          <w:color w:val="auto"/>
        </w:rPr>
      </w:pPr>
    </w:p>
    <w:p>
      <w:pPr>
        <w:ind w:right="140" w:firstLine="576"/>
        <w:spacing w:after="0" w:line="269"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71" w:lineRule="exact"/>
        <w:rPr>
          <w:sz w:val="20"/>
          <w:szCs w:val="20"/>
          <w:color w:val="auto"/>
        </w:rPr>
      </w:pPr>
    </w:p>
    <w:p>
      <w:pPr>
        <w:ind w:right="80" w:firstLine="576"/>
        <w:spacing w:after="0" w:line="259" w:lineRule="auto"/>
        <w:rPr>
          <w:sz w:val="20"/>
          <w:szCs w:val="20"/>
          <w:color w:val="auto"/>
        </w:rPr>
      </w:pPr>
      <w:r>
        <w:rPr>
          <w:rFonts w:ascii="Arial" w:cs="Arial" w:eastAsia="Arial" w:hAnsi="Arial"/>
          <w:sz w:val="17"/>
          <w:szCs w:val="17"/>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Precision Oncology and Other Programs and Product Candidates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63"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We have not yet demonstrated our ability to successfully register, initiate, enroll and complete clinical trials, including large-scale, pivotal clinical trials, obtain regulatory approvals, manufacture a commercial scale product or arrange for a third party to do so on our behalf, or conduct sales and marketing activities necessary for successful commercialization. We received FDA clearance of our IND application for TNG908 in the first quarter of 2022. Other than TNG908, our programs are still in preclinical development and may never advance to clinical development. We plan to file an IND for TNG462, our next generation PRMT5 inhibitor, in the first half of 2023. Additionally, we plan to file INDs for TNG260, our inhibitor of an undisclosed target for STK11-mutant cancers (Target 3) and for our USP1 inhibitor program in 2023. We may not be able to file such INDs or INDs for any of our other product candidates on the timelines we expect, if at all. Further, timelines for developing and filing INDs are subject to significant uncertainties and projected timelines can be improved upon or delayed.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ind w:right="60"/>
        <w:spacing w:after="0" w:line="270" w:lineRule="auto"/>
        <w:rPr>
          <w:sz w:val="20"/>
          <w:szCs w:val="20"/>
          <w:color w:val="auto"/>
        </w:rPr>
      </w:pPr>
      <w:r>
        <w:rPr>
          <w:rFonts w:ascii="Arial" w:cs="Arial" w:eastAsia="Arial" w:hAnsi="Arial"/>
          <w:sz w:val="16"/>
          <w:szCs w:val="16"/>
          <w:color w:val="auto"/>
        </w:rPr>
        <w:t>For example, we extended the timeline for filing an IND for our USP1 inhibitor program as we continue to work on a development candidate that has improved pharmaceutical properties. Moreover, we cannot be sure that submission of an IND will result in the U.S. Food and Drug Administration, or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 for our lead program, TNG908, was cleared by the FDA, it is possible that patients may not be enrolled and the study may not be completed (and preliminary, initial or final trial results may not be available) on time. Similarly, future clinical trials may not begin on time or be completed on schedule, if at all.</w:t>
      </w:r>
    </w:p>
    <w:p>
      <w:pPr>
        <w:spacing w:after="0" w:line="117" w:lineRule="exact"/>
        <w:rPr>
          <w:sz w:val="20"/>
          <w:szCs w:val="20"/>
          <w:color w:val="auto"/>
        </w:rPr>
      </w:pPr>
    </w:p>
    <w:p>
      <w:pPr>
        <w:ind w:firstLine="585"/>
        <w:spacing w:after="0" w:line="248" w:lineRule="auto"/>
        <w:rPr>
          <w:sz w:val="20"/>
          <w:szCs w:val="20"/>
          <w:color w:val="auto"/>
        </w:rPr>
      </w:pPr>
      <w:r>
        <w:rPr>
          <w:rFonts w:ascii="Arial" w:cs="Arial" w:eastAsia="Arial" w:hAnsi="Arial"/>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 delayed in obtaining regulatory approval for our product candidates;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obtain regulatory approval at all;</w:t>
      </w:r>
    </w:p>
    <w:p>
      <w:pPr>
        <w:ind w:left="200" w:right="3220"/>
        <w:spacing w:after="0" w:line="234" w:lineRule="auto"/>
        <w:rPr>
          <w:sz w:val="20"/>
          <w:szCs w:val="20"/>
          <w:color w:val="auto"/>
        </w:rPr>
      </w:pPr>
      <w:r>
        <w:rPr>
          <w:rFonts w:ascii="Arial" w:cs="Arial" w:eastAsia="Arial" w:hAnsi="Arial"/>
          <w:sz w:val="18"/>
          <w:szCs w:val="18"/>
          <w:color w:val="auto"/>
        </w:rPr>
        <w:t>obtain regulatory approval for indications or patient populations that are not as broad as intended or desired; continue to be subject to post-marketing testing requirements; or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have the product removed from the market after obtaining regulatory approval.</w:t>
      </w:r>
    </w:p>
    <w:p>
      <w:pPr>
        <w:spacing w:after="0" w:line="30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74" w:lineRule="exact"/>
        <w:rPr>
          <w:sz w:val="20"/>
          <w:szCs w:val="20"/>
          <w:color w:val="auto"/>
        </w:rPr>
      </w:pPr>
    </w:p>
    <w:p>
      <w:pPr>
        <w:ind w:firstLine="576"/>
        <w:spacing w:after="0" w:line="252" w:lineRule="auto"/>
        <w:rPr>
          <w:sz w:val="20"/>
          <w:szCs w:val="20"/>
          <w:color w:val="auto"/>
        </w:rPr>
      </w:pPr>
      <w:r>
        <w:rPr>
          <w:rFonts w:ascii="Arial" w:cs="Arial" w:eastAsia="Arial" w:hAnsi="Arial"/>
          <w:sz w:val="17"/>
          <w:szCs w:val="17"/>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large enough to allow us to successfully obtain approval for each such mutation and commercialize our product candidates and achieve profitability.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104"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Our preclinical studies, our TNG908 clinical trial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(or be indicative of safety and efficacy if commercialized and used in a 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clinical trials may not be successful.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ind w:right="200"/>
        <w:spacing w:after="0" w:line="248" w:lineRule="auto"/>
        <w:rPr>
          <w:sz w:val="20"/>
          <w:szCs w:val="20"/>
          <w:color w:val="auto"/>
        </w:rPr>
      </w:pPr>
      <w:r>
        <w:rPr>
          <w:rFonts w:ascii="Arial" w:cs="Arial" w:eastAsia="Arial" w:hAnsi="Arial"/>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74" w:lineRule="exact"/>
        <w:rPr>
          <w:sz w:val="20"/>
          <w:szCs w:val="20"/>
          <w:color w:val="auto"/>
        </w:rPr>
      </w:pPr>
    </w:p>
    <w:p>
      <w:pPr>
        <w:ind w:right="20" w:firstLine="576"/>
        <w:spacing w:after="0" w:line="274" w:lineRule="auto"/>
        <w:rPr>
          <w:sz w:val="20"/>
          <w:szCs w:val="20"/>
          <w:color w:val="auto"/>
        </w:rPr>
      </w:pPr>
      <w:r>
        <w:rPr>
          <w:rFonts w:ascii="Arial" w:cs="Arial" w:eastAsia="Arial" w:hAnsi="Arial"/>
          <w:sz w:val="16"/>
          <w:szCs w:val="16"/>
          <w:color w:val="auto"/>
        </w:rPr>
        <w:t xml:space="preserve">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63" w:lineRule="exact"/>
        <w:rPr>
          <w:sz w:val="20"/>
          <w:szCs w:val="20"/>
          <w:color w:val="auto"/>
        </w:rPr>
      </w:pPr>
    </w:p>
    <w:p>
      <w:pPr>
        <w:ind w:firstLine="576"/>
        <w:spacing w:after="0" w:line="267" w:lineRule="auto"/>
        <w:rPr>
          <w:sz w:val="20"/>
          <w:szCs w:val="20"/>
          <w:color w:val="auto"/>
        </w:rPr>
      </w:pPr>
      <w:r>
        <w:rPr>
          <w:rFonts w:ascii="Arial" w:cs="Arial" w:eastAsia="Arial" w:hAnsi="Arial"/>
          <w:sz w:val="16"/>
          <w:szCs w:val="16"/>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287"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16" w:lineRule="exact"/>
        <w:rPr>
          <w:sz w:val="20"/>
          <w:szCs w:val="20"/>
          <w:color w:val="auto"/>
        </w:rPr>
      </w:pPr>
    </w:p>
    <w:p>
      <w:pPr>
        <w:ind w:right="80" w:firstLine="576"/>
        <w:spacing w:after="0" w:line="269" w:lineRule="auto"/>
        <w:rPr>
          <w:sz w:val="20"/>
          <w:szCs w:val="20"/>
          <w:color w:val="auto"/>
        </w:rPr>
      </w:pPr>
      <w:r>
        <w:rPr>
          <w:rFonts w:ascii="Arial" w:cs="Arial" w:eastAsia="Arial" w:hAnsi="Arial"/>
          <w:sz w:val="16"/>
          <w:szCs w:val="16"/>
          <w:color w:val="auto"/>
        </w:rPr>
        <w:t>From time to time, we may publicly disclose interim, top-line or preliminary data from our current and future clinical trials, which is based on a preliminary analysis of then-available data, and the results and related findings and conclusions are subject to change following a more comprehensive review of the data.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Preliminary, interim or top-line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and may cause the price of our common stock to fluctuate or decline.</w:t>
      </w:r>
    </w:p>
    <w:p>
      <w:pPr>
        <w:spacing w:after="0" w:line="171" w:lineRule="exact"/>
        <w:rPr>
          <w:sz w:val="20"/>
          <w:szCs w:val="20"/>
          <w:color w:val="auto"/>
        </w:rPr>
      </w:pPr>
    </w:p>
    <w:p>
      <w:pPr>
        <w:ind w:right="460" w:firstLine="576"/>
        <w:spacing w:after="0" w:line="261" w:lineRule="auto"/>
        <w:rPr>
          <w:sz w:val="20"/>
          <w:szCs w:val="20"/>
          <w:color w:val="auto"/>
        </w:rPr>
      </w:pPr>
      <w:r>
        <w:rPr>
          <w:rFonts w:ascii="Arial" w:cs="Arial" w:eastAsia="Arial" w:hAnsi="Arial"/>
          <w:sz w:val="18"/>
          <w:szCs w:val="18"/>
          <w:color w:val="auto"/>
        </w:rPr>
        <w:t>Further, regulatory agencies and others may not accept or agree with our assumptions, estimates, calculations, conclusions or analyses or may interpret or weigh the importance of data differently, which could adversely impact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1" w:name="page42"/>
    <w:bookmarkEnd w:id="41"/>
    <w:p>
      <w:pPr>
        <w:ind w:right="440"/>
        <w:spacing w:after="0" w:line="243" w:lineRule="auto"/>
        <w:rPr>
          <w:sz w:val="20"/>
          <w:szCs w:val="20"/>
          <w:color w:val="auto"/>
        </w:rPr>
      </w:pPr>
      <w:r>
        <w:rPr>
          <w:rFonts w:ascii="Arial" w:cs="Arial" w:eastAsia="Arial" w:hAnsi="Arial"/>
          <w:sz w:val="18"/>
          <w:szCs w:val="18"/>
          <w:color w:val="auto"/>
        </w:rPr>
        <w:t>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88" w:lineRule="exact"/>
        <w:rPr>
          <w:sz w:val="20"/>
          <w:szCs w:val="20"/>
          <w:color w:val="auto"/>
        </w:rPr>
      </w:pPr>
    </w:p>
    <w:p>
      <w:pPr>
        <w:jc w:val="both"/>
        <w:ind w:right="260" w:firstLine="576"/>
        <w:spacing w:after="0" w:line="248" w:lineRule="auto"/>
        <w:rPr>
          <w:sz w:val="20"/>
          <w:szCs w:val="20"/>
          <w:color w:val="auto"/>
        </w:rPr>
      </w:pPr>
      <w:r>
        <w:rPr>
          <w:rFonts w:ascii="Arial" w:cs="Arial" w:eastAsia="Arial" w:hAnsi="Arial"/>
          <w:sz w:val="18"/>
          <w:szCs w:val="18"/>
          <w:color w:val="auto"/>
        </w:rPr>
        <w:t>If the preliminary,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290" w:lineRule="exact"/>
        <w:rPr>
          <w:sz w:val="20"/>
          <w:szCs w:val="20"/>
          <w:color w:val="auto"/>
        </w:rPr>
      </w:pPr>
    </w:p>
    <w:p>
      <w:pPr>
        <w:ind w:right="1120"/>
        <w:spacing w:after="0" w:line="261"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3" w:lineRule="exact"/>
        <w:rPr>
          <w:sz w:val="20"/>
          <w:szCs w:val="20"/>
          <w:color w:val="auto"/>
        </w:rPr>
      </w:pPr>
    </w:p>
    <w:p>
      <w:pPr>
        <w:ind w:right="20" w:firstLine="576"/>
        <w:spacing w:after="0" w:line="259" w:lineRule="auto"/>
        <w:rPr>
          <w:sz w:val="20"/>
          <w:szCs w:val="20"/>
          <w:color w:val="auto"/>
        </w:rPr>
      </w:pPr>
      <w:r>
        <w:rPr>
          <w:rFonts w:ascii="Arial" w:cs="Arial" w:eastAsia="Arial" w:hAnsi="Arial"/>
          <w:sz w:val="17"/>
          <w:szCs w:val="17"/>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268" w:lineRule="exact"/>
        <w:rPr>
          <w:sz w:val="20"/>
          <w:szCs w:val="20"/>
          <w:color w:val="auto"/>
        </w:rPr>
      </w:pPr>
    </w:p>
    <w:p>
      <w:pPr>
        <w:ind w:right="40" w:firstLine="198"/>
        <w:spacing w:after="0" w:line="244" w:lineRule="auto"/>
        <w:rPr>
          <w:sz w:val="20"/>
          <w:szCs w:val="20"/>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ind w:right="220" w:firstLine="198"/>
        <w:spacing w:after="0" w:line="234" w:lineRule="auto"/>
        <w:rPr>
          <w:sz w:val="20"/>
          <w:szCs w:val="20"/>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 w:lineRule="exact"/>
        <w:rPr>
          <w:sz w:val="20"/>
          <w:szCs w:val="20"/>
          <w:color w:val="auto"/>
        </w:rPr>
      </w:pPr>
    </w:p>
    <w:p>
      <w:pPr>
        <w:ind w:right="480" w:firstLine="198"/>
        <w:spacing w:after="0" w:line="264" w:lineRule="auto"/>
        <w:rPr>
          <w:sz w:val="20"/>
          <w:szCs w:val="20"/>
          <w:color w:val="auto"/>
        </w:rPr>
      </w:pPr>
      <w:r>
        <w:rPr>
          <w:rFonts w:ascii="Arial" w:cs="Arial" w:eastAsia="Arial" w:hAnsi="Arial"/>
          <w:sz w:val="16"/>
          <w:szCs w:val="16"/>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jc w:val="both"/>
        <w:ind w:right="140" w:firstLine="198"/>
        <w:spacing w:after="0" w:line="234" w:lineRule="auto"/>
        <w:rPr>
          <w:sz w:val="20"/>
          <w:szCs w:val="20"/>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2" w:lineRule="exact"/>
        <w:rPr>
          <w:sz w:val="20"/>
          <w:szCs w:val="20"/>
          <w:color w:val="auto"/>
        </w:rPr>
      </w:pPr>
    </w:p>
    <w:p>
      <w:pPr>
        <w:ind w:right="580" w:firstLine="198"/>
        <w:spacing w:after="0" w:line="234" w:lineRule="auto"/>
        <w:rPr>
          <w:sz w:val="20"/>
          <w:szCs w:val="20"/>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1" w:lineRule="exact"/>
        <w:rPr>
          <w:sz w:val="20"/>
          <w:szCs w:val="20"/>
          <w:color w:val="auto"/>
        </w:rPr>
      </w:pPr>
    </w:p>
    <w:p>
      <w:pPr>
        <w:ind w:right="240" w:firstLine="198"/>
        <w:spacing w:after="0" w:line="234" w:lineRule="auto"/>
        <w:rPr>
          <w:sz w:val="20"/>
          <w:szCs w:val="20"/>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2" w:lineRule="exact"/>
        <w:rPr>
          <w:sz w:val="20"/>
          <w:szCs w:val="20"/>
          <w:color w:val="auto"/>
        </w:rPr>
      </w:pPr>
    </w:p>
    <w:p>
      <w:pPr>
        <w:ind w:right="20" w:firstLine="198"/>
        <w:spacing w:after="0" w:line="234" w:lineRule="auto"/>
        <w:rPr>
          <w:sz w:val="20"/>
          <w:szCs w:val="20"/>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spacing w:after="0" w:line="2" w:lineRule="exact"/>
        <w:rPr>
          <w:sz w:val="20"/>
          <w:szCs w:val="20"/>
          <w:color w:val="auto"/>
        </w:rPr>
      </w:pPr>
    </w:p>
    <w:p>
      <w:pPr>
        <w:ind w:right="40" w:firstLine="153"/>
        <w:spacing w:after="0" w:line="234" w:lineRule="auto"/>
        <w:rPr>
          <w:sz w:val="20"/>
          <w:szCs w:val="20"/>
          <w:color w:val="auto"/>
        </w:rPr>
      </w:pPr>
      <w:r>
        <w:rPr>
          <w:rFonts w:ascii="Arial" w:cs="Arial" w:eastAsia="Arial" w:hAnsi="Arial"/>
          <w:sz w:val="18"/>
          <w:szCs w:val="18"/>
          <w:color w:val="auto"/>
        </w:rPr>
        <w:t>our clinical trial sites or investigators may deviate from the clinical trial protocol or drop out of the trial, which may require that we add new clinical trial sites or investigators;</w:t>
      </w:r>
    </w:p>
    <w:p>
      <w:pPr>
        <w:spacing w:after="0" w:line="1" w:lineRule="exact"/>
        <w:rPr>
          <w:sz w:val="20"/>
          <w:szCs w:val="20"/>
          <w:color w:val="auto"/>
        </w:rPr>
      </w:pPr>
    </w:p>
    <w:p>
      <w:pPr>
        <w:jc w:val="both"/>
        <w:ind w:right="320" w:firstLine="198"/>
        <w:spacing w:after="0" w:line="234" w:lineRule="auto"/>
        <w:rPr>
          <w:sz w:val="20"/>
          <w:szCs w:val="20"/>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ind w:left="200"/>
        <w:spacing w:after="0" w:line="237" w:lineRule="auto"/>
        <w:rPr>
          <w:sz w:val="20"/>
          <w:szCs w:val="20"/>
          <w:color w:val="auto"/>
        </w:rPr>
      </w:pPr>
      <w:r>
        <w:rPr>
          <w:rFonts w:ascii="Arial" w:cs="Arial" w:eastAsia="Arial" w:hAnsi="Arial"/>
          <w:sz w:val="18"/>
          <w:szCs w:val="18"/>
          <w:color w:val="auto"/>
        </w:rPr>
        <w:t>the cost of clinical trials of our product candidates may be greater than we anticipate;</w:t>
      </w:r>
    </w:p>
    <w:p>
      <w:pPr>
        <w:ind w:left="200"/>
        <w:spacing w:after="0" w:line="235" w:lineRule="auto"/>
        <w:rPr>
          <w:sz w:val="20"/>
          <w:szCs w:val="20"/>
          <w:color w:val="auto"/>
        </w:rPr>
      </w:pPr>
      <w:r>
        <w:rPr>
          <w:rFonts w:ascii="Arial" w:cs="Arial" w:eastAsia="Arial" w:hAnsi="Arial"/>
          <w:sz w:val="18"/>
          <w:szCs w:val="18"/>
          <w:color w:val="auto"/>
        </w:rPr>
        <w:t>clinical trials of our product candidates may be delayed due to complications associated with the evolving COVID-19 pandemic;</w:t>
      </w:r>
    </w:p>
    <w:p>
      <w:pPr>
        <w:jc w:val="both"/>
        <w:ind w:right="300" w:firstLine="198"/>
        <w:spacing w:after="0" w:line="234"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 w:lineRule="exact"/>
        <w:rPr>
          <w:sz w:val="20"/>
          <w:szCs w:val="20"/>
          <w:color w:val="auto"/>
        </w:rPr>
      </w:pPr>
    </w:p>
    <w:p>
      <w:pPr>
        <w:ind w:firstLine="198"/>
        <w:spacing w:after="0" w:line="234" w:lineRule="auto"/>
        <w:rPr>
          <w:sz w:val="20"/>
          <w:szCs w:val="20"/>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ind w:left="200"/>
        <w:spacing w:after="0" w:line="237" w:lineRule="auto"/>
        <w:rPr>
          <w:sz w:val="20"/>
          <w:szCs w:val="20"/>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ind w:right="300" w:firstLine="198"/>
        <w:spacing w:after="0" w:line="243" w:lineRule="auto"/>
        <w:rPr>
          <w:sz w:val="20"/>
          <w:szCs w:val="20"/>
          <w:color w:val="auto"/>
        </w:rPr>
      </w:pPr>
      <w:r>
        <w:rPr>
          <w:rFonts w:ascii="Arial" w:cs="Arial" w:eastAsia="Arial" w:hAnsi="Arial"/>
          <w:sz w:val="18"/>
          <w:szCs w:val="18"/>
          <w:color w:val="auto"/>
        </w:rPr>
        <w:t>regulatory developments with respect to our competitors’ products, including any developments, litigation or public concern about the safety of such products.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2" w:name="page43"/>
    <w:bookmarkEnd w:id="42"/>
    <w:p>
      <w:pPr>
        <w:ind w:right="80" w:firstLine="576"/>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4" w:lineRule="exact"/>
        <w:rPr>
          <w:sz w:val="20"/>
          <w:szCs w:val="20"/>
          <w:color w:val="auto"/>
        </w:rPr>
      </w:pPr>
    </w:p>
    <w:p>
      <w:pPr>
        <w:ind w:firstLine="576"/>
        <w:spacing w:after="0" w:line="274" w:lineRule="auto"/>
        <w:rPr>
          <w:sz w:val="20"/>
          <w:szCs w:val="20"/>
          <w:color w:val="auto"/>
        </w:rPr>
      </w:pPr>
      <w:r>
        <w:rPr>
          <w:rFonts w:ascii="Arial" w:cs="Arial" w:eastAsia="Arial" w:hAnsi="Arial"/>
          <w:sz w:val="16"/>
          <w:szCs w:val="16"/>
          <w:color w:val="auto"/>
        </w:rPr>
        <w:t>Moreover, principal investigators for our current or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63"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current or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9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ind w:right="80" w:firstLine="576"/>
        <w:spacing w:after="0" w:line="270" w:lineRule="auto"/>
        <w:rPr>
          <w:sz w:val="20"/>
          <w:szCs w:val="20"/>
          <w:color w:val="auto"/>
        </w:rPr>
      </w:pPr>
      <w:r>
        <w:rPr>
          <w:rFonts w:ascii="Arial" w:cs="Arial" w:eastAsia="Arial" w:hAnsi="Arial"/>
          <w:sz w:val="16"/>
          <w:szCs w:val="16"/>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are orphan indications that have small populations, our ability to enroll eligible patients may be limited or may result in slower enrollment than we anticipate. For example, following the FDA's clearance of our IND application for the Phase 1/2 clinical trial of TNG908, we and our third-party CRO have initiated multiple clinical trial sites and engaged with the clinical trial sites to enroll patients. While patients have not been dosed in the TNG908 trial to date, we continue to expect that the trial will enroll patients in the second quarter of 2022. If we were to experience slower than expected enrollment, due to limited site resources resulting from COVID-19, limited trial populations due to competitive trials or other factors beyond our control, the results from the TNG908 Phase 1/2 trials (as well as the timing for dose escalation and dose expansion) and the regulatory approval (if any) for TNG908 may extend beyond the period we have targeted or beyond the timeline expected by investors.</w:t>
      </w:r>
    </w:p>
    <w:p>
      <w:pPr>
        <w:spacing w:after="0" w:line="171" w:lineRule="exact"/>
        <w:rPr>
          <w:sz w:val="20"/>
          <w:szCs w:val="20"/>
          <w:color w:val="auto"/>
        </w:rPr>
      </w:pPr>
    </w:p>
    <w:p>
      <w:pPr>
        <w:jc w:val="both"/>
        <w:ind w:right="140" w:firstLine="576"/>
        <w:spacing w:after="0" w:line="284" w:lineRule="auto"/>
        <w:rPr>
          <w:sz w:val="20"/>
          <w:szCs w:val="20"/>
          <w:color w:val="auto"/>
        </w:rPr>
      </w:pPr>
      <w:r>
        <w:rPr>
          <w:rFonts w:ascii="Arial" w:cs="Arial" w:eastAsia="Arial" w:hAnsi="Arial"/>
          <w:sz w:val="16"/>
          <w:szCs w:val="16"/>
          <w:color w:val="auto"/>
        </w:rPr>
        <w:t>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w:t>
      </w:r>
    </w:p>
    <w:p>
      <w:pPr>
        <w:spacing w:after="0" w:line="155" w:lineRule="exact"/>
        <w:rPr>
          <w:sz w:val="20"/>
          <w:szCs w:val="20"/>
          <w:color w:val="auto"/>
        </w:rPr>
      </w:pPr>
    </w:p>
    <w:p>
      <w:pPr>
        <w:jc w:val="both"/>
        <w:ind w:right="40" w:firstLine="576"/>
        <w:spacing w:after="0" w:line="243" w:lineRule="auto"/>
        <w:rPr>
          <w:sz w:val="20"/>
          <w:szCs w:val="20"/>
          <w:color w:val="auto"/>
        </w:rPr>
      </w:pPr>
      <w:r>
        <w:rPr>
          <w:rFonts w:ascii="Arial" w:cs="Arial" w:eastAsia="Arial" w:hAnsi="Arial"/>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(for example, three INDs have been cleared by the FDA for clinical trials of MTA-cooperative PRMT5 inhibitors for the treatment of cancer patients). Furthermore, our ability to enroll patients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spacing w:after="0" w:line="261" w:lineRule="auto"/>
        <w:rPr>
          <w:sz w:val="20"/>
          <w:szCs w:val="20"/>
          <w:color w:val="auto"/>
        </w:rPr>
      </w:pPr>
      <w:r>
        <w:rPr>
          <w:rFonts w:ascii="Arial" w:cs="Arial" w:eastAsia="Arial" w:hAnsi="Arial"/>
          <w:sz w:val="18"/>
          <w:szCs w:val="18"/>
          <w:color w:val="auto"/>
        </w:rPr>
        <w:t>may be significantly delayed by the ongoing COVID-19 pandemic (including due to lack of resources and personnel at trial sites), and we cannot accurately predict the extent and scope of such delays at this point.</w:t>
      </w:r>
    </w:p>
    <w:p>
      <w:pPr>
        <w:spacing w:after="0" w:line="171" w:lineRule="exact"/>
        <w:rPr>
          <w:sz w:val="20"/>
          <w:szCs w:val="20"/>
          <w:color w:val="auto"/>
        </w:rPr>
      </w:pPr>
    </w:p>
    <w:p>
      <w:pPr>
        <w:ind w:right="160" w:firstLine="576"/>
        <w:spacing w:after="0" w:line="274" w:lineRule="auto"/>
        <w:rPr>
          <w:sz w:val="20"/>
          <w:szCs w:val="20"/>
          <w:color w:val="auto"/>
        </w:rPr>
      </w:pPr>
      <w:r>
        <w:rPr>
          <w:rFonts w:ascii="Arial" w:cs="Arial" w:eastAsia="Arial" w:hAnsi="Arial"/>
          <w:sz w:val="16"/>
          <w:szCs w:val="16"/>
          <w:color w:val="auto"/>
        </w:rPr>
        <w:t>In addition to the competitive trial environment, the eligibility criteria of our future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reporting preliminary and final trial results and obtaining regulatory approval of potential products may be delayed.</w:t>
      </w:r>
    </w:p>
    <w:p>
      <w:pPr>
        <w:spacing w:after="0" w:line="163"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severity of the disease under investigation;</w:t>
      </w:r>
    </w:p>
    <w:p>
      <w:pPr>
        <w:spacing w:after="0" w:line="12" w:lineRule="exact"/>
        <w:rPr>
          <w:sz w:val="20"/>
          <w:szCs w:val="20"/>
          <w:color w:val="auto"/>
        </w:rPr>
      </w:pPr>
    </w:p>
    <w:p>
      <w:pPr>
        <w:ind w:left="200" w:right="3920"/>
        <w:spacing w:after="0" w:line="234" w:lineRule="auto"/>
        <w:rPr>
          <w:sz w:val="20"/>
          <w:szCs w:val="20"/>
          <w:color w:val="auto"/>
        </w:rPr>
      </w:pPr>
      <w:r>
        <w:rPr>
          <w:rFonts w:ascii="Arial" w:cs="Arial" w:eastAsia="Arial" w:hAnsi="Arial"/>
          <w:sz w:val="18"/>
          <w:szCs w:val="18"/>
          <w:color w:val="auto"/>
        </w:rPr>
        <w:t>the efforts to obtain and maintain patient consents and facilitate timely enrollment in clinical trials; the ability to monitor patients adequately during and after treatment;</w:t>
      </w:r>
    </w:p>
    <w:p>
      <w:pPr>
        <w:spacing w:after="0" w:line="1" w:lineRule="exact"/>
        <w:rPr>
          <w:sz w:val="20"/>
          <w:szCs w:val="20"/>
          <w:color w:val="auto"/>
        </w:rPr>
      </w:pPr>
    </w:p>
    <w:p>
      <w:pPr>
        <w:ind w:left="200" w:right="3040"/>
        <w:spacing w:after="0" w:line="234" w:lineRule="auto"/>
        <w:rPr>
          <w:sz w:val="20"/>
          <w:szCs w:val="20"/>
          <w:color w:val="auto"/>
        </w:rPr>
      </w:pPr>
      <w:r>
        <w:rPr>
          <w:rFonts w:ascii="Arial" w:cs="Arial" w:eastAsia="Arial" w:hAnsi="Arial"/>
          <w:sz w:val="18"/>
          <w:szCs w:val="18"/>
          <w:color w:val="auto"/>
        </w:rPr>
        <w:t>the risk that patients enrolled in clinical trials will drop out of the clinical trials before clinical trial completion; the ability to recruit clinical trial investigators with the appropriate competencies and experience; reporting of the preliminary results of any of our clinical trials; and</w:t>
      </w:r>
    </w:p>
    <w:p>
      <w:pPr>
        <w:spacing w:after="0" w:line="2" w:lineRule="exact"/>
        <w:rPr>
          <w:sz w:val="20"/>
          <w:szCs w:val="20"/>
          <w:color w:val="auto"/>
        </w:rPr>
      </w:pPr>
    </w:p>
    <w:p>
      <w:pPr>
        <w:ind w:right="520" w:firstLine="198"/>
        <w:spacing w:after="0" w:line="243" w:lineRule="auto"/>
        <w:rPr>
          <w:sz w:val="20"/>
          <w:szCs w:val="20"/>
          <w:color w:val="auto"/>
        </w:rPr>
      </w:pPr>
      <w:r>
        <w:rPr>
          <w:rFonts w:ascii="Arial" w:cs="Arial" w:eastAsia="Arial" w:hAnsi="Arial"/>
          <w:sz w:val="18"/>
          <w:szCs w:val="18"/>
          <w:color w:val="auto"/>
        </w:rPr>
        <w:t>factors we may not be able to control, including the impacts of the COVID-19 pandemic, that may limit patients, principal investigators or staff or clinical site availability.</w:t>
      </w:r>
    </w:p>
    <w:p>
      <w:pPr>
        <w:spacing w:after="0" w:line="294"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74" w:lineRule="exact"/>
        <w:rPr>
          <w:sz w:val="20"/>
          <w:szCs w:val="20"/>
          <w:color w:val="auto"/>
        </w:rPr>
      </w:pPr>
    </w:p>
    <w:p>
      <w:pPr>
        <w:ind w:right="40" w:firstLine="576"/>
        <w:spacing w:after="0" w:line="257" w:lineRule="auto"/>
        <w:rPr>
          <w:sz w:val="20"/>
          <w:szCs w:val="20"/>
          <w:color w:val="auto"/>
        </w:rPr>
      </w:pPr>
      <w:r>
        <w:rPr>
          <w:rFonts w:ascii="Arial" w:cs="Arial" w:eastAsia="Arial" w:hAnsi="Arial"/>
          <w:sz w:val="17"/>
          <w:szCs w:val="17"/>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75"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Any failure to maintain or enter into new successful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88" w:lineRule="exact"/>
        <w:rPr>
          <w:sz w:val="20"/>
          <w:szCs w:val="20"/>
          <w:color w:val="auto"/>
        </w:rPr>
      </w:pPr>
    </w:p>
    <w:p>
      <w:pPr>
        <w:ind w:right="20" w:firstLine="576"/>
        <w:spacing w:after="0" w:line="272" w:lineRule="auto"/>
        <w:rPr>
          <w:sz w:val="20"/>
          <w:szCs w:val="20"/>
          <w:color w:val="auto"/>
        </w:rPr>
      </w:pPr>
      <w:r>
        <w:rPr>
          <w:rFonts w:ascii="Arial" w:cs="Arial" w:eastAsia="Arial" w:hAnsi="Arial"/>
          <w:sz w:val="16"/>
          <w:szCs w:val="16"/>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other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availability of the other product, quality, manufacturing and supply issues with respect to the other product, and changes to the standard of care.</w:t>
      </w:r>
    </w:p>
    <w:p>
      <w:pPr>
        <w:spacing w:after="0" w:line="22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97"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80"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20" w:lineRule="exact"/>
        <w:rPr>
          <w:sz w:val="20"/>
          <w:szCs w:val="20"/>
          <w:color w:val="auto"/>
        </w:rPr>
      </w:pPr>
    </w:p>
    <w:p>
      <w:pPr>
        <w:ind w:firstLine="576"/>
        <w:spacing w:after="0" w:line="257"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8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63" w:lineRule="exact"/>
        <w:rPr>
          <w:sz w:val="20"/>
          <w:szCs w:val="20"/>
          <w:color w:val="auto"/>
        </w:rPr>
      </w:pPr>
    </w:p>
    <w:p>
      <w:pPr>
        <w:ind w:right="180" w:firstLine="576"/>
        <w:spacing w:after="0"/>
        <w:rPr>
          <w:sz w:val="20"/>
          <w:szCs w:val="20"/>
          <w:color w:val="auto"/>
        </w:rPr>
      </w:pPr>
      <w:r>
        <w:rPr>
          <w:rFonts w:ascii="Arial" w:cs="Arial" w:eastAsia="Arial" w:hAnsi="Arial"/>
          <w:sz w:val="18"/>
          <w:szCs w:val="18"/>
          <w:color w:val="auto"/>
        </w:rPr>
        <w:t>We received clearance of our IND application for TNG908 in the first quarter of 2022 and our Phase 1/2 clinical trial is now open for enrollment. We also plan to file an IND for TNG462, our next generation PRMT5 inhibitor, in the first half of 2023. Additionally, we plan to file INDs for TNG260, our inhibitor of an undisclosed target for STK11-mutant cancers (Target 3), and for our USP1 inhibitor program in 2023. However, we may not be able to file such INDs or INDs for future product candidates for our precision oncology or other programs on the timelines we expect. We have in the past, for example, extended the timeline for filing an IND for our USP1 inhibitor program as we continue to work on a development candidate that has improved pharmacologic properties.</w:t>
      </w:r>
    </w:p>
    <w:p>
      <w:pPr>
        <w:spacing w:after="0" w:line="81" w:lineRule="exact"/>
        <w:rPr>
          <w:sz w:val="20"/>
          <w:szCs w:val="20"/>
          <w:color w:val="auto"/>
        </w:rPr>
      </w:pPr>
    </w:p>
    <w:p>
      <w:pPr>
        <w:ind w:right="80" w:firstLine="576"/>
        <w:spacing w:after="0" w:line="257" w:lineRule="auto"/>
        <w:rPr>
          <w:sz w:val="20"/>
          <w:szCs w:val="20"/>
          <w:color w:val="auto"/>
        </w:rPr>
      </w:pPr>
      <w:r>
        <w:rPr>
          <w:rFonts w:ascii="Arial" w:cs="Arial" w:eastAsia="Arial" w:hAnsi="Arial"/>
          <w:sz w:val="17"/>
          <w:szCs w:val="17"/>
          <w:color w:val="auto"/>
        </w:rPr>
        <w:t>Further,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283"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6" w:lineRule="exact"/>
        <w:rPr>
          <w:sz w:val="20"/>
          <w:szCs w:val="20"/>
          <w:color w:val="auto"/>
        </w:rPr>
      </w:pPr>
    </w:p>
    <w:p>
      <w:pPr>
        <w:ind w:right="160" w:firstLine="576"/>
        <w:spacing w:after="0" w:line="279" w:lineRule="auto"/>
        <w:rPr>
          <w:sz w:val="20"/>
          <w:szCs w:val="20"/>
          <w:color w:val="auto"/>
        </w:rPr>
      </w:pPr>
      <w:r>
        <w:rPr>
          <w:rFonts w:ascii="Arial" w:cs="Arial" w:eastAsia="Arial" w:hAnsi="Arial"/>
          <w:sz w:val="16"/>
          <w:szCs w:val="16"/>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spacing w:after="0" w:line="268" w:lineRule="auto"/>
        <w:rPr>
          <w:sz w:val="20"/>
          <w:szCs w:val="20"/>
          <w:color w:val="auto"/>
        </w:rPr>
      </w:pPr>
      <w:r>
        <w:rPr>
          <w:rFonts w:ascii="Arial" w:cs="Arial" w:eastAsia="Arial" w:hAnsi="Arial"/>
          <w:sz w:val="16"/>
          <w:szCs w:val="16"/>
          <w:color w:val="auto"/>
        </w:rPr>
        <w:t>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(the latter can be expensive to defend and result in significant damages and harm to our reputation). While we do have insurance to cover certain product liability claims, including in connection with injury during clinical trials, the coverage may not be sufficient to cover all expenses related to any injury and we may be required to pay damages from our own resources.</w:t>
      </w:r>
    </w:p>
    <w:p>
      <w:pPr>
        <w:spacing w:after="0" w:line="107" w:lineRule="exact"/>
        <w:rPr>
          <w:sz w:val="20"/>
          <w:szCs w:val="20"/>
          <w:color w:val="auto"/>
        </w:rPr>
      </w:pPr>
    </w:p>
    <w:p>
      <w:pPr>
        <w:ind w:firstLine="576"/>
        <w:spacing w:after="0" w:line="274" w:lineRule="auto"/>
        <w:rPr>
          <w:sz w:val="20"/>
          <w:szCs w:val="20"/>
          <w:color w:val="auto"/>
        </w:rPr>
      </w:pPr>
      <w:r>
        <w:rPr>
          <w:rFonts w:ascii="Arial" w:cs="Arial" w:eastAsia="Arial" w:hAnsi="Arial"/>
          <w:sz w:val="16"/>
          <w:szCs w:val="16"/>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2" w:lineRule="exact"/>
        <w:rPr>
          <w:sz w:val="20"/>
          <w:szCs w:val="20"/>
          <w:color w:val="auto"/>
        </w:rPr>
      </w:pPr>
    </w:p>
    <w:p>
      <w:pPr>
        <w:ind w:firstLine="576"/>
        <w:spacing w:after="0" w:line="270" w:lineRule="auto"/>
        <w:rPr>
          <w:sz w:val="20"/>
          <w:szCs w:val="20"/>
          <w:color w:val="auto"/>
        </w:rPr>
      </w:pPr>
      <w:r>
        <w:rPr>
          <w:rFonts w:ascii="Arial" w:cs="Arial" w:eastAsia="Arial" w:hAnsi="Arial"/>
          <w:sz w:val="16"/>
          <w:szCs w:val="16"/>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our clinical trial for TNG908 or in any of our other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21"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74" w:lineRule="exact"/>
        <w:rPr>
          <w:sz w:val="20"/>
          <w:szCs w:val="20"/>
          <w:color w:val="auto"/>
        </w:rPr>
      </w:pPr>
    </w:p>
    <w:p>
      <w:pPr>
        <w:ind w:right="220" w:firstLine="576"/>
        <w:spacing w:after="0" w:line="243" w:lineRule="auto"/>
        <w:rPr>
          <w:sz w:val="20"/>
          <w:szCs w:val="20"/>
          <w:color w:val="auto"/>
        </w:rPr>
      </w:pPr>
      <w:r>
        <w:rPr>
          <w:rFonts w:ascii="Arial" w:cs="Arial" w:eastAsia="Arial" w:hAnsi="Arial"/>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is compelling biological rationale. We explore new programs based on extensive preclinical data analysis which sometimes cannot predict efficacy or safety in humans.</w:t>
      </w:r>
    </w:p>
    <w:p>
      <w:pPr>
        <w:spacing w:after="0" w:line="120" w:lineRule="exact"/>
        <w:rPr>
          <w:sz w:val="20"/>
          <w:szCs w:val="20"/>
          <w:color w:val="auto"/>
        </w:rPr>
      </w:pPr>
    </w:p>
    <w:p>
      <w:pPr>
        <w:ind w:right="120" w:firstLine="576"/>
        <w:spacing w:after="0" w:line="279" w:lineRule="auto"/>
        <w:rPr>
          <w:sz w:val="20"/>
          <w:szCs w:val="20"/>
          <w:color w:val="auto"/>
        </w:rPr>
      </w:pPr>
      <w:r>
        <w:rPr>
          <w:rFonts w:ascii="Arial" w:cs="Arial" w:eastAsia="Arial" w:hAnsi="Arial"/>
          <w:sz w:val="16"/>
          <w:szCs w:val="16"/>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6" w:name="page47"/>
    <w:bookmarkEnd w:id="46"/>
    <w:p>
      <w:pPr>
        <w:ind w:right="180"/>
        <w:spacing w:after="0" w:line="248" w:lineRule="auto"/>
        <w:rPr>
          <w:sz w:val="20"/>
          <w:szCs w:val="20"/>
          <w:color w:val="auto"/>
        </w:rPr>
      </w:pPr>
      <w:r>
        <w:rPr>
          <w:rFonts w:ascii="Arial" w:cs="Arial" w:eastAsia="Arial" w:hAnsi="Arial"/>
          <w:sz w:val="18"/>
          <w:szCs w:val="18"/>
          <w:color w:val="auto"/>
        </w:rPr>
        <w:t>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28" w:lineRule="exact"/>
        <w:rPr>
          <w:sz w:val="20"/>
          <w:szCs w:val="20"/>
          <w:color w:val="auto"/>
        </w:rPr>
      </w:pPr>
    </w:p>
    <w:p>
      <w:pPr>
        <w:ind w:right="20" w:firstLine="576"/>
        <w:spacing w:after="0" w:line="271" w:lineRule="auto"/>
        <w:rPr>
          <w:sz w:val="20"/>
          <w:szCs w:val="20"/>
          <w:color w:val="auto"/>
        </w:rPr>
      </w:pPr>
      <w:r>
        <w:rPr>
          <w:rFonts w:ascii="Arial" w:cs="Arial" w:eastAsia="Arial" w:hAnsi="Arial"/>
          <w:sz w:val="16"/>
          <w:szCs w:val="16"/>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27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63" w:lineRule="exact"/>
        <w:rPr>
          <w:sz w:val="20"/>
          <w:szCs w:val="20"/>
          <w:color w:val="auto"/>
        </w:rPr>
      </w:pPr>
    </w:p>
    <w:p>
      <w:pPr>
        <w:ind w:firstLine="576"/>
        <w:spacing w:after="0" w:line="269" w:lineRule="auto"/>
        <w:rPr>
          <w:sz w:val="20"/>
          <w:szCs w:val="20"/>
          <w:color w:val="auto"/>
        </w:rPr>
      </w:pPr>
      <w:r>
        <w:rPr>
          <w:rFonts w:ascii="Arial" w:cs="Arial" w:eastAsia="Arial" w:hAnsi="Arial"/>
          <w:sz w:val="16"/>
          <w:szCs w:val="16"/>
          <w:color w:val="auto"/>
        </w:rPr>
        <w:t>We plan to conduct certain clinical trials outside the United States, and these jurisdictions may include countries in Europe, Australia or other foreign jurisdictions.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76"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74" w:lineRule="exact"/>
        <w:rPr>
          <w:sz w:val="20"/>
          <w:szCs w:val="20"/>
          <w:color w:val="auto"/>
        </w:rPr>
      </w:pPr>
    </w:p>
    <w:p>
      <w:pPr>
        <w:ind w:right="40" w:firstLine="576"/>
        <w:spacing w:after="0" w:line="279" w:lineRule="auto"/>
        <w:rPr>
          <w:sz w:val="20"/>
          <w:szCs w:val="20"/>
          <w:color w:val="auto"/>
        </w:rPr>
      </w:pPr>
      <w:r>
        <w:rPr>
          <w:rFonts w:ascii="Arial" w:cs="Arial" w:eastAsia="Arial" w:hAnsi="Arial"/>
          <w:sz w:val="16"/>
          <w:szCs w:val="16"/>
          <w:color w:val="auto"/>
        </w:rPr>
        <w:t>The ongoing success of businesses in the biopharmaceutical industry depend, to a large extent, on the ability to continue to introduce new products, especially as exclusivity rights to given therapies or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screening technology and research programs may initially show promise in identifying potential indications and/or product candidates, yet fail to yield results for clinical development for a number of reasons, including:</w:t>
      </w:r>
    </w:p>
    <w:p>
      <w:pPr>
        <w:spacing w:after="0" w:line="51" w:lineRule="exact"/>
        <w:rPr>
          <w:sz w:val="20"/>
          <w:szCs w:val="20"/>
          <w:color w:val="auto"/>
        </w:rPr>
      </w:pPr>
    </w:p>
    <w:p>
      <w:pPr>
        <w:ind w:right="240" w:firstLine="198"/>
        <w:spacing w:after="0" w:line="244" w:lineRule="auto"/>
        <w:rPr>
          <w:sz w:val="20"/>
          <w:szCs w:val="20"/>
          <w:color w:val="auto"/>
        </w:rPr>
      </w:pPr>
      <w:r>
        <w:rPr>
          <w:rFonts w:ascii="Arial" w:cs="Arial" w:eastAsia="Arial" w:hAnsi="Arial"/>
          <w:sz w:val="18"/>
          <w:szCs w:val="18"/>
          <w:color w:val="auto"/>
        </w:rPr>
        <w:t>the research methodology used may not be successful in identifying potential indications and/or product candidates (or the development of a chemical compound or formulation that has the desired effect cannot be developed);</w:t>
      </w:r>
    </w:p>
    <w:p>
      <w:pPr>
        <w:ind w:right="160" w:firstLine="198"/>
        <w:spacing w:after="0" w:line="234" w:lineRule="auto"/>
        <w:rPr>
          <w:sz w:val="20"/>
          <w:szCs w:val="20"/>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1" w:lineRule="exact"/>
        <w:rPr>
          <w:sz w:val="20"/>
          <w:szCs w:val="20"/>
          <w:color w:val="auto"/>
        </w:rPr>
      </w:pPr>
    </w:p>
    <w:p>
      <w:pPr>
        <w:ind w:right="20" w:firstLine="198"/>
        <w:spacing w:after="0" w:line="239" w:lineRule="auto"/>
        <w:rPr>
          <w:sz w:val="20"/>
          <w:szCs w:val="20"/>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ind w:right="80" w:firstLine="576"/>
        <w:spacing w:after="0" w:line="243"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8" w:lineRule="exact"/>
        <w:rPr>
          <w:sz w:val="20"/>
          <w:szCs w:val="20"/>
          <w:color w:val="auto"/>
        </w:rPr>
      </w:pPr>
    </w:p>
    <w:p>
      <w:pPr>
        <w:ind w:right="100" w:firstLine="576"/>
        <w:spacing w:after="0" w:line="294" w:lineRule="auto"/>
        <w:rPr>
          <w:sz w:val="20"/>
          <w:szCs w:val="20"/>
          <w:color w:val="auto"/>
        </w:rPr>
      </w:pPr>
      <w:r>
        <w:rPr>
          <w:rFonts w:ascii="Arial" w:cs="Arial" w:eastAsia="Arial" w:hAnsi="Arial"/>
          <w:sz w:val="16"/>
          <w:szCs w:val="16"/>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55" w:lineRule="exact"/>
        <w:rPr>
          <w:sz w:val="20"/>
          <w:szCs w:val="20"/>
          <w:color w:val="auto"/>
        </w:rPr>
      </w:pPr>
    </w:p>
    <w:p>
      <w:pPr>
        <w:jc w:val="both"/>
        <w:ind w:right="660"/>
        <w:spacing w:after="0" w:line="356"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We received clearance of our IND application for TNG908 in the first quarter of 2022 and our Phase 1/2 clinical trial is now open for enrollment, otherwise, all of our product candidates are in discovery or preclinical development.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77" w:lineRule="exact"/>
        <w:rPr>
          <w:sz w:val="20"/>
          <w:szCs w:val="20"/>
          <w:color w:val="auto"/>
        </w:rPr>
      </w:pPr>
    </w:p>
    <w:p>
      <w:pPr>
        <w:ind w:firstLine="576"/>
        <w:spacing w:after="0" w:line="272" w:lineRule="auto"/>
        <w:rPr>
          <w:sz w:val="20"/>
          <w:szCs w:val="20"/>
          <w:color w:val="auto"/>
        </w:rPr>
      </w:pPr>
      <w:r>
        <w:rPr>
          <w:rFonts w:ascii="Arial" w:cs="Arial" w:eastAsia="Arial" w:hAnsi="Arial"/>
          <w:sz w:val="16"/>
          <w:szCs w:val="16"/>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60" w:lineRule="exact"/>
        <w:rPr>
          <w:sz w:val="20"/>
          <w:szCs w:val="20"/>
          <w:color w:val="auto"/>
        </w:rPr>
      </w:pPr>
    </w:p>
    <w:p>
      <w:pPr>
        <w:ind w:left="200" w:right="2120"/>
        <w:spacing w:after="0" w:line="244" w:lineRule="auto"/>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 we may not be able to enroll a sufficient number of patients in our clinical studies;</w:t>
      </w:r>
    </w:p>
    <w:p>
      <w:pPr>
        <w:ind w:right="600" w:firstLine="198"/>
        <w:spacing w:after="0" w:line="248" w:lineRule="auto"/>
        <w:rPr>
          <w:sz w:val="20"/>
          <w:szCs w:val="20"/>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1" w:lineRule="exact"/>
        <w:rPr>
          <w:sz w:val="20"/>
          <w:szCs w:val="20"/>
          <w:color w:val="auto"/>
        </w:rPr>
      </w:pPr>
    </w:p>
    <w:p>
      <w:pPr>
        <w:ind w:right="540" w:firstLine="198"/>
        <w:spacing w:after="0" w:line="234" w:lineRule="auto"/>
        <w:rPr>
          <w:sz w:val="20"/>
          <w:szCs w:val="20"/>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200"/>
        <w:spacing w:after="0" w:line="236" w:lineRule="auto"/>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ind w:left="200"/>
        <w:spacing w:after="0" w:line="235" w:lineRule="auto"/>
        <w:rPr>
          <w:sz w:val="20"/>
          <w:szCs w:val="20"/>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right="300" w:firstLine="198"/>
        <w:spacing w:after="0" w:line="243" w:lineRule="auto"/>
        <w:rPr>
          <w:sz w:val="20"/>
          <w:szCs w:val="20"/>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8" w:name="page49"/>
    <w:bookmarkEnd w:id="48"/>
    <w:p>
      <w:pPr>
        <w:ind w:right="320" w:firstLine="198"/>
        <w:spacing w:after="0" w:line="244" w:lineRule="auto"/>
        <w:rPr>
          <w:sz w:val="20"/>
          <w:szCs w:val="20"/>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ind w:right="360" w:firstLine="198"/>
        <w:spacing w:after="0" w:line="243" w:lineRule="auto"/>
        <w:rPr>
          <w:sz w:val="20"/>
          <w:szCs w:val="20"/>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186" w:lineRule="exact"/>
        <w:rPr>
          <w:sz w:val="20"/>
          <w:szCs w:val="20"/>
          <w:color w:val="auto"/>
        </w:rPr>
      </w:pPr>
    </w:p>
    <w:p>
      <w:pPr>
        <w:ind w:right="240" w:firstLine="576"/>
        <w:spacing w:after="0" w:line="241"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9" w:lineRule="exact"/>
        <w:rPr>
          <w:sz w:val="20"/>
          <w:szCs w:val="20"/>
          <w:color w:val="auto"/>
        </w:rPr>
      </w:pPr>
    </w:p>
    <w:p>
      <w:pPr>
        <w:ind w:right="740" w:firstLine="576"/>
        <w:spacing w:after="0" w:line="261"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79" w:lineRule="exact"/>
        <w:rPr>
          <w:sz w:val="20"/>
          <w:szCs w:val="20"/>
          <w:color w:val="auto"/>
        </w:rPr>
      </w:pPr>
    </w:p>
    <w:p>
      <w:pPr>
        <w:ind w:right="80"/>
        <w:spacing w:after="0" w:line="356" w:lineRule="auto"/>
        <w:rPr>
          <w:sz w:val="20"/>
          <w:szCs w:val="20"/>
          <w:color w:val="auto"/>
        </w:rPr>
      </w:pPr>
      <w:r>
        <w:rPr>
          <w:rFonts w:ascii="Arial" w:cs="Arial" w:eastAsia="Arial" w:hAnsi="Arial"/>
          <w:sz w:val="15"/>
          <w:szCs w:val="15"/>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1"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Public health crises such as pandemics or similar outbreaks could adversely impact our business. Beginning in 2020 and continuing through the date of this filing, a novel strain of a virus named SARS-CoV-2 (severe acute respiratory syndrome coronavirus 2), or coronavirus, which causes COVID-19 has spread across the world. Despite progress with distribution and administration of vaccines, COVID-19 and its effects continue to evolve, and countries continue to respond the implementation of various responses, including government-imposed quarantines, travel restrictions and other public health safety measures. The extent to which the coronavirus impacts our operations or those of our third-party partners, including our preclinical studies and clinical trial operations, will depend on future developments, which are highly uncertain and cannot be predicted with confidence and could adversely impact our preclinical or clinical trial operations in the United States and our future clinical trial sites in foreign jurisdictions, including our ability to recruit and retain patients and principal investigators and site staff who, as healthcare providers, may have heightened exposure 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expect that we will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9"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Additionally, timely enrollment in planned clinical trials and the reporting of clinical trial results is dependent upon clinical trial sites which could be adversely affected by global health matters, such as pandemics. We plan to conduct clinical trials for our product candidates in geographies which are currently affected by the COVID-19 pandemic, including our clinical trial for TNG908, a Phase 1/2 clinical trial that is now open for enrollment in the United States (the timing of which may be impacted by, among other things, the COVID-19 pandemic). Some factors from the COVID-19 pandemic that may delay or otherwise adversely affect enrollment in the clinical trials of our product candidates, including TNG908, as well as our business generally, include:</w:t>
      </w:r>
    </w:p>
    <w:p>
      <w:pPr>
        <w:spacing w:after="0" w:line="81" w:lineRule="exact"/>
        <w:rPr>
          <w:sz w:val="20"/>
          <w:szCs w:val="20"/>
          <w:color w:val="auto"/>
        </w:rPr>
      </w:pPr>
    </w:p>
    <w:p>
      <w:pPr>
        <w:ind w:right="140" w:firstLine="198"/>
        <w:spacing w:after="0"/>
        <w:rPr>
          <w:sz w:val="20"/>
          <w:szCs w:val="20"/>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3" w:lineRule="exact"/>
        <w:rPr>
          <w:sz w:val="20"/>
          <w:szCs w:val="20"/>
          <w:color w:val="auto"/>
        </w:rPr>
      </w:pPr>
    </w:p>
    <w:p>
      <w:pPr>
        <w:ind w:right="120" w:firstLine="198"/>
        <w:spacing w:after="0" w:line="234" w:lineRule="auto"/>
        <w:rPr>
          <w:sz w:val="20"/>
          <w:szCs w:val="20"/>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ind w:left="200"/>
        <w:spacing w:after="0" w:line="238" w:lineRule="auto"/>
        <w:rPr>
          <w:sz w:val="20"/>
          <w:szCs w:val="20"/>
          <w:color w:val="auto"/>
        </w:rPr>
      </w:pPr>
      <w:r>
        <w:rPr>
          <w:rFonts w:ascii="Arial" w:cs="Arial" w:eastAsia="Arial" w:hAnsi="Arial"/>
          <w:sz w:val="18"/>
          <w:szCs w:val="18"/>
          <w:color w:val="auto"/>
        </w:rPr>
        <w:t>the potential negative effect on the operations of our third-party manufacturers;</w:t>
      </w:r>
    </w:p>
    <w:p>
      <w:pPr>
        <w:spacing w:after="0" w:line="1" w:lineRule="exact"/>
        <w:rPr>
          <w:sz w:val="20"/>
          <w:szCs w:val="20"/>
          <w:color w:val="auto"/>
        </w:rPr>
      </w:pPr>
    </w:p>
    <w:p>
      <w:pPr>
        <w:ind w:right="220" w:firstLine="198"/>
        <w:spacing w:after="0" w:line="243" w:lineRule="auto"/>
        <w:rPr>
          <w:sz w:val="20"/>
          <w:szCs w:val="20"/>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9" w:name="page50"/>
    <w:bookmarkEnd w:id="49"/>
    <w:p>
      <w:pPr>
        <w:ind w:right="140" w:firstLine="153"/>
        <w:spacing w:after="0" w:line="244" w:lineRule="auto"/>
        <w:rPr>
          <w:sz w:val="20"/>
          <w:szCs w:val="20"/>
          <w:color w:val="auto"/>
        </w:rPr>
      </w:pPr>
      <w:r>
        <w:rPr>
          <w:rFonts w:ascii="Arial" w:cs="Arial" w:eastAsia="Arial" w:hAnsi="Arial"/>
          <w:sz w:val="18"/>
          <w:szCs w:val="18"/>
          <w:color w:val="auto"/>
        </w:rPr>
        <w:t>staffing shortages at clinical trial sites, both healthcare professionals (e.g. physicians, nurses) and support staff, caused by the COVID-19 pandemic and the challenges of finding replacements may adversely impact the timing and on-going performance of a clinical trial;</w:t>
      </w:r>
    </w:p>
    <w:p>
      <w:pPr>
        <w:ind w:right="360" w:firstLine="198"/>
        <w:spacing w:after="0" w:line="234" w:lineRule="auto"/>
        <w:rPr>
          <w:sz w:val="20"/>
          <w:szCs w:val="20"/>
          <w:color w:val="auto"/>
        </w:rPr>
      </w:pPr>
      <w:r>
        <w:rPr>
          <w:rFonts w:ascii="Arial" w:cs="Arial" w:eastAsia="Arial" w:hAnsi="Arial"/>
          <w:sz w:val="18"/>
          <w:szCs w:val="18"/>
          <w:color w:val="auto"/>
        </w:rPr>
        <w:t>business disruptions caused by potential workplace, laboratory and office closures and an increased reliance on employees working from home, and disruptions to or delays in ongoing laboratory experiments;</w:t>
      </w:r>
    </w:p>
    <w:p>
      <w:pPr>
        <w:spacing w:after="0" w:line="1" w:lineRule="exact"/>
        <w:rPr>
          <w:sz w:val="20"/>
          <w:szCs w:val="20"/>
          <w:color w:val="auto"/>
        </w:rPr>
      </w:pPr>
    </w:p>
    <w:p>
      <w:pPr>
        <w:ind w:right="620" w:firstLine="198"/>
        <w:spacing w:after="0" w:line="264" w:lineRule="auto"/>
        <w:rPr>
          <w:sz w:val="20"/>
          <w:szCs w:val="20"/>
          <w:color w:val="auto"/>
        </w:rPr>
      </w:pPr>
      <w:r>
        <w:rPr>
          <w:rFonts w:ascii="Arial" w:cs="Arial" w:eastAsia="Arial" w:hAnsi="Arial"/>
          <w:sz w:val="16"/>
          <w:szCs w:val="16"/>
          <w:color w:val="auto"/>
        </w:rPr>
        <w:t>operations, staffing shortages, travel limitations, global supply chain delays or mass transit disruptions, any of which could adversely impact our business operations or delay necessary interactions with local regulators, ethics committees and other important agencies and contractors;</w:t>
      </w:r>
    </w:p>
    <w:p>
      <w:pPr>
        <w:ind w:right="180" w:firstLine="198"/>
        <w:spacing w:after="0" w:line="234" w:lineRule="auto"/>
        <w:rPr>
          <w:sz w:val="20"/>
          <w:szCs w:val="20"/>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96"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Our employees, including our lab personnel, are currently working at our office headquarters. We have, in the past,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 (and certain of these measures remain in place). We cannot presently predict the scope and severity of the planned and potential shutdowns or disruptions of businesses and government agencies, such as the SEC or FDA.</w:t>
      </w:r>
    </w:p>
    <w:p>
      <w:pPr>
        <w:spacing w:after="0" w:line="189" w:lineRule="exact"/>
        <w:rPr>
          <w:sz w:val="20"/>
          <w:szCs w:val="20"/>
          <w:color w:val="auto"/>
        </w:rPr>
      </w:pPr>
    </w:p>
    <w:p>
      <w:pPr>
        <w:ind w:firstLine="576"/>
        <w:spacing w:after="0" w:line="259" w:lineRule="auto"/>
        <w:rPr>
          <w:sz w:val="20"/>
          <w:szCs w:val="20"/>
          <w:color w:val="auto"/>
        </w:rPr>
      </w:pPr>
      <w:r>
        <w:rPr>
          <w:rFonts w:ascii="Arial" w:cs="Arial" w:eastAsia="Arial" w:hAnsi="Arial"/>
          <w:sz w:val="17"/>
          <w:szCs w:val="17"/>
          <w:color w:val="auto"/>
        </w:rPr>
        <w:t>These and other factors arising from COVID-19 (and any future variant of the COVID-19 virus)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operations and financial condition and our clinical trials.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1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ind w:right="20" w:firstLine="576"/>
        <w:spacing w:after="0" w:line="257" w:lineRule="auto"/>
        <w:rPr>
          <w:sz w:val="20"/>
          <w:szCs w:val="20"/>
          <w:color w:val="auto"/>
        </w:rPr>
      </w:pPr>
      <w:r>
        <w:rPr>
          <w:rFonts w:ascii="Arial" w:cs="Arial" w:eastAsia="Arial" w:hAnsi="Arial"/>
          <w:sz w:val="17"/>
          <w:szCs w:val="17"/>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Specifically, with respect to TNG908 (for which we recently received FDA clearance of our IND application), we are aware that Mirati Therapeutics, Inc. and Amgen each have a clinical MTA-cooperative PRMT5 inhibitor program, using the same mechanism of action as TNG908 (and there are other indirect competitors in the PRMT5 inhibition space as well).</w:t>
      </w:r>
    </w:p>
    <w:p>
      <w:pPr>
        <w:spacing w:after="0" w:line="67" w:lineRule="exact"/>
        <w:rPr>
          <w:sz w:val="20"/>
          <w:szCs w:val="20"/>
          <w:color w:val="auto"/>
        </w:rPr>
      </w:pPr>
    </w:p>
    <w:p>
      <w:pPr>
        <w:ind w:firstLine="576"/>
        <w:spacing w:after="0" w:line="274" w:lineRule="auto"/>
        <w:rPr>
          <w:sz w:val="20"/>
          <w:szCs w:val="20"/>
          <w:color w:val="auto"/>
        </w:rPr>
      </w:pPr>
      <w:r>
        <w:rPr>
          <w:rFonts w:ascii="Arial" w:cs="Arial" w:eastAsia="Arial" w:hAnsi="Arial"/>
          <w:sz w:val="16"/>
          <w:szCs w:val="16"/>
          <w:color w:val="auto"/>
        </w:rPr>
        <w:t>We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6" w:lineRule="exact"/>
        <w:rPr>
          <w:sz w:val="20"/>
          <w:szCs w:val="20"/>
          <w:color w:val="auto"/>
        </w:rPr>
      </w:pPr>
    </w:p>
    <w:p>
      <w:pPr>
        <w:ind w:right="120" w:firstLine="576"/>
        <w:spacing w:after="0" w:line="259"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0" w:name="page51"/>
    <w:bookmarkEnd w:id="50"/>
    <w:p>
      <w:pPr>
        <w:ind w:firstLine="576"/>
        <w:spacing w:after="0" w:line="238" w:lineRule="auto"/>
        <w:rPr>
          <w:sz w:val="20"/>
          <w:szCs w:val="20"/>
          <w:color w:val="auto"/>
        </w:rPr>
      </w:pPr>
      <w:r>
        <w:rPr>
          <w:rFonts w:ascii="Arial" w:cs="Arial" w:eastAsia="Arial" w:hAnsi="Arial"/>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barriers to entry do not remain in place, other companies may be able to more directly or effectively compete with us.</w:t>
      </w:r>
    </w:p>
    <w:p>
      <w:pPr>
        <w:spacing w:after="0" w:line="113" w:lineRule="exact"/>
        <w:rPr>
          <w:sz w:val="20"/>
          <w:szCs w:val="20"/>
          <w:color w:val="auto"/>
        </w:rPr>
      </w:pPr>
    </w:p>
    <w:p>
      <w:pPr>
        <w:ind w:right="160" w:firstLine="576"/>
        <w:spacing w:after="0" w:line="276"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novel competition that utilize the same mechanism of action and availability of reimbursement from government and other third-party payors.</w:t>
      </w:r>
    </w:p>
    <w:p>
      <w:pPr>
        <w:spacing w:after="0" w:line="189" w:lineRule="exact"/>
        <w:rPr>
          <w:sz w:val="20"/>
          <w:szCs w:val="20"/>
          <w:color w:val="auto"/>
        </w:rPr>
      </w:pPr>
    </w:p>
    <w:p>
      <w:pPr>
        <w:ind w:right="20" w:firstLine="45"/>
        <w:spacing w:after="0" w:line="356" w:lineRule="auto"/>
        <w:rPr>
          <w:sz w:val="20"/>
          <w:szCs w:val="20"/>
          <w:color w:val="auto"/>
        </w:rPr>
      </w:pPr>
      <w:r>
        <w:rPr>
          <w:rFonts w:ascii="Arial" w:cs="Arial" w:eastAsia="Arial" w:hAnsi="Arial"/>
          <w:sz w:val="15"/>
          <w:szCs w:val="15"/>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sz w:val="20"/>
          <w:szCs w:val="20"/>
          <w:color w:val="auto"/>
        </w:rPr>
      </w:pPr>
    </w:p>
    <w:p>
      <w:pPr>
        <w:ind w:right="20" w:firstLine="576"/>
        <w:spacing w:after="0" w:line="270" w:lineRule="auto"/>
        <w:rPr>
          <w:sz w:val="20"/>
          <w:szCs w:val="20"/>
          <w:color w:val="auto"/>
        </w:rPr>
      </w:pPr>
      <w:r>
        <w:rPr>
          <w:rFonts w:ascii="Arial" w:cs="Arial" w:eastAsia="Arial" w:hAnsi="Arial"/>
          <w:sz w:val="16"/>
          <w:szCs w:val="16"/>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a genetic alteration which occurs in 10% to 15% of all human tumors, including NSCLC, mesothelioma, cholangiocarcinoma, and GBM, as well as indications where there are limited treatment options with no standard of care, including MPNST. Our next-generation PRMT5 product candidate, TNG462, is being developed for the same patient population as TNG908 with the exception of GMB as TNG462 does not cross the blood-brain barrier in preclinical primate models. Additionally, our undisclosed Target 3 program is being developed for certain patients with STK11 loss-of-function mutations. STK11 loss-of-function mutations are a genetic alteration in approximately 15% of NSCLC, 15% of cervical cancers, 10% carcinoma of unknown primary, 5% of breast cancers and 3% of pancreatic cancers. USP1 is a strong synthetic lethal target for BRCA1/2-mutant, which are present in approximately 15% of ovarian cancers, 10% of breast cancers, 10% of prostate cancers, 5% of endometrial cancers and 5% of pancreatic cancers. Our projections of both the number of people who have these diseases, as well as the subset of people with these diseases who have the potential to benefit from treatment with our programs and product candidates, are based on our estimates.</w:t>
      </w:r>
    </w:p>
    <w:p>
      <w:pPr>
        <w:spacing w:after="0" w:line="99"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29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63" w:lineRule="exact"/>
        <w:rPr>
          <w:sz w:val="20"/>
          <w:szCs w:val="20"/>
          <w:color w:val="auto"/>
        </w:rPr>
      </w:pPr>
    </w:p>
    <w:p>
      <w:pPr>
        <w:ind w:right="20" w:firstLine="576"/>
        <w:spacing w:after="0" w:line="255" w:lineRule="auto"/>
        <w:rPr>
          <w:sz w:val="20"/>
          <w:szCs w:val="20"/>
          <w:color w:val="auto"/>
        </w:rPr>
      </w:pPr>
      <w:r>
        <w:rPr>
          <w:rFonts w:ascii="Arial" w:cs="Arial" w:eastAsia="Arial" w:hAnsi="Arial"/>
          <w:sz w:val="17"/>
          <w:szCs w:val="17"/>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ind w:right="20"/>
        <w:spacing w:after="0" w:line="241" w:lineRule="auto"/>
        <w:rPr>
          <w:sz w:val="20"/>
          <w:szCs w:val="20"/>
          <w:color w:val="auto"/>
        </w:rPr>
      </w:pPr>
      <w:r>
        <w:rPr>
          <w:rFonts w:ascii="Arial" w:cs="Arial" w:eastAsia="Arial" w:hAnsi="Arial"/>
          <w:sz w:val="18"/>
          <w:szCs w:val="18"/>
          <w:color w:val="auto"/>
        </w:rPr>
        <w:t>or safer treatments enter the market. If public perception is influenced by claims that the use of certain precision oncology product candidates or immunotherapies and targeted therapies is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22" w:lineRule="exact"/>
        <w:rPr>
          <w:sz w:val="20"/>
          <w:szCs w:val="20"/>
          <w:color w:val="auto"/>
        </w:rPr>
      </w:pPr>
    </w:p>
    <w:p>
      <w:pPr>
        <w:ind w:firstLine="576"/>
        <w:spacing w:after="0" w:line="284" w:lineRule="auto"/>
        <w:rPr>
          <w:sz w:val="20"/>
          <w:szCs w:val="20"/>
          <w:color w:val="auto"/>
        </w:rPr>
      </w:pPr>
      <w:r>
        <w:rPr>
          <w:rFonts w:ascii="Arial" w:cs="Arial" w:eastAsia="Arial" w:hAnsi="Arial"/>
          <w:sz w:val="16"/>
          <w:szCs w:val="16"/>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47" w:lineRule="exact"/>
        <w:rPr>
          <w:sz w:val="20"/>
          <w:szCs w:val="20"/>
          <w:color w:val="auto"/>
        </w:rPr>
      </w:pPr>
    </w:p>
    <w:p>
      <w:pPr>
        <w:ind w:right="640" w:firstLine="198"/>
        <w:spacing w:after="0" w:line="244" w:lineRule="auto"/>
        <w:rPr>
          <w:sz w:val="20"/>
          <w:szCs w:val="20"/>
          <w:color w:val="auto"/>
        </w:rPr>
      </w:pPr>
      <w:r>
        <w:rPr>
          <w:rFonts w:ascii="Arial" w:cs="Arial" w:eastAsia="Arial" w:hAnsi="Arial"/>
          <w:sz w:val="18"/>
          <w:szCs w:val="18"/>
          <w:color w:val="auto"/>
        </w:rPr>
        <w:t>the efficacy of our current product candidates and any future product candidates as single agents and in combination with marketed combination therapies or other therapies that are also pending regulatory approval;</w:t>
      </w:r>
    </w:p>
    <w:p>
      <w:pPr>
        <w:ind w:left="200"/>
        <w:spacing w:after="0" w:line="234" w:lineRule="auto"/>
        <w:rPr>
          <w:sz w:val="20"/>
          <w:szCs w:val="20"/>
          <w:color w:val="auto"/>
        </w:rPr>
      </w:pPr>
      <w:r>
        <w:rPr>
          <w:rFonts w:ascii="Arial" w:cs="Arial" w:eastAsia="Arial" w:hAnsi="Arial"/>
          <w:sz w:val="18"/>
          <w:szCs w:val="18"/>
          <w:color w:val="auto"/>
        </w:rPr>
        <w:t>the commercial success of the checkpoint blockade drugs with which certain of our products may be co-administered;</w:t>
      </w:r>
    </w:p>
    <w:p>
      <w:pPr>
        <w:spacing w:after="0" w:line="1" w:lineRule="exact"/>
        <w:rPr>
          <w:sz w:val="20"/>
          <w:szCs w:val="20"/>
          <w:color w:val="auto"/>
        </w:rPr>
      </w:pPr>
    </w:p>
    <w:p>
      <w:pPr>
        <w:ind w:right="260" w:firstLine="198"/>
        <w:spacing w:after="0" w:line="234" w:lineRule="auto"/>
        <w:rPr>
          <w:sz w:val="20"/>
          <w:szCs w:val="20"/>
          <w:color w:val="auto"/>
        </w:rPr>
      </w:pPr>
      <w:r>
        <w:rPr>
          <w:rFonts w:ascii="Arial" w:cs="Arial" w:eastAsia="Arial" w:hAnsi="Arial"/>
          <w:sz w:val="18"/>
          <w:szCs w:val="18"/>
          <w:color w:val="auto"/>
        </w:rPr>
        <w:t>the prevalence and severity of adverse events associated with our current product candidates and any future product candidates or those products with which they may be co-administered;</w:t>
      </w:r>
    </w:p>
    <w:p>
      <w:pPr>
        <w:ind w:left="200"/>
        <w:spacing w:after="0" w:line="236" w:lineRule="auto"/>
        <w:rPr>
          <w:sz w:val="20"/>
          <w:szCs w:val="20"/>
          <w:color w:val="auto"/>
        </w:rPr>
      </w:pPr>
      <w:r>
        <w:rPr>
          <w:rFonts w:ascii="Arial" w:cs="Arial" w:eastAsia="Arial" w:hAnsi="Arial"/>
          <w:sz w:val="18"/>
          <w:szCs w:val="18"/>
          <w:color w:val="auto"/>
        </w:rPr>
        <w:t>the clinical indications for which our product candidates are approved and the approved claims that we may make for the products;</w:t>
      </w:r>
    </w:p>
    <w:p>
      <w:pPr>
        <w:ind w:right="140" w:firstLine="198"/>
        <w:spacing w:after="0" w:line="264" w:lineRule="auto"/>
        <w:rPr>
          <w:sz w:val="20"/>
          <w:szCs w:val="20"/>
          <w:color w:val="auto"/>
        </w:rPr>
      </w:pPr>
      <w:r>
        <w:rPr>
          <w:rFonts w:ascii="Arial" w:cs="Arial" w:eastAsia="Arial" w:hAnsi="Arial"/>
          <w:sz w:val="16"/>
          <w:szCs w:val="16"/>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ind w:right="160" w:firstLine="198"/>
        <w:spacing w:after="0" w:line="264" w:lineRule="auto"/>
        <w:rPr>
          <w:sz w:val="20"/>
          <w:szCs w:val="20"/>
          <w:color w:val="auto"/>
        </w:rPr>
      </w:pPr>
      <w:r>
        <w:rPr>
          <w:rFonts w:ascii="Arial" w:cs="Arial" w:eastAsia="Arial" w:hAnsi="Arial"/>
          <w:sz w:val="16"/>
          <w:szCs w:val="16"/>
          <w:color w:val="auto"/>
        </w:rPr>
        <w:t>changes in the standard of care for the targeted indications of our current product candidates and any future product candidates, which could reduce the marketing impact of any claims that we could make following FDA approval or approval by comparable foreign regulatory authorities, if obtained;</w:t>
      </w:r>
    </w:p>
    <w:p>
      <w:pPr>
        <w:ind w:right="140" w:firstLine="198"/>
        <w:spacing w:after="0" w:line="234" w:lineRule="auto"/>
        <w:rPr>
          <w:sz w:val="20"/>
          <w:szCs w:val="20"/>
          <w:color w:val="auto"/>
        </w:rPr>
      </w:pPr>
      <w:r>
        <w:rPr>
          <w:rFonts w:ascii="Arial" w:cs="Arial" w:eastAsia="Arial" w:hAnsi="Arial"/>
          <w:sz w:val="18"/>
          <w:szCs w:val="18"/>
          <w:color w:val="auto"/>
        </w:rPr>
        <w:t>the relative convenience and ease of administration of our current product candidates and any future product candidates (including the number of doses required in a given period) and any products with which they are co-administered;</w:t>
      </w:r>
    </w:p>
    <w:p>
      <w:pPr>
        <w:ind w:left="200"/>
        <w:spacing w:after="0" w:line="236" w:lineRule="auto"/>
        <w:rPr>
          <w:sz w:val="20"/>
          <w:szCs w:val="20"/>
          <w:color w:val="auto"/>
        </w:rPr>
      </w:pPr>
      <w:r>
        <w:rPr>
          <w:rFonts w:ascii="Arial" w:cs="Arial" w:eastAsia="Arial" w:hAnsi="Arial"/>
          <w:sz w:val="18"/>
          <w:szCs w:val="18"/>
          <w:color w:val="auto"/>
        </w:rPr>
        <w:t>the cost of treatment compared with the economic and clinical benefit of alternative treatments or therapies;</w:t>
      </w:r>
    </w:p>
    <w:p>
      <w:pPr>
        <w:ind w:right="720" w:firstLine="198"/>
        <w:spacing w:after="0" w:line="234" w:lineRule="auto"/>
        <w:rPr>
          <w:sz w:val="20"/>
          <w:szCs w:val="20"/>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ind w:left="200"/>
        <w:spacing w:after="0" w:line="236" w:lineRule="auto"/>
        <w:rPr>
          <w:sz w:val="20"/>
          <w:szCs w:val="20"/>
          <w:color w:val="auto"/>
        </w:rPr>
      </w:pPr>
      <w:r>
        <w:rPr>
          <w:rFonts w:ascii="Arial" w:cs="Arial" w:eastAsia="Arial" w:hAnsi="Arial"/>
          <w:sz w:val="18"/>
          <w:szCs w:val="18"/>
          <w:color w:val="auto"/>
        </w:rPr>
        <w:t>the price concessions required by third-party payors to obtain coverage;</w:t>
      </w:r>
    </w:p>
    <w:p>
      <w:pPr>
        <w:ind w:left="200"/>
        <w:spacing w:after="0" w:line="235" w:lineRule="auto"/>
        <w:rPr>
          <w:sz w:val="20"/>
          <w:szCs w:val="20"/>
          <w:color w:val="auto"/>
        </w:rPr>
      </w:pPr>
      <w:r>
        <w:rPr>
          <w:rFonts w:ascii="Arial" w:cs="Arial" w:eastAsia="Arial" w:hAnsi="Arial"/>
          <w:sz w:val="18"/>
          <w:szCs w:val="18"/>
          <w:color w:val="auto"/>
        </w:rPr>
        <w:t>the willingness of patients to pay out-of-pocket in the absence of adequate coverage and reimbursement;</w:t>
      </w:r>
    </w:p>
    <w:p>
      <w:pPr>
        <w:ind w:left="200"/>
        <w:spacing w:after="0" w:line="235" w:lineRule="auto"/>
        <w:rPr>
          <w:sz w:val="20"/>
          <w:szCs w:val="20"/>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ind w:left="200" w:right="40"/>
        <w:spacing w:after="0" w:line="264" w:lineRule="auto"/>
        <w:rPr>
          <w:sz w:val="20"/>
          <w:szCs w:val="20"/>
          <w:color w:val="auto"/>
        </w:rPr>
      </w:pPr>
      <w:r>
        <w:rPr>
          <w:rFonts w:ascii="Arial" w:cs="Arial" w:eastAsia="Arial" w:hAnsi="Arial"/>
          <w:sz w:val="16"/>
          <w:szCs w:val="16"/>
          <w:color w:val="auto"/>
        </w:rPr>
        <w:t>the safety, efficacy, and other potential advantages over, and availability of, alternative treatments already used or that may later be approved; distribution and use restrictions imposed by the FDA or comparable foreign regulatory authorities with respect to our current product candidates and any</w:t>
      </w:r>
    </w:p>
    <w:p>
      <w:pPr>
        <w:ind w:left="200" w:right="780" w:hanging="197"/>
        <w:spacing w:after="0" w:line="264" w:lineRule="auto"/>
        <w:rPr>
          <w:sz w:val="20"/>
          <w:szCs w:val="20"/>
          <w:color w:val="auto"/>
        </w:rPr>
      </w:pPr>
      <w:r>
        <w:rPr>
          <w:rFonts w:ascii="Arial" w:cs="Arial" w:eastAsia="Arial" w:hAnsi="Arial"/>
          <w:sz w:val="16"/>
          <w:szCs w:val="16"/>
          <w:color w:val="auto"/>
        </w:rPr>
        <w:t>future product candidates or to which we agree as part of a risk evaluation and mitigation strategy, or REMS, or voluntary risk management plan; the timing of market introduction of our current product candidates and any future product candidates, as well as competitive products;</w:t>
      </w:r>
    </w:p>
    <w:p>
      <w:pPr>
        <w:jc w:val="both"/>
        <w:ind w:left="200" w:right="2820"/>
        <w:spacing w:after="0" w:line="248" w:lineRule="auto"/>
        <w:rPr>
          <w:sz w:val="20"/>
          <w:szCs w:val="20"/>
          <w:color w:val="auto"/>
        </w:rPr>
      </w:pPr>
      <w:r>
        <w:rPr>
          <w:rFonts w:ascii="Arial" w:cs="Arial" w:eastAsia="Arial" w:hAnsi="Arial"/>
          <w:sz w:val="17"/>
          <w:szCs w:val="17"/>
          <w:color w:val="auto"/>
        </w:rPr>
        <w:t>our ability to offer our current product candidates and any future product candidates for sale at competitive prices; the willingness of the target patient population to try new therapies and of physicians to prescribe these therapies; the extent and strength of our third-party manufacturer and supplier support;</w:t>
      </w:r>
    </w:p>
    <w:p>
      <w:pPr>
        <w:spacing w:after="0" w:line="2" w:lineRule="exact"/>
        <w:rPr>
          <w:sz w:val="20"/>
          <w:szCs w:val="20"/>
          <w:color w:val="auto"/>
        </w:rPr>
      </w:pPr>
    </w:p>
    <w:p>
      <w:pPr>
        <w:ind w:left="200" w:right="20"/>
        <w:spacing w:after="0" w:line="234" w:lineRule="auto"/>
        <w:rPr>
          <w:sz w:val="20"/>
          <w:szCs w:val="20"/>
          <w:color w:val="auto"/>
        </w:rPr>
      </w:pPr>
      <w:r>
        <w:rPr>
          <w:rFonts w:ascii="Arial" w:cs="Arial" w:eastAsia="Arial" w:hAnsi="Arial"/>
          <w:sz w:val="18"/>
          <w:szCs w:val="18"/>
          <w:color w:val="auto"/>
        </w:rPr>
        <w:t>the actions of companies that market any products with which our current product candidates and any future product candidates may be co-administered; the approval of other new products;</w:t>
      </w:r>
    </w:p>
    <w:p>
      <w:pPr>
        <w:spacing w:after="0" w:line="1" w:lineRule="exact"/>
        <w:rPr>
          <w:sz w:val="20"/>
          <w:szCs w:val="20"/>
          <w:color w:val="auto"/>
        </w:rPr>
      </w:pPr>
    </w:p>
    <w:p>
      <w:pPr>
        <w:ind w:right="560" w:firstLine="198"/>
        <w:spacing w:after="0" w:line="234" w:lineRule="auto"/>
        <w:rPr>
          <w:sz w:val="20"/>
          <w:szCs w:val="20"/>
          <w:color w:val="auto"/>
        </w:rPr>
      </w:pPr>
      <w:r>
        <w:rPr>
          <w:rFonts w:ascii="Arial" w:cs="Arial" w:eastAsia="Arial" w:hAnsi="Arial"/>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potential product liability claims.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ind w:firstLine="576"/>
        <w:spacing w:after="0" w:line="239" w:lineRule="auto"/>
        <w:rPr>
          <w:sz w:val="20"/>
          <w:szCs w:val="20"/>
          <w:color w:val="auto"/>
        </w:rPr>
      </w:pPr>
      <w:r>
        <w:rPr>
          <w:rFonts w:ascii="Arial" w:cs="Arial" w:eastAsia="Arial" w:hAnsi="Arial"/>
          <w:sz w:val="18"/>
          <w:szCs w:val="18"/>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 of TNG908, and for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number of reasons, including elements of the design or execution of the trials or safety concerns or other trial results.</w:t>
      </w:r>
    </w:p>
    <w:p>
      <w:pPr>
        <w:spacing w:after="0" w:line="123" w:lineRule="exact"/>
        <w:rPr>
          <w:sz w:val="20"/>
          <w:szCs w:val="20"/>
          <w:color w:val="auto"/>
        </w:rPr>
      </w:pPr>
    </w:p>
    <w:p>
      <w:pPr>
        <w:ind w:right="60" w:firstLine="576"/>
        <w:spacing w:after="0" w:line="274" w:lineRule="auto"/>
        <w:rPr>
          <w:sz w:val="20"/>
          <w:szCs w:val="20"/>
          <w:color w:val="auto"/>
        </w:rPr>
      </w:pPr>
      <w:r>
        <w:rPr>
          <w:rFonts w:ascii="Arial" w:cs="Arial" w:eastAsia="Arial" w:hAnsi="Arial"/>
          <w:sz w:val="16"/>
          <w:szCs w:val="16"/>
          <w:color w:val="auto"/>
        </w:rPr>
        <w:t>We are likely to have certain information rights with respect to the investigator-sponsored trials, including access to and the ability to use and reference the data, including for our own regulatory filings.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82"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We rely and expect to continue to rely heavily on third parties for execution of clinical trials for our product candidates and control only certain aspects of their activities (and such control may be based on contractual provisions that may be breached by the third-party). For example, for the Phase 1/2 clinical trial of TNG908, we expect to rely on one CRO for the conduct of the trial and one manufacturer to manufacture the study drug to be used during the course of the trial. We are responsible for ensuring that each of our clinical trials and the study drug is conducted and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26" w:lineRule="exact"/>
        <w:rPr>
          <w:sz w:val="20"/>
          <w:szCs w:val="20"/>
          <w:color w:val="auto"/>
        </w:rPr>
      </w:pPr>
    </w:p>
    <w:p>
      <w:pPr>
        <w:ind w:right="20" w:firstLine="576"/>
        <w:spacing w:after="0" w:line="269" w:lineRule="auto"/>
        <w:rPr>
          <w:sz w:val="20"/>
          <w:szCs w:val="20"/>
          <w:color w:val="auto"/>
        </w:rPr>
      </w:pPr>
      <w:r>
        <w:rPr>
          <w:rFonts w:ascii="Arial" w:cs="Arial" w:eastAsia="Arial" w:hAnsi="Arial"/>
          <w:sz w:val="16"/>
          <w:szCs w:val="16"/>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generally must be conducted with product candidates produced under current Good Manufacturing Practice, or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00" w:lineRule="exact"/>
        <w:rPr>
          <w:sz w:val="20"/>
          <w:szCs w:val="20"/>
          <w:color w:val="auto"/>
        </w:rPr>
      </w:pPr>
    </w:p>
    <w:p>
      <w:pPr>
        <w:ind w:right="100" w:firstLine="576"/>
        <w:spacing w:after="0" w:line="274" w:lineRule="auto"/>
        <w:rPr>
          <w:sz w:val="20"/>
          <w:szCs w:val="20"/>
          <w:color w:val="auto"/>
        </w:rPr>
      </w:pPr>
      <w:r>
        <w:rPr>
          <w:rFonts w:ascii="Arial" w:cs="Arial" w:eastAsia="Arial" w:hAnsi="Arial"/>
          <w:sz w:val="16"/>
          <w:szCs w:val="16"/>
          <w:color w:val="auto"/>
        </w:rPr>
        <w:t>Although we have designed our Phase 1/2 clinical trial of TNG908 and intend to design the future clinical trials for our product candidates,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63"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jc w:val="both"/>
        <w:ind w:right="40"/>
        <w:spacing w:after="0" w:line="270" w:lineRule="auto"/>
        <w:rPr>
          <w:sz w:val="20"/>
          <w:szCs w:val="20"/>
          <w:color w:val="auto"/>
        </w:rPr>
      </w:pPr>
      <w:r>
        <w:rPr>
          <w:rFonts w:ascii="Arial" w:cs="Arial" w:eastAsia="Arial" w:hAnsi="Arial"/>
          <w:sz w:val="17"/>
          <w:szCs w:val="17"/>
          <w:color w:val="auto"/>
        </w:rPr>
        <w:t>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64" w:lineRule="exact"/>
        <w:rPr>
          <w:sz w:val="20"/>
          <w:szCs w:val="20"/>
          <w:color w:val="auto"/>
        </w:rPr>
      </w:pPr>
    </w:p>
    <w:p>
      <w:pPr>
        <w:ind w:right="60" w:firstLine="576"/>
        <w:spacing w:after="0" w:line="255" w:lineRule="auto"/>
        <w:rPr>
          <w:sz w:val="20"/>
          <w:szCs w:val="20"/>
          <w:color w:val="auto"/>
        </w:rPr>
      </w:pPr>
      <w:r>
        <w:rPr>
          <w:rFonts w:ascii="Arial" w:cs="Arial" w:eastAsia="Arial" w:hAnsi="Arial"/>
          <w:sz w:val="17"/>
          <w:szCs w:val="17"/>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28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63" w:lineRule="exact"/>
        <w:rPr>
          <w:sz w:val="20"/>
          <w:szCs w:val="20"/>
          <w:color w:val="auto"/>
        </w:rPr>
      </w:pPr>
    </w:p>
    <w:p>
      <w:pPr>
        <w:ind w:right="460" w:firstLine="576"/>
        <w:spacing w:after="0" w:line="261" w:lineRule="auto"/>
        <w:rPr>
          <w:sz w:val="20"/>
          <w:szCs w:val="20"/>
          <w:color w:val="auto"/>
        </w:rPr>
      </w:pPr>
      <w:r>
        <w:rPr>
          <w:rFonts w:ascii="Arial" w:cs="Arial" w:eastAsia="Arial" w:hAnsi="Arial"/>
          <w:sz w:val="18"/>
          <w:szCs w:val="18"/>
          <w:color w:val="auto"/>
        </w:rPr>
        <w:t>Research, development, commercialization and/or strategic collaborations, including the existing collaboration that we have with Gilead, are subject to numerous risks, which include the following:</w:t>
      </w:r>
    </w:p>
    <w:p>
      <w:pPr>
        <w:spacing w:after="0" w:line="63" w:lineRule="exact"/>
        <w:rPr>
          <w:sz w:val="20"/>
          <w:szCs w:val="20"/>
          <w:color w:val="auto"/>
        </w:rPr>
      </w:pPr>
    </w:p>
    <w:p>
      <w:pPr>
        <w:ind w:right="240" w:firstLine="198"/>
        <w:spacing w:after="0" w:line="244" w:lineRule="auto"/>
        <w:rPr>
          <w:sz w:val="20"/>
          <w:szCs w:val="20"/>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ind w:firstLine="198"/>
        <w:spacing w:after="0" w:line="234" w:lineRule="auto"/>
        <w:rPr>
          <w:sz w:val="20"/>
          <w:szCs w:val="20"/>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1" w:lineRule="exact"/>
        <w:rPr>
          <w:sz w:val="20"/>
          <w:szCs w:val="20"/>
          <w:color w:val="auto"/>
        </w:rPr>
      </w:pPr>
    </w:p>
    <w:p>
      <w:pPr>
        <w:ind w:right="260" w:firstLine="198"/>
        <w:spacing w:after="0" w:line="248" w:lineRule="auto"/>
        <w:rPr>
          <w:sz w:val="20"/>
          <w:szCs w:val="20"/>
          <w:color w:val="auto"/>
        </w:rPr>
      </w:pPr>
      <w:r>
        <w:rPr>
          <w:rFonts w:ascii="Arial" w:cs="Arial" w:eastAsia="Arial" w:hAnsi="Arial"/>
          <w:sz w:val="17"/>
          <w:szCs w:val="17"/>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2" w:lineRule="exact"/>
        <w:rPr>
          <w:sz w:val="20"/>
          <w:szCs w:val="20"/>
          <w:color w:val="auto"/>
        </w:rPr>
      </w:pPr>
    </w:p>
    <w:p>
      <w:pPr>
        <w:ind w:right="160" w:firstLine="198"/>
        <w:spacing w:after="0" w:line="234" w:lineRule="auto"/>
        <w:rPr>
          <w:sz w:val="20"/>
          <w:szCs w:val="20"/>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1" w:lineRule="exact"/>
        <w:rPr>
          <w:sz w:val="20"/>
          <w:szCs w:val="20"/>
          <w:color w:val="auto"/>
        </w:rPr>
      </w:pPr>
    </w:p>
    <w:p>
      <w:pPr>
        <w:ind w:right="140" w:firstLine="198"/>
        <w:spacing w:after="0" w:line="234" w:lineRule="auto"/>
        <w:rPr>
          <w:sz w:val="20"/>
          <w:szCs w:val="20"/>
          <w:color w:val="auto"/>
        </w:rPr>
      </w:pPr>
      <w:r>
        <w:rPr>
          <w:rFonts w:ascii="Arial" w:cs="Arial" w:eastAsia="Arial" w:hAnsi="Arial"/>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1" w:lineRule="exact"/>
        <w:rPr>
          <w:sz w:val="20"/>
          <w:szCs w:val="20"/>
          <w:color w:val="auto"/>
        </w:rPr>
      </w:pPr>
    </w:p>
    <w:p>
      <w:pPr>
        <w:ind w:left="200" w:right="260"/>
        <w:spacing w:after="0" w:line="264" w:lineRule="auto"/>
        <w:rPr>
          <w:sz w:val="20"/>
          <w:szCs w:val="20"/>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collaborators might not properly maintain or defend our intellectual property rights or might use our intellectual property improperly or in a way that</w:t>
      </w:r>
    </w:p>
    <w:p>
      <w:pPr>
        <w:spacing w:after="0" w:line="235" w:lineRule="auto"/>
        <w:rPr>
          <w:sz w:val="20"/>
          <w:szCs w:val="20"/>
          <w:color w:val="auto"/>
        </w:rPr>
      </w:pPr>
      <w:r>
        <w:rPr>
          <w:rFonts w:ascii="Arial" w:cs="Arial" w:eastAsia="Arial" w:hAnsi="Arial"/>
          <w:sz w:val="18"/>
          <w:szCs w:val="18"/>
          <w:color w:val="auto"/>
        </w:rPr>
        <w:t>jeopardizes our intellectual property or the potential commercial benefit of our product candidates or exposes us to potential liability;</w:t>
      </w:r>
    </w:p>
    <w:p>
      <w:pPr>
        <w:ind w:right="140" w:firstLine="198"/>
        <w:spacing w:after="0" w:line="234" w:lineRule="auto"/>
        <w:rPr>
          <w:sz w:val="20"/>
          <w:szCs w:val="20"/>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1" w:lineRule="exact"/>
        <w:rPr>
          <w:sz w:val="20"/>
          <w:szCs w:val="20"/>
          <w:color w:val="auto"/>
        </w:rPr>
      </w:pPr>
    </w:p>
    <w:p>
      <w:pPr>
        <w:ind w:left="200" w:right="200"/>
        <w:spacing w:after="0" w:line="264" w:lineRule="auto"/>
        <w:rPr>
          <w:sz w:val="20"/>
          <w:szCs w:val="20"/>
          <w:color w:val="auto"/>
        </w:rPr>
      </w:pPr>
      <w:r>
        <w:rPr>
          <w:rFonts w:ascii="Arial" w:cs="Arial" w:eastAsia="Arial" w:hAnsi="Arial"/>
          <w:sz w:val="16"/>
          <w:szCs w:val="16"/>
          <w:color w:val="auto"/>
        </w:rPr>
        <w:t>collaborators might not be in compliance with laws applicable to their activities under the collaboration, which could impact the collaboration and us; disputes might arise between a collaborator and us that could cause a delay or termination of the collaboration or result in costly litigation that diverts</w:t>
      </w:r>
    </w:p>
    <w:p>
      <w:pPr>
        <w:spacing w:after="0" w:line="235" w:lineRule="auto"/>
        <w:rPr>
          <w:sz w:val="20"/>
          <w:szCs w:val="20"/>
          <w:color w:val="auto"/>
        </w:rPr>
      </w:pPr>
      <w:r>
        <w:rPr>
          <w:rFonts w:ascii="Arial" w:cs="Arial" w:eastAsia="Arial" w:hAnsi="Arial"/>
          <w:sz w:val="18"/>
          <w:szCs w:val="18"/>
          <w:color w:val="auto"/>
        </w:rPr>
        <w:t>management attention and resources; and</w:t>
      </w:r>
    </w:p>
    <w:p>
      <w:pPr>
        <w:ind w:firstLine="198"/>
        <w:spacing w:after="0" w:line="243" w:lineRule="auto"/>
        <w:rPr>
          <w:sz w:val="20"/>
          <w:szCs w:val="20"/>
          <w:color w:val="auto"/>
        </w:rPr>
      </w:pPr>
      <w:r>
        <w:rPr>
          <w:rFonts w:ascii="Arial" w:cs="Arial" w:eastAsia="Arial" w:hAnsi="Arial"/>
          <w:sz w:val="18"/>
          <w:szCs w:val="18"/>
          <w:color w:val="auto"/>
        </w:rPr>
        <w:t>collaborations might be terminated, which could result in a need for additional capital to pursue further research, development and/or commercialization of our product candidates.</w:t>
      </w:r>
    </w:p>
    <w:p>
      <w:pPr>
        <w:spacing w:after="0" w:line="118" w:lineRule="exact"/>
        <w:rPr>
          <w:sz w:val="20"/>
          <w:szCs w:val="20"/>
          <w:color w:val="auto"/>
        </w:rPr>
      </w:pPr>
    </w:p>
    <w:p>
      <w:pPr>
        <w:ind w:right="560" w:firstLine="576"/>
        <w:spacing w:after="0" w:line="243" w:lineRule="auto"/>
        <w:rPr>
          <w:sz w:val="20"/>
          <w:szCs w:val="20"/>
          <w:color w:val="auto"/>
        </w:rPr>
      </w:pPr>
      <w:r>
        <w:rPr>
          <w:rFonts w:ascii="Arial" w:cs="Arial" w:eastAsia="Arial" w:hAnsi="Arial"/>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88" w:lineRule="exact"/>
        <w:rPr>
          <w:sz w:val="20"/>
          <w:szCs w:val="20"/>
          <w:color w:val="auto"/>
        </w:rPr>
      </w:pPr>
    </w:p>
    <w:p>
      <w:pPr>
        <w:ind w:right="120" w:firstLine="576"/>
        <w:spacing w:after="0" w:line="257" w:lineRule="auto"/>
        <w:rPr>
          <w:sz w:val="20"/>
          <w:szCs w:val="20"/>
          <w:color w:val="auto"/>
        </w:rPr>
      </w:pPr>
      <w:r>
        <w:rPr>
          <w:rFonts w:ascii="Arial" w:cs="Arial" w:eastAsia="Arial" w:hAnsi="Arial"/>
          <w:sz w:val="17"/>
          <w:szCs w:val="17"/>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54" w:name="page55"/>
    <w:bookmarkEnd w:id="54"/>
    <w:p>
      <w:pPr>
        <w:ind w:right="200" w:firstLine="576"/>
        <w:spacing w:after="0" w:line="291" w:lineRule="auto"/>
        <w:rPr>
          <w:sz w:val="20"/>
          <w:szCs w:val="20"/>
          <w:color w:val="auto"/>
        </w:rPr>
      </w:pPr>
      <w:r>
        <w:rPr>
          <w:rFonts w:ascii="Arial" w:cs="Arial" w:eastAsia="Arial" w:hAnsi="Arial"/>
          <w:sz w:val="17"/>
          <w:szCs w:val="17"/>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255" w:lineRule="exact"/>
        <w:rPr>
          <w:sz w:val="20"/>
          <w:szCs w:val="20"/>
          <w:color w:val="auto"/>
        </w:rPr>
      </w:pPr>
    </w:p>
    <w:p>
      <w:pPr>
        <w:ind w:right="160"/>
        <w:spacing w:after="0" w:line="322"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1" w:lineRule="exact"/>
        <w:rPr>
          <w:sz w:val="20"/>
          <w:szCs w:val="20"/>
          <w:color w:val="auto"/>
        </w:rPr>
      </w:pPr>
    </w:p>
    <w:p>
      <w:pPr>
        <w:ind w:right="60" w:firstLine="576"/>
        <w:spacing w:after="0" w:line="271"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to manufacture our preclinical and clinical products and we exercise limited direct control over this manufacturer (and it would be time consuming and expensive to move production to a new manufacturer, if we were able to do so at all). This reliance on third parties increases the risk that we will not have sufficient quantities of our product candidates or products or such quantities at an acceptable cost or quality, which could delay, prevent or impair our development or commercialization efforts. For example, we rely on a limited number of CROs to perform certain chemistry-related work on our preclinical product candidates. One such CRO is located in Ukraine, which was invaded by Russia in February 2022 and, as a result, their work on our behalf of was interrupted. Another CRO, with operations in Shanghai, was impacted when lock-down procedures were recently implemented due to COVID-19 and was unable to operate at full capacity. Events such as those in Ukraine and China may delay development of our future product candidates, and such delay may materially impact the timing for moving products into development candidate stage and IND-enabling studies, as well as initiating trials.</w:t>
      </w:r>
    </w:p>
    <w:p>
      <w:pPr>
        <w:spacing w:after="0" w:line="118" w:lineRule="exact"/>
        <w:rPr>
          <w:sz w:val="20"/>
          <w:szCs w:val="20"/>
          <w:color w:val="auto"/>
        </w:rPr>
      </w:pPr>
    </w:p>
    <w:p>
      <w:pPr>
        <w:ind w:right="20" w:firstLine="576"/>
        <w:spacing w:after="0" w:line="271" w:lineRule="auto"/>
        <w:rPr>
          <w:sz w:val="20"/>
          <w:szCs w:val="20"/>
          <w:color w:val="auto"/>
        </w:rPr>
      </w:pPr>
      <w:r>
        <w:rPr>
          <w:rFonts w:ascii="Arial" w:cs="Arial" w:eastAsia="Arial" w:hAnsi="Arial"/>
          <w:sz w:val="16"/>
          <w:szCs w:val="16"/>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69" w:lineRule="exact"/>
        <w:rPr>
          <w:sz w:val="20"/>
          <w:szCs w:val="20"/>
          <w:color w:val="auto"/>
        </w:rPr>
      </w:pPr>
    </w:p>
    <w:p>
      <w:pPr>
        <w:ind w:right="40" w:firstLine="576"/>
        <w:spacing w:after="0" w:line="251" w:lineRule="auto"/>
        <w:rPr>
          <w:sz w:val="20"/>
          <w:szCs w:val="20"/>
          <w:color w:val="auto"/>
        </w:rPr>
      </w:pPr>
      <w:r>
        <w:rPr>
          <w:rFonts w:ascii="Arial" w:cs="Arial" w:eastAsia="Arial" w:hAnsi="Arial"/>
          <w:sz w:val="17"/>
          <w:szCs w:val="17"/>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8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5" w:name="page56"/>
    <w:bookmarkEnd w:id="55"/>
    <w:p>
      <w:pPr>
        <w:ind w:right="400" w:firstLine="576"/>
        <w:spacing w:after="0" w:line="261" w:lineRule="auto"/>
        <w:rPr>
          <w:sz w:val="20"/>
          <w:szCs w:val="20"/>
          <w:color w:val="auto"/>
        </w:rPr>
      </w:pPr>
      <w:r>
        <w:rPr>
          <w:rFonts w:ascii="Arial" w:cs="Arial" w:eastAsia="Arial" w:hAnsi="Arial"/>
          <w:sz w:val="18"/>
          <w:szCs w:val="18"/>
          <w:color w:val="auto"/>
        </w:rPr>
        <w:t>We may be unable to establish any additional agreements with third-party manufacturers or do so on acceptable terms. Reliance on third-party manufacturers entails additional risks, including:</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reliance on the third party for regulatory compliance and quality assurance;</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possible breach of the manufacturing agreement by the third party;</w:t>
      </w:r>
    </w:p>
    <w:p>
      <w:pPr>
        <w:ind w:left="680"/>
        <w:spacing w:after="0" w:line="234" w:lineRule="auto"/>
        <w:rPr>
          <w:sz w:val="20"/>
          <w:szCs w:val="20"/>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9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28" w:lineRule="exact"/>
        <w:rPr>
          <w:sz w:val="20"/>
          <w:szCs w:val="20"/>
          <w:color w:val="auto"/>
        </w:rPr>
      </w:pPr>
    </w:p>
    <w:p>
      <w:pPr>
        <w:ind w:right="20" w:firstLine="621"/>
        <w:spacing w:after="0" w:line="248"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82" w:lineRule="exact"/>
        <w:rPr>
          <w:sz w:val="20"/>
          <w:szCs w:val="20"/>
          <w:color w:val="auto"/>
        </w:rPr>
      </w:pPr>
    </w:p>
    <w:p>
      <w:pPr>
        <w:ind w:right="380" w:firstLine="576"/>
        <w:spacing w:after="0" w:line="291"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5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63"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 active pharmaceutical ingredients, or API, and drug product we expect to use in all of our product candidates are supplied to us from single-source suppliers. In some cases, both the API and drug product are manufactured and supplied by the same single-source (as is the case with respect to the supply of TNG908 for use in our Phase 1/2 clinical trial). Our ability to successfully develop our product candidates, and to ultimately supply our commercial products in quantities sufficient to meet the market demand (and to meet requirements in connection with our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global health concerns such as the ongoing COVID-19 pandemic, as well as potential supply chain disruptions or cost increases related thereto, will affect our third-party suppliers and manufacturers. Any negative impact of such matters on our third-party suppliers and manufacturers may also have an adverse impact on our results of operations or financial condition.</w:t>
      </w:r>
    </w:p>
    <w:p>
      <w:pPr>
        <w:spacing w:after="0" w:line="191" w:lineRule="exact"/>
        <w:rPr>
          <w:sz w:val="20"/>
          <w:szCs w:val="20"/>
          <w:color w:val="auto"/>
        </w:rPr>
      </w:pPr>
    </w:p>
    <w:p>
      <w:pPr>
        <w:ind w:right="320" w:firstLine="576"/>
        <w:spacing w:after="0"/>
        <w:rPr>
          <w:sz w:val="20"/>
          <w:szCs w:val="20"/>
          <w:color w:val="auto"/>
        </w:rPr>
      </w:pPr>
      <w:r>
        <w:rPr>
          <w:rFonts w:ascii="Arial" w:cs="Arial" w:eastAsia="Arial" w:hAnsi="Arial"/>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9"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Establishing additional or replacement suppliers for the API and drug product used in our product candidates,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29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3"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6" w:name="page57"/>
    <w:bookmarkEnd w:id="56"/>
    <w:p>
      <w:pPr>
        <w:ind w:right="80" w:firstLine="576"/>
        <w:spacing w:after="0" w:line="271"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69" w:lineRule="exact"/>
        <w:rPr>
          <w:sz w:val="20"/>
          <w:szCs w:val="20"/>
          <w:color w:val="auto"/>
        </w:rPr>
      </w:pPr>
    </w:p>
    <w:p>
      <w:pPr>
        <w:ind w:right="520" w:firstLine="576"/>
        <w:spacing w:after="0" w:line="294" w:lineRule="auto"/>
        <w:rPr>
          <w:sz w:val="20"/>
          <w:szCs w:val="20"/>
          <w:color w:val="auto"/>
        </w:rPr>
      </w:pPr>
      <w:r>
        <w:rPr>
          <w:rFonts w:ascii="Arial" w:cs="Arial" w:eastAsia="Arial" w:hAnsi="Arial"/>
          <w:sz w:val="16"/>
          <w:szCs w:val="16"/>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7" w:lineRule="exact"/>
        <w:rPr>
          <w:sz w:val="20"/>
          <w:szCs w:val="20"/>
          <w:color w:val="auto"/>
        </w:rPr>
      </w:pPr>
    </w:p>
    <w:p>
      <w:pPr>
        <w:ind w:firstLine="576"/>
        <w:spacing w:after="0" w:line="255"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180" w:lineRule="exact"/>
        <w:rPr>
          <w:sz w:val="20"/>
          <w:szCs w:val="20"/>
          <w:color w:val="auto"/>
        </w:rPr>
      </w:pPr>
    </w:p>
    <w:p>
      <w:pPr>
        <w:ind w:right="40" w:firstLine="576"/>
        <w:spacing w:after="0" w:line="255"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39"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 As of the date of the filing of this Quarterly Report on Form 10-Q, we have filed patent applications, but have no issued patents in the United States or elsewhere for our product candidates.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7" w:name="page58"/>
    <w:bookmarkEnd w:id="57"/>
    <w:p>
      <w:pPr>
        <w:ind w:firstLine="576"/>
        <w:spacing w:after="0" w:line="255"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the intellectual property protections we may obtain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80" w:lineRule="exact"/>
        <w:rPr>
          <w:sz w:val="20"/>
          <w:szCs w:val="20"/>
          <w:color w:val="auto"/>
        </w:rPr>
      </w:pPr>
    </w:p>
    <w:p>
      <w:pPr>
        <w:ind w:right="40" w:firstLine="576"/>
        <w:spacing w:after="0" w:line="253" w:lineRule="auto"/>
        <w:rPr>
          <w:sz w:val="20"/>
          <w:szCs w:val="20"/>
          <w:color w:val="auto"/>
        </w:rPr>
      </w:pPr>
      <w:r>
        <w:rPr>
          <w:rFonts w:ascii="Arial" w:cs="Arial" w:eastAsia="Arial" w:hAnsi="Arial"/>
          <w:sz w:val="17"/>
          <w:szCs w:val="17"/>
          <w:color w:val="auto"/>
        </w:rPr>
        <w:t>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80" w:lineRule="exact"/>
        <w:rPr>
          <w:sz w:val="20"/>
          <w:szCs w:val="20"/>
          <w:color w:val="auto"/>
        </w:rPr>
      </w:pPr>
    </w:p>
    <w:p>
      <w:pPr>
        <w:ind w:right="40" w:firstLine="576"/>
        <w:spacing w:after="0" w:line="254"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81"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4" w:lineRule="exact"/>
        <w:rPr>
          <w:sz w:val="20"/>
          <w:szCs w:val="20"/>
          <w:color w:val="auto"/>
        </w:rPr>
      </w:pPr>
    </w:p>
    <w:p>
      <w:pPr>
        <w:ind w:right="20" w:firstLine="576"/>
        <w:spacing w:after="0" w:line="252" w:lineRule="auto"/>
        <w:rPr>
          <w:sz w:val="20"/>
          <w:szCs w:val="20"/>
          <w:color w:val="auto"/>
        </w:rPr>
      </w:pPr>
      <w:r>
        <w:rPr>
          <w:rFonts w:ascii="Arial" w:cs="Arial" w:eastAsia="Arial" w:hAnsi="Arial"/>
          <w:sz w:val="17"/>
          <w:szCs w:val="17"/>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United States and abroad. We may become involved in post-grant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from whom we license or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ind w:right="480"/>
        <w:spacing w:after="0" w:line="324" w:lineRule="auto"/>
        <w:rPr>
          <w:sz w:val="20"/>
          <w:szCs w:val="20"/>
          <w:color w:val="auto"/>
        </w:rPr>
      </w:pPr>
      <w:r>
        <w:rPr>
          <w:rFonts w:ascii="Arial" w:cs="Arial" w:eastAsia="Arial" w:hAnsi="Arial"/>
          <w:sz w:val="16"/>
          <w:szCs w:val="16"/>
          <w:color w:val="auto"/>
        </w:rPr>
        <w:t>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2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9" w:lineRule="exact"/>
        <w:rPr>
          <w:sz w:val="20"/>
          <w:szCs w:val="20"/>
          <w:color w:val="auto"/>
        </w:rPr>
      </w:pPr>
    </w:p>
    <w:p>
      <w:pPr>
        <w:ind w:right="240" w:firstLine="576"/>
        <w:spacing w:after="0" w:line="276"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91" w:lineRule="exact"/>
        <w:rPr>
          <w:sz w:val="20"/>
          <w:szCs w:val="20"/>
          <w:color w:val="auto"/>
        </w:rPr>
      </w:pPr>
    </w:p>
    <w:p>
      <w:pPr>
        <w:ind w:right="260" w:firstLine="576"/>
        <w:spacing w:after="0" w:line="243" w:lineRule="auto"/>
        <w:rPr>
          <w:sz w:val="20"/>
          <w:szCs w:val="20"/>
          <w:color w:val="auto"/>
        </w:rPr>
      </w:pPr>
      <w:r>
        <w:rPr>
          <w:rFonts w:ascii="Arial" w:cs="Arial" w:eastAsia="Arial" w:hAnsi="Arial"/>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215"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56" w:lineRule="exact"/>
        <w:rPr>
          <w:sz w:val="20"/>
          <w:szCs w:val="20"/>
          <w:color w:val="auto"/>
        </w:rPr>
      </w:pPr>
    </w:p>
    <w:p>
      <w:pPr>
        <w:ind w:right="40" w:firstLine="576"/>
        <w:spacing w:after="0" w:line="272"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right="60" w:firstLine="576"/>
        <w:spacing w:after="0" w:line="279"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9" w:name="page60"/>
    <w:bookmarkEnd w:id="59"/>
    <w:p>
      <w:pPr>
        <w:ind w:right="20"/>
        <w:spacing w:after="0" w:line="254" w:lineRule="auto"/>
        <w:rPr>
          <w:sz w:val="20"/>
          <w:szCs w:val="20"/>
          <w:color w:val="auto"/>
        </w:rPr>
      </w:pPr>
      <w:r>
        <w:rPr>
          <w:rFonts w:ascii="Arial" w:cs="Arial" w:eastAsia="Arial" w:hAnsi="Arial"/>
          <w:sz w:val="17"/>
          <w:szCs w:val="17"/>
          <w:color w:val="auto"/>
        </w:rPr>
        <w:t>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9"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4" w:lineRule="exact"/>
        <w:rPr>
          <w:sz w:val="20"/>
          <w:szCs w:val="20"/>
          <w:color w:val="auto"/>
        </w:rPr>
      </w:pPr>
    </w:p>
    <w:p>
      <w:pPr>
        <w:ind w:firstLine="576"/>
        <w:spacing w:after="0" w:line="270" w:lineRule="auto"/>
        <w:rPr>
          <w:sz w:val="20"/>
          <w:szCs w:val="20"/>
          <w:color w:val="auto"/>
        </w:rPr>
      </w:pPr>
      <w:r>
        <w:rPr>
          <w:rFonts w:ascii="Arial" w:cs="Arial" w:eastAsia="Arial" w:hAnsi="Arial"/>
          <w:sz w:val="16"/>
          <w:szCs w:val="16"/>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Further we have not, and may not, register for trademark protection in every potential jurisdiction where we may conduct business or sell products (if approved). During the trademark registration process, we have in the past received and may in the future receive Office Actions from the USPTO or from comparable agencies in foreign jurisdictions objecting to the registration of our trademark. Although we may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do not seek registered trademarks, or establish name recognition based on our trademarks and trade names, we may not be able to compete effectively and our business may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0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94" w:lineRule="exact"/>
        <w:rPr>
          <w:sz w:val="20"/>
          <w:szCs w:val="20"/>
          <w:color w:val="auto"/>
        </w:rPr>
      </w:pPr>
    </w:p>
    <w:p>
      <w:pPr>
        <w:ind w:right="20" w:firstLine="576"/>
        <w:spacing w:after="0" w:line="274" w:lineRule="auto"/>
        <w:rPr>
          <w:sz w:val="20"/>
          <w:szCs w:val="20"/>
          <w:color w:val="auto"/>
        </w:rPr>
      </w:pPr>
      <w:r>
        <w:rPr>
          <w:rFonts w:ascii="Arial" w:cs="Arial" w:eastAsia="Arial" w:hAnsi="Arial"/>
          <w:sz w:val="16"/>
          <w:szCs w:val="16"/>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or proprietary information to third parties, we will not be able to establish or maintain a competitive advantage in our market, which could materially adversely affect our business, financial condition, results of operations and future prospects.</w:t>
      </w:r>
    </w:p>
    <w:p>
      <w:pPr>
        <w:spacing w:after="0" w:line="96"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0" w:name="page61"/>
    <w:bookmarkEnd w:id="60"/>
    <w:p>
      <w:pPr>
        <w:spacing w:after="0" w:line="324" w:lineRule="auto"/>
        <w:rPr>
          <w:sz w:val="20"/>
          <w:szCs w:val="20"/>
          <w:color w:val="auto"/>
        </w:rPr>
      </w:pPr>
      <w:r>
        <w:rPr>
          <w:rFonts w:ascii="Arial" w:cs="Arial" w:eastAsia="Arial" w:hAnsi="Arial"/>
          <w:sz w:val="16"/>
          <w:szCs w:val="16"/>
          <w:color w:val="auto"/>
        </w:rPr>
        <w:t>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43" w:lineRule="exact"/>
        <w:rPr>
          <w:sz w:val="20"/>
          <w:szCs w:val="20"/>
          <w:color w:val="auto"/>
        </w:rPr>
      </w:pPr>
    </w:p>
    <w:p>
      <w:pPr>
        <w:ind w:firstLine="576"/>
        <w:spacing w:after="0" w:line="269" w:lineRule="auto"/>
        <w:rPr>
          <w:sz w:val="20"/>
          <w:szCs w:val="20"/>
          <w:color w:val="auto"/>
        </w:rPr>
      </w:pPr>
      <w:r>
        <w:rPr>
          <w:rFonts w:ascii="Arial" w:cs="Arial" w:eastAsia="Arial" w:hAnsi="Arial"/>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7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3" w:lineRule="exact"/>
        <w:rPr>
          <w:sz w:val="20"/>
          <w:szCs w:val="20"/>
          <w:color w:val="auto"/>
        </w:rPr>
      </w:pPr>
    </w:p>
    <w:p>
      <w:pPr>
        <w:ind w:firstLine="576"/>
        <w:spacing w:after="0" w:line="268" w:lineRule="auto"/>
        <w:rPr>
          <w:sz w:val="20"/>
          <w:szCs w:val="20"/>
          <w:color w:val="auto"/>
        </w:rPr>
      </w:pPr>
      <w:r>
        <w:rPr>
          <w:rFonts w:ascii="Arial" w:cs="Arial" w:eastAsia="Arial" w:hAnsi="Arial"/>
          <w:sz w:val="16"/>
          <w:szCs w:val="16"/>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(and we may not be able to prevent the commercialization of the competitor product).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and may negatively impact our stock price.</w:t>
      </w:r>
    </w:p>
    <w:p>
      <w:pPr>
        <w:spacing w:after="0" w:line="104" w:lineRule="exact"/>
        <w:rPr>
          <w:sz w:val="20"/>
          <w:szCs w:val="20"/>
          <w:color w:val="auto"/>
        </w:rPr>
      </w:pPr>
    </w:p>
    <w:p>
      <w:pPr>
        <w:ind w:right="60" w:firstLine="576"/>
        <w:spacing w:after="0" w:line="270" w:lineRule="auto"/>
        <w:rPr>
          <w:sz w:val="20"/>
          <w:szCs w:val="20"/>
          <w:color w:val="auto"/>
        </w:rPr>
      </w:pPr>
      <w:r>
        <w:rPr>
          <w:rFonts w:ascii="Arial" w:cs="Arial" w:eastAsia="Arial" w:hAnsi="Arial"/>
          <w:sz w:val="16"/>
          <w:szCs w:val="16"/>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1" w:name="page62"/>
    <w:bookmarkEnd w:id="61"/>
    <w:p>
      <w:pPr>
        <w:ind w:right="40" w:firstLine="576"/>
        <w:spacing w:after="0" w:line="24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07"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9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63" w:lineRule="exact"/>
        <w:rPr>
          <w:sz w:val="20"/>
          <w:szCs w:val="20"/>
          <w:color w:val="auto"/>
        </w:rPr>
      </w:pPr>
    </w:p>
    <w:p>
      <w:pPr>
        <w:ind w:right="20" w:firstLine="576"/>
        <w:spacing w:after="0" w:line="27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initiate and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7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1"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2" w:name="page63"/>
    <w:bookmarkEnd w:id="62"/>
    <w:p>
      <w:pPr>
        <w:ind w:firstLine="576"/>
        <w:spacing w:after="0" w:line="270" w:lineRule="auto"/>
        <w:rPr>
          <w:sz w:val="20"/>
          <w:szCs w:val="20"/>
          <w:color w:val="auto"/>
        </w:rPr>
      </w:pPr>
      <w:r>
        <w:rPr>
          <w:rFonts w:ascii="Arial" w:cs="Arial" w:eastAsia="Arial" w:hAnsi="Arial"/>
          <w:sz w:val="16"/>
          <w:szCs w:val="16"/>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If such actions are successful, the third party may be able to, among other things, prevent launch of a product (which may happen only after the significant expense of development and clinical trials).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67" w:lineRule="exact"/>
        <w:rPr>
          <w:sz w:val="20"/>
          <w:szCs w:val="20"/>
          <w:color w:val="auto"/>
        </w:rPr>
      </w:pPr>
    </w:p>
    <w:p>
      <w:pPr>
        <w:ind w:right="640" w:firstLine="576"/>
        <w:spacing w:after="0" w:line="261"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63" w:lineRule="exact"/>
        <w:rPr>
          <w:sz w:val="20"/>
          <w:szCs w:val="20"/>
          <w:color w:val="auto"/>
        </w:rPr>
      </w:pPr>
    </w:p>
    <w:p>
      <w:pPr>
        <w:ind w:right="180" w:firstLine="198"/>
        <w:spacing w:after="0" w:line="244" w:lineRule="auto"/>
        <w:rPr>
          <w:sz w:val="20"/>
          <w:szCs w:val="20"/>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ind w:right="260" w:firstLine="198"/>
        <w:spacing w:after="0" w:line="234" w:lineRule="auto"/>
        <w:rPr>
          <w:sz w:val="20"/>
          <w:szCs w:val="20"/>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2" w:lineRule="exact"/>
        <w:rPr>
          <w:sz w:val="20"/>
          <w:szCs w:val="20"/>
          <w:color w:val="auto"/>
        </w:rPr>
      </w:pPr>
    </w:p>
    <w:p>
      <w:pPr>
        <w:ind w:right="620" w:firstLine="198"/>
        <w:spacing w:after="0" w:line="234" w:lineRule="auto"/>
        <w:rPr>
          <w:sz w:val="20"/>
          <w:szCs w:val="20"/>
          <w:color w:val="auto"/>
        </w:rPr>
      </w:pPr>
      <w:r>
        <w:rPr>
          <w:rFonts w:ascii="Arial" w:cs="Arial" w:eastAsia="Arial" w:hAnsi="Arial"/>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spacing w:after="0" w:line="2" w:lineRule="exact"/>
        <w:rPr>
          <w:sz w:val="20"/>
          <w:szCs w:val="20"/>
          <w:color w:val="auto"/>
        </w:rPr>
      </w:pPr>
    </w:p>
    <w:p>
      <w:pPr>
        <w:jc w:val="both"/>
        <w:ind w:right="540" w:firstLine="198"/>
        <w:spacing w:after="0" w:line="234" w:lineRule="auto"/>
        <w:rPr>
          <w:sz w:val="20"/>
          <w:szCs w:val="20"/>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2" w:lineRule="exact"/>
        <w:rPr>
          <w:sz w:val="20"/>
          <w:szCs w:val="20"/>
          <w:color w:val="auto"/>
        </w:rPr>
      </w:pPr>
    </w:p>
    <w:p>
      <w:pPr>
        <w:ind w:right="460" w:firstLine="198"/>
        <w:spacing w:after="0" w:line="234" w:lineRule="auto"/>
        <w:rPr>
          <w:sz w:val="20"/>
          <w:szCs w:val="20"/>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1" w:lineRule="exact"/>
        <w:rPr>
          <w:sz w:val="20"/>
          <w:szCs w:val="20"/>
          <w:color w:val="auto"/>
        </w:rPr>
      </w:pPr>
    </w:p>
    <w:p>
      <w:pPr>
        <w:ind w:firstLine="198"/>
        <w:spacing w:after="0" w:line="272" w:lineRule="auto"/>
        <w:rPr>
          <w:sz w:val="20"/>
          <w:szCs w:val="20"/>
          <w:color w:val="auto"/>
        </w:rPr>
      </w:pPr>
      <w:r>
        <w:rPr>
          <w:rFonts w:ascii="Arial" w:cs="Arial" w:eastAsia="Arial" w:hAnsi="Arial"/>
          <w:sz w:val="16"/>
          <w:szCs w:val="16"/>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5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89"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3" w:name="page64"/>
    <w:bookmarkEnd w:id="63"/>
    <w:p>
      <w:pPr>
        <w:spacing w:after="0" w:line="267" w:lineRule="auto"/>
        <w:rPr>
          <w:sz w:val="20"/>
          <w:szCs w:val="20"/>
          <w:color w:val="auto"/>
        </w:rPr>
      </w:pPr>
      <w:r>
        <w:rPr>
          <w:rFonts w:ascii="Arial" w:cs="Arial" w:eastAsia="Arial" w:hAnsi="Arial"/>
          <w:sz w:val="16"/>
          <w:szCs w:val="16"/>
          <w:color w:val="auto"/>
        </w:rPr>
        <w:t>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179"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launch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96"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4" w:lineRule="exact"/>
        <w:rPr>
          <w:sz w:val="20"/>
          <w:szCs w:val="20"/>
          <w:color w:val="auto"/>
        </w:rPr>
      </w:pPr>
    </w:p>
    <w:p>
      <w:pPr>
        <w:ind w:right="20" w:firstLine="576"/>
        <w:spacing w:after="0" w:line="252" w:lineRule="auto"/>
        <w:rPr>
          <w:sz w:val="20"/>
          <w:szCs w:val="20"/>
          <w:color w:val="auto"/>
        </w:rPr>
      </w:pPr>
      <w:r>
        <w:rPr>
          <w:rFonts w:ascii="Arial" w:cs="Arial" w:eastAsia="Arial" w:hAnsi="Arial"/>
          <w:sz w:val="17"/>
          <w:szCs w:val="17"/>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86" w:lineRule="exact"/>
        <w:rPr>
          <w:sz w:val="20"/>
          <w:szCs w:val="20"/>
          <w:color w:val="auto"/>
        </w:rPr>
      </w:pPr>
    </w:p>
    <w:p>
      <w:pPr>
        <w:jc w:val="both"/>
        <w:ind w:right="60" w:firstLine="576"/>
        <w:spacing w:after="0" w:line="284"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4" w:name="page65"/>
    <w:bookmarkEnd w:id="64"/>
    <w:p>
      <w:pPr>
        <w:spacing w:after="0" w:line="259" w:lineRule="auto"/>
        <w:rPr>
          <w:sz w:val="20"/>
          <w:szCs w:val="20"/>
          <w:color w:val="auto"/>
        </w:rPr>
      </w:pPr>
      <w:r>
        <w:rPr>
          <w:rFonts w:ascii="Arial" w:cs="Arial" w:eastAsia="Arial" w:hAnsi="Arial"/>
          <w:sz w:val="17"/>
          <w:szCs w:val="17"/>
          <w:color w:val="auto"/>
        </w:rPr>
        <w:t>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4"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9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63" w:lineRule="exact"/>
        <w:rPr>
          <w:sz w:val="20"/>
          <w:szCs w:val="20"/>
          <w:color w:val="auto"/>
        </w:rPr>
      </w:pPr>
    </w:p>
    <w:p>
      <w:pPr>
        <w:ind w:right="20" w:firstLine="576"/>
        <w:spacing w:after="0" w:line="252"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91" w:lineRule="exact"/>
        <w:rPr>
          <w:sz w:val="20"/>
          <w:szCs w:val="20"/>
          <w:color w:val="auto"/>
        </w:rPr>
      </w:pPr>
    </w:p>
    <w:p>
      <w:pPr>
        <w:ind w:right="400"/>
        <w:spacing w:after="0" w:line="356" w:lineRule="auto"/>
        <w:rPr>
          <w:sz w:val="20"/>
          <w:szCs w:val="20"/>
          <w:color w:val="auto"/>
        </w:rPr>
      </w:pPr>
      <w:r>
        <w:rPr>
          <w:rFonts w:ascii="Arial" w:cs="Arial" w:eastAsia="Arial" w:hAnsi="Arial"/>
          <w:sz w:val="15"/>
          <w:szCs w:val="15"/>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100" w:firstLine="576"/>
        <w:spacing w:after="0" w:line="276" w:lineRule="auto"/>
        <w:rPr>
          <w:sz w:val="20"/>
          <w:szCs w:val="20"/>
          <w:color w:val="auto"/>
        </w:rPr>
      </w:pPr>
      <w:r>
        <w:rPr>
          <w:rFonts w:ascii="Arial" w:cs="Arial" w:eastAsia="Arial" w:hAnsi="Arial"/>
          <w:sz w:val="16"/>
          <w:szCs w:val="16"/>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61"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2" w:lineRule="exact"/>
        <w:rPr>
          <w:sz w:val="20"/>
          <w:szCs w:val="20"/>
          <w:color w:val="auto"/>
        </w:rPr>
      </w:pPr>
    </w:p>
    <w:p>
      <w:pPr>
        <w:ind w:right="280" w:firstLine="198"/>
        <w:spacing w:after="0" w:line="234" w:lineRule="auto"/>
        <w:rPr>
          <w:sz w:val="20"/>
          <w:szCs w:val="20"/>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ind w:right="40" w:firstLine="198"/>
        <w:spacing w:after="0" w:line="244" w:lineRule="auto"/>
        <w:rPr>
          <w:sz w:val="20"/>
          <w:szCs w:val="20"/>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ind w:left="200"/>
        <w:spacing w:after="0" w:line="234" w:lineRule="auto"/>
        <w:rPr>
          <w:sz w:val="20"/>
          <w:szCs w:val="20"/>
          <w:color w:val="auto"/>
        </w:rPr>
      </w:pPr>
      <w:r>
        <w:rPr>
          <w:rFonts w:ascii="Arial" w:cs="Arial" w:eastAsia="Arial" w:hAnsi="Arial"/>
          <w:sz w:val="18"/>
          <w:szCs w:val="18"/>
          <w:color w:val="auto"/>
        </w:rPr>
        <w:t>the priority of invention of any patented technology; and</w:t>
      </w:r>
    </w:p>
    <w:p>
      <w:pPr>
        <w:spacing w:after="0" w:line="1" w:lineRule="exact"/>
        <w:rPr>
          <w:sz w:val="20"/>
          <w:szCs w:val="20"/>
          <w:color w:val="auto"/>
        </w:rPr>
      </w:pPr>
    </w:p>
    <w:p>
      <w:pPr>
        <w:ind w:right="640" w:firstLine="198"/>
        <w:spacing w:after="0" w:line="243" w:lineRule="auto"/>
        <w:rPr>
          <w:sz w:val="20"/>
          <w:szCs w:val="20"/>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132" w:lineRule="exact"/>
        <w:rPr>
          <w:sz w:val="20"/>
          <w:szCs w:val="20"/>
          <w:color w:val="auto"/>
        </w:rPr>
      </w:pPr>
    </w:p>
    <w:p>
      <w:pPr>
        <w:ind w:right="20" w:firstLine="584"/>
        <w:spacing w:after="0" w:line="255" w:lineRule="auto"/>
        <w:rPr>
          <w:sz w:val="20"/>
          <w:szCs w:val="20"/>
          <w:color w:val="auto"/>
        </w:rPr>
      </w:pPr>
      <w:r>
        <w:rPr>
          <w:rFonts w:ascii="Arial" w:cs="Arial" w:eastAsia="Arial" w:hAnsi="Arial"/>
          <w:sz w:val="17"/>
          <w:szCs w:val="17"/>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34"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47" w:lineRule="exact"/>
        <w:rPr>
          <w:sz w:val="20"/>
          <w:szCs w:val="20"/>
          <w:color w:val="auto"/>
        </w:rPr>
      </w:pPr>
    </w:p>
    <w:p>
      <w:pPr>
        <w:ind w:firstLine="576"/>
        <w:spacing w:after="0" w:line="266"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post grant review and equivalent proceedings in foreign jurisdictions (such as opposition proceedings). Such proceedings could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372" w:lineRule="exact"/>
        <w:rPr>
          <w:sz w:val="20"/>
          <w:szCs w:val="20"/>
          <w:color w:val="auto"/>
        </w:rPr>
      </w:pPr>
    </w:p>
    <w:p>
      <w:pPr>
        <w:ind w:right="40" w:firstLine="576"/>
        <w:spacing w:after="0" w:line="259" w:lineRule="auto"/>
        <w:rPr>
          <w:sz w:val="20"/>
          <w:szCs w:val="20"/>
          <w:color w:val="auto"/>
        </w:rPr>
      </w:pPr>
      <w:r>
        <w:rPr>
          <w:rFonts w:ascii="Arial" w:cs="Arial" w:eastAsia="Arial" w:hAnsi="Arial"/>
          <w:sz w:val="17"/>
          <w:szCs w:val="17"/>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ind w:right="100"/>
        <w:spacing w:after="0" w:line="248" w:lineRule="auto"/>
        <w:rPr>
          <w:sz w:val="20"/>
          <w:szCs w:val="20"/>
          <w:color w:val="auto"/>
        </w:rPr>
      </w:pPr>
      <w:r>
        <w:rPr>
          <w:rFonts w:ascii="Arial" w:cs="Arial" w:eastAsia="Arial" w:hAnsi="Arial"/>
          <w:sz w:val="18"/>
          <w:szCs w:val="18"/>
          <w:color w:val="auto"/>
        </w:rPr>
        <w:t>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current or future product candidates.</w:t>
      </w:r>
    </w:p>
    <w:p>
      <w:pPr>
        <w:spacing w:after="0" w:line="138" w:lineRule="exact"/>
        <w:rPr>
          <w:sz w:val="20"/>
          <w:szCs w:val="20"/>
          <w:color w:val="auto"/>
        </w:rPr>
      </w:pPr>
    </w:p>
    <w:p>
      <w:pPr>
        <w:ind w:right="20" w:firstLine="576"/>
        <w:spacing w:after="0" w:line="269" w:lineRule="auto"/>
        <w:rPr>
          <w:sz w:val="20"/>
          <w:szCs w:val="20"/>
          <w:color w:val="auto"/>
        </w:rPr>
      </w:pPr>
      <w:r>
        <w:rPr>
          <w:rFonts w:ascii="Arial" w:cs="Arial" w:eastAsia="Arial" w:hAnsi="Arial"/>
          <w:sz w:val="16"/>
          <w:szCs w:val="16"/>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An adverse determination in any such submission or proceeding could reduce the scope or enforceability</w:t>
      </w:r>
      <w:r>
        <w:rPr>
          <w:rFonts w:ascii="Arial" w:cs="Arial" w:eastAsia="Arial" w:hAnsi="Arial"/>
          <w:sz w:val="16"/>
          <w:szCs w:val="16"/>
          <w:i w:val="1"/>
          <w:iCs w:val="1"/>
          <w:color w:val="auto"/>
        </w:rPr>
        <w:t xml:space="preserve"> </w:t>
      </w:r>
      <w:r>
        <w:rPr>
          <w:rFonts w:ascii="Arial" w:cs="Arial" w:eastAsia="Arial" w:hAnsi="Arial"/>
          <w:sz w:val="16"/>
          <w:szCs w:val="16"/>
          <w:color w:val="auto"/>
        </w:rPr>
        <w:t>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00" w:lineRule="exact"/>
        <w:rPr>
          <w:sz w:val="20"/>
          <w:szCs w:val="20"/>
          <w:color w:val="auto"/>
        </w:rPr>
      </w:pPr>
    </w:p>
    <w:p>
      <w:pPr>
        <w:jc w:val="both"/>
        <w:ind w:right="120" w:firstLine="576"/>
        <w:spacing w:after="0" w:line="248" w:lineRule="auto"/>
        <w:rPr>
          <w:sz w:val="20"/>
          <w:szCs w:val="20"/>
          <w:color w:val="auto"/>
        </w:rPr>
      </w:pPr>
      <w:r>
        <w:rPr>
          <w:rFonts w:ascii="Arial" w:cs="Arial" w:eastAsia="Arial" w:hAnsi="Arial"/>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101" w:lineRule="exact"/>
        <w:rPr>
          <w:sz w:val="20"/>
          <w:szCs w:val="20"/>
          <w:color w:val="auto"/>
        </w:rPr>
      </w:pPr>
    </w:p>
    <w:p>
      <w:pPr>
        <w:ind w:right="220" w:firstLine="576"/>
        <w:spacing w:after="0" w:line="257"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w:t>
      </w:r>
    </w:p>
    <w:p>
      <w:pPr>
        <w:spacing w:after="0" w:line="202"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6"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7" w:name="page68"/>
    <w:bookmarkEnd w:id="67"/>
    <w:p>
      <w:pPr>
        <w:ind w:right="60"/>
        <w:spacing w:after="0" w:line="261" w:lineRule="auto"/>
        <w:rPr>
          <w:sz w:val="20"/>
          <w:szCs w:val="20"/>
          <w:color w:val="auto"/>
        </w:rPr>
      </w:pPr>
      <w:r>
        <w:rPr>
          <w:rFonts w:ascii="Arial" w:cs="Arial" w:eastAsia="Arial" w:hAnsi="Arial"/>
          <w:sz w:val="18"/>
          <w:szCs w:val="18"/>
          <w:color w:val="auto"/>
        </w:rPr>
        <w:t>market our current or future product candidates. Our failure to identify and correctly interpret relevant patents may negatively impact our ability to develop and market our current or future product candidates.</w:t>
      </w:r>
    </w:p>
    <w:p>
      <w:pPr>
        <w:spacing w:after="0" w:line="103" w:lineRule="exact"/>
        <w:rPr>
          <w:sz w:val="20"/>
          <w:szCs w:val="20"/>
          <w:color w:val="auto"/>
        </w:rPr>
      </w:pPr>
    </w:p>
    <w:p>
      <w:pPr>
        <w:ind w:right="60" w:firstLine="576"/>
        <w:spacing w:after="0" w:line="276"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1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3" w:lineRule="exact"/>
        <w:rPr>
          <w:sz w:val="20"/>
          <w:szCs w:val="20"/>
          <w:color w:val="auto"/>
        </w:rPr>
      </w:pPr>
    </w:p>
    <w:p>
      <w:pPr>
        <w:ind w:firstLine="576"/>
        <w:spacing w:after="0" w:line="262"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patent applications that we own or may in-license may not lead to issued patents;</w:t>
      </w:r>
    </w:p>
    <w:p>
      <w:pPr>
        <w:spacing w:after="0" w:line="12" w:lineRule="exact"/>
        <w:rPr>
          <w:sz w:val="20"/>
          <w:szCs w:val="20"/>
          <w:color w:val="auto"/>
        </w:rPr>
      </w:pPr>
    </w:p>
    <w:p>
      <w:pPr>
        <w:ind w:right="260" w:firstLine="198"/>
        <w:spacing w:after="0" w:line="234" w:lineRule="auto"/>
        <w:rPr>
          <w:sz w:val="20"/>
          <w:szCs w:val="20"/>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1" w:lineRule="exact"/>
        <w:rPr>
          <w:sz w:val="20"/>
          <w:szCs w:val="20"/>
          <w:color w:val="auto"/>
        </w:rPr>
      </w:pPr>
    </w:p>
    <w:p>
      <w:pPr>
        <w:jc w:val="both"/>
        <w:ind w:right="300" w:firstLine="198"/>
        <w:spacing w:after="0" w:line="234" w:lineRule="auto"/>
        <w:rPr>
          <w:sz w:val="20"/>
          <w:szCs w:val="20"/>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ind w:left="200"/>
        <w:spacing w:after="0" w:line="237" w:lineRule="auto"/>
        <w:rPr>
          <w:sz w:val="20"/>
          <w:szCs w:val="20"/>
          <w:color w:val="auto"/>
        </w:rPr>
      </w:pPr>
      <w:r>
        <w:rPr>
          <w:rFonts w:ascii="Arial" w:cs="Arial" w:eastAsia="Arial" w:hAnsi="Arial"/>
          <w:sz w:val="18"/>
          <w:szCs w:val="18"/>
          <w:color w:val="auto"/>
        </w:rPr>
        <w:t>third parties may compete with us in jurisdictions where we do not pursue and obtain patent protection;</w:t>
      </w:r>
    </w:p>
    <w:p>
      <w:pPr>
        <w:ind w:right="120" w:firstLine="198"/>
        <w:spacing w:after="0" w:line="234" w:lineRule="auto"/>
        <w:rPr>
          <w:sz w:val="20"/>
          <w:szCs w:val="20"/>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ind w:left="200"/>
        <w:spacing w:after="0" w:line="236" w:lineRule="auto"/>
        <w:rPr>
          <w:sz w:val="20"/>
          <w:szCs w:val="20"/>
          <w:color w:val="auto"/>
        </w:rPr>
      </w:pPr>
      <w:r>
        <w:rPr>
          <w:rFonts w:ascii="Arial" w:cs="Arial" w:eastAsia="Arial" w:hAnsi="Arial"/>
          <w:sz w:val="18"/>
          <w:szCs w:val="18"/>
          <w:color w:val="auto"/>
        </w:rPr>
        <w:t>we, or our future licensors or collaborators, might not have been the first to file patent applications covering a particular invention;</w:t>
      </w:r>
    </w:p>
    <w:p>
      <w:pPr>
        <w:ind w:right="640" w:firstLine="198"/>
        <w:spacing w:after="0" w:line="234" w:lineRule="auto"/>
        <w:rPr>
          <w:sz w:val="20"/>
          <w:szCs w:val="20"/>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1" w:lineRule="exact"/>
        <w:rPr>
          <w:sz w:val="20"/>
          <w:szCs w:val="20"/>
          <w:color w:val="auto"/>
        </w:rPr>
      </w:pPr>
    </w:p>
    <w:p>
      <w:pPr>
        <w:jc w:val="both"/>
        <w:ind w:right="520" w:firstLine="198"/>
        <w:spacing w:after="0" w:line="248" w:lineRule="auto"/>
        <w:rPr>
          <w:sz w:val="20"/>
          <w:szCs w:val="20"/>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ind w:left="200"/>
        <w:spacing w:after="0" w:line="236" w:lineRule="auto"/>
        <w:rPr>
          <w:sz w:val="20"/>
          <w:szCs w:val="20"/>
          <w:color w:val="auto"/>
        </w:rPr>
      </w:pPr>
      <w:r>
        <w:rPr>
          <w:rFonts w:ascii="Arial" w:cs="Arial" w:eastAsia="Arial" w:hAnsi="Arial"/>
          <w:sz w:val="18"/>
          <w:szCs w:val="18"/>
          <w:color w:val="auto"/>
        </w:rPr>
        <w:t>we may not be able to obtain and/or maintain necessary licenses on reasonable terms or at all;</w:t>
      </w:r>
    </w:p>
    <w:p>
      <w:pPr>
        <w:ind w:right="340" w:firstLine="198"/>
        <w:spacing w:after="0" w:line="234" w:lineRule="auto"/>
        <w:rPr>
          <w:sz w:val="20"/>
          <w:szCs w:val="20"/>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 w:lineRule="exact"/>
        <w:rPr>
          <w:sz w:val="20"/>
          <w:szCs w:val="20"/>
          <w:color w:val="auto"/>
        </w:rPr>
      </w:pPr>
    </w:p>
    <w:p>
      <w:pPr>
        <w:ind w:right="80" w:firstLine="198"/>
        <w:spacing w:after="0" w:line="234" w:lineRule="auto"/>
        <w:rPr>
          <w:sz w:val="20"/>
          <w:szCs w:val="20"/>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trade secrets or know-how;</w:t>
      </w:r>
    </w:p>
    <w:p>
      <w:pPr>
        <w:spacing w:after="0" w:line="1" w:lineRule="exact"/>
        <w:rPr>
          <w:sz w:val="20"/>
          <w:szCs w:val="20"/>
          <w:color w:val="auto"/>
        </w:rPr>
      </w:pPr>
    </w:p>
    <w:p>
      <w:pPr>
        <w:ind w:left="200" w:right="3600"/>
        <w:spacing w:after="0" w:line="239" w:lineRule="auto"/>
        <w:rPr>
          <w:sz w:val="20"/>
          <w:szCs w:val="20"/>
          <w:color w:val="auto"/>
        </w:rPr>
      </w:pPr>
      <w:r>
        <w:rPr>
          <w:rFonts w:ascii="Arial" w:cs="Arial" w:eastAsia="Arial" w:hAnsi="Arial"/>
          <w:sz w:val="18"/>
          <w:szCs w:val="18"/>
          <w:color w:val="auto"/>
        </w:rPr>
        <w:t>we may not be able to maintain the confidentiality of our trade secrets or other proprietary information; we may not develop or in-license additional proprietary technologies that are patentable; and the patents of others may have an adverse effect on our business.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8" w:name="page69"/>
    <w:bookmarkEnd w:id="68"/>
    <w:p>
      <w:pPr>
        <w:ind w:right="20"/>
        <w:spacing w:after="0" w:line="241" w:lineRule="auto"/>
        <w:rPr>
          <w:sz w:val="20"/>
          <w:szCs w:val="20"/>
          <w:color w:val="auto"/>
        </w:rPr>
      </w:pPr>
      <w:r>
        <w:rPr>
          <w:rFonts w:ascii="Arial" w:cs="Arial" w:eastAsia="Arial" w:hAnsi="Arial"/>
          <w:sz w:val="18"/>
          <w:szCs w:val="18"/>
          <w:color w:val="auto"/>
        </w:rPr>
        <w:t>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189" w:lineRule="exact"/>
        <w:rPr>
          <w:sz w:val="20"/>
          <w:szCs w:val="20"/>
          <w:color w:val="auto"/>
        </w:rPr>
      </w:pPr>
    </w:p>
    <w:p>
      <w:pPr>
        <w:ind w:right="20" w:firstLine="576"/>
        <w:spacing w:after="0" w:line="253"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29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63"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30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63"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1" w:lineRule="exact"/>
        <w:rPr>
          <w:sz w:val="20"/>
          <w:szCs w:val="20"/>
          <w:color w:val="auto"/>
        </w:rPr>
      </w:pPr>
    </w:p>
    <w:p>
      <w:pPr>
        <w:ind w:firstLine="576"/>
        <w:spacing w:after="0" w:line="255"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80"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9" w:name="page70"/>
    <w:bookmarkEnd w:id="69"/>
    <w:p>
      <w:pPr>
        <w:ind w:right="120"/>
        <w:spacing w:after="0" w:line="261" w:lineRule="auto"/>
        <w:rPr>
          <w:sz w:val="20"/>
          <w:szCs w:val="20"/>
          <w:color w:val="auto"/>
        </w:rPr>
      </w:pPr>
      <w:r>
        <w:rPr>
          <w:rFonts w:ascii="Arial" w:cs="Arial" w:eastAsia="Arial" w:hAnsi="Arial"/>
          <w:sz w:val="18"/>
          <w:szCs w:val="18"/>
          <w:color w:val="auto"/>
        </w:rPr>
        <w:t>Union. The exclusivity period in the European Union can be reduced to six years if a product no longer meets the criteria for orphan drug designation or if the product is sufficiently profitable so that market exclusivity is no longer justified.</w:t>
      </w:r>
    </w:p>
    <w:p>
      <w:pPr>
        <w:spacing w:after="0" w:line="171" w:lineRule="exact"/>
        <w:rPr>
          <w:sz w:val="20"/>
          <w:szCs w:val="20"/>
          <w:color w:val="auto"/>
        </w:rPr>
      </w:pPr>
    </w:p>
    <w:p>
      <w:pPr>
        <w:ind w:firstLine="576"/>
        <w:spacing w:after="0" w:line="270" w:lineRule="auto"/>
        <w:rPr>
          <w:sz w:val="20"/>
          <w:szCs w:val="20"/>
          <w:color w:val="auto"/>
        </w:rPr>
      </w:pPr>
      <w:r>
        <w:rPr>
          <w:rFonts w:ascii="Arial" w:cs="Arial" w:eastAsia="Arial" w:hAnsi="Arial"/>
          <w:sz w:val="16"/>
          <w:szCs w:val="16"/>
          <w:color w:val="auto"/>
        </w:rPr>
        <w:t>Even if we obtain orphan drug exclusivity for one of our product candidates, that exclusivity may not effectively protect our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22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74" w:lineRule="exact"/>
        <w:rPr>
          <w:sz w:val="20"/>
          <w:szCs w:val="20"/>
          <w:color w:val="auto"/>
        </w:rPr>
      </w:pPr>
    </w:p>
    <w:p>
      <w:pPr>
        <w:ind w:right="20" w:firstLine="576"/>
        <w:spacing w:after="0" w:line="252"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80"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We may also seek fast track designation for some of our product candidates and, in the case of TNG908, we were granted fast track designation by the FDA in the first quarter of 2022. 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21"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39"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0" w:name="page71"/>
    <w:bookmarkEnd w:id="70"/>
    <w:p>
      <w:pPr>
        <w:ind w:right="80"/>
        <w:spacing w:after="0" w:line="241" w:lineRule="auto"/>
        <w:rPr>
          <w:sz w:val="20"/>
          <w:szCs w:val="20"/>
          <w:color w:val="auto"/>
        </w:rPr>
      </w:pPr>
      <w:r>
        <w:rPr>
          <w:rFonts w:ascii="Arial" w:cs="Arial" w:eastAsia="Arial" w:hAnsi="Arial"/>
          <w:sz w:val="18"/>
          <w:szCs w:val="18"/>
          <w:color w:val="auto"/>
        </w:rPr>
        <w:t>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4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3" w:lineRule="exact"/>
        <w:rPr>
          <w:sz w:val="20"/>
          <w:szCs w:val="20"/>
          <w:color w:val="auto"/>
        </w:rPr>
      </w:pPr>
    </w:p>
    <w:p>
      <w:pPr>
        <w:ind w:right="60" w:firstLine="576"/>
        <w:spacing w:after="0" w:line="269"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b w:val="1"/>
          <w:bCs w:val="1"/>
          <w:i w:val="1"/>
          <w:iCs w:val="1"/>
          <w:color w:val="auto"/>
        </w:rPr>
        <w:t>Inadequate funding for the FDA, the SEC and other U.S. government agencies or the EMA or comparable foreign regulatory authorities,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3"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The ability of the FDA, the EMA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35" w:lineRule="exact"/>
        <w:rPr>
          <w:sz w:val="20"/>
          <w:szCs w:val="20"/>
          <w:color w:val="auto"/>
        </w:rPr>
      </w:pPr>
    </w:p>
    <w:p>
      <w:pPr>
        <w:ind w:right="180" w:firstLine="576"/>
        <w:spacing w:after="0" w:line="261"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03" w:lineRule="exact"/>
        <w:rPr>
          <w:sz w:val="20"/>
          <w:szCs w:val="20"/>
          <w:color w:val="auto"/>
        </w:rPr>
      </w:pPr>
    </w:p>
    <w:p>
      <w:pPr>
        <w:ind w:right="20" w:firstLine="576"/>
        <w:spacing w:after="0" w:line="276" w:lineRule="auto"/>
        <w:rPr>
          <w:sz w:val="20"/>
          <w:szCs w:val="20"/>
          <w:color w:val="auto"/>
        </w:rPr>
      </w:pPr>
      <w:r>
        <w:rPr>
          <w:rFonts w:ascii="Arial" w:cs="Arial" w:eastAsia="Arial" w:hAnsi="Arial"/>
          <w:sz w:val="16"/>
          <w:szCs w:val="16"/>
          <w:color w:val="auto"/>
        </w:rPr>
        <w:t>Disruptions at the FDA, the EMA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80" w:lineRule="exact"/>
        <w:rPr>
          <w:sz w:val="20"/>
          <w:szCs w:val="20"/>
          <w:color w:val="auto"/>
        </w:rPr>
      </w:pPr>
    </w:p>
    <w:p>
      <w:pPr>
        <w:ind w:firstLine="576"/>
        <w:spacing w:after="0" w:line="257" w:lineRule="auto"/>
        <w:rPr>
          <w:sz w:val="20"/>
          <w:szCs w:val="20"/>
          <w:color w:val="auto"/>
        </w:rPr>
      </w:pPr>
      <w:r>
        <w:rPr>
          <w:rFonts w:ascii="Arial" w:cs="Arial" w:eastAsia="Arial" w:hAnsi="Arial"/>
          <w:sz w:val="17"/>
          <w:szCs w:val="17"/>
          <w:color w:val="auto"/>
        </w:rPr>
        <w:t>Separately, since March 2020 when foreign and domestic inspections were largely placed on hold due to the COVID-19 pandemic,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1" w:name="page72"/>
    <w:bookmarkEnd w:id="71"/>
    <w:p>
      <w:pPr>
        <w:ind w:right="40"/>
        <w:spacing w:after="0" w:line="270" w:lineRule="auto"/>
        <w:rPr>
          <w:sz w:val="20"/>
          <w:szCs w:val="20"/>
          <w:color w:val="auto"/>
        </w:rPr>
      </w:pPr>
      <w:r>
        <w:rPr>
          <w:rFonts w:ascii="Arial" w:cs="Arial" w:eastAsia="Arial" w:hAnsi="Arial"/>
          <w:sz w:val="17"/>
          <w:szCs w:val="17"/>
          <w:color w:val="auto"/>
        </w:rPr>
        <w:t>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w:t>
      </w:r>
    </w:p>
    <w:p>
      <w:pPr>
        <w:spacing w:after="0" w:line="83" w:lineRule="exact"/>
        <w:rPr>
          <w:sz w:val="20"/>
          <w:szCs w:val="20"/>
          <w:color w:val="auto"/>
        </w:rPr>
      </w:pPr>
    </w:p>
    <w:p>
      <w:pPr>
        <w:ind w:right="560" w:firstLine="576"/>
        <w:spacing w:after="0" w:line="261" w:lineRule="auto"/>
        <w:rPr>
          <w:sz w:val="20"/>
          <w:szCs w:val="20"/>
          <w:color w:val="auto"/>
        </w:rPr>
      </w:pPr>
      <w:r>
        <w:rPr>
          <w:rFonts w:ascii="Arial" w:cs="Arial" w:eastAsia="Arial" w:hAnsi="Arial"/>
          <w:sz w:val="18"/>
          <w:szCs w:val="18"/>
          <w:color w:val="auto"/>
        </w:rPr>
        <w:t>In 2020 and in 2021, a number of companies announced receipt of complete response letters due to the FDA’s inability to complete required inspections for their applications.</w:t>
      </w:r>
    </w:p>
    <w:p>
      <w:pPr>
        <w:spacing w:after="0" w:line="103" w:lineRule="exact"/>
        <w:rPr>
          <w:sz w:val="20"/>
          <w:szCs w:val="20"/>
          <w:color w:val="auto"/>
        </w:rPr>
      </w:pPr>
    </w:p>
    <w:p>
      <w:pPr>
        <w:ind w:right="60" w:firstLine="576"/>
        <w:spacing w:after="0" w:line="279"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04" w:lineRule="exact"/>
        <w:rPr>
          <w:sz w:val="20"/>
          <w:szCs w:val="20"/>
          <w:color w:val="auto"/>
        </w:rPr>
      </w:pPr>
    </w:p>
    <w:p>
      <w:pPr>
        <w:ind w:right="40" w:firstLine="576"/>
        <w:spacing w:after="0" w:line="259" w:lineRule="auto"/>
        <w:rPr>
          <w:sz w:val="20"/>
          <w:szCs w:val="20"/>
          <w:color w:val="auto"/>
        </w:rPr>
      </w:pPr>
      <w:r>
        <w:rPr>
          <w:rFonts w:ascii="Arial" w:cs="Arial" w:eastAsia="Arial" w:hAnsi="Arial"/>
          <w:sz w:val="17"/>
          <w:szCs w:val="17"/>
          <w:color w:val="auto"/>
        </w:rPr>
        <w:t>Changes in regulations, statutes or the interpretation of existing regulations and statutes could impact our business in the future by requiring, for example: (i) changes to our manufacturing arrangements; (ii) additions or modifications to product labeling; (iii) the recall or discontinuation of our products (if any products are approved by applicable regulatory authorities); or (iv) additional record-keeping requirements. If any such changes were to be imposed, they could adversely affect the operation of our business. For additional information, see section entitled “</w:t>
      </w:r>
      <w:r>
        <w:rPr>
          <w:rFonts w:ascii="Arial" w:cs="Arial" w:eastAsia="Arial" w:hAnsi="Arial"/>
          <w:sz w:val="17"/>
          <w:szCs w:val="17"/>
          <w:i w:val="1"/>
          <w:iCs w:val="1"/>
          <w:color w:val="auto"/>
        </w:rPr>
        <w:t>Business – Current and future</w:t>
      </w:r>
      <w:r>
        <w:rPr>
          <w:rFonts w:ascii="Arial" w:cs="Arial" w:eastAsia="Arial" w:hAnsi="Arial"/>
          <w:sz w:val="17"/>
          <w:szCs w:val="17"/>
          <w:color w:val="auto"/>
        </w:rPr>
        <w:t xml:space="preserve"> </w:t>
      </w:r>
      <w:r>
        <w:rPr>
          <w:rFonts w:ascii="Arial" w:cs="Arial" w:eastAsia="Arial" w:hAnsi="Arial"/>
          <w:sz w:val="17"/>
          <w:szCs w:val="17"/>
          <w:i w:val="1"/>
          <w:iCs w:val="1"/>
          <w:color w:val="auto"/>
        </w:rPr>
        <w:t>healthcare reform legislation</w:t>
      </w:r>
      <w:r>
        <w:rPr>
          <w:rFonts w:ascii="Arial" w:cs="Arial" w:eastAsia="Arial" w:hAnsi="Arial"/>
          <w:sz w:val="17"/>
          <w:szCs w:val="17"/>
          <w:color w:val="auto"/>
        </w:rPr>
        <w:t>” as set forth in the Annual Report on Form 10-K for the fiscal year ended December 31, 2021.</w:t>
      </w:r>
    </w:p>
    <w:p>
      <w:pPr>
        <w:spacing w:after="0" w:line="174" w:lineRule="exact"/>
        <w:rPr>
          <w:sz w:val="20"/>
          <w:szCs w:val="20"/>
          <w:color w:val="auto"/>
        </w:rPr>
      </w:pPr>
    </w:p>
    <w:p>
      <w:pPr>
        <w:ind w:right="40" w:firstLine="584"/>
        <w:spacing w:after="0" w:line="253"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Patient Protection and Affordable Care Act, as amended by the Health Care and Education Reconciliation Act of 2010, or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84" w:lineRule="exact"/>
        <w:rPr>
          <w:sz w:val="20"/>
          <w:szCs w:val="20"/>
          <w:color w:val="auto"/>
        </w:rPr>
      </w:pPr>
    </w:p>
    <w:p>
      <w:pPr>
        <w:ind w:right="160" w:firstLine="576"/>
        <w:spacing w:after="0" w:line="276" w:lineRule="auto"/>
        <w:rPr>
          <w:sz w:val="20"/>
          <w:szCs w:val="20"/>
          <w:color w:val="auto"/>
        </w:rPr>
      </w:pPr>
      <w:r>
        <w:rPr>
          <w:rFonts w:ascii="Arial" w:cs="Arial" w:eastAsia="Arial" w:hAnsi="Arial"/>
          <w:sz w:val="16"/>
          <w:szCs w:val="16"/>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may not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61"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2" w:name="page73"/>
    <w:bookmarkEnd w:id="72"/>
    <w:p>
      <w:pPr>
        <w:ind w:right="60" w:firstLine="576"/>
        <w:spacing w:after="0" w:line="268" w:lineRule="auto"/>
        <w:rPr>
          <w:sz w:val="20"/>
          <w:szCs w:val="20"/>
          <w:color w:val="auto"/>
        </w:rPr>
      </w:pPr>
      <w:r>
        <w:rPr>
          <w:rFonts w:ascii="Arial" w:cs="Arial" w:eastAsia="Arial" w:hAnsi="Arial"/>
          <w:sz w:val="16"/>
          <w:szCs w:val="16"/>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72" w:lineRule="exact"/>
        <w:rPr>
          <w:sz w:val="20"/>
          <w:szCs w:val="20"/>
          <w:color w:val="auto"/>
        </w:rPr>
      </w:pPr>
    </w:p>
    <w:p>
      <w:pPr>
        <w:ind w:right="40" w:firstLine="576"/>
        <w:spacing w:after="0" w:line="262" w:lineRule="auto"/>
        <w:rPr>
          <w:sz w:val="20"/>
          <w:szCs w:val="20"/>
          <w:color w:val="auto"/>
        </w:rPr>
      </w:pPr>
      <w:r>
        <w:rPr>
          <w:rFonts w:ascii="Arial" w:cs="Arial" w:eastAsia="Arial" w:hAnsi="Arial"/>
          <w:sz w:val="17"/>
          <w:szCs w:val="17"/>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ind w:right="80" w:firstLine="576"/>
        <w:spacing w:after="0" w:line="259" w:lineRule="auto"/>
        <w:rPr>
          <w:sz w:val="20"/>
          <w:szCs w:val="20"/>
          <w:color w:val="auto"/>
        </w:rPr>
      </w:pPr>
      <w:r>
        <w:rPr>
          <w:rFonts w:ascii="Arial" w:cs="Arial" w:eastAsia="Arial" w:hAnsi="Arial"/>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282"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74" w:lineRule="exact"/>
        <w:rPr>
          <w:sz w:val="20"/>
          <w:szCs w:val="20"/>
          <w:color w:val="auto"/>
        </w:rPr>
      </w:pPr>
    </w:p>
    <w:p>
      <w:pPr>
        <w:ind w:right="20" w:firstLine="576"/>
        <w:spacing w:after="0" w:line="255"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section entitled “</w:t>
      </w:r>
      <w:r>
        <w:rPr>
          <w:rFonts w:ascii="Arial" w:cs="Arial" w:eastAsia="Arial" w:hAnsi="Arial"/>
          <w:sz w:val="17"/>
          <w:szCs w:val="17"/>
          <w:i w:val="1"/>
          <w:iCs w:val="1"/>
          <w:color w:val="auto"/>
        </w:rPr>
        <w:t>Business – Other healthcare laws"</w:t>
      </w:r>
      <w:r>
        <w:rPr>
          <w:rFonts w:ascii="Arial" w:cs="Arial" w:eastAsia="Arial" w:hAnsi="Arial"/>
          <w:sz w:val="17"/>
          <w:szCs w:val="17"/>
          <w:color w:val="auto"/>
        </w:rPr>
        <w:t xml:space="preserve"> as set forth in the Annual Report on Form 10-K for the fiscal year ended December 31, 2021.</w:t>
      </w:r>
    </w:p>
    <w:p>
      <w:pPr>
        <w:spacing w:after="0" w:line="180" w:lineRule="exact"/>
        <w:rPr>
          <w:sz w:val="20"/>
          <w:szCs w:val="20"/>
          <w:color w:val="auto"/>
        </w:rPr>
      </w:pPr>
    </w:p>
    <w:p>
      <w:pPr>
        <w:ind w:firstLine="576"/>
        <w:spacing w:after="0" w:line="271"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3" w:name="page74"/>
    <w:bookmarkEnd w:id="73"/>
    <w:p>
      <w:pPr>
        <w:ind w:right="60"/>
        <w:spacing w:after="0" w:line="261" w:lineRule="auto"/>
        <w:rPr>
          <w:sz w:val="20"/>
          <w:szCs w:val="20"/>
          <w:color w:val="auto"/>
        </w:rPr>
      </w:pPr>
      <w:r>
        <w:rPr>
          <w:rFonts w:ascii="Arial" w:cs="Arial" w:eastAsia="Arial" w:hAnsi="Arial"/>
          <w:sz w:val="18"/>
          <w:szCs w:val="18"/>
          <w:color w:val="auto"/>
        </w:rPr>
        <w:t>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27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ind w:right="80" w:firstLine="576"/>
        <w:spacing w:after="0" w:line="257"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6"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47" w:lineRule="exact"/>
        <w:rPr>
          <w:sz w:val="20"/>
          <w:szCs w:val="20"/>
          <w:color w:val="auto"/>
        </w:rPr>
      </w:pPr>
    </w:p>
    <w:p>
      <w:pPr>
        <w:ind w:right="40" w:firstLine="576"/>
        <w:spacing w:after="0" w:line="269"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pharmacovigilance reporting obligations.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63" w:lineRule="exact"/>
        <w:rPr>
          <w:sz w:val="20"/>
          <w:szCs w:val="20"/>
          <w:color w:val="auto"/>
        </w:rPr>
      </w:pPr>
    </w:p>
    <w:p>
      <w:pPr>
        <w:ind w:left="200" w:right="300"/>
        <w:spacing w:after="0" w:line="271" w:lineRule="auto"/>
        <w:rPr>
          <w:sz w:val="20"/>
          <w:szCs w:val="20"/>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 manufacturing delays and supply disruptions where regulatory inspections identify observations of noncompliance requiring remediation; revisions to the labeling, including limitation on approved uses or the addition of additional warnings, contraindications or other safety information,</w:t>
      </w:r>
    </w:p>
    <w:p>
      <w:pPr>
        <w:spacing w:after="0" w:line="235" w:lineRule="auto"/>
        <w:rPr>
          <w:sz w:val="20"/>
          <w:szCs w:val="20"/>
          <w:color w:val="auto"/>
        </w:rPr>
      </w:pPr>
      <w:r>
        <w:rPr>
          <w:rFonts w:ascii="Arial" w:cs="Arial" w:eastAsia="Arial" w:hAnsi="Arial"/>
          <w:sz w:val="18"/>
          <w:szCs w:val="18"/>
          <w:color w:val="auto"/>
        </w:rPr>
        <w:t>including boxed warnings;</w:t>
      </w:r>
    </w:p>
    <w:p>
      <w:pPr>
        <w:ind w:left="200"/>
        <w:spacing w:after="0" w:line="234" w:lineRule="auto"/>
        <w:rPr>
          <w:sz w:val="20"/>
          <w:szCs w:val="20"/>
          <w:color w:val="auto"/>
        </w:rPr>
      </w:pPr>
      <w:r>
        <w:rPr>
          <w:rFonts w:ascii="Arial" w:cs="Arial" w:eastAsia="Arial" w:hAnsi="Arial"/>
          <w:sz w:val="18"/>
          <w:szCs w:val="18"/>
          <w:color w:val="auto"/>
        </w:rPr>
        <w:t>imposition of a REMS which may include distribution or use restrictions;</w:t>
      </w:r>
    </w:p>
    <w:p>
      <w:pPr>
        <w:spacing w:after="0" w:line="1" w:lineRule="exact"/>
        <w:rPr>
          <w:sz w:val="20"/>
          <w:szCs w:val="20"/>
          <w:color w:val="auto"/>
        </w:rPr>
      </w:pPr>
    </w:p>
    <w:p>
      <w:pPr>
        <w:ind w:left="200" w:right="4120"/>
        <w:spacing w:after="0" w:line="234" w:lineRule="auto"/>
        <w:rPr>
          <w:sz w:val="20"/>
          <w:szCs w:val="20"/>
          <w:color w:val="auto"/>
        </w:rPr>
      </w:pPr>
      <w:r>
        <w:rPr>
          <w:rFonts w:ascii="Arial" w:cs="Arial" w:eastAsia="Arial" w:hAnsi="Arial"/>
          <w:sz w:val="18"/>
          <w:szCs w:val="18"/>
          <w:color w:val="auto"/>
        </w:rPr>
        <w:t>requirements to conduct additional post-market clinical trials to assess the safety of the product; clinical trial holds;</w:t>
      </w:r>
    </w:p>
    <w:p>
      <w:pPr>
        <w:ind w:left="200"/>
        <w:spacing w:after="0" w:line="236" w:lineRule="auto"/>
        <w:rPr>
          <w:sz w:val="20"/>
          <w:szCs w:val="20"/>
          <w:color w:val="auto"/>
        </w:rPr>
      </w:pPr>
      <w:r>
        <w:rPr>
          <w:rFonts w:ascii="Arial" w:cs="Arial" w:eastAsia="Arial" w:hAnsi="Arial"/>
          <w:sz w:val="18"/>
          <w:szCs w:val="18"/>
          <w:color w:val="auto"/>
        </w:rPr>
        <w:t>fines, warning letters or other regulatory enforcement action;</w:t>
      </w:r>
    </w:p>
    <w:p>
      <w:pPr>
        <w:ind w:left="200" w:right="500"/>
        <w:spacing w:after="0" w:line="239" w:lineRule="auto"/>
        <w:rPr>
          <w:sz w:val="20"/>
          <w:szCs w:val="20"/>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 product seizure or detention, or refusal to permit the import or export of products; and injunctions or the imposition of civil or criminal penalties.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4" w:name="page75"/>
    <w:bookmarkEnd w:id="74"/>
    <w:p>
      <w:pPr>
        <w:ind w:firstLine="584"/>
        <w:spacing w:after="0" w:line="24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127" w:lineRule="exact"/>
        <w:rPr>
          <w:sz w:val="20"/>
          <w:szCs w:val="20"/>
          <w:color w:val="auto"/>
        </w:rPr>
      </w:pPr>
    </w:p>
    <w:p>
      <w:pPr>
        <w:ind w:right="80" w:firstLine="576"/>
        <w:spacing w:after="0" w:line="252" w:lineRule="auto"/>
        <w:rPr>
          <w:sz w:val="20"/>
          <w:szCs w:val="20"/>
          <w:color w:val="auto"/>
        </w:rPr>
      </w:pPr>
      <w:r>
        <w:rPr>
          <w:rFonts w:ascii="Arial" w:cs="Arial" w:eastAsia="Arial" w:hAnsi="Arial"/>
          <w:sz w:val="17"/>
          <w:szCs w:val="17"/>
          <w:color w:val="auto"/>
        </w:rPr>
        <w:t>We plan to conduct clinical trials and enroll subjects in our planned or future clinical trials, and therefore we will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While we have commenced the process of implementing procedures to comply with the GDPR, compliance with these regulations will be a rigorous and time-intensive process that we expect will increase our cost of doing business and require us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GDPR in different manner, making compliance in certain countries and across the European Union challenging.</w:t>
      </w:r>
    </w:p>
    <w:p>
      <w:pPr>
        <w:spacing w:after="0" w:line="294"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9"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1" w:lineRule="exact"/>
        <w:rPr>
          <w:sz w:val="20"/>
          <w:szCs w:val="20"/>
          <w:color w:val="auto"/>
        </w:rPr>
      </w:pPr>
    </w:p>
    <w:p>
      <w:pPr>
        <w:jc w:val="both"/>
        <w:ind w:right="20" w:firstLine="576"/>
        <w:spacing w:after="0" w:line="262"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9"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Anticipated Growth</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5" w:name="page76"/>
    <w:bookmarkEnd w:id="75"/>
    <w:p>
      <w:pPr>
        <w:ind w:firstLine="576"/>
        <w:spacing w:after="0" w:line="239" w:lineRule="auto"/>
        <w:rPr>
          <w:sz w:val="20"/>
          <w:szCs w:val="20"/>
          <w:color w:val="auto"/>
        </w:rPr>
      </w:pPr>
      <w:r>
        <w:rPr>
          <w:rFonts w:ascii="Arial" w:cs="Arial" w:eastAsia="Arial" w:hAnsi="Arial"/>
          <w:sz w:val="18"/>
          <w:szCs w:val="18"/>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1"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Recruiting and retaining qualified scientific, clinical, medical,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succeed in clinical trials may make it more challenging to recruit and retain qualified scientific personnel.</w:t>
      </w:r>
    </w:p>
    <w:p>
      <w:pPr>
        <w:spacing w:after="0" w:line="191" w:lineRule="exact"/>
        <w:rPr>
          <w:sz w:val="20"/>
          <w:szCs w:val="20"/>
          <w:color w:val="auto"/>
        </w:rPr>
      </w:pPr>
    </w:p>
    <w:p>
      <w:pPr>
        <w:ind w:right="120" w:firstLine="576"/>
        <w:spacing w:after="0" w:line="279"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6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39"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rely on information technology systems that we or our third-party providers operate to process, transmit and store electronic information in our day-to-day operations. In connection with our product discovery efforts, we collect and use a variety of personal data, such as names, mailing addresses, email addresses, phone numbers. In addition, in connection with our Phase 1/2 clinical trial, we will have access to, and may store, clinical and health information of the patients participating in the trial.</w:t>
      </w:r>
    </w:p>
    <w:p>
      <w:pPr>
        <w:spacing w:after="0" w:line="80" w:lineRule="exact"/>
        <w:rPr>
          <w:sz w:val="20"/>
          <w:szCs w:val="20"/>
          <w:color w:val="auto"/>
        </w:rPr>
      </w:pPr>
    </w:p>
    <w:p>
      <w:pPr>
        <w:ind w:right="60" w:firstLine="576"/>
        <w:spacing w:after="0" w:line="252" w:lineRule="auto"/>
        <w:rPr>
          <w:sz w:val="20"/>
          <w:szCs w:val="20"/>
          <w:color w:val="auto"/>
        </w:rPr>
      </w:pPr>
      <w:r>
        <w:rPr>
          <w:rFonts w:ascii="Arial" w:cs="Arial" w:eastAsia="Arial" w:hAnsi="Arial"/>
          <w:sz w:val="17"/>
          <w:szCs w:val="17"/>
          <w:color w:val="auto"/>
        </w:rPr>
        <w:t>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83"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6" w:name="page77"/>
    <w:bookmarkEnd w:id="76"/>
    <w:p>
      <w:pPr>
        <w:spacing w:after="0" w:line="238" w:lineRule="auto"/>
        <w:rPr>
          <w:sz w:val="20"/>
          <w:szCs w:val="20"/>
          <w:color w:val="auto"/>
        </w:rPr>
      </w:pPr>
      <w:r>
        <w:rPr>
          <w:rFonts w:ascii="Arial" w:cs="Arial" w:eastAsia="Arial" w:hAnsi="Arial"/>
          <w:sz w:val="18"/>
          <w:szCs w:val="18"/>
          <w:color w:val="auto"/>
        </w:rPr>
        <w:t>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178" w:lineRule="exact"/>
        <w:rPr>
          <w:sz w:val="20"/>
          <w:szCs w:val="20"/>
          <w:color w:val="auto"/>
        </w:rPr>
      </w:pPr>
    </w:p>
    <w:p>
      <w:pPr>
        <w:ind w:right="160" w:firstLine="450"/>
        <w:spacing w:after="0" w:line="253" w:lineRule="auto"/>
        <w:rPr>
          <w:sz w:val="20"/>
          <w:szCs w:val="20"/>
          <w:color w:val="auto"/>
        </w:rPr>
      </w:pPr>
      <w:r>
        <w:rPr>
          <w:rFonts w:ascii="Arial" w:cs="Arial" w:eastAsia="Arial" w:hAnsi="Arial"/>
          <w:sz w:val="17"/>
          <w:szCs w:val="17"/>
          <w:color w:val="auto"/>
        </w:rPr>
        <w:t>Further, a new California privacy law, the California Privacy Rights Act, or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Additionally, some observers have noted that the CCPA and CPRA could mark the beginning of a trend toward more stringent privacy legislation in the U.S., which could increase our potential liability and adversely affect our business. Already, in the United States, we have witnessed significant developments at the state level. For example, on March 2, 2021, Virginia enacted the Consumer Data Protection Act (the “CDPA”) and, on July 8, 2021, Colorado’s governor signed the Colorado Privacy Act (“CPA”), into law. The CDPA and the CPA will both become effective January 1, 2023. While the CDPA and CPA incorporate many similar concepts of the CCPA and CPRA, there are also several key differences in the scope, application, and enforcement of the law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67" w:lineRule="exact"/>
        <w:rPr>
          <w:sz w:val="20"/>
          <w:szCs w:val="20"/>
          <w:color w:val="auto"/>
        </w:rPr>
      </w:pPr>
    </w:p>
    <w:p>
      <w:pPr>
        <w:ind w:right="320" w:firstLine="450"/>
        <w:spacing w:after="0"/>
        <w:rPr>
          <w:sz w:val="20"/>
          <w:szCs w:val="20"/>
          <w:color w:val="auto"/>
        </w:rPr>
      </w:pPr>
      <w:r>
        <w:rPr>
          <w:rFonts w:ascii="Arial" w:cs="Arial" w:eastAsia="Arial" w:hAnsi="Arial"/>
          <w:sz w:val="18"/>
          <w:szCs w:val="18"/>
          <w:color w:val="auto"/>
        </w:rPr>
        <w:t>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76" w:lineRule="exact"/>
        <w:rPr>
          <w:sz w:val="20"/>
          <w:szCs w:val="20"/>
          <w:color w:val="auto"/>
        </w:rPr>
      </w:pPr>
    </w:p>
    <w:p>
      <w:pPr>
        <w:ind w:right="60" w:firstLine="270"/>
        <w:spacing w:after="0" w:line="252" w:lineRule="auto"/>
        <w:rPr>
          <w:sz w:val="20"/>
          <w:szCs w:val="20"/>
          <w:color w:val="auto"/>
        </w:rPr>
      </w:pPr>
      <w:r>
        <w:rPr>
          <w:rFonts w:ascii="Arial" w:cs="Arial" w:eastAsia="Arial" w:hAnsi="Arial"/>
          <w:sz w:val="17"/>
          <w:szCs w:val="17"/>
          <w:color w:val="auto"/>
        </w:rPr>
        <w:t>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In addition, further to the U.K.’s exit from the EU on January 31, 2020, the GDPR ceased to apply in the U.K. at the end of the transition period on December 31, 2020. However, as of January 1, 2021, the U.K.’s European Union (Withdrawal) Act 2018 incorporated the U.K. GDPR into U.K. law.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170" w:lineRule="exact"/>
        <w:rPr>
          <w:sz w:val="20"/>
          <w:szCs w:val="20"/>
          <w:color w:val="auto"/>
        </w:rPr>
      </w:pPr>
    </w:p>
    <w:p>
      <w:pPr>
        <w:ind w:right="40" w:firstLine="540"/>
        <w:spacing w:after="0" w:line="272" w:lineRule="auto"/>
        <w:rPr>
          <w:sz w:val="20"/>
          <w:szCs w:val="20"/>
          <w:color w:val="auto"/>
        </w:rPr>
      </w:pPr>
      <w:r>
        <w:rPr>
          <w:rFonts w:ascii="Arial" w:cs="Arial" w:eastAsia="Arial" w:hAnsi="Arial"/>
          <w:sz w:val="16"/>
          <w:szCs w:val="16"/>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Information Commissioner’s Office, or ICO, has recently introduced new mechanisms for international transfers of personal data originating from the U.K. (an International Data Transfer Agreement, or IDTA, along with a separate addendum to the EU SCCs), which are in force as of March 21, 2022, to replace the old form EU SCCs for U.K. transfers. The new IDTA or the U.K. addendum must be used for any new contract entered into as of September 21, 2022 and implemented in existing contracts that incorporate the prior version of the SCCs by March 21, 2024. Implementing these new safeguards will require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7" w:name="page78"/>
    <w:bookmarkEnd w:id="77"/>
    <w:p>
      <w:pPr>
        <w:ind w:right="420"/>
        <w:spacing w:after="0" w:line="248" w:lineRule="auto"/>
        <w:rPr>
          <w:sz w:val="20"/>
          <w:szCs w:val="20"/>
          <w:color w:val="auto"/>
        </w:rPr>
      </w:pPr>
      <w:r>
        <w:rPr>
          <w:rFonts w:ascii="Arial" w:cs="Arial" w:eastAsia="Arial" w:hAnsi="Arial"/>
          <w:sz w:val="18"/>
          <w:szCs w:val="18"/>
          <w:color w:val="auto"/>
        </w:rPr>
        <w:t>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68" w:lineRule="exact"/>
        <w:rPr>
          <w:sz w:val="20"/>
          <w:szCs w:val="20"/>
          <w:color w:val="auto"/>
        </w:rPr>
      </w:pPr>
    </w:p>
    <w:p>
      <w:pPr>
        <w:ind w:firstLine="315"/>
        <w:spacing w:after="0" w:line="270" w:lineRule="auto"/>
        <w:rPr>
          <w:sz w:val="20"/>
          <w:szCs w:val="20"/>
          <w:color w:val="auto"/>
        </w:rPr>
      </w:pPr>
      <w:r>
        <w:rPr>
          <w:rFonts w:ascii="Arial" w:cs="Arial" w:eastAsia="Arial" w:hAnsi="Arial"/>
          <w:sz w:val="17"/>
          <w:szCs w:val="17"/>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64" w:lineRule="exact"/>
        <w:rPr>
          <w:sz w:val="20"/>
          <w:szCs w:val="20"/>
          <w:color w:val="auto"/>
        </w:rPr>
      </w:pPr>
    </w:p>
    <w:p>
      <w:pPr>
        <w:ind w:right="120" w:firstLine="576"/>
        <w:spacing w:after="0" w:line="239" w:lineRule="auto"/>
        <w:rPr>
          <w:sz w:val="20"/>
          <w:szCs w:val="20"/>
          <w:color w:val="auto"/>
        </w:rPr>
      </w:pPr>
      <w:r>
        <w:rPr>
          <w:rFonts w:ascii="Arial" w:cs="Arial" w:eastAsia="Arial" w:hAnsi="Arial"/>
          <w:sz w:val="18"/>
          <w:szCs w:val="18"/>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our CRO operating our trials, or our potential collaborators obtain information, as well as the providers who share this information with us, may contractually limit our ability to use and disclose the information. Claims that we or such third-party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3" w:lineRule="exact"/>
        <w:rPr>
          <w:sz w:val="20"/>
          <w:szCs w:val="20"/>
          <w:color w:val="auto"/>
        </w:rPr>
      </w:pPr>
    </w:p>
    <w:p>
      <w:pPr>
        <w:ind w:right="160" w:firstLine="576"/>
        <w:spacing w:after="0" w:line="274" w:lineRule="auto"/>
        <w:rPr>
          <w:sz w:val="20"/>
          <w:szCs w:val="20"/>
          <w:color w:val="auto"/>
        </w:rPr>
      </w:pPr>
      <w:r>
        <w:rPr>
          <w:rFonts w:ascii="Arial" w:cs="Arial" w:eastAsia="Arial" w:hAnsi="Arial"/>
          <w:sz w:val="16"/>
          <w:szCs w:val="16"/>
          <w:color w:val="auto"/>
        </w:rPr>
        <w:t>As of March 31, 2022, we had 98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09"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63" w:lineRule="exact"/>
        <w:rPr>
          <w:sz w:val="20"/>
          <w:szCs w:val="20"/>
          <w:color w:val="auto"/>
        </w:rPr>
      </w:pPr>
    </w:p>
    <w:p>
      <w:pPr>
        <w:ind w:right="40" w:firstLine="576"/>
        <w:spacing w:after="0" w:line="272" w:lineRule="auto"/>
        <w:rPr>
          <w:sz w:val="20"/>
          <w:szCs w:val="20"/>
          <w:color w:val="auto"/>
        </w:rPr>
      </w:pPr>
      <w:r>
        <w:rPr>
          <w:rFonts w:ascii="Arial" w:cs="Arial" w:eastAsia="Arial" w:hAnsi="Arial"/>
          <w:sz w:val="16"/>
          <w:szCs w:val="16"/>
          <w:color w:val="auto"/>
        </w:rPr>
        <w:t>Based on our common stock outstanding as of March 31, 2022,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8" w:name="page79"/>
    <w:bookmarkEnd w:id="78"/>
    <w:p>
      <w:pPr>
        <w:ind w:right="100" w:firstLine="576"/>
        <w:spacing w:after="0" w:line="253" w:lineRule="auto"/>
        <w:rPr>
          <w:sz w:val="20"/>
          <w:szCs w:val="20"/>
          <w:color w:val="auto"/>
        </w:rPr>
      </w:pPr>
      <w:r>
        <w:rPr>
          <w:rFonts w:ascii="Arial" w:cs="Arial" w:eastAsia="Arial" w:hAnsi="Arial"/>
          <w:sz w:val="17"/>
          <w:szCs w:val="17"/>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76" w:lineRule="exact"/>
        <w:rPr>
          <w:sz w:val="20"/>
          <w:szCs w:val="20"/>
          <w:color w:val="auto"/>
        </w:rPr>
      </w:pPr>
    </w:p>
    <w:p>
      <w:pPr>
        <w:ind w:firstLine="576"/>
        <w:spacing w:after="0" w:line="254" w:lineRule="auto"/>
        <w:rPr>
          <w:sz w:val="20"/>
          <w:szCs w:val="20"/>
          <w:color w:val="auto"/>
        </w:rPr>
      </w:pPr>
      <w:r>
        <w:rPr>
          <w:rFonts w:ascii="Arial" w:cs="Arial" w:eastAsia="Arial" w:hAnsi="Arial"/>
          <w:sz w:val="17"/>
          <w:szCs w:val="17"/>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289" w:lineRule="exact"/>
        <w:rPr>
          <w:sz w:val="20"/>
          <w:szCs w:val="20"/>
          <w:color w:val="auto"/>
        </w:rPr>
      </w:pPr>
    </w:p>
    <w:p>
      <w:pPr>
        <w:ind w:right="840"/>
        <w:spacing w:after="0" w:line="324"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300" w:firstLine="584"/>
        <w:spacing w:after="0" w:line="261"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63" w:lineRule="exact"/>
        <w:rPr>
          <w:sz w:val="20"/>
          <w:szCs w:val="20"/>
          <w:color w:val="auto"/>
        </w:rPr>
      </w:pPr>
    </w:p>
    <w:p>
      <w:pPr>
        <w:ind w:left="200" w:right="400"/>
        <w:spacing w:after="0" w:line="271" w:lineRule="auto"/>
        <w:rPr>
          <w:sz w:val="20"/>
          <w:szCs w:val="20"/>
          <w:color w:val="auto"/>
        </w:rPr>
      </w:pPr>
      <w:r>
        <w:rPr>
          <w:rFonts w:ascii="Arial" w:cs="Arial" w:eastAsia="Arial" w:hAnsi="Arial"/>
          <w:sz w:val="16"/>
          <w:szCs w:val="16"/>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 a requirement that special meetings of the stockholders may be called only by the board of directors acting pursuant to a resolution approved by the</w:t>
      </w:r>
    </w:p>
    <w:p>
      <w:pPr>
        <w:ind w:left="200" w:right="600" w:hanging="197"/>
        <w:spacing w:after="0" w:line="234" w:lineRule="auto"/>
        <w:rPr>
          <w:sz w:val="20"/>
          <w:szCs w:val="20"/>
          <w:color w:val="auto"/>
        </w:rPr>
      </w:pPr>
      <w:r>
        <w:rPr>
          <w:rFonts w:ascii="Arial" w:cs="Arial" w:eastAsia="Arial" w:hAnsi="Arial"/>
          <w:sz w:val="18"/>
          <w:szCs w:val="18"/>
          <w:color w:val="auto"/>
        </w:rPr>
        <w:t>affirmative vote of a majority of the directors then in office, and special meetings of stockholders may not be called by any other person or persons; advance notice requirements for stockholder proposals and nominations for election to our board of directors;</w:t>
      </w:r>
    </w:p>
    <w:p>
      <w:pPr>
        <w:spacing w:after="0" w:line="1" w:lineRule="exact"/>
        <w:rPr>
          <w:sz w:val="20"/>
          <w:szCs w:val="20"/>
          <w:color w:val="auto"/>
        </w:rPr>
      </w:pPr>
    </w:p>
    <w:p>
      <w:pPr>
        <w:ind w:right="40" w:firstLine="198"/>
        <w:spacing w:after="0" w:line="234" w:lineRule="auto"/>
        <w:rPr>
          <w:sz w:val="20"/>
          <w:szCs w:val="20"/>
          <w:color w:val="auto"/>
        </w:rPr>
      </w:pPr>
      <w:r>
        <w:rPr>
          <w:rFonts w:ascii="Arial" w:cs="Arial" w:eastAsia="Arial" w:hAnsi="Arial"/>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2" w:lineRule="exact"/>
        <w:rPr>
          <w:sz w:val="20"/>
          <w:szCs w:val="20"/>
          <w:color w:val="auto"/>
        </w:rPr>
      </w:pPr>
    </w:p>
    <w:p>
      <w:pPr>
        <w:ind w:right="600" w:firstLine="198"/>
        <w:spacing w:after="0" w:line="234" w:lineRule="auto"/>
        <w:rPr>
          <w:sz w:val="20"/>
          <w:szCs w:val="20"/>
          <w:color w:val="auto"/>
        </w:rPr>
      </w:pPr>
      <w:r>
        <w:rPr>
          <w:rFonts w:ascii="Arial" w:cs="Arial" w:eastAsia="Arial" w:hAnsi="Arial"/>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1" w:lineRule="exact"/>
        <w:rPr>
          <w:sz w:val="20"/>
          <w:szCs w:val="20"/>
          <w:color w:val="auto"/>
        </w:rPr>
      </w:pPr>
    </w:p>
    <w:p>
      <w:pPr>
        <w:ind w:right="600" w:firstLine="198"/>
        <w:spacing w:after="0" w:line="243" w:lineRule="auto"/>
        <w:rPr>
          <w:sz w:val="20"/>
          <w:szCs w:val="20"/>
          <w:color w:val="auto"/>
        </w:rPr>
      </w:pPr>
      <w:r>
        <w:rPr>
          <w:rFonts w:ascii="Arial" w:cs="Arial" w:eastAsia="Arial" w:hAnsi="Arial"/>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86" w:lineRule="exact"/>
        <w:rPr>
          <w:sz w:val="20"/>
          <w:szCs w:val="20"/>
          <w:color w:val="auto"/>
        </w:rPr>
      </w:pPr>
    </w:p>
    <w:p>
      <w:pPr>
        <w:ind w:right="60" w:firstLine="576"/>
        <w:spacing w:after="0" w:line="279" w:lineRule="auto"/>
        <w:rPr>
          <w:sz w:val="20"/>
          <w:szCs w:val="20"/>
          <w:color w:val="auto"/>
        </w:rPr>
      </w:pPr>
      <w:r>
        <w:rPr>
          <w:rFonts w:ascii="Arial" w:cs="Arial" w:eastAsia="Arial" w:hAnsi="Arial"/>
          <w:sz w:val="16"/>
          <w:szCs w:val="16"/>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6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63" w:lineRule="exact"/>
        <w:rPr>
          <w:sz w:val="20"/>
          <w:szCs w:val="20"/>
          <w:color w:val="auto"/>
        </w:rPr>
      </w:pPr>
    </w:p>
    <w:p>
      <w:pPr>
        <w:ind w:right="160" w:firstLine="576"/>
        <w:spacing w:after="0" w:line="261" w:lineRule="auto"/>
        <w:rPr>
          <w:sz w:val="20"/>
          <w:szCs w:val="20"/>
          <w:color w:val="auto"/>
        </w:rPr>
      </w:pPr>
      <w:r>
        <w:rPr>
          <w:rFonts w:ascii="Arial" w:cs="Arial" w:eastAsia="Arial" w:hAnsi="Arial"/>
          <w:sz w:val="18"/>
          <w:szCs w:val="18"/>
          <w:color w:val="auto"/>
        </w:rPr>
        <w:t>Pursuant to our bylaws, unless we consent in writing to the selection of an alternative forum, the Court of Chancery of the State of Delaware shall be the sole and exclusive forum for any state law claims for (i) any derivative action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9" w:name="page80"/>
    <w:bookmarkEnd w:id="79"/>
    <w:p>
      <w:pPr>
        <w:ind w:right="40"/>
        <w:spacing w:after="0" w:line="253" w:lineRule="auto"/>
        <w:rPr>
          <w:sz w:val="20"/>
          <w:szCs w:val="20"/>
          <w:color w:val="auto"/>
        </w:rPr>
      </w:pPr>
      <w:r>
        <w:rPr>
          <w:rFonts w:ascii="Arial" w:cs="Arial" w:eastAsia="Arial" w:hAnsi="Arial"/>
          <w:sz w:val="17"/>
          <w:szCs w:val="17"/>
          <w:color w:val="auto"/>
        </w:rPr>
        <w:t>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0" w:lineRule="exact"/>
        <w:rPr>
          <w:sz w:val="20"/>
          <w:szCs w:val="20"/>
          <w:color w:val="auto"/>
        </w:rPr>
      </w:pPr>
    </w:p>
    <w:p>
      <w:pPr>
        <w:ind w:right="80" w:firstLine="576"/>
        <w:spacing w:after="0" w:line="270"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3" w:lineRule="exact"/>
        <w:rPr>
          <w:sz w:val="20"/>
          <w:szCs w:val="20"/>
          <w:color w:val="auto"/>
        </w:rPr>
      </w:pPr>
    </w:p>
    <w:p>
      <w:pPr>
        <w:ind w:right="80" w:firstLine="576"/>
        <w:spacing w:after="0" w:line="253"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28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63" w:lineRule="exact"/>
        <w:rPr>
          <w:sz w:val="20"/>
          <w:szCs w:val="20"/>
          <w:color w:val="auto"/>
        </w:rPr>
      </w:pPr>
    </w:p>
    <w:p>
      <w:pPr>
        <w:ind w:firstLine="576"/>
        <w:spacing w:after="0" w:line="270"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0" w:name="page81"/>
    <w:bookmarkEnd w:id="80"/>
    <w:p>
      <w:pPr>
        <w:spacing w:after="0" w:line="255" w:lineRule="auto"/>
        <w:rPr>
          <w:sz w:val="20"/>
          <w:szCs w:val="20"/>
          <w:color w:val="auto"/>
        </w:rPr>
      </w:pPr>
      <w:r>
        <w:rPr>
          <w:rFonts w:ascii="Arial" w:cs="Arial" w:eastAsia="Arial" w:hAnsi="Arial"/>
          <w:sz w:val="17"/>
          <w:szCs w:val="17"/>
          <w:color w:val="auto"/>
        </w:rPr>
        <w:t>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8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3"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9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63" w:lineRule="exact"/>
        <w:rPr>
          <w:sz w:val="20"/>
          <w:szCs w:val="20"/>
          <w:color w:val="auto"/>
        </w:rPr>
      </w:pPr>
    </w:p>
    <w:p>
      <w:pPr>
        <w:ind w:right="220" w:firstLine="576"/>
        <w:spacing w:after="0" w:line="294" w:lineRule="auto"/>
        <w:rPr>
          <w:sz w:val="20"/>
          <w:szCs w:val="20"/>
          <w:color w:val="auto"/>
        </w:rPr>
      </w:pPr>
      <w:r>
        <w:rPr>
          <w:rFonts w:ascii="Arial" w:cs="Arial" w:eastAsia="Arial" w:hAnsi="Arial"/>
          <w:sz w:val="16"/>
          <w:szCs w:val="16"/>
          <w:color w:val="auto"/>
        </w:rPr>
        <w:t>Our stock price has been and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success of competitive products or technologies;</w:t>
      </w:r>
    </w:p>
    <w:p>
      <w:pPr>
        <w:spacing w:after="0" w:line="12" w:lineRule="exact"/>
        <w:rPr>
          <w:sz w:val="20"/>
          <w:szCs w:val="20"/>
          <w:color w:val="auto"/>
        </w:rPr>
      </w:pPr>
    </w:p>
    <w:p>
      <w:pPr>
        <w:ind w:left="200" w:right="3580"/>
        <w:spacing w:after="0" w:line="234" w:lineRule="auto"/>
        <w:rPr>
          <w:sz w:val="20"/>
          <w:szCs w:val="20"/>
          <w:color w:val="auto"/>
        </w:rPr>
      </w:pPr>
      <w:r>
        <w:rPr>
          <w:rFonts w:ascii="Arial" w:cs="Arial" w:eastAsia="Arial" w:hAnsi="Arial"/>
          <w:sz w:val="18"/>
          <w:szCs w:val="18"/>
          <w:color w:val="auto"/>
        </w:rPr>
        <w:t>advancement of our preclinical programs, such as our targeted oncology programs, into clinical testing; results of clinical trials of our product candidates or those of our competitors; regulatory or legal developments in the United States and other countries;</w:t>
      </w:r>
    </w:p>
    <w:p>
      <w:pPr>
        <w:spacing w:after="0" w:line="2" w:lineRule="exact"/>
        <w:rPr>
          <w:sz w:val="20"/>
          <w:szCs w:val="20"/>
          <w:color w:val="auto"/>
        </w:rPr>
      </w:pPr>
    </w:p>
    <w:p>
      <w:pPr>
        <w:ind w:left="200" w:right="3880"/>
        <w:spacing w:after="0" w:line="234" w:lineRule="auto"/>
        <w:rPr>
          <w:sz w:val="20"/>
          <w:szCs w:val="20"/>
          <w:color w:val="auto"/>
        </w:rPr>
      </w:pPr>
      <w:r>
        <w:rPr>
          <w:rFonts w:ascii="Arial" w:cs="Arial" w:eastAsia="Arial" w:hAnsi="Arial"/>
          <w:sz w:val="18"/>
          <w:szCs w:val="18"/>
          <w:color w:val="auto"/>
        </w:rPr>
        <w:t>developments or disputes concerning patent applications, issued patents or other proprietary rights; the recruitment or departure of key personnel;</w:t>
      </w:r>
    </w:p>
    <w:p>
      <w:pPr>
        <w:spacing w:after="0" w:line="1" w:lineRule="exact"/>
        <w:rPr>
          <w:sz w:val="20"/>
          <w:szCs w:val="20"/>
          <w:color w:val="auto"/>
        </w:rPr>
      </w:pPr>
    </w:p>
    <w:p>
      <w:pPr>
        <w:ind w:left="200" w:right="1960"/>
        <w:spacing w:after="0" w:line="248" w:lineRule="auto"/>
        <w:rPr>
          <w:sz w:val="20"/>
          <w:szCs w:val="20"/>
          <w:color w:val="auto"/>
        </w:rPr>
      </w:pPr>
      <w:r>
        <w:rPr>
          <w:rFonts w:ascii="Arial" w:cs="Arial" w:eastAsia="Arial" w:hAnsi="Arial"/>
          <w:sz w:val="17"/>
          <w:szCs w:val="17"/>
          <w:color w:val="auto"/>
        </w:rPr>
        <w:t>the level of expenses related to any of our programs and product candidates or preclinical and clinical development programs; the results of our efforts to discover, develop, acquire or in-license additional product candidates or products;</w:t>
      </w:r>
    </w:p>
    <w:p>
      <w:pPr>
        <w:spacing w:after="0" w:line="1" w:lineRule="exact"/>
        <w:rPr>
          <w:sz w:val="20"/>
          <w:szCs w:val="20"/>
          <w:color w:val="auto"/>
        </w:rPr>
      </w:pPr>
    </w:p>
    <w:p>
      <w:pPr>
        <w:ind w:left="200" w:right="1600"/>
        <w:spacing w:after="0" w:line="234" w:lineRule="auto"/>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 variations in our financial results or those of companies that are perceived to be similar to us;</w:t>
      </w:r>
    </w:p>
    <w:p>
      <w:pPr>
        <w:spacing w:after="0" w:line="1" w:lineRule="exact"/>
        <w:rPr>
          <w:sz w:val="20"/>
          <w:szCs w:val="20"/>
          <w:color w:val="auto"/>
        </w:rPr>
      </w:pPr>
    </w:p>
    <w:p>
      <w:pPr>
        <w:ind w:left="200" w:right="4040"/>
        <w:spacing w:after="0" w:line="234" w:lineRule="auto"/>
        <w:rPr>
          <w:sz w:val="20"/>
          <w:szCs w:val="20"/>
          <w:color w:val="auto"/>
        </w:rPr>
      </w:pPr>
      <w:r>
        <w:rPr>
          <w:rFonts w:ascii="Arial" w:cs="Arial" w:eastAsia="Arial" w:hAnsi="Arial"/>
          <w:sz w:val="18"/>
          <w:szCs w:val="18"/>
          <w:color w:val="auto"/>
        </w:rPr>
        <w:t>changes in the structure of healthcare payment systems and third-party reimbursement decisions; market conditions in the pharmaceutical and biotechnology sectors; limited trading volume;</w:t>
      </w:r>
    </w:p>
    <w:p>
      <w:pPr>
        <w:spacing w:after="0" w:line="2" w:lineRule="exact"/>
        <w:rPr>
          <w:sz w:val="20"/>
          <w:szCs w:val="20"/>
          <w:color w:val="auto"/>
        </w:rPr>
      </w:pPr>
    </w:p>
    <w:p>
      <w:pPr>
        <w:ind w:left="200" w:right="4960"/>
        <w:spacing w:after="0" w:line="239" w:lineRule="auto"/>
        <w:rPr>
          <w:sz w:val="20"/>
          <w:szCs w:val="20"/>
          <w:color w:val="auto"/>
        </w:rPr>
      </w:pPr>
      <w:r>
        <w:rPr>
          <w:rFonts w:ascii="Arial" w:cs="Arial" w:eastAsia="Arial" w:hAnsi="Arial"/>
          <w:sz w:val="18"/>
          <w:szCs w:val="18"/>
          <w:color w:val="auto"/>
        </w:rPr>
        <w:t>future sales of common stock by our officers, directors and significant stockholders; general economic, industry and market conditions; and 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7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3" w:lineRule="exact"/>
        <w:rPr>
          <w:sz w:val="20"/>
          <w:szCs w:val="20"/>
          <w:color w:val="auto"/>
        </w:rPr>
      </w:pPr>
    </w:p>
    <w:p>
      <w:pPr>
        <w:ind w:right="40" w:firstLine="576"/>
        <w:spacing w:after="0" w:line="27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1" w:name="page82"/>
    <w:bookmarkEnd w:id="81"/>
    <w:p>
      <w:pPr>
        <w:ind w:firstLine="576"/>
        <w:spacing w:after="0" w:line="270" w:lineRule="auto"/>
        <w:rPr>
          <w:sz w:val="20"/>
          <w:szCs w:val="20"/>
          <w:color w:val="auto"/>
        </w:rPr>
      </w:pPr>
      <w:r>
        <w:rPr>
          <w:rFonts w:ascii="Arial" w:cs="Arial" w:eastAsia="Arial" w:hAnsi="Arial"/>
          <w:sz w:val="16"/>
          <w:szCs w:val="16"/>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right="40" w:firstLine="576"/>
        <w:spacing w:after="0" w:line="254"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8" w:lineRule="exact"/>
        <w:rPr>
          <w:sz w:val="20"/>
          <w:szCs w:val="20"/>
          <w:color w:val="auto"/>
        </w:rPr>
      </w:pPr>
    </w:p>
    <w:p>
      <w:pPr>
        <w:ind w:right="200" w:firstLine="45"/>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ind w:right="180" w:firstLine="576"/>
        <w:spacing w:after="0" w:line="259"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04" w:lineRule="exact"/>
        <w:rPr>
          <w:sz w:val="20"/>
          <w:szCs w:val="20"/>
          <w:color w:val="auto"/>
        </w:rPr>
      </w:pPr>
    </w:p>
    <w:p>
      <w:pPr>
        <w:ind w:right="60" w:firstLine="576"/>
        <w:spacing w:after="0" w:line="257" w:lineRule="auto"/>
        <w:rPr>
          <w:sz w:val="20"/>
          <w:szCs w:val="20"/>
          <w:color w:val="auto"/>
        </w:rPr>
      </w:pPr>
      <w:r>
        <w:rPr>
          <w:rFonts w:ascii="Arial" w:cs="Arial" w:eastAsia="Arial" w:hAnsi="Arial"/>
          <w:sz w:val="17"/>
          <w:szCs w:val="17"/>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if approved. As we expand the scale of our business activities, any changes in the U.S. taxation of such activities may increase our effective tax rate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2" w:name="page83"/>
    <w:bookmarkEnd w:id="82"/>
    <w:p>
      <w:pPr>
        <w:ind w:right="100"/>
        <w:spacing w:after="0" w:line="243" w:lineRule="auto"/>
        <w:rPr>
          <w:sz w:val="20"/>
          <w:szCs w:val="20"/>
          <w:color w:val="auto"/>
        </w:rPr>
      </w:pPr>
      <w:r>
        <w:rPr>
          <w:rFonts w:ascii="Arial" w:cs="Arial" w:eastAsia="Arial" w:hAnsi="Arial"/>
          <w:sz w:val="18"/>
          <w:szCs w:val="18"/>
          <w:color w:val="auto"/>
        </w:rPr>
        <w:t>harm our business, financial condition, and results of operations. For example, the change in administration and control of Congress in the United States following the 2020 elections may result in additional U.S. tax law changes that could have a material impact on our future effective tax rate, which could have a negative impact on our results of operations in the future. Complying with these tax laws is complex and the statutes and regulations can be subject to varying interpretation which can make compliance challenging.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04" w:lineRule="exact"/>
        <w:rPr>
          <w:sz w:val="20"/>
          <w:szCs w:val="20"/>
          <w:color w:val="auto"/>
        </w:rPr>
      </w:pPr>
    </w:p>
    <w:p>
      <w:pPr>
        <w:ind w:right="20" w:firstLine="576"/>
        <w:spacing w:after="0" w:line="271"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could result in a variety of risks to our business, including, weakened demand for our product candidates and our ability to raise additional capital when needed on acceptable terms, if at all. In addition, our business may be generally exposed to the impact of political or civil unrest or military action, including the current conflict between Russia and Ukraine (where a vendor that performs chemistry related work on our pre-clinical product candidates is located) and, while we do not otherwise have direct exposure to Ukraine, our business and results of operations may be impacted based upon the events taking place there.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common stock may not be sustained, and you may not be able to resell your shares at the price you paid.</w:t>
      </w:r>
    </w:p>
    <w:p>
      <w:pPr>
        <w:spacing w:after="0" w:line="115" w:lineRule="exact"/>
        <w:rPr>
          <w:sz w:val="20"/>
          <w:szCs w:val="20"/>
          <w:color w:val="auto"/>
        </w:rPr>
      </w:pPr>
    </w:p>
    <w:p>
      <w:pPr>
        <w:ind w:firstLine="576"/>
        <w:spacing w:after="0" w:line="261" w:lineRule="auto"/>
        <w:rPr>
          <w:sz w:val="20"/>
          <w:szCs w:val="20"/>
          <w:color w:val="auto"/>
        </w:rPr>
      </w:pPr>
      <w:r>
        <w:rPr>
          <w:rFonts w:ascii="Arial" w:cs="Arial" w:eastAsia="Arial" w:hAnsi="Arial"/>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information required by Item 701 of Regulation S-K was previously included in our Quarterly Report on Form 10-Q filed on November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Proceeds from our Initial Public Offering</w:t>
      </w:r>
    </w:p>
    <w:p>
      <w:pPr>
        <w:spacing w:after="0" w:line="200" w:lineRule="exact"/>
        <w:rPr>
          <w:sz w:val="20"/>
          <w:szCs w:val="20"/>
          <w:color w:val="auto"/>
        </w:rPr>
      </w:pPr>
    </w:p>
    <w:p>
      <w:pPr>
        <w:spacing w:after="0" w:line="21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Of the gross proceeds received from the Initial Public Offering, including an additional 2,175,000 shares of common stock to cover the over-allotments, $166.8 million was placed in a trust account. The net proceeds of the Initial Public Offering were applied to fund the Business Combination and related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20" w:type="dxa"/>
            <w:vAlign w:val="bottom"/>
            <w:gridSpan w:val="6"/>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ind w:left="20"/>
              <w:spacing w:after="0" w:line="15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223">
              <w:r>
                <w:rPr>
                  <w:rFonts w:ascii="Arial" w:cs="Arial" w:eastAsia="Arial" w:hAnsi="Arial"/>
                  <w:sz w:val="18"/>
                  <w:szCs w:val="18"/>
                  <w:color w:val="0000FF"/>
                  <w:w w:val="91"/>
                </w:rPr>
                <w:t>Non-Employee Director Compensation Policy</w:t>
              </w:r>
            </w:hyperlink>
          </w:p>
        </w:tc>
        <w:tc>
          <w:tcPr>
            <w:tcW w:w="66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8"/>
          </w:tcPr>
          <w:p>
            <w:pPr>
              <w:spacing w:after="0" w:line="169" w:lineRule="exact"/>
              <w:rPr>
                <w:rFonts w:ascii="Arial" w:cs="Arial" w:eastAsia="Arial" w:hAnsi="Arial"/>
                <w:sz w:val="18"/>
                <w:szCs w:val="18"/>
                <w:color w:val="0000FF"/>
                <w:w w:val="94"/>
              </w:rPr>
            </w:pPr>
            <w:hyperlink r:id="rId223">
              <w:r>
                <w:rPr>
                  <w:rFonts w:ascii="Arial" w:cs="Arial" w:eastAsia="Arial" w:hAnsi="Arial"/>
                  <w:sz w:val="18"/>
                  <w:szCs w:val="18"/>
                  <w:color w:val="0000FF"/>
                  <w:w w:val="94"/>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223">
              <w:r>
                <w:rPr>
                  <w:rFonts w:ascii="Arial" w:cs="Arial" w:eastAsia="Arial" w:hAnsi="Arial"/>
                  <w:sz w:val="18"/>
                  <w:szCs w:val="18"/>
                  <w:color w:val="0000FF"/>
                  <w:w w:val="90"/>
                </w:rPr>
                <w:t>Adopted Pursuant to Section 302 of the Sarbanes-Oxley Act of 2002.</w:t>
              </w:r>
            </w:hyperlink>
          </w:p>
        </w:tc>
        <w:tc>
          <w:tcPr>
            <w:tcW w:w="4680" w:type="dxa"/>
            <w:vAlign w:val="bottom"/>
            <w:tcBorders>
              <w:top w:val="single" w:sz="8" w:color="0000FF"/>
            </w:tcBorders>
            <w:gridSpan w:val="4"/>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8"/>
          </w:tcPr>
          <w:p>
            <w:pPr>
              <w:spacing w:after="0" w:line="169" w:lineRule="exact"/>
              <w:rPr>
                <w:rFonts w:ascii="Arial" w:cs="Arial" w:eastAsia="Arial" w:hAnsi="Arial"/>
                <w:sz w:val="18"/>
                <w:szCs w:val="18"/>
                <w:color w:val="0000FF"/>
                <w:w w:val="94"/>
              </w:rPr>
            </w:pPr>
            <w:hyperlink r:id="rId223">
              <w:r>
                <w:rPr>
                  <w:rFonts w:ascii="Arial" w:cs="Arial" w:eastAsia="Arial" w:hAnsi="Arial"/>
                  <w:sz w:val="18"/>
                  <w:szCs w:val="18"/>
                  <w:color w:val="0000FF"/>
                  <w:w w:val="94"/>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223">
              <w:r>
                <w:rPr>
                  <w:rFonts w:ascii="Arial" w:cs="Arial" w:eastAsia="Arial" w:hAnsi="Arial"/>
                  <w:sz w:val="18"/>
                  <w:szCs w:val="18"/>
                  <w:color w:val="0000FF"/>
                  <w:w w:val="90"/>
                </w:rPr>
                <w:t>Adopted Pursuant to Section 302 of the Sarbanes-Oxley Act of 2002.</w:t>
              </w:r>
            </w:hyperlink>
          </w:p>
        </w:tc>
        <w:tc>
          <w:tcPr>
            <w:tcW w:w="4640" w:type="dxa"/>
            <w:vAlign w:val="bottom"/>
            <w:tcBorders>
              <w:top w:val="single" w:sz="8" w:color="0000FF"/>
            </w:tcBorders>
            <w:gridSpan w:val="3"/>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8"/>
          </w:tcPr>
          <w:p>
            <w:pPr>
              <w:spacing w:after="0" w:line="169" w:lineRule="exact"/>
              <w:rPr>
                <w:rFonts w:ascii="Arial" w:cs="Arial" w:eastAsia="Arial" w:hAnsi="Arial"/>
                <w:sz w:val="18"/>
                <w:szCs w:val="18"/>
                <w:color w:val="0000FF"/>
                <w:w w:val="94"/>
              </w:rPr>
            </w:pPr>
            <w:hyperlink r:id="rId223">
              <w:r>
                <w:rPr>
                  <w:rFonts w:ascii="Arial" w:cs="Arial" w:eastAsia="Arial" w:hAnsi="Arial"/>
                  <w:sz w:val="18"/>
                  <w:szCs w:val="18"/>
                  <w:color w:val="0000FF"/>
                  <w:w w:val="94"/>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Oxley Act of 2002.</w:t>
              </w:r>
            </w:hyperlink>
          </w:p>
        </w:tc>
        <w:tc>
          <w:tcPr>
            <w:tcW w:w="3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1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8"/>
          </w:tcPr>
          <w:p>
            <w:pPr>
              <w:spacing w:after="0" w:line="169" w:lineRule="exact"/>
              <w:rPr>
                <w:rFonts w:ascii="Arial" w:cs="Arial" w:eastAsia="Arial" w:hAnsi="Arial"/>
                <w:sz w:val="18"/>
                <w:szCs w:val="18"/>
                <w:color w:val="0000FF"/>
                <w:w w:val="94"/>
              </w:rPr>
            </w:pPr>
            <w:hyperlink r:id="rId223">
              <w:r>
                <w:rPr>
                  <w:rFonts w:ascii="Arial" w:cs="Arial" w:eastAsia="Arial" w:hAnsi="Arial"/>
                  <w:sz w:val="18"/>
                  <w:szCs w:val="18"/>
                  <w:color w:val="0000FF"/>
                  <w:w w:val="94"/>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Oxley Act of 2002.</w:t>
              </w:r>
            </w:hyperlink>
          </w:p>
        </w:tc>
        <w:tc>
          <w:tcPr>
            <w:tcW w:w="4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8"/>
          </w:tcPr>
          <w:p>
            <w:pPr>
              <w:spacing w:after="0" w:line="156" w:lineRule="exact"/>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8"/>
          </w:tcPr>
          <w:p>
            <w:pPr>
              <w:spacing w:after="0" w:line="189" w:lineRule="exact"/>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76"/>
        </w:trPr>
        <w:tc>
          <w:tcPr>
            <w:tcW w:w="114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8"/>
          </w:tcPr>
          <w:p>
            <w:pPr>
              <w:spacing w:after="0" w:line="176" w:lineRule="exact"/>
              <w:rPr>
                <w:sz w:val="20"/>
                <w:szCs w:val="20"/>
                <w:color w:val="auto"/>
              </w:rPr>
            </w:pPr>
            <w:r>
              <w:rPr>
                <w:rFonts w:ascii="Arial" w:cs="Arial" w:eastAsia="Arial" w:hAnsi="Arial"/>
                <w:sz w:val="18"/>
                <w:szCs w:val="18"/>
                <w:color w:val="auto"/>
                <w:w w:val="95"/>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520" w:type="dxa"/>
            <w:vAlign w:val="bottom"/>
            <w:gridSpan w:val="3"/>
          </w:tcPr>
          <w:p>
            <w:pPr>
              <w:ind w:left="140"/>
              <w:spacing w:after="0"/>
              <w:rPr>
                <w:sz w:val="20"/>
                <w:szCs w:val="20"/>
                <w:color w:val="auto"/>
              </w:rPr>
            </w:pPr>
            <w:r>
              <w:rPr>
                <w:rFonts w:ascii="Arial" w:cs="Arial" w:eastAsia="Arial" w:hAnsi="Arial"/>
                <w:sz w:val="18"/>
                <w:szCs w:val="18"/>
                <w:color w:val="auto"/>
              </w:rPr>
              <w:t>101)</w:t>
            </w:r>
          </w:p>
        </w:tc>
        <w:tc>
          <w:tcPr>
            <w:tcW w:w="1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8"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2" w:lineRule="exact"/>
        <w:rPr>
          <w:sz w:val="20"/>
          <w:szCs w:val="20"/>
          <w:color w:val="auto"/>
        </w:rPr>
      </w:pPr>
    </w:p>
    <w:p>
      <w:pPr>
        <w:ind w:left="520" w:right="80" w:hanging="512"/>
        <w:spacing w:after="0" w:line="239" w:lineRule="auto"/>
        <w:tabs>
          <w:tab w:leader="none" w:pos="41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120650</wp:posOffset>
            </wp:positionV>
            <wp:extent cx="2603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140"/>
              <w:spacing w:after="0"/>
              <w:rPr>
                <w:sz w:val="20"/>
                <w:szCs w:val="20"/>
                <w:color w:val="auto"/>
              </w:rPr>
            </w:pPr>
            <w:r>
              <w:rPr>
                <w:rFonts w:ascii="Arial" w:cs="Arial" w:eastAsia="Arial" w:hAnsi="Arial"/>
                <w:sz w:val="18"/>
                <w:szCs w:val="18"/>
                <w:color w:val="auto"/>
              </w:rPr>
              <w:t>Tango Therapeutics, Inc.</w:t>
            </w:r>
          </w:p>
        </w:tc>
      </w:tr>
      <w:tr>
        <w:trPr>
          <w:trHeight w:val="351"/>
        </w:trPr>
        <w:tc>
          <w:tcPr>
            <w:tcW w:w="3540" w:type="dxa"/>
            <w:vAlign w:val="bottom"/>
          </w:tcPr>
          <w:p>
            <w:pPr>
              <w:ind w:left="20"/>
              <w:spacing w:after="0"/>
              <w:rPr>
                <w:sz w:val="20"/>
                <w:szCs w:val="20"/>
                <w:color w:val="auto"/>
              </w:rPr>
            </w:pPr>
            <w:r>
              <w:rPr>
                <w:rFonts w:ascii="Arial" w:cs="Arial" w:eastAsia="Arial" w:hAnsi="Arial"/>
                <w:sz w:val="18"/>
                <w:szCs w:val="18"/>
                <w:color w:val="auto"/>
              </w:rPr>
              <w:t>Dated: May 11, 2022</w:t>
            </w:r>
          </w:p>
        </w:tc>
        <w:tc>
          <w:tcPr>
            <w:tcW w:w="256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Barbara Weber</w:t>
            </w:r>
          </w:p>
        </w:tc>
      </w:tr>
      <w:tr>
        <w:trPr>
          <w:trHeight w:val="151"/>
        </w:trPr>
        <w:tc>
          <w:tcPr>
            <w:tcW w:w="35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140" w:type="dxa"/>
            <w:vAlign w:val="bottom"/>
          </w:tcPr>
          <w:p>
            <w:pPr>
              <w:ind w:left="20"/>
              <w:spacing w:after="0" w:line="150" w:lineRule="exact"/>
              <w:rPr>
                <w:sz w:val="20"/>
                <w:szCs w:val="20"/>
                <w:color w:val="auto"/>
              </w:rPr>
            </w:pPr>
            <w:r>
              <w:rPr>
                <w:rFonts w:ascii="Arial" w:cs="Arial" w:eastAsia="Arial" w:hAnsi="Arial"/>
                <w:sz w:val="17"/>
                <w:szCs w:val="17"/>
                <w:b w:val="1"/>
                <w:bCs w:val="1"/>
                <w:color w:val="auto"/>
              </w:rPr>
              <w:t>Barbara Weber, MD</w:t>
            </w:r>
          </w:p>
        </w:tc>
      </w:tr>
      <w:tr>
        <w:trPr>
          <w:trHeight w:val="193"/>
        </w:trPr>
        <w:tc>
          <w:tcPr>
            <w:tcW w:w="3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Pr>
          <w:p>
            <w:pPr>
              <w:ind w:left="20"/>
              <w:spacing w:after="0" w:line="193" w:lineRule="exact"/>
              <w:rPr>
                <w:sz w:val="20"/>
                <w:szCs w:val="20"/>
                <w:color w:val="auto"/>
              </w:rPr>
            </w:pPr>
            <w:r>
              <w:rPr>
                <w:rFonts w:ascii="Arial" w:cs="Arial" w:eastAsia="Arial" w:hAnsi="Arial"/>
                <w:sz w:val="18"/>
                <w:szCs w:val="18"/>
                <w:b w:val="1"/>
                <w:bCs w:val="1"/>
                <w:color w:val="auto"/>
              </w:rPr>
              <w:t>President and Chief Executive Officer</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3540" w:type="dxa"/>
            <w:vAlign w:val="bottom"/>
          </w:tcPr>
          <w:p>
            <w:pPr>
              <w:spacing w:after="0"/>
              <w:rPr>
                <w:sz w:val="24"/>
                <w:szCs w:val="24"/>
                <w:color w:val="auto"/>
              </w:rPr>
            </w:pPr>
          </w:p>
        </w:tc>
        <w:tc>
          <w:tcPr>
            <w:tcW w:w="7700" w:type="dxa"/>
            <w:vAlign w:val="bottom"/>
            <w:gridSpan w:val="2"/>
          </w:tcPr>
          <w:p>
            <w:pPr>
              <w:ind w:left="2140"/>
              <w:spacing w:after="0"/>
              <w:rPr>
                <w:sz w:val="20"/>
                <w:szCs w:val="20"/>
                <w:color w:val="auto"/>
              </w:rPr>
            </w:pPr>
            <w:r>
              <w:rPr>
                <w:rFonts w:ascii="Arial" w:cs="Arial" w:eastAsia="Arial" w:hAnsi="Arial"/>
                <w:sz w:val="18"/>
                <w:szCs w:val="18"/>
                <w:color w:val="auto"/>
              </w:rPr>
              <w:t>Tango Therapeutics, Inc.</w:t>
            </w:r>
          </w:p>
        </w:tc>
      </w:tr>
      <w:tr>
        <w:trPr>
          <w:trHeight w:val="351"/>
        </w:trPr>
        <w:tc>
          <w:tcPr>
            <w:tcW w:w="3540" w:type="dxa"/>
            <w:vAlign w:val="bottom"/>
          </w:tcPr>
          <w:p>
            <w:pPr>
              <w:spacing w:after="0"/>
              <w:rPr>
                <w:sz w:val="24"/>
                <w:szCs w:val="24"/>
                <w:color w:val="auto"/>
              </w:rPr>
            </w:pPr>
          </w:p>
        </w:tc>
        <w:tc>
          <w:tcPr>
            <w:tcW w:w="256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Daniella Beckman</w:t>
            </w:r>
          </w:p>
        </w:tc>
      </w:tr>
      <w:tr>
        <w:trPr>
          <w:trHeight w:val="151"/>
        </w:trPr>
        <w:tc>
          <w:tcPr>
            <w:tcW w:w="35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140" w:type="dxa"/>
            <w:vAlign w:val="bottom"/>
          </w:tcPr>
          <w:p>
            <w:pPr>
              <w:ind w:left="20"/>
              <w:spacing w:after="0" w:line="150" w:lineRule="exact"/>
              <w:rPr>
                <w:sz w:val="20"/>
                <w:szCs w:val="20"/>
                <w:color w:val="auto"/>
              </w:rPr>
            </w:pPr>
            <w:r>
              <w:rPr>
                <w:rFonts w:ascii="Arial" w:cs="Arial" w:eastAsia="Arial" w:hAnsi="Arial"/>
                <w:sz w:val="17"/>
                <w:szCs w:val="17"/>
                <w:b w:val="1"/>
                <w:bCs w:val="1"/>
                <w:color w:val="auto"/>
              </w:rPr>
              <w:t>Daniella Beckman</w:t>
            </w:r>
          </w:p>
        </w:tc>
      </w:tr>
      <w:tr>
        <w:trPr>
          <w:trHeight w:val="193"/>
        </w:trPr>
        <w:tc>
          <w:tcPr>
            <w:tcW w:w="3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Pr>
          <w:p>
            <w:pPr>
              <w:ind w:left="20"/>
              <w:spacing w:after="0" w:line="193" w:lineRule="exact"/>
              <w:rPr>
                <w:sz w:val="20"/>
                <w:szCs w:val="20"/>
                <w:color w:val="auto"/>
              </w:rPr>
            </w:pPr>
            <w:r>
              <w:rPr>
                <w:rFonts w:ascii="Arial" w:cs="Arial" w:eastAsia="Arial" w:hAnsi="Arial"/>
                <w:sz w:val="18"/>
                <w:szCs w:val="18"/>
                <w:b w:val="1"/>
                <w:bCs w:val="1"/>
                <w:color w:val="auto"/>
              </w:rPr>
              <w:t>Chief Financial Officer</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r>
        <w:trPr>
          <w:trHeight w:val="621"/>
        </w:trPr>
        <w:tc>
          <w:tcPr>
            <w:tcW w:w="354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78</w:t>
            </w:r>
          </w:p>
        </w:tc>
        <w:tc>
          <w:tcPr>
            <w:tcW w:w="5140" w:type="dxa"/>
            <w:vAlign w:val="bottom"/>
          </w:tcPr>
          <w:p>
            <w:pPr>
              <w:spacing w:after="0"/>
              <w:rPr>
                <w:sz w:val="24"/>
                <w:szCs w:val="24"/>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5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3"/>
    </w:lvl>
  </w:abstractNum>
  <w:abstractNum w:abstractNumId="9">
    <w:nsid w:val="3F2DBA31"/>
    <w:multiLevelType w:val="hybridMultilevel"/>
    <w:lvl w:ilvl="0">
      <w:lvlJc w:val="left"/>
      <w:lvlText w:val="%1."/>
      <w:numFmt w:val="decimal"/>
      <w:start w:val="4"/>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5"/>
    </w:lvl>
  </w:abstractNum>
  <w:abstractNum w:abstractNumId="12">
    <w:nsid w:val="62BBD95A"/>
    <w:multiLevelType w:val="hybridMultilevel"/>
    <w:lvl w:ilvl="0">
      <w:lvlJc w:val="left"/>
      <w:lvlText w:val="%1."/>
      <w:numFmt w:val="decimal"/>
      <w:start w:val="6"/>
    </w:lvl>
  </w:abstractNum>
  <w:abstractNum w:abstractNumId="13">
    <w:nsid w:val="436C6125"/>
    <w:multiLevelType w:val="hybridMultilevel"/>
    <w:lvl w:ilvl="0">
      <w:lvlJc w:val="left"/>
      <w:lvlText w:val="%1."/>
      <w:numFmt w:val="decimal"/>
      <w:start w:val="7"/>
    </w:lvl>
  </w:abstractNum>
  <w:abstractNum w:abstractNumId="14">
    <w:nsid w:val="628C895D"/>
    <w:multiLevelType w:val="hybridMultilevel"/>
    <w:lvl w:ilvl="0">
      <w:lvlJc w:val="left"/>
      <w:lvlText w:val="%1."/>
      <w:numFmt w:val="decimal"/>
      <w:start w:val="8"/>
    </w:lvl>
  </w:abstractNum>
  <w:abstractNum w:abstractNumId="15">
    <w:nsid w:val="333AB105"/>
    <w:multiLevelType w:val="hybridMultilevel"/>
    <w:lvl w:ilvl="0">
      <w:lvlJc w:val="left"/>
      <w:lvlText w:val="%1."/>
      <w:numFmt w:val="decimal"/>
      <w:start w:val="9"/>
    </w:lvl>
  </w:abstractNum>
  <w:abstractNum w:abstractNumId="16">
    <w:nsid w:val="721DA317"/>
    <w:multiLevelType w:val="hybridMultilevel"/>
    <w:lvl w:ilvl="0">
      <w:lvlJc w:val="left"/>
      <w:lvlText w:val="%1."/>
      <w:numFmt w:val="decimal"/>
      <w:start w:val="10"/>
    </w:lvl>
  </w:abstractNum>
  <w:abstractNum w:abstractNumId="17">
    <w:nsid w:val="2443A858"/>
    <w:multiLevelType w:val="hybridMultilevel"/>
    <w:lvl w:ilvl="0">
      <w:lvlJc w:val="left"/>
      <w:lvlText w:val="%1."/>
      <w:numFmt w:val="decimal"/>
      <w:start w:val="11"/>
    </w:lvl>
  </w:abstractNum>
  <w:abstractNum w:abstractNumId="18">
    <w:nsid w:val="2D1D5AE9"/>
    <w:multiLevelType w:val="hybridMultilevel"/>
    <w:lvl w:ilvl="0">
      <w:lvlJc w:val="left"/>
      <w:lvlText w:val="%1."/>
      <w:numFmt w:val="decimal"/>
      <w:start w:val="12"/>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lowerLetter"/>
      <w:start w:val="4"/>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3" Type="http://schemas.openxmlformats.org/officeDocument/2006/relationships/hyperlink" Target="https://www.sec.gov/ix?doc=/Archives/edgar/data/0001819133/000095017022009139/tngx-2022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2022-05-11T15:15:56Z</dcterms:created>
  <dcterms:modified xsi:type="dcterms:W3CDTF">2022-05-11T15:15:56Z</dcterms:modified>
</cp:coreProperties>
</file>