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464185</wp:posOffset>
            </wp:positionH>
            <wp:positionV relativeFrom="page">
              <wp:posOffset>161925</wp:posOffset>
            </wp:positionV>
            <wp:extent cx="66205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20510" cy="8255"/>
                    </a:xfrm>
                    <a:prstGeom prst="rect">
                      <a:avLst/>
                    </a:prstGeom>
                    <a:noFill/>
                  </pic:spPr>
                </pic:pic>
              </a:graphicData>
            </a:graphic>
          </wp:anchor>
        </w:drawing>
        <w:drawing>
          <wp:anchor simplePos="0" relativeHeight="251657728" behindDoc="1" locked="0" layoutInCell="0" allowOverlap="1">
            <wp:simplePos x="0" y="0"/>
            <wp:positionH relativeFrom="page">
              <wp:posOffset>464185</wp:posOffset>
            </wp:positionH>
            <wp:positionV relativeFrom="page">
              <wp:posOffset>202565</wp:posOffset>
            </wp:positionV>
            <wp:extent cx="66205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20510" cy="8255"/>
                    </a:xfrm>
                    <a:prstGeom prst="rect">
                      <a:avLst/>
                    </a:prstGeom>
                    <a:noFill/>
                  </pic:spPr>
                </pic:pic>
              </a:graphicData>
            </a:graphic>
          </wp:anchor>
        </w:drawing>
        <w:t>UNITED STATES</w:t>
      </w:r>
    </w:p>
    <w:p>
      <w:pPr>
        <w:spacing w:after="0" w:line="19"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8"/>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156210</wp:posOffset>
            </wp:positionV>
            <wp:extent cx="13957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95730" cy="8255"/>
                    </a:xfrm>
                    <a:prstGeom prst="rect">
                      <a:avLst/>
                    </a:prstGeom>
                    <a:noFill/>
                  </pic:spPr>
                </pic:pic>
              </a:graphicData>
            </a:graphic>
          </wp:anchor>
        </w:drawing>
      </w:r>
    </w:p>
    <w:p>
      <w:pPr>
        <w:spacing w:after="0" w:line="334"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175260</wp:posOffset>
            </wp:positionV>
            <wp:extent cx="13957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95730" cy="8255"/>
                    </a:xfrm>
                    <a:prstGeom prst="rect">
                      <a:avLst/>
                    </a:prstGeom>
                    <a:noFill/>
                  </pic:spPr>
                </pic:pic>
              </a:graphicData>
            </a:graphic>
          </wp:anchor>
        </w:drawing>
      </w:r>
    </w:p>
    <w:p>
      <w:pPr>
        <w:spacing w:after="0" w:line="380"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6"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jc w:val="center"/>
        <w:ind w:right="-8"/>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140"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January 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180975</wp:posOffset>
            </wp:positionV>
            <wp:extent cx="13957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95730" cy="8255"/>
                    </a:xfrm>
                    <a:prstGeom prst="rect">
                      <a:avLst/>
                    </a:prstGeom>
                    <a:noFill/>
                  </pic:spPr>
                </pic:pic>
              </a:graphicData>
            </a:graphic>
          </wp:anchor>
        </w:drawing>
      </w:r>
    </w:p>
    <w:p>
      <w:pPr>
        <w:spacing w:after="0" w:line="358"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41"/>
          <w:szCs w:val="41"/>
          <w:b w:val="1"/>
          <w:bCs w:val="1"/>
          <w:color w:val="auto"/>
        </w:rPr>
        <w:t>TANGO THERAPEUTICS, INC.</w:t>
      </w:r>
    </w:p>
    <w:p>
      <w:pPr>
        <w:spacing w:after="0" w:line="51"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167005</wp:posOffset>
            </wp:positionV>
            <wp:extent cx="13957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95730"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969" w:type="dxa"/>
        <w:tblCellMar>
          <w:top w:w="0" w:type="dxa"/>
          <w:left w:w="0" w:type="dxa"/>
          <w:bottom w:w="0" w:type="dxa"/>
          <w:right w:w="0" w:type="dxa"/>
        </w:tblCellMar>
      </w:tblPr>
      <w:tr>
        <w:trPr>
          <w:trHeight w:val="200"/>
        </w:trPr>
        <w:tc>
          <w:tcPr>
            <w:tcW w:w="3400" w:type="dxa"/>
            <w:vAlign w:val="bottom"/>
          </w:tcPr>
          <w:p>
            <w:pPr>
              <w:jc w:val="center"/>
              <w:ind w:right="1723"/>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2280" w:type="dxa"/>
            <w:vAlign w:val="bottom"/>
          </w:tcPr>
          <w:p>
            <w:pPr>
              <w:ind w:left="580"/>
              <w:spacing w:after="0"/>
              <w:rPr>
                <w:sz w:val="20"/>
                <w:szCs w:val="20"/>
                <w:color w:val="auto"/>
              </w:rPr>
            </w:pPr>
            <w:r>
              <w:rPr>
                <w:rFonts w:ascii="Times New Roman" w:cs="Times New Roman" w:eastAsia="Times New Roman" w:hAnsi="Times New Roman"/>
                <w:sz w:val="17"/>
                <w:szCs w:val="17"/>
                <w:b w:val="1"/>
                <w:bCs w:val="1"/>
                <w:color w:val="auto"/>
              </w:rPr>
              <w:t>001-39485</w:t>
            </w:r>
          </w:p>
        </w:tc>
        <w:tc>
          <w:tcPr>
            <w:tcW w:w="2640" w:type="dxa"/>
            <w:vAlign w:val="bottom"/>
          </w:tcPr>
          <w:p>
            <w:pPr>
              <w:jc w:val="center"/>
              <w:ind w:left="1505"/>
              <w:spacing w:after="0"/>
              <w:rPr>
                <w:sz w:val="20"/>
                <w:szCs w:val="20"/>
                <w:color w:val="auto"/>
              </w:rPr>
            </w:pPr>
            <w:r>
              <w:rPr>
                <w:rFonts w:ascii="Times New Roman" w:cs="Times New Roman" w:eastAsia="Times New Roman" w:hAnsi="Times New Roman"/>
                <w:sz w:val="17"/>
                <w:szCs w:val="17"/>
                <w:b w:val="1"/>
                <w:bCs w:val="1"/>
                <w:color w:val="auto"/>
                <w:w w:val="99"/>
              </w:rPr>
              <w:t>85-1195036</w:t>
            </w:r>
          </w:p>
        </w:tc>
      </w:tr>
      <w:tr>
        <w:trPr>
          <w:trHeight w:val="141"/>
        </w:trPr>
        <w:tc>
          <w:tcPr>
            <w:tcW w:w="3400" w:type="dxa"/>
            <w:vAlign w:val="bottom"/>
          </w:tcPr>
          <w:p>
            <w:pPr>
              <w:jc w:val="center"/>
              <w:ind w:right="1723"/>
              <w:spacing w:after="0" w:line="141" w:lineRule="exact"/>
              <w:rPr>
                <w:sz w:val="20"/>
                <w:szCs w:val="20"/>
                <w:color w:val="auto"/>
              </w:rPr>
            </w:pPr>
            <w:r>
              <w:rPr>
                <w:rFonts w:ascii="Times New Roman" w:cs="Times New Roman" w:eastAsia="Times New Roman" w:hAnsi="Times New Roman"/>
                <w:sz w:val="14"/>
                <w:szCs w:val="14"/>
                <w:b w:val="1"/>
                <w:bCs w:val="1"/>
                <w:color w:val="auto"/>
                <w:w w:val="96"/>
              </w:rPr>
              <w:t>(State or Other Jurisdiction</w:t>
            </w:r>
          </w:p>
        </w:tc>
        <w:tc>
          <w:tcPr>
            <w:tcW w:w="2280" w:type="dxa"/>
            <w:vAlign w:val="bottom"/>
          </w:tcPr>
          <w:p>
            <w:pPr>
              <w:ind w:left="580"/>
              <w:spacing w:after="0" w:line="141"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640" w:type="dxa"/>
            <w:vAlign w:val="bottom"/>
          </w:tcPr>
          <w:p>
            <w:pPr>
              <w:jc w:val="center"/>
              <w:ind w:left="1505"/>
              <w:spacing w:after="0" w:line="141" w:lineRule="exact"/>
              <w:rPr>
                <w:sz w:val="20"/>
                <w:szCs w:val="20"/>
                <w:color w:val="auto"/>
              </w:rPr>
            </w:pPr>
            <w:r>
              <w:rPr>
                <w:rFonts w:ascii="Times New Roman" w:cs="Times New Roman" w:eastAsia="Times New Roman" w:hAnsi="Times New Roman"/>
                <w:sz w:val="14"/>
                <w:szCs w:val="14"/>
                <w:b w:val="1"/>
                <w:bCs w:val="1"/>
                <w:color w:val="auto"/>
                <w:w w:val="99"/>
              </w:rPr>
              <w:t>(IRS Employer</w:t>
            </w:r>
          </w:p>
        </w:tc>
      </w:tr>
      <w:tr>
        <w:trPr>
          <w:trHeight w:val="179"/>
        </w:trPr>
        <w:tc>
          <w:tcPr>
            <w:tcW w:w="3400" w:type="dxa"/>
            <w:vAlign w:val="bottom"/>
          </w:tcPr>
          <w:p>
            <w:pPr>
              <w:jc w:val="center"/>
              <w:ind w:right="1723"/>
              <w:spacing w:after="0"/>
              <w:rPr>
                <w:sz w:val="20"/>
                <w:szCs w:val="20"/>
                <w:color w:val="auto"/>
              </w:rPr>
            </w:pPr>
            <w:r>
              <w:rPr>
                <w:rFonts w:ascii="Times New Roman" w:cs="Times New Roman" w:eastAsia="Times New Roman" w:hAnsi="Times New Roman"/>
                <w:sz w:val="14"/>
                <w:szCs w:val="14"/>
                <w:b w:val="1"/>
                <w:bCs w:val="1"/>
                <w:color w:val="auto"/>
                <w:w w:val="96"/>
              </w:rPr>
              <w:t>of Incorporation)</w:t>
            </w:r>
          </w:p>
        </w:tc>
        <w:tc>
          <w:tcPr>
            <w:tcW w:w="228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640" w:type="dxa"/>
            <w:vAlign w:val="bottom"/>
          </w:tcPr>
          <w:p>
            <w:pPr>
              <w:jc w:val="center"/>
              <w:ind w:left="1505"/>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r>
      <w:tr>
        <w:trPr>
          <w:trHeight w:val="387"/>
        </w:trPr>
        <w:tc>
          <w:tcPr>
            <w:tcW w:w="3400" w:type="dxa"/>
            <w:vAlign w:val="bottom"/>
          </w:tcPr>
          <w:p>
            <w:pPr>
              <w:jc w:val="center"/>
              <w:ind w:right="3"/>
              <w:spacing w:after="0"/>
              <w:rPr>
                <w:sz w:val="20"/>
                <w:szCs w:val="20"/>
                <w:color w:val="auto"/>
              </w:rPr>
            </w:pPr>
            <w:r>
              <w:rPr>
                <w:rFonts w:ascii="Times New Roman" w:cs="Times New Roman" w:eastAsia="Times New Roman" w:hAnsi="Times New Roman"/>
                <w:sz w:val="17"/>
                <w:szCs w:val="17"/>
                <w:b w:val="1"/>
                <w:bCs w:val="1"/>
                <w:color w:val="auto"/>
                <w:w w:val="99"/>
              </w:rPr>
              <w:t>201 Brookline Ave., Suite 901</w:t>
            </w:r>
          </w:p>
        </w:tc>
        <w:tc>
          <w:tcPr>
            <w:tcW w:w="228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13"/>
        </w:trPr>
        <w:tc>
          <w:tcPr>
            <w:tcW w:w="3400" w:type="dxa"/>
            <w:vAlign w:val="bottom"/>
          </w:tcPr>
          <w:p>
            <w:pPr>
              <w:jc w:val="center"/>
              <w:ind w:right="3"/>
              <w:spacing w:after="0"/>
              <w:rPr>
                <w:sz w:val="20"/>
                <w:szCs w:val="20"/>
                <w:color w:val="auto"/>
              </w:rPr>
            </w:pPr>
            <w:r>
              <w:rPr>
                <w:rFonts w:ascii="Times New Roman" w:cs="Times New Roman" w:eastAsia="Times New Roman" w:hAnsi="Times New Roman"/>
                <w:sz w:val="17"/>
                <w:szCs w:val="17"/>
                <w:b w:val="1"/>
                <w:bCs w:val="1"/>
                <w:color w:val="auto"/>
              </w:rPr>
              <w:t>Boston, MA</w:t>
            </w:r>
          </w:p>
        </w:tc>
        <w:tc>
          <w:tcPr>
            <w:tcW w:w="2280" w:type="dxa"/>
            <w:vAlign w:val="bottom"/>
          </w:tcPr>
          <w:p>
            <w:pPr>
              <w:spacing w:after="0"/>
              <w:rPr>
                <w:sz w:val="18"/>
                <w:szCs w:val="18"/>
                <w:color w:val="auto"/>
              </w:rPr>
            </w:pPr>
          </w:p>
        </w:tc>
        <w:tc>
          <w:tcPr>
            <w:tcW w:w="2640" w:type="dxa"/>
            <w:vAlign w:val="bottom"/>
          </w:tcPr>
          <w:p>
            <w:pPr>
              <w:jc w:val="right"/>
              <w:ind w:right="1105"/>
              <w:spacing w:after="0"/>
              <w:rPr>
                <w:sz w:val="20"/>
                <w:szCs w:val="20"/>
                <w:color w:val="auto"/>
              </w:rPr>
            </w:pPr>
            <w:r>
              <w:rPr>
                <w:rFonts w:ascii="Times New Roman" w:cs="Times New Roman" w:eastAsia="Times New Roman" w:hAnsi="Times New Roman"/>
                <w:sz w:val="17"/>
                <w:szCs w:val="17"/>
                <w:b w:val="1"/>
                <w:bCs w:val="1"/>
                <w:color w:val="auto"/>
              </w:rPr>
              <w:t>02215</w:t>
            </w:r>
          </w:p>
        </w:tc>
      </w:tr>
      <w:tr>
        <w:trPr>
          <w:trHeight w:val="179"/>
        </w:trPr>
        <w:tc>
          <w:tcPr>
            <w:tcW w:w="3400" w:type="dxa"/>
            <w:vAlign w:val="bottom"/>
          </w:tcPr>
          <w:p>
            <w:pPr>
              <w:jc w:val="center"/>
              <w:ind w:right="3"/>
              <w:spacing w:after="0"/>
              <w:rPr>
                <w:sz w:val="20"/>
                <w:szCs w:val="20"/>
                <w:color w:val="auto"/>
              </w:rPr>
            </w:pPr>
            <w:r>
              <w:rPr>
                <w:rFonts w:ascii="Times New Roman" w:cs="Times New Roman" w:eastAsia="Times New Roman" w:hAnsi="Times New Roman"/>
                <w:sz w:val="14"/>
                <w:szCs w:val="14"/>
                <w:b w:val="1"/>
                <w:bCs w:val="1"/>
                <w:color w:val="auto"/>
                <w:w w:val="96"/>
              </w:rPr>
              <w:t>(Address of Principal Executive Offices)</w:t>
            </w:r>
          </w:p>
        </w:tc>
        <w:tc>
          <w:tcPr>
            <w:tcW w:w="2280" w:type="dxa"/>
            <w:vAlign w:val="bottom"/>
          </w:tcPr>
          <w:p>
            <w:pPr>
              <w:spacing w:after="0"/>
              <w:rPr>
                <w:sz w:val="15"/>
                <w:szCs w:val="15"/>
                <w:color w:val="auto"/>
              </w:rPr>
            </w:pPr>
          </w:p>
        </w:tc>
        <w:tc>
          <w:tcPr>
            <w:tcW w:w="264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w w:val="95"/>
              </w:rPr>
              <w:t>(Zip Code)</w:t>
            </w:r>
          </w:p>
        </w:tc>
      </w:tr>
    </w:tbl>
    <w:p>
      <w:pPr>
        <w:spacing w:after="0" w:line="144"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857-320-4900</w:t>
      </w:r>
    </w:p>
    <w:p>
      <w:pPr>
        <w:spacing w:after="0" w:line="376"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156845</wp:posOffset>
            </wp:positionV>
            <wp:extent cx="13957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95730" cy="8255"/>
                    </a:xfrm>
                    <a:prstGeom prst="rect">
                      <a:avLst/>
                    </a:prstGeom>
                    <a:noFill/>
                  </pic:spPr>
                </pic:pic>
              </a:graphicData>
            </a:graphic>
          </wp:anchor>
        </w:drawing>
      </w:r>
    </w:p>
    <w:p>
      <w:pPr>
        <w:spacing w:after="0" w:line="364" w:lineRule="exact"/>
        <w:rPr>
          <w:sz w:val="24"/>
          <w:szCs w:val="24"/>
          <w:color w:val="auto"/>
        </w:rPr>
      </w:pPr>
    </w:p>
    <w:p>
      <w:pPr>
        <w:ind w:left="9" w:right="460"/>
        <w:spacing w:after="0" w:line="283"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63" w:lineRule="exact"/>
        <w:rPr>
          <w:sz w:val="24"/>
          <w:szCs w:val="24"/>
          <w:color w:val="auto"/>
        </w:rPr>
      </w:pPr>
    </w:p>
    <w:p>
      <w:pPr>
        <w:ind w:left="409" w:hanging="409"/>
        <w:spacing w:after="0"/>
        <w:tabs>
          <w:tab w:leader="none" w:pos="409"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123" w:lineRule="exact"/>
        <w:rPr>
          <w:rFonts w:ascii="MS PGothic" w:cs="MS PGothic" w:eastAsia="MS PGothic" w:hAnsi="MS PGothic"/>
          <w:sz w:val="17"/>
          <w:szCs w:val="17"/>
          <w:color w:val="auto"/>
        </w:rPr>
      </w:pPr>
    </w:p>
    <w:p>
      <w:pPr>
        <w:ind w:left="409" w:hanging="409"/>
        <w:spacing w:after="0"/>
        <w:tabs>
          <w:tab w:leader="none" w:pos="409"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123" w:lineRule="exact"/>
        <w:rPr>
          <w:rFonts w:ascii="MS PGothic" w:cs="MS PGothic" w:eastAsia="MS PGothic" w:hAnsi="MS PGothic"/>
          <w:sz w:val="17"/>
          <w:szCs w:val="17"/>
          <w:color w:val="auto"/>
        </w:rPr>
      </w:pPr>
    </w:p>
    <w:p>
      <w:pPr>
        <w:ind w:left="409" w:hanging="409"/>
        <w:spacing w:after="0"/>
        <w:tabs>
          <w:tab w:leader="none" w:pos="409"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123" w:lineRule="exact"/>
        <w:rPr>
          <w:rFonts w:ascii="MS PGothic" w:cs="MS PGothic" w:eastAsia="MS PGothic" w:hAnsi="MS PGothic"/>
          <w:sz w:val="17"/>
          <w:szCs w:val="17"/>
          <w:color w:val="auto"/>
        </w:rPr>
      </w:pPr>
    </w:p>
    <w:p>
      <w:pPr>
        <w:ind w:left="409" w:hanging="409"/>
        <w:spacing w:after="0"/>
        <w:tabs>
          <w:tab w:leader="none" w:pos="409"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175" w:lineRule="exact"/>
        <w:rPr>
          <w:sz w:val="24"/>
          <w:szCs w:val="24"/>
          <w:color w:val="auto"/>
        </w:rPr>
      </w:pPr>
    </w:p>
    <w:p>
      <w:pPr>
        <w:ind w:left="9"/>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185" w:lineRule="exact"/>
        <w:rPr>
          <w:sz w:val="24"/>
          <w:szCs w:val="24"/>
          <w:color w:val="auto"/>
        </w:rPr>
      </w:pPr>
    </w:p>
    <w:tbl>
      <w:tblPr>
        <w:tblLayout w:type="fixed"/>
        <w:tblInd w:w="9" w:type="dxa"/>
        <w:tblCellMar>
          <w:top w:w="0" w:type="dxa"/>
          <w:left w:w="0" w:type="dxa"/>
          <w:bottom w:w="0" w:type="dxa"/>
          <w:right w:w="0" w:type="dxa"/>
        </w:tblCellMar>
      </w:tblPr>
      <w:tr>
        <w:trPr>
          <w:trHeight w:val="161"/>
        </w:trPr>
        <w:tc>
          <w:tcPr>
            <w:tcW w:w="36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3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Trading</w:t>
            </w:r>
          </w:p>
        </w:tc>
        <w:tc>
          <w:tcPr>
            <w:tcW w:w="3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Name of each exchange</w:t>
            </w:r>
          </w:p>
        </w:tc>
        <w:tc>
          <w:tcPr>
            <w:tcW w:w="0" w:type="dxa"/>
            <w:vAlign w:val="bottom"/>
          </w:tcPr>
          <w:p>
            <w:pPr>
              <w:spacing w:after="0"/>
              <w:rPr>
                <w:sz w:val="1"/>
                <w:szCs w:val="1"/>
                <w:color w:val="auto"/>
              </w:rPr>
            </w:pPr>
          </w:p>
        </w:tc>
      </w:tr>
      <w:tr>
        <w:trPr>
          <w:trHeight w:val="178"/>
        </w:trPr>
        <w:tc>
          <w:tcPr>
            <w:tcW w:w="3640" w:type="dxa"/>
            <w:vAlign w:val="bottom"/>
            <w:gridSpan w:val="2"/>
            <w:vMerge w:val="continue"/>
          </w:tcPr>
          <w:p>
            <w:pPr>
              <w:spacing w:after="0"/>
              <w:rPr>
                <w:sz w:val="15"/>
                <w:szCs w:val="15"/>
                <w:color w:val="auto"/>
              </w:rPr>
            </w:pPr>
          </w:p>
        </w:tc>
        <w:tc>
          <w:tcPr>
            <w:tcW w:w="3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on which registered</w:t>
            </w:r>
          </w:p>
        </w:tc>
        <w:tc>
          <w:tcPr>
            <w:tcW w:w="0" w:type="dxa"/>
            <w:vAlign w:val="bottom"/>
          </w:tcPr>
          <w:p>
            <w:pPr>
              <w:spacing w:after="0"/>
              <w:rPr>
                <w:sz w:val="1"/>
                <w:szCs w:val="1"/>
                <w:color w:val="auto"/>
              </w:rPr>
            </w:pPr>
          </w:p>
        </w:tc>
      </w:tr>
      <w:tr>
        <w:trPr>
          <w:trHeight w:val="215"/>
        </w:trPr>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Common Stock, $0.001 par value</w:t>
            </w:r>
          </w:p>
        </w:tc>
        <w:tc>
          <w:tcPr>
            <w:tcW w:w="100" w:type="dxa"/>
            <w:vAlign w:val="bottom"/>
          </w:tcPr>
          <w:p>
            <w:pPr>
              <w:spacing w:after="0"/>
              <w:rPr>
                <w:sz w:val="18"/>
                <w:szCs w:val="18"/>
                <w:color w:val="auto"/>
              </w:rPr>
            </w:pPr>
          </w:p>
        </w:tc>
        <w:tc>
          <w:tcPr>
            <w:tcW w:w="3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TNGX</w:t>
            </w:r>
          </w:p>
        </w:tc>
        <w:tc>
          <w:tcPr>
            <w:tcW w:w="100" w:type="dxa"/>
            <w:vAlign w:val="bottom"/>
          </w:tcPr>
          <w:p>
            <w:pPr>
              <w:spacing w:after="0"/>
              <w:rPr>
                <w:sz w:val="18"/>
                <w:szCs w:val="18"/>
                <w:color w:val="auto"/>
              </w:rPr>
            </w:pPr>
          </w:p>
        </w:tc>
        <w:tc>
          <w:tcPr>
            <w:tcW w:w="3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The Nasdaq Global Market</w:t>
            </w:r>
          </w:p>
        </w:tc>
        <w:tc>
          <w:tcPr>
            <w:tcW w:w="0" w:type="dxa"/>
            <w:vAlign w:val="bottom"/>
          </w:tcPr>
          <w:p>
            <w:pPr>
              <w:spacing w:after="0"/>
              <w:rPr>
                <w:sz w:val="1"/>
                <w:szCs w:val="1"/>
                <w:color w:val="auto"/>
              </w:rPr>
            </w:pPr>
          </w:p>
        </w:tc>
      </w:tr>
    </w:tbl>
    <w:p>
      <w:pPr>
        <w:spacing w:after="0" w:line="145" w:lineRule="exact"/>
        <w:rPr>
          <w:sz w:val="24"/>
          <w:szCs w:val="24"/>
          <w:color w:val="auto"/>
        </w:rPr>
      </w:pPr>
    </w:p>
    <w:p>
      <w:pPr>
        <w:ind w:left="9" w:right="240"/>
        <w:spacing w:after="0" w:line="283"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6" w:lineRule="exact"/>
        <w:rPr>
          <w:sz w:val="24"/>
          <w:szCs w:val="24"/>
          <w:color w:val="auto"/>
        </w:rPr>
      </w:pPr>
    </w:p>
    <w:p>
      <w:pPr>
        <w:ind w:left="9"/>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13" w:lineRule="exact"/>
        <w:rPr>
          <w:sz w:val="24"/>
          <w:szCs w:val="24"/>
          <w:color w:val="auto"/>
        </w:rPr>
      </w:pPr>
    </w:p>
    <w:p>
      <w:pPr>
        <w:ind w:left="9" w:right="280"/>
        <w:spacing w:after="0" w:line="226"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129540</wp:posOffset>
            </wp:positionV>
            <wp:extent cx="66205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205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170180</wp:posOffset>
            </wp:positionV>
            <wp:extent cx="66205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20510" cy="8255"/>
                    </a:xfrm>
                    <a:prstGeom prst="rect">
                      <a:avLst/>
                    </a:prstGeom>
                    <a:noFill/>
                  </pic:spPr>
                </pic:pic>
              </a:graphicData>
            </a:graphic>
          </wp:anchor>
        </w:drawing>
      </w:r>
    </w:p>
    <w:p>
      <w:pPr>
        <w:sectPr>
          <w:pgSz w:w="11900" w:h="16838" w:orient="portrait"/>
          <w:cols w:equalWidth="0" w:num="1">
            <w:col w:w="10429"/>
          </w:cols>
          <w:pgMar w:left="731" w:top="427" w:right="739" w:bottom="1440" w:gutter="0" w:footer="0" w:header="0"/>
        </w:sectPr>
      </w:pPr>
    </w:p>
    <w:bookmarkStart w:id="1" w:name="page2"/>
    <w:bookmarkEnd w:id="1"/>
    <w:p>
      <w:pPr>
        <w:spacing w:after="0"/>
        <w:tabs>
          <w:tab w:leader="none" w:pos="1100"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1215" cy="5334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1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On January 8, 2026, Tango Therapeutics, Inc. (the “Company”) disclosed that its cash, cash equivalents and marketable securities as of December 31, 2025 totaled $343 million (unaudited). The information in this Item 2.02 has not been audited and has been prepared by, and is the responsibility of, the Company’s management. The data could change as a result of further review and does not present all information necessary for an understanding of the Company’s financial condition as of December 31, 2025.</w:t>
      </w:r>
    </w:p>
    <w:p>
      <w:pPr>
        <w:sectPr>
          <w:pgSz w:w="11900" w:h="16838" w:orient="portrait"/>
          <w:cols w:equalWidth="0" w:num="1">
            <w:col w:w="10400"/>
          </w:cols>
          <w:pgMar w:left="740" w:top="285" w:right="759" w:bottom="1440" w:gutter="0" w:footer="0" w:header="0"/>
        </w:sect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5.02</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ind w:right="940"/>
        <w:spacing w:after="0" w:line="288" w:lineRule="auto"/>
        <w:rPr>
          <w:sz w:val="20"/>
          <w:szCs w:val="20"/>
          <w:color w:val="auto"/>
        </w:rPr>
      </w:pPr>
      <w:r>
        <w:rPr>
          <w:rFonts w:ascii="Times New Roman" w:cs="Times New Roman" w:eastAsia="Times New Roman" w:hAnsi="Times New Roman"/>
          <w:sz w:val="17"/>
          <w:szCs w:val="17"/>
          <w:b w:val="1"/>
          <w:bCs w:val="1"/>
          <w:color w:val="auto"/>
        </w:rPr>
        <w:t>Departure of Directors or Certain Officers; Election of Directors; Appointment of Certain Officers; Compensatory Arrangements of Certain Officers.</w:t>
      </w:r>
    </w:p>
    <w:p>
      <w:pPr>
        <w:spacing w:after="0" w:line="42" w:lineRule="exact"/>
        <w:rPr>
          <w:sz w:val="20"/>
          <w:szCs w:val="20"/>
          <w:color w:val="auto"/>
        </w:rPr>
      </w:pPr>
    </w:p>
    <w:p>
      <w:pPr>
        <w:sectPr>
          <w:pgSz w:w="11900" w:h="16838" w:orient="portrait"/>
          <w:cols w:equalWidth="0" w:num="2">
            <w:col w:w="660" w:space="460"/>
            <w:col w:w="9280"/>
          </w:cols>
          <w:pgMar w:left="740" w:top="285" w:right="7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i w:val="1"/>
          <w:iCs w:val="1"/>
          <w:color w:val="auto"/>
        </w:rPr>
        <w:t>Resignation of Barbara Weber, M.D. as President and Chief Executive Officer</w:t>
      </w:r>
    </w:p>
    <w:p>
      <w:pPr>
        <w:spacing w:after="0" w:line="115"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17"/>
          <w:szCs w:val="17"/>
          <w:color w:val="auto"/>
        </w:rPr>
        <w:t>On January 7, 2026, Barbara Weber, M.D. notified the board of directors (the “Board”) of the Company of her retirement and resignation as President and Chief Executive Officer of the Company, in each case, effective as of January 8, 2026 (the “Effective Date”).</w:t>
      </w:r>
    </w:p>
    <w:p>
      <w:pPr>
        <w:spacing w:after="0" w:line="15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Dr. Weber and the Company entered into an amended and restated employment agreement (the “Amended and Restated Employment Agreement”), effective as of the Effective Date, pursuant to which Dr. Weber has agreed to serve as the Company’s Executive Chair and to provide advisory services to assist in the orderly transition of her roles and responsibilities as President and Chief Executive Officer following the Effective Date through December 31, 2026. Pursuant to the terms of the Amended and Restated Employment Agreement, Dr. Weber will be entitled to:</w:t>
      </w:r>
    </w:p>
    <w:p>
      <w:pPr>
        <w:spacing w:after="0" w:line="82" w:lineRule="exact"/>
        <w:rPr>
          <w:sz w:val="20"/>
          <w:szCs w:val="20"/>
          <w:color w:val="auto"/>
        </w:rPr>
      </w:pPr>
    </w:p>
    <w:p>
      <w:pPr>
        <w:ind w:left="920" w:hanging="418"/>
        <w:spacing w:after="0"/>
        <w:tabs>
          <w:tab w:leader="none" w:pos="9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base salary of $362,000; and</w:t>
      </w:r>
    </w:p>
    <w:p>
      <w:pPr>
        <w:spacing w:after="0" w:line="123" w:lineRule="exact"/>
        <w:rPr>
          <w:rFonts w:ascii="Times New Roman" w:cs="Times New Roman" w:eastAsia="Times New Roman" w:hAnsi="Times New Roman"/>
          <w:sz w:val="17"/>
          <w:szCs w:val="17"/>
          <w:color w:val="auto"/>
        </w:rPr>
      </w:pPr>
    </w:p>
    <w:p>
      <w:pPr>
        <w:ind w:left="920" w:hanging="418"/>
        <w:spacing w:after="0"/>
        <w:tabs>
          <w:tab w:leader="none" w:pos="9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Target cash bonus opportunity of 60% of Dr. Weber’s current annual base salary, pro-rated for any partial calendar year of service.</w:t>
      </w:r>
    </w:p>
    <w:p>
      <w:pPr>
        <w:spacing w:after="0" w:line="213" w:lineRule="exact"/>
        <w:rPr>
          <w:sz w:val="20"/>
          <w:szCs w:val="20"/>
          <w:color w:val="auto"/>
        </w:rPr>
      </w:pPr>
    </w:p>
    <w:p>
      <w:pPr>
        <w:ind w:right="380"/>
        <w:spacing w:after="0" w:line="283" w:lineRule="auto"/>
        <w:rPr>
          <w:sz w:val="20"/>
          <w:szCs w:val="20"/>
          <w:color w:val="auto"/>
        </w:rPr>
      </w:pPr>
      <w:r>
        <w:rPr>
          <w:rFonts w:ascii="Times New Roman" w:cs="Times New Roman" w:eastAsia="Times New Roman" w:hAnsi="Times New Roman"/>
          <w:sz w:val="17"/>
          <w:szCs w:val="17"/>
          <w:color w:val="auto"/>
        </w:rPr>
        <w:t>Dr. Weber’s resignation as President and Chief Executive Officer and transition is not the result of any disagreement with respect to the Company’s operations, policies, or practices. Following the Effective Date, Dr. Weber will serve as chairperson of the Board.</w:t>
      </w:r>
    </w:p>
    <w:p>
      <w:pPr>
        <w:spacing w:after="0" w:line="152"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7"/>
          <w:szCs w:val="17"/>
          <w:color w:val="auto"/>
        </w:rPr>
        <w:t>The foregoing description of the terms and conditions of the Amended and Restated Employment Agreement does not purport to be complete and is qualified in its entirety by the Amended and Restated Employment Agreement, which is attached hereto as Exhibit 10.1 and incorporated by reference herein.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Appointment of Malte Peters, M.D. as President and Chief Executive Officer</w:t>
      </w:r>
    </w:p>
    <w:p>
      <w:pPr>
        <w:spacing w:after="0" w:line="115" w:lineRule="exact"/>
        <w:rPr>
          <w:sz w:val="20"/>
          <w:szCs w:val="20"/>
          <w:color w:val="auto"/>
        </w:rPr>
      </w:pPr>
    </w:p>
    <w:p>
      <w:pPr>
        <w:ind w:right="320"/>
        <w:spacing w:after="0" w:line="267" w:lineRule="auto"/>
        <w:rPr>
          <w:sz w:val="20"/>
          <w:szCs w:val="20"/>
          <w:color w:val="auto"/>
        </w:rPr>
      </w:pPr>
      <w:r>
        <w:rPr>
          <w:rFonts w:ascii="Times New Roman" w:cs="Times New Roman" w:eastAsia="Times New Roman" w:hAnsi="Times New Roman"/>
          <w:sz w:val="17"/>
          <w:szCs w:val="17"/>
          <w:color w:val="auto"/>
        </w:rPr>
        <w:t>On January 8, 2026, Malte Peters, M.D., a member of the Board, was appointed as the Company’s President and Chief Executive Officer as of the Effective Date. Biographical information for Dr. Peters is set forth in the Company’s definitive proxy statement on Schedule 14A filed with the U.S. Securities and Exchange Commission on April 21, 2025 and is incorporated herein by reference.</w:t>
      </w:r>
    </w:p>
    <w:p>
      <w:pPr>
        <w:spacing w:after="0" w:line="16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In connection with his appointment as President and Chief Executive Officer, Dr. Peters entered into a compensation agreement with the Company (the “Compensation Agreement”), effective January 8, 2026, and an employment agreement with the Company (the “Employment Agreement”), effective upon the date on which Dr. Peters receives work authorization to work in the United States. The Compensation Agreement will expire upon the effective date of the Employment Agreement. Pursuant to the terms of the Compensation Agreement and the Employment Agreement Dr. Peters will be entitled to:</w:t>
      </w:r>
    </w:p>
    <w:p>
      <w:pPr>
        <w:spacing w:after="0" w:line="82" w:lineRule="exact"/>
        <w:rPr>
          <w:sz w:val="20"/>
          <w:szCs w:val="20"/>
          <w:color w:val="auto"/>
        </w:rPr>
      </w:pPr>
    </w:p>
    <w:p>
      <w:pPr>
        <w:ind w:left="920" w:hanging="41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base salary of $720,000;</w:t>
      </w:r>
    </w:p>
    <w:p>
      <w:pPr>
        <w:spacing w:after="0" w:line="123" w:lineRule="exact"/>
        <w:rPr>
          <w:rFonts w:ascii="Times New Roman" w:cs="Times New Roman" w:eastAsia="Times New Roman" w:hAnsi="Times New Roman"/>
          <w:sz w:val="17"/>
          <w:szCs w:val="17"/>
          <w:color w:val="auto"/>
        </w:rPr>
      </w:pPr>
    </w:p>
    <w:p>
      <w:pPr>
        <w:ind w:left="920" w:hanging="41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Target cash bonus opportunity of 60% of Dr. Peter’s current annual base salary, pro-rated for any partial calendar year of service.</w:t>
      </w:r>
    </w:p>
    <w:p>
      <w:pPr>
        <w:spacing w:after="0" w:line="213"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The foregoing description of the terms and conditions of the Compensation Agreement and the Employment Agreement do not purport to be complete and are qualified in their entirety by the Compensation Agreement and the Employment Agreement, which are attached hereto as Exhibit 10.2 and 10.3, respectively and incorporated by reference herein.</w:t>
      </w:r>
    </w:p>
    <w:p>
      <w:pPr>
        <w:sectPr>
          <w:pgSz w:w="11900" w:h="16838" w:orient="portrait"/>
          <w:cols w:equalWidth="0" w:num="1">
            <w:col w:w="10400"/>
          </w:cols>
          <w:pgMar w:left="740" w:top="285" w:right="759" w:bottom="1440" w:gutter="0" w:footer="0" w:header="0"/>
          <w:type w:val="continuous"/>
        </w:sectPr>
      </w:pPr>
    </w:p>
    <w:bookmarkStart w:id="2" w:name="page3"/>
    <w:bookmarkEnd w:id="2"/>
    <w:p>
      <w:pPr>
        <w:ind w:right="60"/>
        <w:spacing w:after="0" w:line="25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1215" cy="53340"/>
                    </a:xfrm>
                    <a:prstGeom prst="rect">
                      <a:avLst/>
                    </a:prstGeom>
                    <a:noFill/>
                  </pic:spPr>
                </pic:pic>
              </a:graphicData>
            </a:graphic>
          </wp:anchor>
        </w:drawing>
        <w:t>In connection with his appointment as President and Chief Executive Officer, Dr. Peters was also granted (i) an option to purchase 1,650,000 shares of the Company’s common stock under the Company’s 2021 Stock Option and Incentive Plan at an exercise price equal to the closing price of the Company’s common stock as reported on The Nasdaq Global Market on January 8, 2026 , which will vest as to 25% of the shares underlying the option on the one year anniversary of the grant date, and the remainder vesting in 36 monthly thereafter (subject to Dr. Peter’s continued employment with the Company), and (ii) restricted stock units (“RSUs”) to acquire 350,000 shares of the Company’s common stock, which shares will vest in three equal annual installments in accordance with Company’s equity incentive policies, in each case, subject to Dr. Peters’ continued employment with the Company.</w:t>
      </w:r>
    </w:p>
    <w:p>
      <w:pPr>
        <w:spacing w:after="0" w:line="176"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There are no understandings or arrangements between Dr. Peters and any other person pursuant to which he was appointed as the Company’s President and Chief Executive Officer. Except as described above, Dr. Peters does not have any material interest in any transaction or proposed transaction in which the Company is or is to be a party. Dr. Peters does not have a family relationship with any other director or executive officer of the Company. Consistent with the Company’s standard non-employee director compensation policy, Dr. Peters will not be eligible to receive compensation for his role on the Board since he is an executive officer.</w:t>
      </w:r>
    </w:p>
    <w:p>
      <w:pPr>
        <w:spacing w:after="0" w:line="308"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7"/>
          <w:szCs w:val="17"/>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Disclosures.</w:t>
      </w:r>
    </w:p>
    <w:p>
      <w:pPr>
        <w:spacing w:after="0" w:line="11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On January 8, 2026, the Company issued a press release announcing the leadership changes described above and updated its corporate presentation to be used from time to time with investors, analysts, and other third parties. Copies of the press release and the updated presentation are being furnished as Exhibits 99.1 and 99.2, respectively, to this Current Report on Form 8-K.</w:t>
      </w:r>
    </w:p>
    <w:p>
      <w:pPr>
        <w:spacing w:after="0" w:line="16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7"/>
          <w:szCs w:val="17"/>
          <w:color w:val="auto"/>
        </w:rPr>
        <w:t>The information in Item 2.02 and 7.01 of this Current Report on Form 8-K and Exhibit 99.1 as well as Exhibit 99.2 attached hereto is being furnished and shall not be deemed “filed” for the purposes of Section 18 of the Exchange Act or otherwise subject to the liability of that section. Nor shall such document be deemed incorporated by reference in any filing under the Securities Act of 1933 or the Exchange Act, regardless of any general incorporation language in the filing, unless specifically stated so therein.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Cautionary Note Regarding Forward Looking Statements</w:t>
      </w:r>
    </w:p>
    <w:p>
      <w:pPr>
        <w:spacing w:after="0" w:line="115"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6"/>
          <w:szCs w:val="16"/>
          <w:color w:val="auto"/>
        </w:rPr>
        <w:t>This Current Report on Form 8-K and certain of the materials filed herewith contain forward-looking statements within the meaning of the Private Securities Litigation Reform Act of 1995, as amended, including, without limitation, statements regarding the Company’s anticipated financial results. The words “may,” “might,” “will,” “could,” “would,” “should,” “expect,” “plan,” “anticipate,” “intend,” “believe,” “expect,” “estimate,” “seek,” “predict,” “future,” “project,” “potential,” “continue,” “target” and similar words or expressions are intended to identify forward-looking statements, although not all forward-looking statements contain these identifying words. Any forward-looking statements are subject to a number of risks, uncertainties and important factors that may cause actual events or results to differ materially from those expressed or implied by any forward-looking statements contained in this Current Report on Form 8-K or the materials furnished or filed herewith, including (i) the initiation, timing, progress, and cost of our research and development programs and our current and future preclinical studies and clinical trials (including combination clinical trials), enrollment and dosing in our clinical trials (including combination clinical trials), and the timing of initial and interim (and final) safety and efficacy or clinical activity data from our clinical trials may not take place in the timeframe that the Company expects; and (ii) we may be required to utilize our cash resources more quickly than we expect. These and other risks and uncertainties are described in additional detail in the section entitled “Risk Factors” in the Company’s Annual Report on Form 10-K filed February 27, 2025 and its other filings made with the SEC from time to time. Although the Company’s forward-looking statements reflect the good faith judgment of its management, these statements are based only on facts and factors currently known by the Company. As a result, you are cautioned not to rely on these forward-looking statements. Any forward-looking statement made in this Current Report on Form 8-K speaks only as of the date on which it is made. Except as required by applicable law, the Company undertakes no obligation to publicly update or revise any forward-looking statement, whether as a result of new information, future developments, or otherwise.</w:t>
      </w:r>
    </w:p>
    <w:p>
      <w:pPr>
        <w:sectPr>
          <w:pgSz w:w="11900" w:h="16838" w:orient="portrait"/>
          <w:cols w:equalWidth="0" w:num="1">
            <w:col w:w="10400"/>
          </w:cols>
          <w:pgMar w:left="740" w:top="289" w:right="7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6"/>
        </w:trPr>
        <w:tc>
          <w:tcPr>
            <w:tcW w:w="9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9.01.</w:t>
            </w:r>
          </w:p>
        </w:tc>
        <w:tc>
          <w:tcPr>
            <w:tcW w:w="8700" w:type="dxa"/>
            <w:vAlign w:val="bottom"/>
            <w:gridSpan w:val="5"/>
          </w:tcPr>
          <w:p>
            <w:pPr>
              <w:ind w:left="140"/>
              <w:spacing w:after="0"/>
              <w:rPr>
                <w:sz w:val="20"/>
                <w:szCs w:val="20"/>
                <w:color w:val="auto"/>
              </w:rPr>
            </w:pPr>
            <w:r>
              <w:rPr>
                <w:rFonts w:ascii="Times New Roman" w:cs="Times New Roman" w:eastAsia="Times New Roman" w:hAnsi="Times New Roman"/>
                <w:sz w:val="17"/>
                <w:szCs w:val="17"/>
                <w:b w:val="1"/>
                <w:bCs w:val="1"/>
                <w:color w:val="auto"/>
              </w:rPr>
              <w:t>Financial Statements and Exhibits.</w:t>
            </w:r>
          </w:p>
        </w:tc>
      </w:tr>
      <w:tr>
        <w:trPr>
          <w:trHeight w:val="307"/>
        </w:trPr>
        <w:tc>
          <w:tcPr>
            <w:tcW w:w="9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 Exhibits.</w:t>
            </w:r>
          </w:p>
        </w:tc>
        <w:tc>
          <w:tcPr>
            <w:tcW w:w="2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45"/>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92"/>
        </w:trPr>
        <w:tc>
          <w:tcPr>
            <w:tcW w:w="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0" w:type="dxa"/>
            <w:vAlign w:val="bottom"/>
            <w:gridSpan w:val="3"/>
          </w:tcPr>
          <w:p>
            <w:pPr>
              <w:ind w:left="15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54"/>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10.1</w:t>
            </w:r>
          </w:p>
        </w:tc>
        <w:tc>
          <w:tcPr>
            <w:tcW w:w="87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7"/>
                <w:szCs w:val="17"/>
                <w:color w:val="0000EE"/>
                <w:w w:val="99"/>
              </w:rPr>
              <w:t>Amended and Restated Employment Agreement, dated as of January 8, 2026 by and between the Company and Barbara Weber.</w:t>
            </w:r>
          </w:p>
        </w:tc>
      </w:tr>
      <w:tr>
        <w:trPr>
          <w:trHeight w:val="287"/>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10.2</w:t>
            </w:r>
          </w:p>
        </w:tc>
        <w:tc>
          <w:tcPr>
            <w:tcW w:w="8700" w:type="dxa"/>
            <w:vAlign w:val="bottom"/>
            <w:gridSpan w:val="5"/>
          </w:tcPr>
          <w:p>
            <w:pPr>
              <w:spacing w:after="0"/>
              <w:rPr>
                <w:sz w:val="20"/>
                <w:szCs w:val="20"/>
                <w:color w:val="auto"/>
              </w:rPr>
            </w:pPr>
            <w:r>
              <w:rPr>
                <w:rFonts w:ascii="Times New Roman" w:cs="Times New Roman" w:eastAsia="Times New Roman" w:hAnsi="Times New Roman"/>
                <w:sz w:val="17"/>
                <w:szCs w:val="17"/>
                <w:color w:val="0000EE"/>
              </w:rPr>
              <w:t>Compensation Agreement, dated as of January 8, 2026 by and between the Company and Malte Peters.</w:t>
            </w:r>
          </w:p>
        </w:tc>
      </w:tr>
      <w:tr>
        <w:trPr>
          <w:trHeight w:val="287"/>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10.3</w:t>
            </w:r>
          </w:p>
        </w:tc>
        <w:tc>
          <w:tcPr>
            <w:tcW w:w="692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0000EE"/>
                <w:w w:val="99"/>
              </w:rPr>
              <w:t>Employment Agreement, dated as of January 8, 2026 by and between the Company and Malte Peters.</w:t>
            </w:r>
          </w:p>
        </w:tc>
        <w:tc>
          <w:tcPr>
            <w:tcW w:w="100" w:type="dxa"/>
            <w:vAlign w:val="bottom"/>
            <w:tcBorders>
              <w:top w:val="single" w:sz="8" w:color="0000EE"/>
            </w:tcBorders>
          </w:tcPr>
          <w:p>
            <w:pPr>
              <w:spacing w:after="0"/>
              <w:rPr>
                <w:sz w:val="24"/>
                <w:szCs w:val="24"/>
                <w:color w:val="auto"/>
              </w:rPr>
            </w:pPr>
          </w:p>
        </w:tc>
        <w:tc>
          <w:tcPr>
            <w:tcW w:w="1680" w:type="dxa"/>
            <w:vAlign w:val="bottom"/>
          </w:tcPr>
          <w:p>
            <w:pPr>
              <w:spacing w:after="0"/>
              <w:rPr>
                <w:sz w:val="24"/>
                <w:szCs w:val="24"/>
                <w:color w:val="auto"/>
              </w:rPr>
            </w:pPr>
          </w:p>
        </w:tc>
      </w:tr>
      <w:tr>
        <w:trPr>
          <w:trHeight w:val="287"/>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99.1</w:t>
            </w:r>
          </w:p>
        </w:tc>
        <w:tc>
          <w:tcPr>
            <w:tcW w:w="25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w w:val="99"/>
              </w:rPr>
              <w:t>Press release, dated January 8, 2026.</w:t>
            </w:r>
          </w:p>
        </w:tc>
        <w:tc>
          <w:tcPr>
            <w:tcW w:w="6200" w:type="dxa"/>
            <w:vAlign w:val="bottom"/>
            <w:gridSpan w:val="3"/>
          </w:tcPr>
          <w:p>
            <w:pPr>
              <w:spacing w:after="0"/>
              <w:rPr>
                <w:sz w:val="24"/>
                <w:szCs w:val="24"/>
                <w:color w:val="auto"/>
              </w:rPr>
            </w:pPr>
          </w:p>
        </w:tc>
      </w:tr>
      <w:tr>
        <w:trPr>
          <w:trHeight w:val="287"/>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99.2</w:t>
            </w:r>
          </w:p>
        </w:tc>
        <w:tc>
          <w:tcPr>
            <w:tcW w:w="24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7"/>
                <w:szCs w:val="17"/>
                <w:color w:val="0000EE"/>
                <w:w w:val="99"/>
              </w:rPr>
              <w:t>Presentation, dated January 8, 2026.</w:t>
            </w:r>
          </w:p>
        </w:tc>
        <w:tc>
          <w:tcPr>
            <w:tcW w:w="6240" w:type="dxa"/>
            <w:vAlign w:val="bottom"/>
            <w:gridSpan w:val="4"/>
          </w:tcPr>
          <w:p>
            <w:pPr>
              <w:spacing w:after="0"/>
              <w:rPr>
                <w:sz w:val="24"/>
                <w:szCs w:val="24"/>
                <w:color w:val="auto"/>
              </w:rPr>
            </w:pPr>
          </w:p>
        </w:tc>
      </w:tr>
      <w:tr>
        <w:trPr>
          <w:trHeight w:val="326"/>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87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r>
    </w:tbl>
    <w:p>
      <w:pPr>
        <w:spacing w:after="0"/>
        <w:rPr>
          <w:sz w:val="20"/>
          <w:szCs w:val="20"/>
          <w:color w:val="auto"/>
        </w:rPr>
        <w:sectPr>
          <w:pgSz w:w="11900" w:h="16838" w:orient="portrait"/>
          <w:cols w:equalWidth="0" w:num="1">
            <w:col w:w="9719"/>
          </w:cols>
          <w:pgMar w:left="740" w:top="285" w:right="1440" w:bottom="1440" w:gutter="0" w:footer="0" w:header="0"/>
        </w:sect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1215" cy="53340"/>
                    </a:xfrm>
                    <a:prstGeom prst="rect">
                      <a:avLst/>
                    </a:prstGeom>
                    <a:noFill/>
                  </pic:spPr>
                </pic:pic>
              </a:graphicData>
            </a:graphic>
          </wp:anchor>
        </w:drawing>
      </w:r>
    </w:p>
    <w:bookmarkStart w:id="4" w:name="page5"/>
    <w:bookmarkEnd w:id="4"/>
    <w:p>
      <w:pPr>
        <w:ind w:left="466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53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1215" cy="53340"/>
                    </a:xfrm>
                    <a:prstGeom prst="rect">
                      <a:avLst/>
                    </a:prstGeom>
                    <a:noFill/>
                  </pic:spPr>
                </pic:pic>
              </a:graphicData>
            </a:graphic>
          </wp:anchor>
        </w:drawing>
        <w:t>SIGNATURES</w:t>
      </w:r>
    </w:p>
    <w:p>
      <w:pPr>
        <w:spacing w:after="0" w:line="21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Tango Therapeutics, Inc.</w:t>
      </w:r>
    </w:p>
    <w:p>
      <w:pPr>
        <w:spacing w:after="0" w:line="217"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7"/>
          <w:szCs w:val="17"/>
          <w:color w:val="auto"/>
        </w:rPr>
        <w:t>Date: January 8, 2026</w:t>
      </w:r>
      <w:r>
        <w:rPr>
          <w:sz w:val="20"/>
          <w:szCs w:val="20"/>
          <w:color w:val="auto"/>
        </w:rPr>
        <w:tab/>
      </w:r>
      <w:r>
        <w:rPr>
          <w:rFonts w:ascii="Times New Roman" w:cs="Times New Roman" w:eastAsia="Times New Roman" w:hAnsi="Times New Roman"/>
          <w:sz w:val="17"/>
          <w:szCs w:val="17"/>
          <w:color w:val="auto"/>
        </w:rPr>
        <w:t>/s/ Daniella Beckman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15875</wp:posOffset>
            </wp:positionV>
            <wp:extent cx="30422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42285" cy="8255"/>
                    </a:xfrm>
                    <a:prstGeom prst="rect">
                      <a:avLst/>
                    </a:prstGeom>
                    <a:noFill/>
                  </pic:spPr>
                </pic:pic>
              </a:graphicData>
            </a:graphic>
          </wp:anchor>
        </w:drawing>
      </w:r>
    </w:p>
    <w:p>
      <w:pPr>
        <w:spacing w:after="0" w:line="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Daniella Beckman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Chief Financial Officer</w:t>
      </w:r>
    </w:p>
    <w:p>
      <w:pPr>
        <w:sectPr>
          <w:pgSz w:w="11900" w:h="16838" w:orient="portrait"/>
          <w:cols w:equalWidth="0" w:num="1">
            <w:col w:w="9720"/>
          </w:cols>
          <w:pgMar w:left="740" w:top="285" w:right="1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1435735" cy="4540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3573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AMENDED AND RESTATED EMPLOYMENT AGREEMENT</w:t>
      </w:r>
    </w:p>
    <w:p>
      <w:pPr>
        <w:spacing w:after="0" w:line="2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This Amended and Restated Employment Agreement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is made between Tango Therapeutics, Inc., a Delaware corporation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and Barbara Weber, MD (the “</w:t>
      </w:r>
      <w:r>
        <w:rPr>
          <w:rFonts w:ascii="Times New Roman" w:cs="Times New Roman" w:eastAsia="Times New Roman" w:hAnsi="Times New Roman"/>
          <w:sz w:val="17"/>
          <w:szCs w:val="17"/>
          <w:u w:val="single" w:color="auto"/>
          <w:color w:val="auto"/>
        </w:rPr>
        <w:t>Executive</w:t>
      </w:r>
      <w:r>
        <w:rPr>
          <w:rFonts w:ascii="Times New Roman" w:cs="Times New Roman" w:eastAsia="Times New Roman" w:hAnsi="Times New Roman"/>
          <w:sz w:val="17"/>
          <w:szCs w:val="17"/>
          <w:color w:val="auto"/>
        </w:rPr>
        <w:t>”) and is effective as of January 8, 2026 (the “</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Except with respect to the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Documents (as defined below) and the Restrictive Covenants Agreement (as defined below), this Agreement supersedes in all respects all prior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agreements between the Executive and the Company regarding the subject matter herein, including without limitation (i) the Employment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between the Executive and the Company dated April 13, 2021 (the “</w:t>
      </w:r>
      <w:r>
        <w:rPr>
          <w:rFonts w:ascii="Times New Roman" w:cs="Times New Roman" w:eastAsia="Times New Roman" w:hAnsi="Times New Roman"/>
          <w:sz w:val="17"/>
          <w:szCs w:val="17"/>
          <w:u w:val="single" w:color="auto"/>
          <w:color w:val="auto"/>
        </w:rPr>
        <w:t>Prior Employment Agreement</w:t>
      </w:r>
      <w:r>
        <w:rPr>
          <w:rFonts w:ascii="Times New Roman" w:cs="Times New Roman" w:eastAsia="Times New Roman" w:hAnsi="Times New Roman"/>
          <w:sz w:val="17"/>
          <w:szCs w:val="17"/>
          <w:color w:val="auto"/>
        </w:rPr>
        <w:t>”), and (ii) any other offer letter, employment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 or severance agreement.</w:t>
      </w:r>
    </w:p>
    <w:p>
      <w:pPr>
        <w:spacing w:after="0" w:line="196" w:lineRule="exact"/>
        <w:rPr>
          <w:sz w:val="20"/>
          <w:szCs w:val="20"/>
          <w:color w:val="auto"/>
        </w:rPr>
      </w:pPr>
    </w:p>
    <w:p>
      <w:pPr>
        <w:ind w:right="120" w:firstLine="417"/>
        <w:spacing w:after="0" w:line="283" w:lineRule="auto"/>
        <w:rPr>
          <w:sz w:val="20"/>
          <w:szCs w:val="20"/>
          <w:color w:val="auto"/>
        </w:rPr>
      </w:pPr>
      <w:r>
        <w:rPr>
          <w:rFonts w:ascii="Times New Roman" w:cs="Times New Roman" w:eastAsia="Times New Roman" w:hAnsi="Times New Roman"/>
          <w:sz w:val="17"/>
          <w:szCs w:val="17"/>
          <w:color w:val="auto"/>
        </w:rPr>
        <w:t>WHEREAS, the Company desires to continue to employ the Executive and the Executive desires to continue to be employed by the Company on the new terms and conditions contained herein as of the Effective Date.</w:t>
      </w:r>
    </w:p>
    <w:p>
      <w:pPr>
        <w:spacing w:after="0" w:line="152" w:lineRule="exact"/>
        <w:rPr>
          <w:sz w:val="20"/>
          <w:szCs w:val="20"/>
          <w:color w:val="auto"/>
        </w:rPr>
      </w:pPr>
    </w:p>
    <w:p>
      <w:pPr>
        <w:ind w:right="600" w:firstLine="417"/>
        <w:spacing w:after="0" w:line="283" w:lineRule="auto"/>
        <w:rPr>
          <w:sz w:val="20"/>
          <w:szCs w:val="20"/>
          <w:color w:val="auto"/>
        </w:rPr>
      </w:pPr>
      <w:r>
        <w:rPr>
          <w:rFonts w:ascii="Times New Roman" w:cs="Times New Roman" w:eastAsia="Times New Roman" w:hAnsi="Times New Roman"/>
          <w:sz w:val="17"/>
          <w:szCs w:val="17"/>
          <w:color w:val="auto"/>
        </w:rPr>
        <w:t>WHEREAS, the Executive acknowledges and agrees that the changes to the Executive’s employment contemplated by this Agreement are voluntary and do not trigger any rights under the Prior Employment Agreement;</w:t>
      </w:r>
    </w:p>
    <w:p>
      <w:pPr>
        <w:spacing w:after="0" w:line="152" w:lineRule="exact"/>
        <w:rPr>
          <w:sz w:val="20"/>
          <w:szCs w:val="20"/>
          <w:color w:val="auto"/>
        </w:rPr>
      </w:pPr>
    </w:p>
    <w:p>
      <w:pPr>
        <w:ind w:right="200" w:firstLine="417"/>
        <w:spacing w:after="0" w:line="283" w:lineRule="auto"/>
        <w:rPr>
          <w:sz w:val="20"/>
          <w:szCs w:val="20"/>
          <w:color w:val="auto"/>
        </w:rPr>
      </w:pPr>
      <w:r>
        <w:rPr>
          <w:rFonts w:ascii="Times New Roman" w:cs="Times New Roman" w:eastAsia="Times New Roman" w:hAnsi="Times New Roman"/>
          <w:sz w:val="17"/>
          <w:szCs w:val="17"/>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50" w:lineRule="exact"/>
        <w:rPr>
          <w:sz w:val="20"/>
          <w:szCs w:val="20"/>
          <w:color w:val="auto"/>
        </w:rPr>
      </w:pPr>
    </w:p>
    <w:p>
      <w:pPr>
        <w:ind w:left="580" w:hanging="172"/>
        <w:spacing w:after="0"/>
        <w:tabs>
          <w:tab w:leader="none" w:pos="5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Employment</w:t>
      </w:r>
      <w:r>
        <w:rPr>
          <w:rFonts w:ascii="Times New Roman" w:cs="Times New Roman" w:eastAsia="Times New Roman" w:hAnsi="Times New Roman"/>
          <w:sz w:val="17"/>
          <w:szCs w:val="17"/>
          <w:color w:val="auto"/>
        </w:rPr>
        <w:t>.</w:t>
      </w:r>
    </w:p>
    <w:p>
      <w:pPr>
        <w:spacing w:after="0" w:line="111" w:lineRule="exact"/>
        <w:rPr>
          <w:rFonts w:ascii="Times New Roman" w:cs="Times New Roman" w:eastAsia="Times New Roman" w:hAnsi="Times New Roman"/>
          <w:sz w:val="17"/>
          <w:szCs w:val="17"/>
          <w:color w:val="auto"/>
        </w:rPr>
      </w:pPr>
    </w:p>
    <w:p>
      <w:pPr>
        <w:jc w:val="both"/>
        <w:ind w:right="20" w:firstLine="929"/>
        <w:spacing w:after="0" w:line="259" w:lineRule="auto"/>
        <w:tabs>
          <w:tab w:leader="none" w:pos="117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 The Company shall continue to employ the Executive and the Executive shall continue to be employed by the Company, provided as of the Effective Date this Agreement shall govern and shall continue until the earlier of (i) Executive’s employment is terminated in accordance with the provisions hereof, or (ii) December 31, 2026 (the “</w:t>
      </w: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 The Executive’s employment with the Company shall continue to be “at will,” meaning that the Executive’s employment may be terminated by the Company or the Executive at any time and for any reason subject to the terms of this Agreement.</w:t>
      </w:r>
    </w:p>
    <w:p>
      <w:pPr>
        <w:spacing w:after="0" w:line="69" w:lineRule="exact"/>
        <w:rPr>
          <w:rFonts w:ascii="Times New Roman" w:cs="Times New Roman" w:eastAsia="Times New Roman" w:hAnsi="Times New Roman"/>
          <w:sz w:val="17"/>
          <w:szCs w:val="17"/>
          <w:color w:val="auto"/>
        </w:rPr>
      </w:pPr>
    </w:p>
    <w:p>
      <w:pPr>
        <w:ind w:right="20" w:firstLine="929"/>
        <w:spacing w:after="0" w:line="255" w:lineRule="auto"/>
        <w:tabs>
          <w:tab w:leader="none" w:pos="1179"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Transition; Position and Duties</w:t>
      </w:r>
      <w:r>
        <w:rPr>
          <w:rFonts w:ascii="Times New Roman" w:cs="Times New Roman" w:eastAsia="Times New Roman" w:hAnsi="Times New Roman"/>
          <w:sz w:val="17"/>
          <w:szCs w:val="17"/>
          <w:color w:val="auto"/>
        </w:rPr>
        <w:t>. As the Effective Date, the Executive shall no longer serve as the President and Chief Executive Officer of the Company (the “</w:t>
      </w:r>
      <w:r>
        <w:rPr>
          <w:rFonts w:ascii="Times New Roman" w:cs="Times New Roman" w:eastAsia="Times New Roman" w:hAnsi="Times New Roman"/>
          <w:sz w:val="17"/>
          <w:szCs w:val="17"/>
          <w:u w:val="single" w:color="auto"/>
          <w:color w:val="auto"/>
        </w:rPr>
        <w:t>CEO</w:t>
      </w:r>
      <w:r>
        <w:rPr>
          <w:rFonts w:ascii="Times New Roman" w:cs="Times New Roman" w:eastAsia="Times New Roman" w:hAnsi="Times New Roman"/>
          <w:sz w:val="17"/>
          <w:szCs w:val="17"/>
          <w:color w:val="auto"/>
        </w:rPr>
        <w:t>”) but shall voluntarily transition to the Executive Chair of the Company. As Executive Chair, the Executive shall have such powers and duties as may from time to time be prescribed by the Board of Directors of the Company (the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xml:space="preserve">”). In addition, the Executive shall continue to be on the Board as long as the Executive remains the Executive Chair subject to corporate governance rules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Executive shall be deemed to have resigned from the Board and from any related positions upon ceasing to serve as Executive Chair for any reason unless otherwise mutually agreed by the Executive and the Board. The Executive shall devote 50% of her working time and efforts to the business and affairs of the Company. Notwithstanding the foregoing, the Executive may serve on other boards of directors, with the approval of the Board, or engage in religious, charitable or other community activities as long as such services and activities do not materially interfere with the Executive’s performance of the Executive’s duties to the Company.</w:t>
      </w:r>
    </w:p>
    <w:p>
      <w:pPr>
        <w:sectPr>
          <w:pgSz w:w="11900" w:h="16838" w:orient="portrait"/>
          <w:cols w:equalWidth="0" w:num="1">
            <w:col w:w="10420"/>
          </w:cols>
          <w:pgMar w:left="740" w:top="119" w:right="739" w:bottom="1440" w:gutter="0" w:footer="0" w:header="0"/>
        </w:sectPr>
      </w:pPr>
    </w:p>
    <w:bookmarkStart w:id="6" w:name="page7"/>
    <w:bookmarkEnd w:id="6"/>
    <w:p>
      <w:pPr>
        <w:ind w:firstLine="929"/>
        <w:spacing w:after="0" w:line="288" w:lineRule="auto"/>
        <w:tabs>
          <w:tab w:leader="none" w:pos="117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Location</w:t>
      </w:r>
      <w:r>
        <w:rPr>
          <w:rFonts w:ascii="Times New Roman" w:cs="Times New Roman" w:eastAsia="Times New Roman" w:hAnsi="Times New Roman"/>
          <w:sz w:val="17"/>
          <w:szCs w:val="17"/>
          <w:color w:val="auto"/>
        </w:rPr>
        <w:t xml:space="preserve">. The Executive’s primary work location will be in the Company’s office, currently located in Boston, Massachusetts;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Executive may be required to travel for business from time to time, consistent with the Company’s business needs.</w:t>
      </w:r>
    </w:p>
    <w:p>
      <w:pPr>
        <w:spacing w:after="0" w:line="148" w:lineRule="exact"/>
        <w:rPr>
          <w:rFonts w:ascii="Times New Roman" w:cs="Times New Roman" w:eastAsia="Times New Roman" w:hAnsi="Times New Roman"/>
          <w:sz w:val="17"/>
          <w:szCs w:val="17"/>
          <w:color w:val="auto"/>
        </w:rPr>
      </w:pPr>
    </w:p>
    <w:p>
      <w:pPr>
        <w:ind w:left="580" w:hanging="172"/>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Compensation and Related Matters</w:t>
      </w:r>
      <w:r>
        <w:rPr>
          <w:rFonts w:ascii="Times New Roman" w:cs="Times New Roman" w:eastAsia="Times New Roman" w:hAnsi="Times New Roman"/>
          <w:sz w:val="17"/>
          <w:szCs w:val="17"/>
          <w:color w:val="auto"/>
        </w:rPr>
        <w:t>.</w:t>
      </w:r>
    </w:p>
    <w:p>
      <w:pPr>
        <w:spacing w:after="0" w:line="111" w:lineRule="exact"/>
        <w:rPr>
          <w:rFonts w:ascii="Times New Roman" w:cs="Times New Roman" w:eastAsia="Times New Roman" w:hAnsi="Times New Roman"/>
          <w:sz w:val="17"/>
          <w:szCs w:val="17"/>
          <w:color w:val="auto"/>
        </w:rPr>
      </w:pPr>
    </w:p>
    <w:p>
      <w:pPr>
        <w:ind w:right="120" w:firstLine="929"/>
        <w:spacing w:after="0" w:line="267" w:lineRule="auto"/>
        <w:tabs>
          <w:tab w:leader="none" w:pos="117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Base Salary</w:t>
      </w:r>
      <w:r>
        <w:rPr>
          <w:rFonts w:ascii="Times New Roman" w:cs="Times New Roman" w:eastAsia="Times New Roman" w:hAnsi="Times New Roman"/>
          <w:sz w:val="17"/>
          <w:szCs w:val="17"/>
          <w:color w:val="auto"/>
        </w:rPr>
        <w:t>. As of the Effective Date, the Executive’s initial base salary shall be paid at the rate of $362,000 per year. The base salary in effect at any given time is referred to herein as “</w:t>
      </w:r>
      <w:r>
        <w:rPr>
          <w:rFonts w:ascii="Times New Roman" w:cs="Times New Roman" w:eastAsia="Times New Roman" w:hAnsi="Times New Roman"/>
          <w:sz w:val="17"/>
          <w:szCs w:val="17"/>
          <w:u w:val="single" w:color="auto"/>
          <w:color w:val="auto"/>
        </w:rPr>
        <w:t>Base Salary</w:t>
      </w:r>
      <w:r>
        <w:rPr>
          <w:rFonts w:ascii="Times New Roman" w:cs="Times New Roman" w:eastAsia="Times New Roman" w:hAnsi="Times New Roman"/>
          <w:sz w:val="17"/>
          <w:szCs w:val="17"/>
          <w:color w:val="auto"/>
        </w:rPr>
        <w:t>.” The Base Salary shall be payable in a manner that is consistent with the Company’s usual payroll practices for its executive officers.</w:t>
      </w:r>
    </w:p>
    <w:p>
      <w:pPr>
        <w:spacing w:after="0" w:line="63" w:lineRule="exact"/>
        <w:rPr>
          <w:rFonts w:ascii="Times New Roman" w:cs="Times New Roman" w:eastAsia="Times New Roman" w:hAnsi="Times New Roman"/>
          <w:sz w:val="17"/>
          <w:szCs w:val="17"/>
          <w:color w:val="auto"/>
        </w:rPr>
      </w:pPr>
    </w:p>
    <w:p>
      <w:pPr>
        <w:ind w:right="100" w:firstLine="929"/>
        <w:spacing w:after="0" w:line="277" w:lineRule="auto"/>
        <w:tabs>
          <w:tab w:leader="none" w:pos="1179"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Incentive Compensation</w:t>
      </w:r>
      <w:r>
        <w:rPr>
          <w:rFonts w:ascii="Times New Roman" w:cs="Times New Roman" w:eastAsia="Times New Roman" w:hAnsi="Times New Roman"/>
          <w:sz w:val="16"/>
          <w:szCs w:val="16"/>
          <w:color w:val="auto"/>
        </w:rPr>
        <w:t>. The Executive shall be eligible to receive cash incentive compensation for calendar year 2026 as determined by the Board or the Compensation Committee of the Board. The Executive’s target annual incentive compensation for calendar year 2026 shall be</w:t>
      </w:r>
    </w:p>
    <w:p>
      <w:pPr>
        <w:spacing w:after="0" w:line="1" w:lineRule="exact"/>
        <w:rPr>
          <w:rFonts w:ascii="Times New Roman" w:cs="Times New Roman" w:eastAsia="Times New Roman" w:hAnsi="Times New Roman"/>
          <w:sz w:val="16"/>
          <w:szCs w:val="16"/>
          <w:color w:val="auto"/>
        </w:rPr>
      </w:pPr>
    </w:p>
    <w:p>
      <w:pPr>
        <w:ind w:right="80"/>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60 percent of the Executive’s Base Salary, which is referred to as “</w:t>
      </w:r>
      <w:r>
        <w:rPr>
          <w:rFonts w:ascii="Times New Roman" w:cs="Times New Roman" w:eastAsia="Times New Roman" w:hAnsi="Times New Roman"/>
          <w:sz w:val="17"/>
          <w:szCs w:val="17"/>
          <w:u w:val="single" w:color="auto"/>
          <w:color w:val="auto"/>
        </w:rPr>
        <w:t>Target Bonus</w:t>
      </w:r>
      <w:r>
        <w:rPr>
          <w:rFonts w:ascii="Times New Roman" w:cs="Times New Roman" w:eastAsia="Times New Roman" w:hAnsi="Times New Roman"/>
          <w:sz w:val="17"/>
          <w:szCs w:val="17"/>
          <w:color w:val="auto"/>
        </w:rPr>
        <w:t>.” The actual amount of the Executive’s calendar year 2026 incentive compensation, if any, shall be determined in the sole discretion of the Board or the Compensation Committee of the Board, subject to the terms of any applicable incentive compensation plan that may be in effect from time to time. Except as otherwise provided in this Agreement, the Executive must be employed by the Company on December 31, 2026 to earn or receive a 2026 bonus. Any 2026 incentive compensation approved by the Board or the Compensation Committee of the Board shall be payable in a manner that is consistent with the Company’s usual payroll practices for its executive officers but shall in no event be paid later than March 15, 2027. Nothing herein shall be construed to affect the Executive’s right to an annual bonus for calendar year 2025 consistent with the terms of the Prior Employment Agreement.</w:t>
      </w:r>
    </w:p>
    <w:p>
      <w:pPr>
        <w:spacing w:after="0" w:line="79" w:lineRule="exact"/>
        <w:rPr>
          <w:rFonts w:ascii="Times New Roman" w:cs="Times New Roman" w:eastAsia="Times New Roman" w:hAnsi="Times New Roman"/>
          <w:sz w:val="16"/>
          <w:szCs w:val="16"/>
          <w:color w:val="auto"/>
        </w:rPr>
      </w:pPr>
    </w:p>
    <w:p>
      <w:pPr>
        <w:ind w:right="120" w:firstLine="929"/>
        <w:spacing w:after="0" w:line="267" w:lineRule="auto"/>
        <w:tabs>
          <w:tab w:leader="none" w:pos="117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Expenses</w:t>
      </w:r>
      <w:r>
        <w:rPr>
          <w:rFonts w:ascii="Times New Roman" w:cs="Times New Roman" w:eastAsia="Times New Roman" w:hAnsi="Times New Roman"/>
          <w:sz w:val="17"/>
          <w:szCs w:val="17"/>
          <w:color w:val="auto"/>
        </w:rPr>
        <w:t>. The Executive shall be entitled to receive prompt reimbursement for all reasonable expenses incurred by the Executive during the Term in performing services hereunder, in accordance with the policies and procedures then in effect and established by the Company for its executive officers.</w:t>
      </w:r>
    </w:p>
    <w:p>
      <w:pPr>
        <w:spacing w:after="0" w:line="63" w:lineRule="exact"/>
        <w:rPr>
          <w:rFonts w:ascii="Times New Roman" w:cs="Times New Roman" w:eastAsia="Times New Roman" w:hAnsi="Times New Roman"/>
          <w:sz w:val="17"/>
          <w:szCs w:val="17"/>
          <w:color w:val="auto"/>
        </w:rPr>
      </w:pPr>
    </w:p>
    <w:p>
      <w:pPr>
        <w:ind w:right="260" w:firstLine="929"/>
        <w:spacing w:after="0" w:line="283" w:lineRule="auto"/>
        <w:tabs>
          <w:tab w:leader="none" w:pos="1179"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Benefits</w:t>
      </w:r>
      <w:r>
        <w:rPr>
          <w:rFonts w:ascii="Times New Roman" w:cs="Times New Roman" w:eastAsia="Times New Roman" w:hAnsi="Times New Roman"/>
          <w:sz w:val="17"/>
          <w:szCs w:val="17"/>
          <w:color w:val="auto"/>
        </w:rPr>
        <w:t>. During the Term, the Executive shall be eligible to participate in or receive benefits under the Company’s employee benefit plans in effect from time to time, subject to the terms of such plans.</w:t>
      </w:r>
    </w:p>
    <w:p>
      <w:pPr>
        <w:spacing w:after="0" w:line="50" w:lineRule="exact"/>
        <w:rPr>
          <w:rFonts w:ascii="Times New Roman" w:cs="Times New Roman" w:eastAsia="Times New Roman" w:hAnsi="Times New Roman"/>
          <w:sz w:val="17"/>
          <w:szCs w:val="17"/>
          <w:color w:val="auto"/>
        </w:rPr>
      </w:pPr>
    </w:p>
    <w:p>
      <w:pPr>
        <w:ind w:right="20" w:firstLine="929"/>
        <w:spacing w:after="0" w:line="283" w:lineRule="auto"/>
        <w:tabs>
          <w:tab w:leader="none" w:pos="117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Paid Time Off</w:t>
      </w:r>
      <w:r>
        <w:rPr>
          <w:rFonts w:ascii="Times New Roman" w:cs="Times New Roman" w:eastAsia="Times New Roman" w:hAnsi="Times New Roman"/>
          <w:sz w:val="17"/>
          <w:szCs w:val="17"/>
          <w:color w:val="auto"/>
        </w:rPr>
        <w:t>. During the Term, the Executive shall be entitled to take paid time off in accordance with the Company’s applicable paid time off policy for executives, as may be in effect from time to time.</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400"/>
          </w:cols>
          <w:pgMar w:left="740" w:top="260" w:right="759" w:bottom="1440" w:gutter="0" w:footer="0" w:header="0"/>
        </w:sectPr>
      </w:pPr>
    </w:p>
    <w:bookmarkStart w:id="7" w:name="page8"/>
    <w:bookmarkEnd w:id="7"/>
    <w:p>
      <w:pPr>
        <w:ind w:left="1140" w:hanging="211"/>
        <w:spacing w:after="0"/>
        <w:tabs>
          <w:tab w:leader="none" w:pos="114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Equity</w:t>
      </w:r>
      <w:r>
        <w:rPr>
          <w:rFonts w:ascii="Times New Roman" w:cs="Times New Roman" w:eastAsia="Times New Roman" w:hAnsi="Times New Roman"/>
          <w:sz w:val="17"/>
          <w:szCs w:val="17"/>
          <w:color w:val="auto"/>
        </w:rPr>
        <w:t>.</w:t>
      </w:r>
    </w:p>
    <w:p>
      <w:pPr>
        <w:spacing w:after="0" w:line="111" w:lineRule="exact"/>
        <w:rPr>
          <w:rFonts w:ascii="Times New Roman" w:cs="Times New Roman" w:eastAsia="Times New Roman" w:hAnsi="Times New Roman"/>
          <w:sz w:val="17"/>
          <w:szCs w:val="17"/>
          <w:color w:val="auto"/>
        </w:rPr>
      </w:pPr>
    </w:p>
    <w:p>
      <w:pPr>
        <w:ind w:left="400" w:right="20" w:firstLine="909"/>
        <w:spacing w:after="0" w:line="254" w:lineRule="auto"/>
        <w:tabs>
          <w:tab w:leader="none" w:pos="1504" w:val="left"/>
        </w:tabs>
        <w:numPr>
          <w:ilvl w:val="2"/>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equity awards held by the Executive shall continue to be governed by the terms and conditions of the Company’s applicable equity incentive plan(s) and the applicable award agreement(s) governing the terms of such equity awards (collectively, the “</w:t>
      </w:r>
      <w:r>
        <w:rPr>
          <w:rFonts w:ascii="Times New Roman" w:cs="Times New Roman" w:eastAsia="Times New Roman" w:hAnsi="Times New Roman"/>
          <w:sz w:val="17"/>
          <w:szCs w:val="17"/>
          <w:u w:val="single" w:color="auto"/>
          <w:color w:val="auto"/>
        </w:rPr>
        <w:t>Equity Documents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subject to approval by the Board or the Compensation Committee of the Board, (i) all of the Executive’s outstanding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equity awards shall be amended to provide for continued vesting for as long as the Executive remains employed by the Company or serves on the Board and (ii) subject to the Executive’s continued employment or service on the Board through December 31, 2027, all outstanding equity awards held by the Executive that are subject solely to time-based vesting (the “</w:t>
      </w:r>
      <w:r>
        <w:rPr>
          <w:rFonts w:ascii="Times New Roman" w:cs="Times New Roman" w:eastAsia="Times New Roman" w:hAnsi="Times New Roman"/>
          <w:sz w:val="17"/>
          <w:szCs w:val="17"/>
          <w:u w:val="single" w:color="auto"/>
          <w:color w:val="auto"/>
        </w:rPr>
        <w:t>Time-Based Equity Awards</w:t>
      </w:r>
      <w:r>
        <w:rPr>
          <w:rFonts w:ascii="Times New Roman" w:cs="Times New Roman" w:eastAsia="Times New Roman" w:hAnsi="Times New Roman"/>
          <w:sz w:val="17"/>
          <w:szCs w:val="17"/>
          <w:color w:val="auto"/>
        </w:rPr>
        <w:t xml:space="preserve">”) shall immediately accelerate and become fully vested and exercisable or nonforfeitable as of December 31, 2027;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and notwithstanding anything to the contrary in the Equity Documents, Section 6(a)(iii) of this Agreement shall apply in the event of a termination of the Executive’s employment by the Company without Cause or by the Executive for Good Reason in either event within the Change in Control Period (as such terms are defined below).</w:t>
      </w:r>
    </w:p>
    <w:p>
      <w:pPr>
        <w:spacing w:after="0" w:line="77" w:lineRule="exact"/>
        <w:rPr>
          <w:rFonts w:ascii="Times New Roman" w:cs="Times New Roman" w:eastAsia="Times New Roman" w:hAnsi="Times New Roman"/>
          <w:sz w:val="17"/>
          <w:szCs w:val="17"/>
          <w:color w:val="auto"/>
        </w:rPr>
      </w:pPr>
    </w:p>
    <w:p>
      <w:pPr>
        <w:ind w:left="400" w:firstLine="909"/>
        <w:spacing w:after="0" w:line="256" w:lineRule="auto"/>
        <w:tabs>
          <w:tab w:leader="none" w:pos="1551" w:val="left"/>
        </w:tabs>
        <w:numPr>
          <w:ilvl w:val="2"/>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approval of the Board or a committee thereof, at such time in 2026 as the Company makes its annual grants to employees, the Executive will be granted an equity award in the form of a non-qualified stock option to purchase 222,132 shares of common stock of the Company (the “</w:t>
      </w:r>
      <w:r>
        <w:rPr>
          <w:rFonts w:ascii="Times New Roman" w:cs="Times New Roman" w:eastAsia="Times New Roman" w:hAnsi="Times New Roman"/>
          <w:sz w:val="17"/>
          <w:szCs w:val="17"/>
          <w:u w:val="single" w:color="auto"/>
          <w:color w:val="auto"/>
        </w:rPr>
        <w:t>Option</w:t>
      </w:r>
      <w:r>
        <w:rPr>
          <w:rFonts w:ascii="Times New Roman" w:cs="Times New Roman" w:eastAsia="Times New Roman" w:hAnsi="Times New Roman"/>
          <w:sz w:val="17"/>
          <w:szCs w:val="17"/>
          <w:color w:val="auto"/>
        </w:rPr>
        <w:t>”) at an exercise price equal to the fair market value of the common stock on the date of grant and 37,522 restricted stock units (“</w:t>
      </w:r>
      <w:r>
        <w:rPr>
          <w:rFonts w:ascii="Times New Roman" w:cs="Times New Roman" w:eastAsia="Times New Roman" w:hAnsi="Times New Roman"/>
          <w:sz w:val="17"/>
          <w:szCs w:val="17"/>
          <w:u w:val="single" w:color="auto"/>
          <w:color w:val="auto"/>
        </w:rPr>
        <w:t>RSUs</w:t>
      </w:r>
      <w:r>
        <w:rPr>
          <w:rFonts w:ascii="Times New Roman" w:cs="Times New Roman" w:eastAsia="Times New Roman" w:hAnsi="Times New Roman"/>
          <w:sz w:val="17"/>
          <w:szCs w:val="17"/>
          <w:color w:val="auto"/>
        </w:rPr>
        <w:t>”). The Option will vest over 12 substantially equal monthly installments over one year from the date of grant, subject to the Executive’s continued service relationship (including as director or employee) on such date. The RSUs will vest it their entirety on the first anniversary of the date of grant (or in accordance with Company’s equity grant policies) subject to continued service as an employee or director through the applicable vesting date.</w:t>
      </w:r>
    </w:p>
    <w:p>
      <w:pPr>
        <w:spacing w:after="0" w:line="175" w:lineRule="exact"/>
        <w:rPr>
          <w:rFonts w:ascii="Times New Roman" w:cs="Times New Roman" w:eastAsia="Times New Roman" w:hAnsi="Times New Roman"/>
          <w:sz w:val="17"/>
          <w:szCs w:val="17"/>
          <w:color w:val="auto"/>
        </w:rPr>
      </w:pPr>
    </w:p>
    <w:p>
      <w:pPr>
        <w:ind w:right="880" w:firstLine="408"/>
        <w:spacing w:after="0" w:line="283" w:lineRule="auto"/>
        <w:tabs>
          <w:tab w:leader="none" w:pos="587"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The Executive’s employment hereunder may be terminated without any breach of this Agreement under the following circumstances:</w:t>
      </w:r>
    </w:p>
    <w:p>
      <w:pPr>
        <w:spacing w:after="0" w:line="50" w:lineRule="exact"/>
        <w:rPr>
          <w:rFonts w:ascii="Times New Roman" w:cs="Times New Roman" w:eastAsia="Times New Roman" w:hAnsi="Times New Roman"/>
          <w:sz w:val="17"/>
          <w:szCs w:val="17"/>
          <w:color w:val="auto"/>
        </w:rPr>
      </w:pPr>
    </w:p>
    <w:p>
      <w:pPr>
        <w:ind w:left="1160" w:hanging="231"/>
        <w:spacing w:after="0"/>
        <w:tabs>
          <w:tab w:leader="none" w:pos="116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Death</w:t>
      </w:r>
      <w:r>
        <w:rPr>
          <w:rFonts w:ascii="Times New Roman" w:cs="Times New Roman" w:eastAsia="Times New Roman" w:hAnsi="Times New Roman"/>
          <w:sz w:val="17"/>
          <w:szCs w:val="17"/>
          <w:color w:val="auto"/>
        </w:rPr>
        <w:t>. The Executive’s employment hereunder shall terminate upon death.</w:t>
      </w:r>
    </w:p>
    <w:p>
      <w:pPr>
        <w:spacing w:after="0" w:line="111" w:lineRule="exact"/>
        <w:rPr>
          <w:rFonts w:ascii="Times New Roman" w:cs="Times New Roman" w:eastAsia="Times New Roman" w:hAnsi="Times New Roman"/>
          <w:sz w:val="17"/>
          <w:szCs w:val="17"/>
          <w:color w:val="auto"/>
        </w:rPr>
      </w:pPr>
    </w:p>
    <w:p>
      <w:pPr>
        <w:ind w:right="60" w:firstLine="929"/>
        <w:spacing w:after="0" w:line="254" w:lineRule="auto"/>
        <w:tabs>
          <w:tab w:leader="none" w:pos="1179"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Disability</w:t>
      </w:r>
      <w:r>
        <w:rPr>
          <w:rFonts w:ascii="Times New Roman" w:cs="Times New Roman" w:eastAsia="Times New Roman" w:hAnsi="Times New Roman"/>
          <w:sz w:val="17"/>
          <w:szCs w:val="17"/>
          <w:color w:val="auto"/>
        </w:rPr>
        <w:t xml:space="preserve">. The Company may terminate the Executive’s employment if the Executive is disabled and unable to perform or expected to be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§2601 </w:t>
      </w:r>
      <w:r>
        <w:rPr>
          <w:rFonts w:ascii="Times New Roman" w:cs="Times New Roman" w:eastAsia="Times New Roman" w:hAnsi="Times New Roman"/>
          <w:sz w:val="17"/>
          <w:szCs w:val="17"/>
          <w:i w:val="1"/>
          <w:iCs w:val="1"/>
          <w:color w:val="auto"/>
        </w:rPr>
        <w:t>et seq</w:t>
      </w:r>
      <w:r>
        <w:rPr>
          <w:rFonts w:ascii="Times New Roman" w:cs="Times New Roman" w:eastAsia="Times New Roman" w:hAnsi="Times New Roman"/>
          <w:sz w:val="17"/>
          <w:szCs w:val="17"/>
          <w:color w:val="auto"/>
        </w:rPr>
        <w:t xml:space="preserve">. and the Americans with Disabilities Act, 42 U.S.C. §12101 </w:t>
      </w:r>
      <w:r>
        <w:rPr>
          <w:rFonts w:ascii="Times New Roman" w:cs="Times New Roman" w:eastAsia="Times New Roman" w:hAnsi="Times New Roman"/>
          <w:sz w:val="17"/>
          <w:szCs w:val="17"/>
          <w:i w:val="1"/>
          <w:iCs w:val="1"/>
          <w:color w:val="auto"/>
        </w:rPr>
        <w:t>et seq.</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400"/>
          </w:cols>
          <w:pgMar w:left="740" w:top="264" w:right="759" w:bottom="1440" w:gutter="0" w:footer="0" w:header="0"/>
        </w:sectPr>
      </w:pPr>
    </w:p>
    <w:bookmarkStart w:id="8" w:name="page9"/>
    <w:bookmarkEnd w:id="8"/>
    <w:p>
      <w:pPr>
        <w:ind w:left="-20" w:right="100" w:firstLine="929"/>
        <w:spacing w:after="0" w:line="283" w:lineRule="auto"/>
        <w:tabs>
          <w:tab w:leader="none" w:pos="115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Termination by the Company for Cause</w:t>
      </w:r>
      <w:r>
        <w:rPr>
          <w:rFonts w:ascii="Times New Roman" w:cs="Times New Roman" w:eastAsia="Times New Roman" w:hAnsi="Times New Roman"/>
          <w:sz w:val="17"/>
          <w:szCs w:val="17"/>
          <w:color w:val="auto"/>
        </w:rPr>
        <w:t>. The Company may terminate the Executive’s employment hereunder for Cause. For purposes of this Agreement, “</w:t>
      </w:r>
      <w:r>
        <w:rPr>
          <w:rFonts w:ascii="Times New Roman" w:cs="Times New Roman" w:eastAsia="Times New Roman" w:hAnsi="Times New Roman"/>
          <w:sz w:val="17"/>
          <w:szCs w:val="17"/>
          <w:u w:val="single" w:color="auto"/>
          <w:color w:val="auto"/>
        </w:rPr>
        <w:t>Cause</w:t>
      </w:r>
      <w:r>
        <w:rPr>
          <w:rFonts w:ascii="Times New Roman" w:cs="Times New Roman" w:eastAsia="Times New Roman" w:hAnsi="Times New Roman"/>
          <w:sz w:val="17"/>
          <w:szCs w:val="17"/>
          <w:color w:val="auto"/>
        </w:rPr>
        <w:t>” shall mean any of the following:</w:t>
      </w:r>
    </w:p>
    <w:p>
      <w:pPr>
        <w:spacing w:after="0" w:line="50" w:lineRule="exact"/>
        <w:rPr>
          <w:rFonts w:ascii="Times New Roman" w:cs="Times New Roman" w:eastAsia="Times New Roman" w:hAnsi="Times New Roman"/>
          <w:sz w:val="17"/>
          <w:szCs w:val="17"/>
          <w:color w:val="auto"/>
        </w:rPr>
      </w:pPr>
    </w:p>
    <w:p>
      <w:pPr>
        <w:ind w:left="-20" w:right="100" w:firstLine="1346"/>
        <w:spacing w:after="0" w:line="267" w:lineRule="auto"/>
        <w:tabs>
          <w:tab w:leader="none" w:pos="1539"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Executive’s dishonest statements or acts with respect to the Company or any affiliate of the Company, or any current or prospective customers, suppliers, vendors or other third parties with which such entity does business that results in or is reasonably anticipated to result in material harm to the Company;</w:t>
      </w:r>
    </w:p>
    <w:p>
      <w:pPr>
        <w:spacing w:after="0" w:line="63" w:lineRule="exact"/>
        <w:rPr>
          <w:rFonts w:ascii="Times New Roman" w:cs="Times New Roman" w:eastAsia="Times New Roman" w:hAnsi="Times New Roman"/>
          <w:sz w:val="17"/>
          <w:szCs w:val="17"/>
          <w:color w:val="auto"/>
        </w:rPr>
      </w:pPr>
    </w:p>
    <w:p>
      <w:pPr>
        <w:ind w:left="1580" w:hanging="254"/>
        <w:spacing w:after="0"/>
        <w:tabs>
          <w:tab w:leader="none" w:pos="158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Executive’s conviction of (A) a felony or (B) any misdemeanor involving moral turpitude, deceit, dishonesty or fraud;</w:t>
      </w:r>
    </w:p>
    <w:p>
      <w:pPr>
        <w:spacing w:after="0" w:line="111" w:lineRule="exact"/>
        <w:rPr>
          <w:rFonts w:ascii="Times New Roman" w:cs="Times New Roman" w:eastAsia="Times New Roman" w:hAnsi="Times New Roman"/>
          <w:sz w:val="17"/>
          <w:szCs w:val="17"/>
          <w:color w:val="auto"/>
        </w:rPr>
      </w:pPr>
    </w:p>
    <w:p>
      <w:pPr>
        <w:ind w:left="-20" w:right="60" w:firstLine="1346"/>
        <w:spacing w:after="0" w:line="267" w:lineRule="auto"/>
        <w:tabs>
          <w:tab w:leader="none" w:pos="1633"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Executive’s substantial failure to perform the Executive’s assigned duties and responsibilities which failure continues for 30 days after written notice given to the Executive by the Board describing such failure in reasonable detail in the reasonable good faith judgment of the Board;</w:t>
      </w:r>
    </w:p>
    <w:p>
      <w:pPr>
        <w:spacing w:after="0" w:line="63" w:lineRule="exact"/>
        <w:rPr>
          <w:rFonts w:ascii="Times New Roman" w:cs="Times New Roman" w:eastAsia="Times New Roman" w:hAnsi="Times New Roman"/>
          <w:sz w:val="17"/>
          <w:szCs w:val="17"/>
          <w:color w:val="auto"/>
        </w:rPr>
      </w:pPr>
    </w:p>
    <w:p>
      <w:pPr>
        <w:ind w:left="-20" w:right="580" w:firstLine="1346"/>
        <w:spacing w:after="0" w:line="283" w:lineRule="auto"/>
        <w:tabs>
          <w:tab w:leader="none" w:pos="1624"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Executive’s gross negligence, willful misconduct or insubordination with respect to the Company that results in or is reasonably anticipated to result in material harm to the Company;</w:t>
      </w:r>
    </w:p>
    <w:p>
      <w:pPr>
        <w:spacing w:after="0" w:line="50" w:lineRule="exact"/>
        <w:rPr>
          <w:rFonts w:ascii="Times New Roman" w:cs="Times New Roman" w:eastAsia="Times New Roman" w:hAnsi="Times New Roman"/>
          <w:sz w:val="17"/>
          <w:szCs w:val="17"/>
          <w:color w:val="auto"/>
        </w:rPr>
      </w:pPr>
    </w:p>
    <w:p>
      <w:pPr>
        <w:ind w:left="-20" w:firstLine="1346"/>
        <w:spacing w:after="0" w:line="283" w:lineRule="auto"/>
        <w:tabs>
          <w:tab w:leader="none" w:pos="1577"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Executive’s material violation of this Agreement, the Restrictive Covenants Agreement, or any provision of any agreement(s) between the Executive and the Company relating to noncompetition, nonsolicitation, nondisclosure and/or assignment of inventions; or</w:t>
      </w:r>
    </w:p>
    <w:p>
      <w:pPr>
        <w:spacing w:after="0" w:line="50" w:lineRule="exact"/>
        <w:rPr>
          <w:rFonts w:ascii="Times New Roman" w:cs="Times New Roman" w:eastAsia="Times New Roman" w:hAnsi="Times New Roman"/>
          <w:sz w:val="17"/>
          <w:szCs w:val="17"/>
          <w:color w:val="auto"/>
        </w:rPr>
      </w:pPr>
    </w:p>
    <w:p>
      <w:pPr>
        <w:ind w:left="-20" w:right="100" w:firstLine="1346"/>
        <w:spacing w:after="0" w:line="261" w:lineRule="auto"/>
        <w:tabs>
          <w:tab w:leader="none" w:pos="1624"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Executive’s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69" w:lineRule="exact"/>
        <w:rPr>
          <w:rFonts w:ascii="Times New Roman" w:cs="Times New Roman" w:eastAsia="Times New Roman" w:hAnsi="Times New Roman"/>
          <w:sz w:val="17"/>
          <w:szCs w:val="17"/>
          <w:color w:val="auto"/>
        </w:rPr>
      </w:pPr>
    </w:p>
    <w:p>
      <w:pPr>
        <w:jc w:val="both"/>
        <w:ind w:left="-20" w:right="60" w:firstLine="929"/>
        <w:spacing w:after="0" w:line="291" w:lineRule="auto"/>
        <w:tabs>
          <w:tab w:leader="none" w:pos="1159"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by the Company without Cause</w:t>
      </w:r>
      <w:r>
        <w:rPr>
          <w:rFonts w:ascii="Times New Roman" w:cs="Times New Roman" w:eastAsia="Times New Roman" w:hAnsi="Times New Roman"/>
          <w:sz w:val="16"/>
          <w:szCs w:val="16"/>
          <w:color w:val="auto"/>
        </w:rPr>
        <w:t>. The Company may terminate the Executive’s employment hereunder at any time without Cause. Any termination by the Company of the Executive’s employment under this Agreement which does not constitute a termination for Cause under Section 3(c) and does not result from the death or disability of the Executive under Section 3(a) or (b) shall be deemed a termination without Cause.</w:t>
      </w:r>
    </w:p>
    <w:p>
      <w:pPr>
        <w:spacing w:after="0" w:line="46" w:lineRule="exact"/>
        <w:rPr>
          <w:rFonts w:ascii="Times New Roman" w:cs="Times New Roman" w:eastAsia="Times New Roman" w:hAnsi="Times New Roman"/>
          <w:sz w:val="16"/>
          <w:szCs w:val="16"/>
          <w:color w:val="auto"/>
        </w:rPr>
      </w:pPr>
    </w:p>
    <w:p>
      <w:pPr>
        <w:ind w:left="-20" w:right="280" w:firstLine="929"/>
        <w:spacing w:after="0" w:line="261" w:lineRule="auto"/>
        <w:tabs>
          <w:tab w:leader="none" w:pos="115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by the Executive</w:t>
      </w:r>
      <w:r>
        <w:rPr>
          <w:rFonts w:ascii="Times New Roman" w:cs="Times New Roman" w:eastAsia="Times New Roman" w:hAnsi="Times New Roman"/>
          <w:sz w:val="17"/>
          <w:szCs w:val="17"/>
          <w:color w:val="auto"/>
        </w:rPr>
        <w:t>. The Executive may terminate employment hereunder at any time for any reason, including but not limited to, Good Reason. For purposes of this Agreement, “</w:t>
      </w:r>
      <w:r>
        <w:rPr>
          <w:rFonts w:ascii="Times New Roman" w:cs="Times New Roman" w:eastAsia="Times New Roman" w:hAnsi="Times New Roman"/>
          <w:sz w:val="17"/>
          <w:szCs w:val="17"/>
          <w:u w:val="single" w:color="auto"/>
          <w:color w:val="auto"/>
        </w:rPr>
        <w:t>Good Reason</w:t>
      </w:r>
      <w:r>
        <w:rPr>
          <w:rFonts w:ascii="Times New Roman" w:cs="Times New Roman" w:eastAsia="Times New Roman" w:hAnsi="Times New Roman"/>
          <w:sz w:val="17"/>
          <w:szCs w:val="17"/>
          <w:color w:val="auto"/>
        </w:rPr>
        <w:t>” shall mean that the Executive has completed all steps of the Good Reason Process (hereinafter defined) following the occurrence of any of the following events without the Executive’s consent (each, a “</w:t>
      </w:r>
      <w:r>
        <w:rPr>
          <w:rFonts w:ascii="Times New Roman" w:cs="Times New Roman" w:eastAsia="Times New Roman" w:hAnsi="Times New Roman"/>
          <w:sz w:val="17"/>
          <w:szCs w:val="17"/>
          <w:u w:val="single" w:color="auto"/>
          <w:color w:val="auto"/>
        </w:rPr>
        <w:t>Good Reason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Condition</w:t>
      </w:r>
      <w:r>
        <w:rPr>
          <w:rFonts w:ascii="Times New Roman" w:cs="Times New Roman" w:eastAsia="Times New Roman" w:hAnsi="Times New Roman"/>
          <w:sz w:val="17"/>
          <w:szCs w:val="17"/>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380"/>
          </w:cols>
          <w:pgMar w:left="760" w:top="264" w:right="759" w:bottom="1440" w:gutter="0" w:footer="0" w:header="0"/>
        </w:sectPr>
      </w:pPr>
    </w:p>
    <w:bookmarkStart w:id="9" w:name="page10"/>
    <w:bookmarkEnd w:id="9"/>
    <w:p>
      <w:pPr>
        <w:ind w:left="400" w:right="220" w:firstLine="901"/>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(i) a material diminution in the Executive’s Base Salary or a material reduction in the Executive’s benefits, except for across-the-board salary reductions based on the Company’s financial performance or a general reduction in the benefits, in each case similarly affecting all or substantially all senior management employees of the Company;</w:t>
      </w:r>
    </w:p>
    <w:p>
      <w:pPr>
        <w:spacing w:after="0" w:line="63" w:lineRule="exact"/>
        <w:rPr>
          <w:sz w:val="20"/>
          <w:szCs w:val="20"/>
          <w:color w:val="auto"/>
        </w:rPr>
      </w:pPr>
    </w:p>
    <w:p>
      <w:pPr>
        <w:ind w:left="400" w:firstLine="909"/>
        <w:spacing w:after="0" w:line="267" w:lineRule="auto"/>
        <w:tabs>
          <w:tab w:leader="none" w:pos="1551"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material change in the geographic location of the principal office of the Company to which the Executive is assigned, such that there is an increase of at least 50 miles of driving distance to such location from the Executive’s principal residence as of such change, not including business travel and short-term assignments;</w:t>
      </w:r>
    </w:p>
    <w:p>
      <w:pPr>
        <w:spacing w:after="0" w:line="63" w:lineRule="exact"/>
        <w:rPr>
          <w:rFonts w:ascii="Times New Roman" w:cs="Times New Roman" w:eastAsia="Times New Roman" w:hAnsi="Times New Roman"/>
          <w:sz w:val="17"/>
          <w:szCs w:val="17"/>
          <w:color w:val="auto"/>
        </w:rPr>
      </w:pPr>
    </w:p>
    <w:p>
      <w:pPr>
        <w:ind w:left="1600" w:hanging="291"/>
        <w:spacing w:after="0"/>
        <w:tabs>
          <w:tab w:leader="none" w:pos="1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material breach of this Agreement by the Company; or</w:t>
      </w:r>
    </w:p>
    <w:p>
      <w:pPr>
        <w:spacing w:after="0" w:line="111" w:lineRule="exact"/>
        <w:rPr>
          <w:rFonts w:ascii="Times New Roman" w:cs="Times New Roman" w:eastAsia="Times New Roman" w:hAnsi="Times New Roman"/>
          <w:sz w:val="17"/>
          <w:szCs w:val="17"/>
          <w:color w:val="auto"/>
        </w:rPr>
      </w:pPr>
    </w:p>
    <w:p>
      <w:pPr>
        <w:ind w:left="1600" w:hanging="291"/>
        <w:spacing w:after="0"/>
        <w:tabs>
          <w:tab w:leader="none" w:pos="1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failure by the Company to obtain the assumption of this Agreement by any successor to the Company.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u w:val="single" w:color="auto"/>
          <w:color w:val="auto"/>
        </w:rPr>
        <w:t>Good Reason Process</w:t>
      </w:r>
      <w:r>
        <w:rPr>
          <w:rFonts w:ascii="Times New Roman" w:cs="Times New Roman" w:eastAsia="Times New Roman" w:hAnsi="Times New Roman"/>
          <w:sz w:val="17"/>
          <w:szCs w:val="17"/>
          <w:color w:val="auto"/>
        </w:rPr>
        <w:t>” consists of the following steps:</w:t>
      </w:r>
    </w:p>
    <w:p>
      <w:pPr>
        <w:spacing w:after="0" w:line="111" w:lineRule="exact"/>
        <w:rPr>
          <w:sz w:val="20"/>
          <w:szCs w:val="20"/>
          <w:color w:val="auto"/>
        </w:rPr>
      </w:pPr>
    </w:p>
    <w:p>
      <w:pPr>
        <w:ind w:left="1520" w:hanging="211"/>
        <w:spacing w:after="0"/>
        <w:tabs>
          <w:tab w:leader="none" w:pos="15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 reasonably determines in good faith that a Good Reason Condition has occurred;</w:t>
      </w:r>
    </w:p>
    <w:p>
      <w:pPr>
        <w:spacing w:after="0" w:line="111" w:lineRule="exact"/>
        <w:rPr>
          <w:rFonts w:ascii="Times New Roman" w:cs="Times New Roman" w:eastAsia="Times New Roman" w:hAnsi="Times New Roman"/>
          <w:sz w:val="17"/>
          <w:szCs w:val="17"/>
          <w:color w:val="auto"/>
        </w:rPr>
      </w:pPr>
    </w:p>
    <w:p>
      <w:pPr>
        <w:ind w:left="400" w:right="140" w:firstLine="909"/>
        <w:spacing w:after="0" w:line="283" w:lineRule="auto"/>
        <w:tabs>
          <w:tab w:leader="none" w:pos="1551"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 notifies the Company in writing of the first occurrence of the Good Reason Condition within 60 days of the first occurrence of such condition;</w:t>
      </w:r>
    </w:p>
    <w:p>
      <w:pPr>
        <w:spacing w:after="0" w:line="50" w:lineRule="exact"/>
        <w:rPr>
          <w:rFonts w:ascii="Times New Roman" w:cs="Times New Roman" w:eastAsia="Times New Roman" w:hAnsi="Times New Roman"/>
          <w:sz w:val="17"/>
          <w:szCs w:val="17"/>
          <w:color w:val="auto"/>
        </w:rPr>
      </w:pPr>
    </w:p>
    <w:p>
      <w:pPr>
        <w:ind w:left="400" w:right="160" w:firstLine="909"/>
        <w:spacing w:after="0" w:line="283" w:lineRule="auto"/>
        <w:tabs>
          <w:tab w:leader="none" w:pos="1599"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 cooperates in good faith with the Company’s efforts, for a period of not less than 30 days following such notice (the “</w:t>
      </w:r>
      <w:r>
        <w:rPr>
          <w:rFonts w:ascii="Times New Roman" w:cs="Times New Roman" w:eastAsia="Times New Roman" w:hAnsi="Times New Roman"/>
          <w:sz w:val="17"/>
          <w:szCs w:val="17"/>
          <w:u w:val="single" w:color="auto"/>
          <w:color w:val="auto"/>
        </w:rPr>
        <w:t>Cure Period</w:t>
      </w:r>
      <w:r>
        <w:rPr>
          <w:rFonts w:ascii="Times New Roman" w:cs="Times New Roman" w:eastAsia="Times New Roman" w:hAnsi="Times New Roman"/>
          <w:sz w:val="17"/>
          <w:szCs w:val="17"/>
          <w:color w:val="auto"/>
        </w:rPr>
        <w:t>”), to remedy the Good Reason Condition;</w:t>
      </w:r>
    </w:p>
    <w:p>
      <w:pPr>
        <w:spacing w:after="0" w:line="50" w:lineRule="exact"/>
        <w:rPr>
          <w:rFonts w:ascii="Times New Roman" w:cs="Times New Roman" w:eastAsia="Times New Roman" w:hAnsi="Times New Roman"/>
          <w:sz w:val="17"/>
          <w:szCs w:val="17"/>
          <w:color w:val="auto"/>
        </w:rPr>
      </w:pPr>
    </w:p>
    <w:p>
      <w:pPr>
        <w:ind w:left="1600" w:hanging="291"/>
        <w:spacing w:after="0"/>
        <w:tabs>
          <w:tab w:leader="none" w:pos="1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such efforts, the Good Reason Condition continues to exist at the end of the Cure Period; and</w:t>
      </w:r>
    </w:p>
    <w:p>
      <w:pPr>
        <w:spacing w:after="0" w:line="111" w:lineRule="exact"/>
        <w:rPr>
          <w:rFonts w:ascii="Times New Roman" w:cs="Times New Roman" w:eastAsia="Times New Roman" w:hAnsi="Times New Roman"/>
          <w:sz w:val="17"/>
          <w:szCs w:val="17"/>
          <w:color w:val="auto"/>
        </w:rPr>
      </w:pPr>
    </w:p>
    <w:p>
      <w:pPr>
        <w:ind w:left="1540" w:hanging="231"/>
        <w:spacing w:after="0"/>
        <w:tabs>
          <w:tab w:leader="none" w:pos="15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 terminates employment within 60 days after the end of the Cure Period.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the Company cures the Good Reason Condition during the Cure Period, Good Reason shall be deemed not to have occurred.</w:t>
      </w:r>
    </w:p>
    <w:p>
      <w:pPr>
        <w:spacing w:after="0" w:line="213" w:lineRule="exact"/>
        <w:rPr>
          <w:sz w:val="20"/>
          <w:szCs w:val="20"/>
          <w:color w:val="auto"/>
        </w:rPr>
      </w:pPr>
    </w:p>
    <w:p>
      <w:pPr>
        <w:ind w:left="580" w:hanging="172"/>
        <w:spacing w:after="0"/>
        <w:tabs>
          <w:tab w:leader="none" w:pos="5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Matters-related to Termination</w:t>
      </w:r>
      <w:r>
        <w:rPr>
          <w:rFonts w:ascii="Times New Roman" w:cs="Times New Roman" w:eastAsia="Times New Roman" w:hAnsi="Times New Roman"/>
          <w:sz w:val="17"/>
          <w:szCs w:val="17"/>
          <w:color w:val="auto"/>
        </w:rPr>
        <w:t>.</w:t>
      </w:r>
    </w:p>
    <w:p>
      <w:pPr>
        <w:spacing w:after="0" w:line="111" w:lineRule="exact"/>
        <w:rPr>
          <w:rFonts w:ascii="Times New Roman" w:cs="Times New Roman" w:eastAsia="Times New Roman" w:hAnsi="Times New Roman"/>
          <w:sz w:val="17"/>
          <w:szCs w:val="17"/>
          <w:color w:val="auto"/>
        </w:rPr>
      </w:pPr>
    </w:p>
    <w:p>
      <w:pPr>
        <w:ind w:right="80" w:firstLine="929"/>
        <w:spacing w:after="0" w:line="267" w:lineRule="auto"/>
        <w:tabs>
          <w:tab w:leader="none" w:pos="117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of Termination</w:t>
      </w:r>
      <w:r>
        <w:rPr>
          <w:rFonts w:ascii="Times New Roman" w:cs="Times New Roman" w:eastAsia="Times New Roman" w:hAnsi="Times New Roman"/>
          <w:sz w:val="17"/>
          <w:szCs w:val="17"/>
          <w:color w:val="auto"/>
        </w:rPr>
        <w:t>. Except for termination as specified in Section 3(a), any termination of the Executive’s employment by the Company or any such termination by the Executive shall be communicated by written Notice of Termination to the other party hereto. For purposes of this Agreement, a “</w:t>
      </w:r>
      <w:r>
        <w:rPr>
          <w:rFonts w:ascii="Times New Roman" w:cs="Times New Roman" w:eastAsia="Times New Roman" w:hAnsi="Times New Roman"/>
          <w:sz w:val="17"/>
          <w:szCs w:val="17"/>
          <w:u w:val="single" w:color="auto"/>
          <w:color w:val="auto"/>
        </w:rPr>
        <w:t>Notice of Termination</w:t>
      </w:r>
      <w:r>
        <w:rPr>
          <w:rFonts w:ascii="Times New Roman" w:cs="Times New Roman" w:eastAsia="Times New Roman" w:hAnsi="Times New Roman"/>
          <w:sz w:val="17"/>
          <w:szCs w:val="17"/>
          <w:color w:val="auto"/>
        </w:rPr>
        <w:t>” shall mean a notice which shall indicate the specific termination provision in this Agreement relied upon.</w:t>
      </w:r>
    </w:p>
    <w:p>
      <w:pPr>
        <w:spacing w:after="0" w:line="1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320"/>
          </w:cols>
          <w:pgMar w:left="740" w:top="264" w:right="839" w:bottom="1440" w:gutter="0" w:footer="0" w:header="0"/>
        </w:sectPr>
      </w:pPr>
    </w:p>
    <w:bookmarkStart w:id="10" w:name="page11"/>
    <w:bookmarkEnd w:id="10"/>
    <w:p>
      <w:pPr>
        <w:ind w:left="1189" w:hanging="251"/>
        <w:spacing w:after="0"/>
        <w:tabs>
          <w:tab w:leader="none" w:pos="1189" w:val="left"/>
        </w:tabs>
        <w:numPr>
          <w:ilvl w:val="2"/>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Date of Termination</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Date of Termination</w:t>
      </w:r>
      <w:r>
        <w:rPr>
          <w:rFonts w:ascii="Times New Roman" w:cs="Times New Roman" w:eastAsia="Times New Roman" w:hAnsi="Times New Roman"/>
          <w:sz w:val="17"/>
          <w:szCs w:val="17"/>
          <w:color w:val="auto"/>
        </w:rPr>
        <w:t>” shall mean: (i) if the Executive’s employment is terminated by death, the date of death;</w:t>
      </w:r>
    </w:p>
    <w:p>
      <w:pPr>
        <w:spacing w:after="0" w:line="26" w:lineRule="exact"/>
        <w:rPr>
          <w:rFonts w:ascii="Times New Roman" w:cs="Times New Roman" w:eastAsia="Times New Roman" w:hAnsi="Times New Roman"/>
          <w:sz w:val="17"/>
          <w:szCs w:val="17"/>
          <w:color w:val="auto"/>
        </w:rPr>
      </w:pPr>
    </w:p>
    <w:p>
      <w:pPr>
        <w:ind w:left="9" w:hanging="9"/>
        <w:spacing w:after="0" w:line="266" w:lineRule="auto"/>
        <w:tabs>
          <w:tab w:leader="none" w:pos="2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Executive’s employment is terminated on account of disability under Section 3(b) or by the Company for Cause under Section 3(c), the date on which Notice of Termination is given; (iii) if the Executive’s employment is terminated by the Company without Cause under Section 3(d), the date on which a Notice of Termination is given or the date otherwise specified by the Company in the Notice of Termination; (iv) if the Executive’s employment is terminated by the Executive under Section 3(e) other than for Good Reason, 30 days after the date on which a Notice of Termination is given, and</w:t>
      </w:r>
    </w:p>
    <w:p>
      <w:pPr>
        <w:spacing w:after="0" w:line="2" w:lineRule="exact"/>
        <w:rPr>
          <w:rFonts w:ascii="Times New Roman" w:cs="Times New Roman" w:eastAsia="Times New Roman" w:hAnsi="Times New Roman"/>
          <w:sz w:val="16"/>
          <w:szCs w:val="16"/>
          <w:color w:val="auto"/>
        </w:rPr>
      </w:pPr>
    </w:p>
    <w:p>
      <w:pPr>
        <w:ind w:left="9" w:hanging="9"/>
        <w:spacing w:after="0" w:line="254" w:lineRule="auto"/>
        <w:tabs>
          <w:tab w:leader="none" w:pos="25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Executive’s employment is terminated by the Executive under Section 3(e) for Good Reason, the date on which a Notice of Termination is given after the end of the Cure Period.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75" w:lineRule="exact"/>
        <w:rPr>
          <w:rFonts w:ascii="Times New Roman" w:cs="Times New Roman" w:eastAsia="Times New Roman" w:hAnsi="Times New Roman"/>
          <w:sz w:val="17"/>
          <w:szCs w:val="17"/>
          <w:color w:val="auto"/>
        </w:rPr>
      </w:pPr>
    </w:p>
    <w:p>
      <w:pPr>
        <w:ind w:left="9" w:firstLine="929"/>
        <w:spacing w:after="0" w:line="259" w:lineRule="auto"/>
        <w:tabs>
          <w:tab w:leader="none" w:pos="1179" w:val="left"/>
        </w:tabs>
        <w:numPr>
          <w:ilvl w:val="2"/>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Accrued Obligations</w:t>
      </w:r>
      <w:r>
        <w:rPr>
          <w:rFonts w:ascii="Times New Roman" w:cs="Times New Roman" w:eastAsia="Times New Roman" w:hAnsi="Times New Roman"/>
          <w:sz w:val="17"/>
          <w:szCs w:val="17"/>
          <w:color w:val="auto"/>
        </w:rPr>
        <w:t>. If the Executive’s employment with the Company is terminated for any reason, the Company shall pay or provide to the Executive (or to the Executive’s authorized representative or estate) (i) any Base Salary and, if applicable, accrued but unused vacation earned through the Date of Termination; (ii) unpaid expense reimbursements (subject to, and in accordance with, Section 2(c) of this Agreement); and (iii) any vested benefits the Executive may have under any employee benefit plan of the Company through the Date of Termination, which vested benefits shall be paid and/or provided in accordance with the terms of such employee benefit plans (collectively, the “</w:t>
      </w:r>
      <w:r>
        <w:rPr>
          <w:rFonts w:ascii="Times New Roman" w:cs="Times New Roman" w:eastAsia="Times New Roman" w:hAnsi="Times New Roman"/>
          <w:sz w:val="17"/>
          <w:szCs w:val="17"/>
          <w:u w:val="single" w:color="auto"/>
          <w:color w:val="auto"/>
        </w:rPr>
        <w:t>Accrued Obligations</w:t>
      </w:r>
      <w:r>
        <w:rPr>
          <w:rFonts w:ascii="Times New Roman" w:cs="Times New Roman" w:eastAsia="Times New Roman" w:hAnsi="Times New Roman"/>
          <w:sz w:val="17"/>
          <w:szCs w:val="17"/>
          <w:color w:val="auto"/>
        </w:rPr>
        <w:t>”).</w:t>
      </w:r>
    </w:p>
    <w:p>
      <w:pPr>
        <w:spacing w:after="0" w:line="69" w:lineRule="exact"/>
        <w:rPr>
          <w:rFonts w:ascii="Times New Roman" w:cs="Times New Roman" w:eastAsia="Times New Roman" w:hAnsi="Times New Roman"/>
          <w:sz w:val="17"/>
          <w:szCs w:val="17"/>
          <w:color w:val="auto"/>
        </w:rPr>
      </w:pPr>
    </w:p>
    <w:p>
      <w:pPr>
        <w:ind w:left="9" w:right="60" w:firstLine="929"/>
        <w:spacing w:after="0" w:line="261" w:lineRule="auto"/>
        <w:tabs>
          <w:tab w:leader="none" w:pos="1188" w:val="left"/>
        </w:tabs>
        <w:numPr>
          <w:ilvl w:val="2"/>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Resignation of All Other Positions</w:t>
      </w:r>
      <w:r>
        <w:rPr>
          <w:rFonts w:ascii="Times New Roman" w:cs="Times New Roman" w:eastAsia="Times New Roman" w:hAnsi="Times New Roman"/>
          <w:sz w:val="17"/>
          <w:szCs w:val="17"/>
          <w:color w:val="auto"/>
        </w:rPr>
        <w:t>. To the extent applicable and unless otherwise mutually agreed by the Executive and the Board, the Executive shall be deemed to have resigned from all officer and board member positions that the Executive holds with the Company or any of its respective subsidiaries and affiliates upon the termination of the Executive’s employment for any reason. The Executive shall execute any documents in reasonable form as may be requested to confirm or effectuate any such resignations.</w:t>
      </w:r>
    </w:p>
    <w:p>
      <w:pPr>
        <w:spacing w:after="0" w:line="171" w:lineRule="exact"/>
        <w:rPr>
          <w:rFonts w:ascii="Times New Roman" w:cs="Times New Roman" w:eastAsia="Times New Roman" w:hAnsi="Times New Roman"/>
          <w:sz w:val="17"/>
          <w:szCs w:val="17"/>
          <w:color w:val="auto"/>
        </w:rPr>
      </w:pPr>
    </w:p>
    <w:p>
      <w:pPr>
        <w:ind w:left="9" w:firstLine="408"/>
        <w:spacing w:after="0" w:line="254" w:lineRule="auto"/>
        <w:tabs>
          <w:tab w:leader="none" w:pos="596"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Severance Pay and Benefits Upon Termination by the Company without Cause or by the Executive for Good Reason Outside the Change in Control Period</w:t>
      </w:r>
      <w:r>
        <w:rPr>
          <w:rFonts w:ascii="Times New Roman" w:cs="Times New Roman" w:eastAsia="Times New Roman" w:hAnsi="Times New Roman"/>
          <w:sz w:val="17"/>
          <w:szCs w:val="17"/>
          <w:color w:val="auto"/>
        </w:rPr>
        <w:t>. If the Executive’s employment is terminated by the Company without Cause as provided in Section 3(d), or the Executive terminates employment for Good Reason as provided in Section 3(e), in each case outside of the Change in Control Period (as defined below), then, in addition to the Accrued Obligations, and subject to (i) the Executive signing a separation agreement and release in a form and manner satisfactory to the Company, which shall include, without limitation, a general release of claims against the Company and all related persons and entities that shall not release the Executive’s rights under this Agreement, a reaffirmation of all of the Executive’s Continuing Obligations (as defined below), and, in the Company’s sole discretion, a one-year post-employment noncompetition agreement (which shall not expand the scope of proscribed activities under any then-existing noncompetition obligations), and shall provide that if the Executive breaches any of the Continuing Obligations, all payments of the Severance Amount shall immediately cease (the “</w:t>
      </w:r>
      <w:r>
        <w:rPr>
          <w:rFonts w:ascii="Times New Roman" w:cs="Times New Roman" w:eastAsia="Times New Roman" w:hAnsi="Times New Roman"/>
          <w:sz w:val="17"/>
          <w:szCs w:val="17"/>
          <w:u w:val="single" w:color="auto"/>
          <w:color w:val="auto"/>
        </w:rPr>
        <w:t>Separation Agreement</w:t>
      </w:r>
      <w:r>
        <w:rPr>
          <w:rFonts w:ascii="Times New Roman" w:cs="Times New Roman" w:eastAsia="Times New Roman" w:hAnsi="Times New Roman"/>
          <w:sz w:val="17"/>
          <w:szCs w:val="17"/>
          <w:color w:val="auto"/>
        </w:rPr>
        <w:t>”), and (ii) the Separation Agreement becoming irrevocable, all within 60 days after the Date of Termination (or such shorter period as set forth in the Separation Agreement), which shall include a seven business day revocation period:</w:t>
      </w:r>
    </w:p>
    <w:p>
      <w:pPr>
        <w:spacing w:after="0" w:line="11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0409"/>
          </w:cols>
          <w:pgMar w:left="731" w:top="264" w:right="759" w:bottom="1440" w:gutter="0" w:footer="0" w:header="0"/>
        </w:sectPr>
      </w:pPr>
    </w:p>
    <w:bookmarkStart w:id="11" w:name="page12"/>
    <w:bookmarkEnd w:id="11"/>
    <w:p>
      <w:pPr>
        <w:ind w:left="9" w:right="40" w:firstLine="929"/>
        <w:spacing w:after="0" w:line="283" w:lineRule="auto"/>
        <w:tabs>
          <w:tab w:leader="none" w:pos="1179"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the Company shall pay the Executive an amount equal to the sum of the Base Salary for the lesser of: (i) 6 months or (ii) the remainder of the Term (in either event the “</w:t>
      </w:r>
      <w:r>
        <w:rPr>
          <w:rFonts w:ascii="Times New Roman" w:cs="Times New Roman" w:eastAsia="Times New Roman" w:hAnsi="Times New Roman"/>
          <w:sz w:val="17"/>
          <w:szCs w:val="17"/>
          <w:u w:val="single" w:color="auto"/>
          <w:color w:val="auto"/>
        </w:rPr>
        <w:t>Severance Period</w:t>
      </w:r>
      <w:r>
        <w:rPr>
          <w:rFonts w:ascii="Times New Roman" w:cs="Times New Roman" w:eastAsia="Times New Roman" w:hAnsi="Times New Roman"/>
          <w:sz w:val="17"/>
          <w:szCs w:val="17"/>
          <w:color w:val="auto"/>
        </w:rPr>
        <w:t>”);</w:t>
      </w:r>
    </w:p>
    <w:p>
      <w:pPr>
        <w:spacing w:after="0" w:line="50" w:lineRule="exact"/>
        <w:rPr>
          <w:rFonts w:ascii="Times New Roman" w:cs="Times New Roman" w:eastAsia="Times New Roman" w:hAnsi="Times New Roman"/>
          <w:sz w:val="17"/>
          <w:szCs w:val="17"/>
          <w:color w:val="auto"/>
        </w:rPr>
      </w:pPr>
    </w:p>
    <w:p>
      <w:pPr>
        <w:ind w:left="9" w:right="380" w:firstLine="929"/>
        <w:spacing w:after="0" w:line="261" w:lineRule="auto"/>
        <w:tabs>
          <w:tab w:leader="none" w:pos="1189"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pay the Executive a pro-rata portion of the annual incentive compensation the Executive would otherwise be entitled to receive based on Company and individual performance for the calendar year in which the Date of Termination occurs, calculated by multiplying such amount by a fraction of which the numerator is the number of days in such calendar year prior to the Date of Termination, and the denominator is 365 (the “</w:t>
      </w:r>
      <w:r>
        <w:rPr>
          <w:rFonts w:ascii="Times New Roman" w:cs="Times New Roman" w:eastAsia="Times New Roman" w:hAnsi="Times New Roman"/>
          <w:sz w:val="17"/>
          <w:szCs w:val="17"/>
          <w:u w:val="single" w:color="auto"/>
          <w:color w:val="auto"/>
        </w:rPr>
        <w:t>Pro-Rated Bonus</w:t>
      </w:r>
      <w:r>
        <w:rPr>
          <w:rFonts w:ascii="Times New Roman" w:cs="Times New Roman" w:eastAsia="Times New Roman" w:hAnsi="Times New Roman"/>
          <w:sz w:val="17"/>
          <w:szCs w:val="17"/>
          <w:color w:val="auto"/>
        </w:rPr>
        <w:t>”); and</w:t>
      </w:r>
    </w:p>
    <w:p>
      <w:pPr>
        <w:spacing w:after="0" w:line="69" w:lineRule="exact"/>
        <w:rPr>
          <w:rFonts w:ascii="Times New Roman" w:cs="Times New Roman" w:eastAsia="Times New Roman" w:hAnsi="Times New Roman"/>
          <w:sz w:val="17"/>
          <w:szCs w:val="17"/>
          <w:color w:val="auto"/>
        </w:rPr>
      </w:pPr>
    </w:p>
    <w:p>
      <w:pPr>
        <w:ind w:left="9" w:right="60" w:firstLine="929"/>
        <w:spacing w:after="0" w:line="255" w:lineRule="auto"/>
        <w:tabs>
          <w:tab w:leader="none" w:pos="1179"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Executive’s copayment of premium amounts at the applicable active employees’ rate and the Executive’s proper election to receive benefits under the Consolidated Omnibus Budget Reconciliation Act of 1985, as amended (“</w:t>
      </w:r>
      <w:r>
        <w:rPr>
          <w:rFonts w:ascii="Times New Roman" w:cs="Times New Roman" w:eastAsia="Times New Roman" w:hAnsi="Times New Roman"/>
          <w:sz w:val="17"/>
          <w:szCs w:val="17"/>
          <w:u w:val="single" w:color="auto"/>
          <w:color w:val="auto"/>
        </w:rPr>
        <w:t>COBRA</w:t>
      </w:r>
      <w:r>
        <w:rPr>
          <w:rFonts w:ascii="Times New Roman" w:cs="Times New Roman" w:eastAsia="Times New Roman" w:hAnsi="Times New Roman"/>
          <w:sz w:val="17"/>
          <w:szCs w:val="17"/>
          <w:color w:val="auto"/>
        </w:rPr>
        <w:t>”), the Company shall pay to the group health plan provider or the COBRA provider a monthly payment equal to the monthly employer contribution that the Company would have made to provide health insurance to the Executive if the Executive had remained employed by the Company until the earliest of (A) the last date of the Severance Period; (B) the date that the Executive becomes eligible for group medical plan benefits under any other employer’s group medical plan; or</w:t>
      </w:r>
    </w:p>
    <w:p>
      <w:pPr>
        <w:ind w:left="9" w:hanging="9"/>
        <w:spacing w:after="0" w:line="253" w:lineRule="auto"/>
        <w:tabs>
          <w:tab w:leader="none" w:pos="279"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cessation of the Executive’s health continuation rights under COBRA;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the Executive for the time period specified above. Such payments to the Executive shall be subject to tax-related deductions and withholdings and paid on the Company’s regular payroll dates; and</w:t>
      </w:r>
    </w:p>
    <w:p>
      <w:pPr>
        <w:spacing w:after="0" w:line="76" w:lineRule="exact"/>
        <w:rPr>
          <w:rFonts w:ascii="Times New Roman" w:cs="Times New Roman" w:eastAsia="Times New Roman" w:hAnsi="Times New Roman"/>
          <w:sz w:val="17"/>
          <w:szCs w:val="17"/>
          <w:color w:val="auto"/>
        </w:rPr>
      </w:pPr>
    </w:p>
    <w:p>
      <w:pPr>
        <w:ind w:left="9" w:right="80" w:firstLine="929"/>
        <w:spacing w:after="0" w:line="270" w:lineRule="auto"/>
        <w:tabs>
          <w:tab w:leader="none" w:pos="1189"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in any applicable option agreement or other stock-based award agreement, the portion of all Time-Based Equity Awards scheduled to vest in the 12 month period following the Date of Termination shall immediately accelerate and become fully vested and exercisable or nonforfeitable as of the later of (A) the Date of Termination or (B) the effective date of the Separation Agreement (the “</w:t>
      </w:r>
      <w:r>
        <w:rPr>
          <w:rFonts w:ascii="Times New Roman" w:cs="Times New Roman" w:eastAsia="Times New Roman" w:hAnsi="Times New Roman"/>
          <w:sz w:val="16"/>
          <w:szCs w:val="16"/>
          <w:u w:val="single" w:color="auto"/>
          <w:color w:val="auto"/>
        </w:rPr>
        <w:t>Accelerated Vesting Date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order to effectuate the accelerated vesting contemplated by this subsection, the unvested portion of the Executive’s Time-Based Equity Awards that are subject to acceleration pursuant to this subsection that would otherwise terminate or be forfeited on the Date of Termination will be delayed until the earlier of (A) the effective date of the Separation Agreement (at which time acceleration will occur), or</w:t>
      </w:r>
    </w:p>
    <w:p>
      <w:pPr>
        <w:spacing w:after="0" w:line="1" w:lineRule="exact"/>
        <w:rPr>
          <w:rFonts w:ascii="Times New Roman" w:cs="Times New Roman" w:eastAsia="Times New Roman" w:hAnsi="Times New Roman"/>
          <w:sz w:val="16"/>
          <w:szCs w:val="16"/>
          <w:color w:val="auto"/>
        </w:rPr>
      </w:pPr>
    </w:p>
    <w:p>
      <w:pPr>
        <w:ind w:left="9" w:right="40" w:hanging="9"/>
        <w:spacing w:after="0" w:line="253" w:lineRule="auto"/>
        <w:tabs>
          <w:tab w:leader="none" w:pos="279"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that the Separation Agreement can no longer become fully effective (at which time the unvested portion of the Executive’s Time-Based Equity Awards subject to acceleration pursuant to this subsection will terminate or be forfeited). Notwithstanding the foregoing, no additional vesting of the Time-Based Equity Awards shall occur during the period between the Date of Termination and the Accelerated Vesting Date. With respect to any performance-based vesting equity award, such award shall continue to be governed in all respects by the terms of the applicable equity award documents.</w:t>
      </w:r>
    </w:p>
    <w:p>
      <w:pPr>
        <w:spacing w:after="0" w:line="115"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0409"/>
          </w:cols>
          <w:pgMar w:left="731" w:top="264" w:right="759" w:bottom="1440" w:gutter="0" w:footer="0" w:header="0"/>
        </w:sectPr>
      </w:pPr>
    </w:p>
    <w:bookmarkStart w:id="12" w:name="page13"/>
    <w:bookmarkEnd w:id="12"/>
    <w:p>
      <w:pPr>
        <w:spacing w:after="0" w:line="25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 xml:space="preserve">The amounts payable under Section 5(a) and (c), to the extent taxable, shall be paid out in substantially equal installments in accordance with the Company’s payroll practice over the Severance Period commencing within 60 days after the Date of Termination;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if the 60-day period begins in one calendar year and ends in a second calendar year, such payments, to the extent they qualify as “non-qualified deferred compensation” within the meaning of Section 409A of the Internal Revenue Code of 1986, as amended (the “</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xml:space="preserve">”), shall begin to be paid in the second calendar year by the last day of such 60-day period;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that the initial payment shall include a catch-up payment to cover amounts retroactive to the day immediately following the Date of Termination. The Pro-Rated Bonus will paid at the same time as annual incentive compensation payments are made to active employees for the calendar year in which the Date of Termination occurs, but in no event later than March 15 of the calendar year following the year in which it is earned. Each payment pursuant to this Agreement is intended to constitute a separate payment for purposes of Treasury Regulation Section 1.409A-2(b)(2).</w:t>
      </w:r>
    </w:p>
    <w:p>
      <w:pPr>
        <w:spacing w:after="0" w:line="175" w:lineRule="exact"/>
        <w:rPr>
          <w:sz w:val="20"/>
          <w:szCs w:val="20"/>
          <w:color w:val="auto"/>
        </w:rPr>
      </w:pPr>
    </w:p>
    <w:p>
      <w:pPr>
        <w:ind w:firstLine="408"/>
        <w:spacing w:after="0" w:line="259" w:lineRule="auto"/>
        <w:tabs>
          <w:tab w:leader="none" w:pos="587"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Severance Pay and Benefits Upon Termination by the Company without Cause or by the Executive for Good Reason within the Change in Control Period</w:t>
      </w:r>
      <w:r>
        <w:rPr>
          <w:rFonts w:ascii="Times New Roman" w:cs="Times New Roman" w:eastAsia="Times New Roman" w:hAnsi="Times New Roman"/>
          <w:sz w:val="17"/>
          <w:szCs w:val="17"/>
          <w:color w:val="auto"/>
        </w:rPr>
        <w:t>. The provisions of this Section 6 shall apply in lieu of, and expressly supersede, the provisions of Section 5 if (i) the Executive’s employment is terminated either (a) by the Company without Cause as provided in Section 3(d) or (b) by the Executive for Good Reason as provided in Section 3(e), and (ii) the Date of Termination is during the Term and after the occurrence of the first event constituting a Change in Control (such period, the “</w:t>
      </w:r>
      <w:r>
        <w:rPr>
          <w:rFonts w:ascii="Times New Roman" w:cs="Times New Roman" w:eastAsia="Times New Roman" w:hAnsi="Times New Roman"/>
          <w:sz w:val="17"/>
          <w:szCs w:val="17"/>
          <w:u w:val="single" w:color="auto"/>
          <w:color w:val="auto"/>
        </w:rPr>
        <w:t>Change in Control Period</w:t>
      </w:r>
      <w:r>
        <w:rPr>
          <w:rFonts w:ascii="Times New Roman" w:cs="Times New Roman" w:eastAsia="Times New Roman" w:hAnsi="Times New Roman"/>
          <w:sz w:val="17"/>
          <w:szCs w:val="17"/>
          <w:color w:val="auto"/>
        </w:rPr>
        <w:t>”). These provisions shall terminate and be of no further force or effect after the Change in Control Period.</w:t>
      </w:r>
    </w:p>
    <w:p>
      <w:pPr>
        <w:spacing w:after="0" w:line="69" w:lineRule="exact"/>
        <w:rPr>
          <w:rFonts w:ascii="Times New Roman" w:cs="Times New Roman" w:eastAsia="Times New Roman" w:hAnsi="Times New Roman"/>
          <w:sz w:val="17"/>
          <w:szCs w:val="17"/>
          <w:color w:val="auto"/>
        </w:rPr>
      </w:pPr>
    </w:p>
    <w:p>
      <w:pPr>
        <w:ind w:right="40" w:firstLine="929"/>
        <w:spacing w:after="0" w:line="259" w:lineRule="auto"/>
        <w:tabs>
          <w:tab w:leader="none" w:pos="117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Executive’s employment is terminated by the Company without Cause as provided in Section 3(d) or the Executive terminates employment for Good Reason as provided in Section 3(e) and in each case the Date of Termination occurs within the Change in Control Period, then, in addition to the Accrued Obligations, and subject to the signing of a general release of claims against the Company and all related persons and entities that shall not release the Executive’s rights under this Agreement (the “</w:t>
      </w:r>
      <w:r>
        <w:rPr>
          <w:rFonts w:ascii="Times New Roman" w:cs="Times New Roman" w:eastAsia="Times New Roman" w:hAnsi="Times New Roman"/>
          <w:sz w:val="17"/>
          <w:szCs w:val="17"/>
          <w:u w:val="single" w:color="auto"/>
          <w:color w:val="auto"/>
        </w:rPr>
        <w:t>Release</w:t>
      </w:r>
      <w:r>
        <w:rPr>
          <w:rFonts w:ascii="Times New Roman" w:cs="Times New Roman" w:eastAsia="Times New Roman" w:hAnsi="Times New Roman"/>
          <w:sz w:val="17"/>
          <w:szCs w:val="17"/>
          <w:color w:val="auto"/>
        </w:rPr>
        <w:t>”) by the Executive and the Release becoming fully effective, all within the time frame set forth in the Release but in no event more than 60 days after the Date of Termination:</w:t>
      </w:r>
    </w:p>
    <w:p>
      <w:pPr>
        <w:spacing w:after="0" w:line="69" w:lineRule="exact"/>
        <w:rPr>
          <w:rFonts w:ascii="Times New Roman" w:cs="Times New Roman" w:eastAsia="Times New Roman" w:hAnsi="Times New Roman"/>
          <w:sz w:val="17"/>
          <w:szCs w:val="17"/>
          <w:color w:val="auto"/>
        </w:rPr>
      </w:pPr>
    </w:p>
    <w:p>
      <w:pPr>
        <w:ind w:left="400" w:right="100" w:firstLine="909"/>
        <w:spacing w:after="0" w:line="267" w:lineRule="auto"/>
        <w:tabs>
          <w:tab w:leader="none" w:pos="1504" w:val="left"/>
        </w:tabs>
        <w:numPr>
          <w:ilvl w:val="2"/>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pay the Executive a lump sum in cash in an amount equal to the sum of (A) 9 months of the Executive’s then-current Base Salary (or the Executive’s Base Salary in effect immediately prior to the Change in Control, if higher) plus (B) .75 times the Executive’s Target Bonus;</w:t>
      </w:r>
    </w:p>
    <w:p>
      <w:pPr>
        <w:spacing w:after="0" w:line="63" w:lineRule="exact"/>
        <w:rPr>
          <w:rFonts w:ascii="Times New Roman" w:cs="Times New Roman" w:eastAsia="Times New Roman" w:hAnsi="Times New Roman"/>
          <w:sz w:val="17"/>
          <w:szCs w:val="17"/>
          <w:color w:val="auto"/>
        </w:rPr>
      </w:pPr>
    </w:p>
    <w:p>
      <w:pPr>
        <w:ind w:left="1560" w:hanging="251"/>
        <w:spacing w:after="0"/>
        <w:tabs>
          <w:tab w:leader="none" w:pos="1560" w:val="left"/>
        </w:tabs>
        <w:numPr>
          <w:ilvl w:val="2"/>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pay the Executive the Pro-Rated Bonus;</w:t>
      </w:r>
    </w:p>
    <w:p>
      <w:pPr>
        <w:spacing w:after="0" w:line="111" w:lineRule="exact"/>
        <w:rPr>
          <w:rFonts w:ascii="Times New Roman" w:cs="Times New Roman" w:eastAsia="Times New Roman" w:hAnsi="Times New Roman"/>
          <w:sz w:val="17"/>
          <w:szCs w:val="17"/>
          <w:color w:val="auto"/>
        </w:rPr>
      </w:pPr>
    </w:p>
    <w:p>
      <w:pPr>
        <w:ind w:left="400" w:right="220" w:firstLine="909"/>
        <w:spacing w:after="0" w:line="256" w:lineRule="auto"/>
        <w:tabs>
          <w:tab w:leader="none" w:pos="1599" w:val="left"/>
        </w:tabs>
        <w:numPr>
          <w:ilvl w:val="2"/>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any applicable option agreement or other stock-based award agreement, all Time-Based Equity Awards shall immediately accelerate and become fully vested and exercisable or nonforfeitable as of the later of (i) the Date of Termination or (ii) the effective date of the Release (the “</w:t>
      </w:r>
      <w:r>
        <w:rPr>
          <w:rFonts w:ascii="Times New Roman" w:cs="Times New Roman" w:eastAsia="Times New Roman" w:hAnsi="Times New Roman"/>
          <w:sz w:val="17"/>
          <w:szCs w:val="17"/>
          <w:u w:val="single" w:color="auto"/>
          <w:color w:val="auto"/>
        </w:rPr>
        <w:t>Change in Control Accelerated Vesting Date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order to effectuate the accelerated vesting contemplated by this subsection, the unvested portion of the Executive’s Time-Based Equity Awards that would otherwise terminate or be forfeited on the Date of Termination will be delayed until the earlier of (A) the effective date of the Release (at which time acceleration will occur), or (B) the date that the Release can no longer become fully effective (at which time the unvested portion of the Executive’s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0400"/>
          </w:cols>
          <w:pgMar w:left="740" w:top="264" w:right="759" w:bottom="1440" w:gutter="0" w:footer="0" w:header="0"/>
        </w:sectPr>
      </w:pPr>
    </w:p>
    <w:bookmarkStart w:id="13" w:name="page14"/>
    <w:bookmarkEnd w:id="13"/>
    <w:p>
      <w:pPr>
        <w:ind w:left="40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Time-Based Equity Awards will terminate or be forfeited). Notwithstanding the foregoing, no additional vesting of the Time-Based Equity Awards shall occur during the period between the Date of Termination and the Change in Control Accelerated Vesting Date. With respect to any performance-based vesting equity award, such award shall continue to be governed in all respects by the Equity Documents; and</w:t>
      </w:r>
    </w:p>
    <w:p>
      <w:pPr>
        <w:spacing w:after="0" w:line="63" w:lineRule="exact"/>
        <w:rPr>
          <w:sz w:val="20"/>
          <w:szCs w:val="20"/>
          <w:color w:val="auto"/>
        </w:rPr>
      </w:pPr>
    </w:p>
    <w:p>
      <w:pPr>
        <w:ind w:left="400" w:right="80" w:firstLine="909"/>
        <w:spacing w:after="0" w:line="254" w:lineRule="auto"/>
        <w:tabs>
          <w:tab w:leader="none" w:pos="1589"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the Executive’s copayment of premium amounts at the applicable active employees’ rate and the Executive’s proper election to receive benefits under COBRA, the Company shall pay to the group health plan provider or the COBRA provider a monthly payment equal to the monthly employer contribution that the Company would have made to provide health insurance to the Executive if the Executive had remained employed by the Company until the earliest of (A) the 9 month anniversary of the Date of Termination; (B) the date that the Executive becomes eligible for group medical plan benefits under any other employer’s group medical plan; or (C) the cessation of the Executive’s health continuation rights under COBRA;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the Executive for the time period specified above. Such payments to the Executive shall be subject to tax-related deductions and withholdings and paid on the Company’s regular payroll dates.</w:t>
      </w:r>
    </w:p>
    <w:p>
      <w:pPr>
        <w:spacing w:after="0" w:line="18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 xml:space="preserve">The amounts payable under Section 6(a)(i) and (iii), to the extent taxable, shall be paid or commence to be paid within 60 days after the Date of Termination;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if the 60-day period begins in one calendar year and ends in a second calendar year, such payments to the extent they qualify as “non-qualified deferred compensation” within the meaning of Section 409A of the Code, shall be paid or commence to be paid in the second calendar year by the last day of such 60-day period. The Pro-Rated Bonus will paid at the same time as annual incentive compensation payments are made to active employees for the calendar year in which the Date of Termination occurs, but in no event later than March 15 of the calendar year following the year in which it is earned.</w:t>
      </w:r>
    </w:p>
    <w:p>
      <w:pPr>
        <w:spacing w:after="0" w:line="73" w:lineRule="exact"/>
        <w:rPr>
          <w:sz w:val="20"/>
          <w:szCs w:val="20"/>
          <w:color w:val="auto"/>
        </w:rPr>
      </w:pPr>
    </w:p>
    <w:p>
      <w:pPr>
        <w:ind w:left="1180" w:hanging="251"/>
        <w:spacing w:after="0"/>
        <w:tabs>
          <w:tab w:leader="none" w:pos="11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Additional Limitation</w:t>
      </w:r>
      <w:r>
        <w:rPr>
          <w:rFonts w:ascii="Times New Roman" w:cs="Times New Roman" w:eastAsia="Times New Roman" w:hAnsi="Times New Roman"/>
          <w:sz w:val="17"/>
          <w:szCs w:val="17"/>
          <w:color w:val="auto"/>
        </w:rPr>
        <w:t>.</w:t>
      </w:r>
    </w:p>
    <w:p>
      <w:pPr>
        <w:spacing w:after="0" w:line="111" w:lineRule="exact"/>
        <w:rPr>
          <w:rFonts w:ascii="Times New Roman" w:cs="Times New Roman" w:eastAsia="Times New Roman" w:hAnsi="Times New Roman"/>
          <w:sz w:val="17"/>
          <w:szCs w:val="17"/>
          <w:color w:val="auto"/>
        </w:rPr>
      </w:pPr>
    </w:p>
    <w:p>
      <w:pPr>
        <w:ind w:right="220" w:firstLine="1346"/>
        <w:spacing w:after="0" w:line="255" w:lineRule="auto"/>
        <w:tabs>
          <w:tab w:leader="none" w:pos="1559"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Code, and the applicable regulations thereunder (the “</w:t>
      </w:r>
      <w:r>
        <w:rPr>
          <w:rFonts w:ascii="Times New Roman" w:cs="Times New Roman" w:eastAsia="Times New Roman" w:hAnsi="Times New Roman"/>
          <w:sz w:val="17"/>
          <w:szCs w:val="17"/>
          <w:u w:val="single" w:color="auto"/>
          <w:color w:val="auto"/>
        </w:rPr>
        <w:t>Aggregate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Payments</w:t>
      </w:r>
      <w:r>
        <w:rPr>
          <w:rFonts w:ascii="Times New Roman" w:cs="Times New Roman" w:eastAsia="Times New Roman" w:hAnsi="Times New Roman"/>
          <w:sz w:val="17"/>
          <w:szCs w:val="17"/>
          <w:color w:val="auto"/>
        </w:rPr>
        <w:t xml:space="preserve">”),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0400"/>
          </w:cols>
          <w:pgMar w:left="740" w:top="264" w:right="759" w:bottom="1440" w:gutter="0" w:footer="0" w:header="0"/>
        </w:sectPr>
      </w:pPr>
    </w:p>
    <w:bookmarkStart w:id="14" w:name="page15"/>
    <w:bookmarkEnd w:id="14"/>
    <w:p>
      <w:pPr>
        <w:ind w:left="9" w:right="80"/>
        <w:spacing w:after="0" w:line="26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w:t>
      </w:r>
    </w:p>
    <w:p>
      <w:pPr>
        <w:spacing w:after="0" w:line="1" w:lineRule="exact"/>
        <w:rPr>
          <w:sz w:val="20"/>
          <w:szCs w:val="20"/>
          <w:color w:val="auto"/>
        </w:rPr>
      </w:pPr>
    </w:p>
    <w:p>
      <w:pPr>
        <w:jc w:val="both"/>
        <w:ind w:left="9" w:right="240" w:hanging="9"/>
        <w:spacing w:after="0" w:line="256" w:lineRule="auto"/>
        <w:tabs>
          <w:tab w:leader="none" w:pos="25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equity-based payments and acceleration; and (4) non-cash forms of benefits;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72" w:lineRule="exact"/>
        <w:rPr>
          <w:rFonts w:ascii="Times New Roman" w:cs="Times New Roman" w:eastAsia="Times New Roman" w:hAnsi="Times New Roman"/>
          <w:sz w:val="17"/>
          <w:szCs w:val="17"/>
          <w:color w:val="auto"/>
        </w:rPr>
      </w:pPr>
    </w:p>
    <w:p>
      <w:pPr>
        <w:ind w:left="9" w:firstLine="1346"/>
        <w:spacing w:after="0" w:line="257" w:lineRule="auto"/>
        <w:tabs>
          <w:tab w:leader="none" w:pos="1615" w:val="left"/>
        </w:tabs>
        <w:numPr>
          <w:ilvl w:val="3"/>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Section 6(b), the “</w:t>
      </w:r>
      <w:r>
        <w:rPr>
          <w:rFonts w:ascii="Times New Roman" w:cs="Times New Roman" w:eastAsia="Times New Roman" w:hAnsi="Times New Roman"/>
          <w:sz w:val="17"/>
          <w:szCs w:val="17"/>
          <w:u w:val="single" w:color="auto"/>
          <w:color w:val="auto"/>
        </w:rPr>
        <w:t>After Tax Amount</w:t>
      </w:r>
      <w:r>
        <w:rPr>
          <w:rFonts w:ascii="Times New Roman" w:cs="Times New Roman" w:eastAsia="Times New Roman" w:hAnsi="Times New Roman"/>
          <w:sz w:val="17"/>
          <w:szCs w:val="17"/>
          <w:color w:val="auto"/>
        </w:rPr>
        <w: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72" w:lineRule="exact"/>
        <w:rPr>
          <w:rFonts w:ascii="Times New Roman" w:cs="Times New Roman" w:eastAsia="Times New Roman" w:hAnsi="Times New Roman"/>
          <w:sz w:val="17"/>
          <w:szCs w:val="17"/>
          <w:color w:val="auto"/>
        </w:rPr>
      </w:pPr>
    </w:p>
    <w:p>
      <w:pPr>
        <w:ind w:left="9" w:right="60" w:firstLine="1346"/>
        <w:spacing w:after="0" w:line="259" w:lineRule="auto"/>
        <w:tabs>
          <w:tab w:leader="none" w:pos="1662" w:val="left"/>
        </w:tabs>
        <w:numPr>
          <w:ilvl w:val="3"/>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determination as to whether a reduction in the Aggregate Payments shall be made pursuant to Section 6(b)(i) shall be made by a nationally recognized accounting firm selected by the Company prior to the Change in Control (the “</w:t>
      </w:r>
      <w:r>
        <w:rPr>
          <w:rFonts w:ascii="Times New Roman" w:cs="Times New Roman" w:eastAsia="Times New Roman" w:hAnsi="Times New Roman"/>
          <w:sz w:val="17"/>
          <w:szCs w:val="17"/>
          <w:u w:val="single" w:color="auto"/>
          <w:color w:val="auto"/>
        </w:rPr>
        <w:t>Accounting Firm</w:t>
      </w:r>
      <w:r>
        <w:rPr>
          <w:rFonts w:ascii="Times New Roman" w:cs="Times New Roman" w:eastAsia="Times New Roman" w:hAnsi="Times New Roman"/>
          <w:sz w:val="17"/>
          <w:szCs w:val="17"/>
          <w:color w:val="auto"/>
        </w:rPr>
        <w:t>”), which shall provide detailed supporting calculations both to the Company and the Executive within 15 business days of the Date of Termination, if applicable, or at such earlier time as is reasonably requested by the Company or the Executive. Any determination by the Accounting Firm shall be binding upon the Company and the Executive.</w:t>
      </w:r>
    </w:p>
    <w:p>
      <w:pPr>
        <w:spacing w:after="0" w:line="69" w:lineRule="exact"/>
        <w:rPr>
          <w:rFonts w:ascii="Times New Roman" w:cs="Times New Roman" w:eastAsia="Times New Roman" w:hAnsi="Times New Roman"/>
          <w:sz w:val="17"/>
          <w:szCs w:val="17"/>
          <w:color w:val="auto"/>
        </w:rPr>
      </w:pPr>
    </w:p>
    <w:p>
      <w:pPr>
        <w:ind w:left="9" w:right="120" w:firstLine="929"/>
        <w:spacing w:after="0" w:line="283" w:lineRule="auto"/>
        <w:tabs>
          <w:tab w:leader="none" w:pos="1179" w:val="left"/>
        </w:tabs>
        <w:numPr>
          <w:ilvl w:val="2"/>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For purposes of this Agreement, “</w:t>
      </w:r>
      <w:r>
        <w:rPr>
          <w:rFonts w:ascii="Times New Roman" w:cs="Times New Roman" w:eastAsia="Times New Roman" w:hAnsi="Times New Roman"/>
          <w:sz w:val="17"/>
          <w:szCs w:val="17"/>
          <w:u w:val="single" w:color="auto"/>
          <w:color w:val="auto"/>
        </w:rPr>
        <w:t>Change in Control</w:t>
      </w:r>
      <w:r>
        <w:rPr>
          <w:rFonts w:ascii="Times New Roman" w:cs="Times New Roman" w:eastAsia="Times New Roman" w:hAnsi="Times New Roman"/>
          <w:sz w:val="17"/>
          <w:szCs w:val="17"/>
          <w:color w:val="auto"/>
        </w:rPr>
        <w:t>” shall mean a “Sale Event” as defined in the Company’s 2021 Stock Option and Incentive Plan, as the same may be amended from time to time.</w:t>
      </w:r>
    </w:p>
    <w:p>
      <w:pPr>
        <w:spacing w:after="0" w:line="152" w:lineRule="exact"/>
        <w:rPr>
          <w:rFonts w:ascii="Times New Roman" w:cs="Times New Roman" w:eastAsia="Times New Roman" w:hAnsi="Times New Roman"/>
          <w:sz w:val="17"/>
          <w:szCs w:val="17"/>
          <w:color w:val="auto"/>
        </w:rPr>
      </w:pPr>
    </w:p>
    <w:p>
      <w:pPr>
        <w:ind w:left="589" w:hanging="172"/>
        <w:spacing w:after="0"/>
        <w:tabs>
          <w:tab w:leader="none" w:pos="589"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409A</w:t>
      </w:r>
      <w:r>
        <w:rPr>
          <w:rFonts w:ascii="Times New Roman" w:cs="Times New Roman" w:eastAsia="Times New Roman" w:hAnsi="Times New Roman"/>
          <w:sz w:val="17"/>
          <w:szCs w:val="17"/>
          <w:color w:val="auto"/>
        </w:rPr>
        <w:t>.</w:t>
      </w:r>
    </w:p>
    <w:p>
      <w:pPr>
        <w:spacing w:after="0" w:line="111" w:lineRule="exact"/>
        <w:rPr>
          <w:rFonts w:ascii="Times New Roman" w:cs="Times New Roman" w:eastAsia="Times New Roman" w:hAnsi="Times New Roman"/>
          <w:sz w:val="17"/>
          <w:szCs w:val="17"/>
          <w:color w:val="auto"/>
        </w:rPr>
      </w:pPr>
    </w:p>
    <w:p>
      <w:pPr>
        <w:ind w:left="9" w:right="40" w:firstLine="929"/>
        <w:spacing w:after="0" w:line="255" w:lineRule="auto"/>
        <w:tabs>
          <w:tab w:leader="none" w:pos="1179" w:val="left"/>
        </w:tabs>
        <w:numPr>
          <w:ilvl w:val="2"/>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 (B)(i) of the Code, then to the extent any payment or benefit that the Executive becomes entitled to under this Agreement or otherwise on account of the Executive’s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111"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0409"/>
          </w:cols>
          <w:pgMar w:left="731" w:top="264" w:right="759" w:bottom="1440" w:gutter="0" w:footer="0" w:header="0"/>
        </w:sectPr>
      </w:pPr>
    </w:p>
    <w:bookmarkStart w:id="15" w:name="page16"/>
    <w:bookmarkEnd w:id="15"/>
    <w:p>
      <w:pPr>
        <w:ind w:left="-60" w:right="40" w:firstLine="929"/>
        <w:spacing w:after="0" w:line="257" w:lineRule="auto"/>
        <w:tabs>
          <w:tab w:leader="none" w:pos="112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72" w:lineRule="exact"/>
        <w:rPr>
          <w:rFonts w:ascii="Times New Roman" w:cs="Times New Roman" w:eastAsia="Times New Roman" w:hAnsi="Times New Roman"/>
          <w:sz w:val="17"/>
          <w:szCs w:val="17"/>
          <w:color w:val="auto"/>
        </w:rPr>
      </w:pPr>
    </w:p>
    <w:p>
      <w:pPr>
        <w:jc w:val="both"/>
        <w:ind w:left="-60" w:right="140" w:firstLine="929"/>
        <w:spacing w:after="0" w:line="261" w:lineRule="auto"/>
        <w:tabs>
          <w:tab w:leader="none" w:pos="111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1.409A-1(h).</w:t>
      </w:r>
    </w:p>
    <w:p>
      <w:pPr>
        <w:spacing w:after="0" w:line="69" w:lineRule="exact"/>
        <w:rPr>
          <w:rFonts w:ascii="Times New Roman" w:cs="Times New Roman" w:eastAsia="Times New Roman" w:hAnsi="Times New Roman"/>
          <w:sz w:val="17"/>
          <w:szCs w:val="17"/>
          <w:color w:val="auto"/>
        </w:rPr>
      </w:pPr>
    </w:p>
    <w:p>
      <w:pPr>
        <w:ind w:left="-60" w:right="160" w:firstLine="929"/>
        <w:spacing w:after="0" w:line="257" w:lineRule="auto"/>
        <w:tabs>
          <w:tab w:leader="none" w:pos="112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or the Restrictive Covenants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72" w:lineRule="exact"/>
        <w:rPr>
          <w:rFonts w:ascii="Times New Roman" w:cs="Times New Roman" w:eastAsia="Times New Roman" w:hAnsi="Times New Roman"/>
          <w:sz w:val="17"/>
          <w:szCs w:val="17"/>
          <w:color w:val="auto"/>
        </w:rPr>
      </w:pPr>
    </w:p>
    <w:p>
      <w:pPr>
        <w:ind w:left="-60" w:firstLine="929"/>
        <w:spacing w:after="0" w:line="267" w:lineRule="auto"/>
        <w:tabs>
          <w:tab w:leader="none" w:pos="111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65" w:lineRule="exact"/>
        <w:rPr>
          <w:rFonts w:ascii="Times New Roman" w:cs="Times New Roman" w:eastAsia="Times New Roman" w:hAnsi="Times New Roman"/>
          <w:sz w:val="17"/>
          <w:szCs w:val="17"/>
          <w:color w:val="auto"/>
        </w:rPr>
      </w:pPr>
    </w:p>
    <w:p>
      <w:pPr>
        <w:ind w:left="520" w:hanging="172"/>
        <w:spacing w:after="0"/>
        <w:tabs>
          <w:tab w:leader="none" w:pos="5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Continuing Obligations</w:t>
      </w:r>
      <w:r>
        <w:rPr>
          <w:rFonts w:ascii="Times New Roman" w:cs="Times New Roman" w:eastAsia="Times New Roman" w:hAnsi="Times New Roman"/>
          <w:sz w:val="17"/>
          <w:szCs w:val="17"/>
          <w:color w:val="auto"/>
        </w:rPr>
        <w:t>.</w:t>
      </w:r>
    </w:p>
    <w:p>
      <w:pPr>
        <w:spacing w:after="0" w:line="111" w:lineRule="exact"/>
        <w:rPr>
          <w:rFonts w:ascii="Times New Roman" w:cs="Times New Roman" w:eastAsia="Times New Roman" w:hAnsi="Times New Roman"/>
          <w:sz w:val="17"/>
          <w:szCs w:val="17"/>
          <w:color w:val="auto"/>
        </w:rPr>
      </w:pPr>
    </w:p>
    <w:p>
      <w:pPr>
        <w:ind w:left="-60" w:right="80" w:firstLine="929"/>
        <w:spacing w:after="0" w:line="256" w:lineRule="auto"/>
        <w:tabs>
          <w:tab w:leader="none" w:pos="111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Restrictive Covenants Agreement</w:t>
      </w:r>
      <w:r>
        <w:rPr>
          <w:rFonts w:ascii="Times New Roman" w:cs="Times New Roman" w:eastAsia="Times New Roman" w:hAnsi="Times New Roman"/>
          <w:sz w:val="17"/>
          <w:szCs w:val="17"/>
          <w:color w:val="auto"/>
        </w:rPr>
        <w:t xml:space="preserve">. The Employee Confidentiality, Assignment, Nonsolicitation and Noncompetition Agreement attached hereto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Restrictive Covenants Agreement</w:t>
      </w:r>
      <w:r>
        <w:rPr>
          <w:rFonts w:ascii="Times New Roman" w:cs="Times New Roman" w:eastAsia="Times New Roman" w:hAnsi="Times New Roman"/>
          <w:sz w:val="17"/>
          <w:szCs w:val="17"/>
          <w:color w:val="auto"/>
        </w:rPr>
        <w:t>”) remains in full force and effect. For purposes of this Agreement, the obligations in this Section 8 and those that arise in the Restrictive Covenants Agreement and any other agreement relating to confidentiality, assignment of inventions, or other restrictive covenants shall collectively be referred to as the “</w:t>
      </w:r>
      <w:r>
        <w:rPr>
          <w:rFonts w:ascii="Times New Roman" w:cs="Times New Roman" w:eastAsia="Times New Roman" w:hAnsi="Times New Roman"/>
          <w:sz w:val="17"/>
          <w:szCs w:val="17"/>
          <w:u w:val="single" w:color="auto"/>
          <w:color w:val="auto"/>
        </w:rPr>
        <w:t>Continuing Obligations</w:t>
      </w:r>
      <w:r>
        <w:rPr>
          <w:rFonts w:ascii="Times New Roman" w:cs="Times New Roman" w:eastAsia="Times New Roman" w:hAnsi="Times New Roman"/>
          <w:sz w:val="17"/>
          <w:szCs w:val="17"/>
          <w:color w:val="auto"/>
        </w:rPr>
        <w:t>.” In the event that the Executive is entitled to any payments under the Restrictive Covenants Agreement, then any severance pay that the Executive receives in any calendar year pursuant to this Agreement shall be reduced by the amount of the payments (if any) that the Executive receives in the same calendar year pursuant to the Restrictive Covenants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0280"/>
          </w:cols>
          <w:pgMar w:left="800" w:top="264" w:right="819" w:bottom="1440" w:gutter="0" w:footer="0" w:header="0"/>
        </w:sectPr>
      </w:pPr>
    </w:p>
    <w:bookmarkStart w:id="16" w:name="page17"/>
    <w:bookmarkEnd w:id="16"/>
    <w:p>
      <w:pPr>
        <w:ind w:right="120" w:firstLine="929"/>
        <w:spacing w:after="0" w:line="255" w:lineRule="auto"/>
        <w:tabs>
          <w:tab w:leader="none" w:pos="1179"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Third-Party Agreements and Rights</w:t>
      </w:r>
      <w:r>
        <w:rPr>
          <w:rFonts w:ascii="Times New Roman" w:cs="Times New Roman" w:eastAsia="Times New Roman" w:hAnsi="Times New Roman"/>
          <w:sz w:val="17"/>
          <w:szCs w:val="17"/>
          <w:color w:val="auto"/>
        </w:rPr>
        <w:t>. The Executive hereby confirms that the Executive is not bound by the terms of any agreement with any previous employer or other party which restricts in any way the Executive’s use or disclosure of information, other than confidentiality restrictions (if any), or the Executive’s engagement in any business. The Executive represents to the Company that the Executive’s execution of this Agreement, the Executive’s employment with the Company and the performance of the Executive’s proposed duties for the Company will not violate any obligations the Executive may have to any such previous employer or other party. In the Executive’s work for the Company, the Executive will not disclose or make use of any information in violation of any agreements with or rights of any such previous employer or other party, and the Executive will not bring to the premises of the Company any copies or other tangible embodiments of non-public information belonging to or obtained from any such previous employment or other party.</w:t>
      </w:r>
    </w:p>
    <w:p>
      <w:pPr>
        <w:spacing w:after="0" w:line="76" w:lineRule="exact"/>
        <w:rPr>
          <w:rFonts w:ascii="Times New Roman" w:cs="Times New Roman" w:eastAsia="Times New Roman" w:hAnsi="Times New Roman"/>
          <w:sz w:val="17"/>
          <w:szCs w:val="17"/>
          <w:color w:val="auto"/>
        </w:rPr>
      </w:pPr>
    </w:p>
    <w:p>
      <w:pPr>
        <w:ind w:right="60" w:firstLine="929"/>
        <w:spacing w:after="0" w:line="254" w:lineRule="auto"/>
        <w:tabs>
          <w:tab w:leader="none" w:pos="117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Litigation and Regulatory Cooperation</w:t>
      </w:r>
      <w:r>
        <w:rPr>
          <w:rFonts w:ascii="Times New Roman" w:cs="Times New Roman" w:eastAsia="Times New Roman" w:hAnsi="Times New Roman"/>
          <w:sz w:val="17"/>
          <w:szCs w:val="17"/>
          <w:color w:val="auto"/>
        </w:rPr>
        <w:t>. During and after the Executive’s employment, the Executive shall cooperate fully with the Company in (i) the defense or prosecution of any claims or actions now in existence or which may be brought in the future against or on behalf of the Company which relate to events or occurrences that transpired while the Executive was employed by the Company, and (ii) the investigation, whether internal or external, of any matters about which the Company believes the Executive may have knowledge or information. The Executive’s full cooperation in connection with such claims, actions or investigations shall include, but not be limited to, being available to meet with counsel to answer questions or to prepare for discovery or trial and to act as a witness on behalf of the Company at mutually convenient times. During and after the Executive’s employment, the Executive also shall cooperate fully with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out-of-pocket expenses incurred in connection with the Executive’s performance of obligations pursuant to this Section 8(c).</w:t>
      </w:r>
    </w:p>
    <w:p>
      <w:pPr>
        <w:spacing w:after="0" w:line="77" w:lineRule="exact"/>
        <w:rPr>
          <w:rFonts w:ascii="Times New Roman" w:cs="Times New Roman" w:eastAsia="Times New Roman" w:hAnsi="Times New Roman"/>
          <w:sz w:val="17"/>
          <w:szCs w:val="17"/>
          <w:color w:val="auto"/>
        </w:rPr>
      </w:pPr>
    </w:p>
    <w:p>
      <w:pPr>
        <w:ind w:right="160" w:firstLine="929"/>
        <w:spacing w:after="0" w:line="259" w:lineRule="auto"/>
        <w:tabs>
          <w:tab w:leader="none" w:pos="1179"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Relief</w:t>
      </w:r>
      <w:r>
        <w:rPr>
          <w:rFonts w:ascii="Times New Roman" w:cs="Times New Roman" w:eastAsia="Times New Roman" w:hAnsi="Times New Roman"/>
          <w:sz w:val="17"/>
          <w:szCs w:val="17"/>
          <w:color w:val="auto"/>
        </w:rPr>
        <w:t>. The Executive agrees that it would be difficult to measure any damages caused to the Company which might result from any breach by the Executive of the Continuing Obligations, and that in any event money damages would be an inadequate remedy for any such breach. Accordingly</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the Executive agrees that if the Executive breaches, or proposes to breach, any portion of the Continuing Obligations, the Company shall be entitled, in addition to all other remedies that it may have, to an injunction or other appropriate equitable relief to restrain any such breach without showing or proving any actual damage to the Company.</w:t>
      </w:r>
    </w:p>
    <w:p>
      <w:pPr>
        <w:spacing w:after="0" w:line="171" w:lineRule="exact"/>
        <w:rPr>
          <w:rFonts w:ascii="Times New Roman" w:cs="Times New Roman" w:eastAsia="Times New Roman" w:hAnsi="Times New Roman"/>
          <w:sz w:val="17"/>
          <w:szCs w:val="17"/>
          <w:color w:val="auto"/>
        </w:rPr>
      </w:pPr>
    </w:p>
    <w:p>
      <w:pPr>
        <w:ind w:firstLine="408"/>
        <w:spacing w:after="0" w:line="261" w:lineRule="auto"/>
        <w:tabs>
          <w:tab w:leader="none" w:pos="587"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Consent to Jurisdiction</w:t>
      </w:r>
      <w:r>
        <w:rPr>
          <w:rFonts w:ascii="Times New Roman" w:cs="Times New Roman" w:eastAsia="Times New Roman" w:hAnsi="Times New Roman"/>
          <w:sz w:val="17"/>
          <w:szCs w:val="17"/>
          <w:color w:val="auto"/>
        </w:rPr>
        <w:t>. The parties hereby consent to the jurisdiction of the state and federal courts of the Commonwealth of Massachusetts. Accordingly, with respect to any such court action, the Executive (a) submits to the exclusive personal jurisdiction of such courts; (b) consents to service of process; and (c) waives any other requirement (whether imposed by statute, rule of court, or otherwise) with respect to personal jurisdiction or service of process.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0400"/>
          </w:cols>
          <w:pgMar w:left="740" w:top="264" w:right="759" w:bottom="1440" w:gutter="0" w:footer="0" w:header="0"/>
        </w:sectPr>
      </w:pPr>
    </w:p>
    <w:bookmarkStart w:id="17" w:name="page18"/>
    <w:bookmarkEnd w:id="17"/>
    <w:p>
      <w:pPr>
        <w:ind w:left="-20" w:right="120" w:firstLine="408"/>
        <w:spacing w:after="0" w:line="259" w:lineRule="auto"/>
        <w:tabs>
          <w:tab w:leader="none" w:pos="652"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Waiver of Jury Trial</w:t>
      </w:r>
      <w:r>
        <w:rPr>
          <w:rFonts w:ascii="Times New Roman" w:cs="Times New Roman" w:eastAsia="Times New Roman" w:hAnsi="Times New Roman"/>
          <w:sz w:val="17"/>
          <w:szCs w:val="17"/>
          <w:color w:val="auto"/>
        </w:rPr>
        <w:t>. Each of the Executive and the Company irrevocably and unconditionally WAIVES ALL RIGHT TO TRIAL BY JURY IN ANY PROCEEDING (WHETHER BASED ON CONTRACT, TORT OR OTHERWISE) ARISING OUT OF OR RELATING TO THIS AGREEMENT OR THE EXECUTIVE’S EMPLOYMENT BY THE COMPANY OR ANY AFFILIATE OF THE COMPANY, INCLUDING WITHOUT LIMITATION THE EXECUTIVE’S OR THE COMPANY’S PERFORMANCE UNDER, OR THE ENFORCEMENT OF, THIS AGREEMENT.</w:t>
      </w:r>
    </w:p>
    <w:p>
      <w:pPr>
        <w:spacing w:after="0" w:line="171" w:lineRule="exact"/>
        <w:rPr>
          <w:rFonts w:ascii="Times New Roman" w:cs="Times New Roman" w:eastAsia="Times New Roman" w:hAnsi="Times New Roman"/>
          <w:sz w:val="17"/>
          <w:szCs w:val="17"/>
          <w:color w:val="auto"/>
        </w:rPr>
      </w:pPr>
    </w:p>
    <w:p>
      <w:pPr>
        <w:ind w:left="-20" w:right="60" w:firstLine="408"/>
        <w:spacing w:after="0" w:line="267" w:lineRule="auto"/>
        <w:tabs>
          <w:tab w:leader="none" w:pos="64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Integration</w:t>
      </w:r>
      <w:r>
        <w:rPr>
          <w:rFonts w:ascii="Times New Roman" w:cs="Times New Roman" w:eastAsia="Times New Roman" w:hAnsi="Times New Roman"/>
          <w:sz w:val="17"/>
          <w:szCs w:val="17"/>
          <w:color w:val="auto"/>
        </w:rPr>
        <w:t xml:space="preserve">. This Agreement constitutes the entire agreement between the parties with respect to the subject matter hereof and supersedes all prior agreements between the parties concerning such subject matter, including the Prior Agreement,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Equity Documents remain in full force and effect.</w:t>
      </w:r>
    </w:p>
    <w:p>
      <w:pPr>
        <w:spacing w:after="0" w:line="165" w:lineRule="exact"/>
        <w:rPr>
          <w:rFonts w:ascii="Times New Roman" w:cs="Times New Roman" w:eastAsia="Times New Roman" w:hAnsi="Times New Roman"/>
          <w:sz w:val="17"/>
          <w:szCs w:val="17"/>
          <w:color w:val="auto"/>
        </w:rPr>
      </w:pPr>
    </w:p>
    <w:p>
      <w:pPr>
        <w:ind w:left="-20" w:firstLine="408"/>
        <w:spacing w:after="0" w:line="261" w:lineRule="auto"/>
        <w:tabs>
          <w:tab w:leader="none" w:pos="652"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Withholding; Tax Effect</w:t>
      </w:r>
      <w:r>
        <w:rPr>
          <w:rFonts w:ascii="Times New Roman" w:cs="Times New Roman" w:eastAsia="Times New Roman" w:hAnsi="Times New Roman"/>
          <w:sz w:val="17"/>
          <w:szCs w:val="17"/>
          <w:color w:val="auto"/>
        </w:rPr>
        <w:t>. All payments made by the Company to the Executive under this Agreement shall be net of any tax or other amounts required to be withheld by the Company under applicable law. Nothing in this Agreement shall be construed to require the Company to make any payments to compensate the Executive for any adverse tax effect associated with any payments or benefits or for any deduction or withholding from any payment or benefit.</w:t>
      </w:r>
    </w:p>
    <w:p>
      <w:pPr>
        <w:spacing w:after="0" w:line="171" w:lineRule="exact"/>
        <w:rPr>
          <w:rFonts w:ascii="Times New Roman" w:cs="Times New Roman" w:eastAsia="Times New Roman" w:hAnsi="Times New Roman"/>
          <w:sz w:val="17"/>
          <w:szCs w:val="17"/>
          <w:color w:val="auto"/>
        </w:rPr>
      </w:pPr>
    </w:p>
    <w:p>
      <w:pPr>
        <w:ind w:left="-20" w:right="60" w:firstLine="408"/>
        <w:spacing w:after="0" w:line="254" w:lineRule="auto"/>
        <w:tabs>
          <w:tab w:leader="none" w:pos="652"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Assignment; Successors and Assigns</w:t>
      </w:r>
      <w:r>
        <w:rPr>
          <w:rFonts w:ascii="Times New Roman" w:cs="Times New Roman" w:eastAsia="Times New Roman" w:hAnsi="Times New Roman"/>
          <w:sz w:val="17"/>
          <w:szCs w:val="17"/>
          <w:color w:val="auto"/>
        </w:rPr>
        <w:t xml:space="preserve">. Neither the Executive nor the Company may make any assignment of this Agreement or any interest in it, by operation of law or otherwise, without the prior written consent of the other;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the Company may assign its rights and obligations under this Agreement (including the Restrictive Covenants Agreement) without the Executive’s consent to any affiliate or to any person or entity with whom the Company shall hereafter effect a reorganization or consolidation, into which the Company merges or to whom it transfers all or substantially all of its properties or assets;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xml:space="preserve"> that if the Executive remains employed or becomes employed by the Company, the purchaser or any of their affiliates in connection with any such transaction, then the Executive shall not be entitled to any payments, benefits or vesting pursuant to Section 5 or pursuant to Section 6 of this Agreement solely as a result of such transaction. This Agreement shall inure to the benefit of and be binding upon the Executive and the Company, and each of the Executive’s and the Company’s respective successors, executors, administrators, heirs and permitted assigns. In the event of the Executive’s death after the Executive’s termination of employment but prior to the completion by the Company of all payments due to the Executive under this Agreement, the Company shall continue such payments to the Executive’s beneficiary designated in writing to the Company prior to the Executive’s death (or to the Executive’s estate, if the Executive fails to make such designation).</w:t>
      </w:r>
    </w:p>
    <w:p>
      <w:pPr>
        <w:spacing w:after="0" w:line="177" w:lineRule="exact"/>
        <w:rPr>
          <w:rFonts w:ascii="Times New Roman" w:cs="Times New Roman" w:eastAsia="Times New Roman" w:hAnsi="Times New Roman"/>
          <w:sz w:val="17"/>
          <w:szCs w:val="17"/>
          <w:color w:val="auto"/>
        </w:rPr>
      </w:pPr>
    </w:p>
    <w:p>
      <w:pPr>
        <w:ind w:left="-20" w:right="220" w:firstLine="408"/>
        <w:spacing w:after="0" w:line="261" w:lineRule="auto"/>
        <w:tabs>
          <w:tab w:leader="none" w:pos="652"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Enforceability</w:t>
      </w:r>
      <w:r>
        <w:rPr>
          <w:rFonts w:ascii="Times New Roman" w:cs="Times New Roman" w:eastAsia="Times New Roman" w:hAnsi="Times New Roman"/>
          <w:sz w:val="17"/>
          <w:szCs w:val="17"/>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1" w:lineRule="exact"/>
        <w:rPr>
          <w:rFonts w:ascii="Times New Roman" w:cs="Times New Roman" w:eastAsia="Times New Roman" w:hAnsi="Times New Roman"/>
          <w:sz w:val="17"/>
          <w:szCs w:val="17"/>
          <w:color w:val="auto"/>
        </w:rPr>
      </w:pPr>
    </w:p>
    <w:p>
      <w:pPr>
        <w:ind w:left="-20" w:right="180" w:firstLine="408"/>
        <w:spacing w:after="0" w:line="283" w:lineRule="auto"/>
        <w:tabs>
          <w:tab w:leader="none" w:pos="652"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Survival</w:t>
      </w:r>
      <w:r>
        <w:rPr>
          <w:rFonts w:ascii="Times New Roman" w:cs="Times New Roman" w:eastAsia="Times New Roman" w:hAnsi="Times New Roman"/>
          <w:sz w:val="17"/>
          <w:szCs w:val="17"/>
          <w:color w:val="auto"/>
        </w:rPr>
        <w:t>. For the avoidance of doubt, this Agreement shall survive the termination of the Executive’s employment to the extent necessary to effectuate the terms contained herein.</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0360"/>
          </w:cols>
          <w:pgMar w:left="760" w:top="264" w:right="779" w:bottom="1440" w:gutter="0" w:footer="0" w:header="0"/>
        </w:sectPr>
      </w:pPr>
    </w:p>
    <w:bookmarkStart w:id="18" w:name="page19"/>
    <w:bookmarkEnd w:id="18"/>
    <w:p>
      <w:pPr>
        <w:ind w:right="100" w:firstLine="408"/>
        <w:spacing w:after="0" w:line="267" w:lineRule="auto"/>
        <w:tabs>
          <w:tab w:leader="none" w:pos="672"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Waiver</w:t>
      </w:r>
      <w:r>
        <w:rPr>
          <w:rFonts w:ascii="Times New Roman" w:cs="Times New Roman" w:eastAsia="Times New Roman" w:hAnsi="Times New Roman"/>
          <w:sz w:val="17"/>
          <w:szCs w:val="17"/>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65" w:lineRule="exact"/>
        <w:rPr>
          <w:rFonts w:ascii="Times New Roman" w:cs="Times New Roman" w:eastAsia="Times New Roman" w:hAnsi="Times New Roman"/>
          <w:sz w:val="17"/>
          <w:szCs w:val="17"/>
          <w:color w:val="auto"/>
        </w:rPr>
      </w:pPr>
    </w:p>
    <w:p>
      <w:pPr>
        <w:ind w:right="260" w:firstLine="408"/>
        <w:spacing w:after="0" w:line="261" w:lineRule="auto"/>
        <w:tabs>
          <w:tab w:leader="none" w:pos="672"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w:t>
      </w:r>
    </w:p>
    <w:p>
      <w:pPr>
        <w:spacing w:after="0" w:line="171" w:lineRule="exact"/>
        <w:rPr>
          <w:rFonts w:ascii="Times New Roman" w:cs="Times New Roman" w:eastAsia="Times New Roman" w:hAnsi="Times New Roman"/>
          <w:sz w:val="17"/>
          <w:szCs w:val="17"/>
          <w:color w:val="auto"/>
        </w:rPr>
      </w:pPr>
    </w:p>
    <w:p>
      <w:pPr>
        <w:ind w:right="300" w:firstLine="408"/>
        <w:spacing w:after="0" w:line="283" w:lineRule="auto"/>
        <w:tabs>
          <w:tab w:leader="none" w:pos="672"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This Agreement may be amended or modified only by a written instrument signed by the Executive and by a duly authorized representative of the Board.</w:t>
      </w:r>
    </w:p>
    <w:p>
      <w:pPr>
        <w:spacing w:after="0" w:line="152" w:lineRule="exact"/>
        <w:rPr>
          <w:rFonts w:ascii="Times New Roman" w:cs="Times New Roman" w:eastAsia="Times New Roman" w:hAnsi="Times New Roman"/>
          <w:sz w:val="17"/>
          <w:szCs w:val="17"/>
          <w:color w:val="auto"/>
        </w:rPr>
      </w:pPr>
    </w:p>
    <w:p>
      <w:pPr>
        <w:ind w:firstLine="408"/>
        <w:spacing w:after="0" w:line="255" w:lineRule="auto"/>
        <w:tabs>
          <w:tab w:leader="none" w:pos="672"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 on Other Plans and Agreements</w:t>
      </w:r>
      <w:r>
        <w:rPr>
          <w:rFonts w:ascii="Times New Roman" w:cs="Times New Roman" w:eastAsia="Times New Roman" w:hAnsi="Times New Roman"/>
          <w:sz w:val="17"/>
          <w:szCs w:val="17"/>
          <w:color w:val="auto"/>
        </w:rPr>
        <w:t>. An election by the Executive to resign for Good Reason under the provisions of this Agreement shall not be deemed a voluntary termination of employment by the Executive for the purpose of interpreting the provisions of any of the Company’s benefit plans, programs or policies. Nothing in this Agreement shall be construed to limit the rights of the Executive under the Company’s benefit plans, programs or policies except as otherwise provided in Section 8 hereof, and except that the Executive shall have no rights to any severance benefits under any Company severance pay plan, offer letter or otherwise. Except for the Restrictive Covenants Agreement, in the event that the Executive is party to an agreement with the Company providing for payments or benefits under such plan or agreement and under this Agreement, the terms of this Agreement shall govern and the Executive may receive payment under this Agreement only and not both. Further, Section 5 and Section 6 of this Agreement are mutually exclusive and in no event shall the Executive be entitled to payments or benefits pursuant to both Section 5 and Section 6 of this Agreement.</w:t>
      </w:r>
    </w:p>
    <w:p>
      <w:pPr>
        <w:spacing w:after="0" w:line="174" w:lineRule="exact"/>
        <w:rPr>
          <w:rFonts w:ascii="Times New Roman" w:cs="Times New Roman" w:eastAsia="Times New Roman" w:hAnsi="Times New Roman"/>
          <w:sz w:val="17"/>
          <w:szCs w:val="17"/>
          <w:color w:val="auto"/>
        </w:rPr>
      </w:pPr>
    </w:p>
    <w:p>
      <w:pPr>
        <w:ind w:right="160" w:firstLine="408"/>
        <w:spacing w:after="0" w:line="261" w:lineRule="auto"/>
        <w:tabs>
          <w:tab w:leader="none" w:pos="672"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is a Massachusetts contract and shall be construed under and be governed in all respects by the laws of the Commonwealth of Massachusetts, without giving effect to the conflict of laws principles thereof. With respect to any disputes concerning federal law, such disputes shall be determined in accordance with the law as it would be interpreted and applied by the United States Court of Appeals for the First Circuit.</w:t>
      </w:r>
    </w:p>
    <w:p>
      <w:pPr>
        <w:spacing w:after="0" w:line="171" w:lineRule="exact"/>
        <w:rPr>
          <w:rFonts w:ascii="Times New Roman" w:cs="Times New Roman" w:eastAsia="Times New Roman" w:hAnsi="Times New Roman"/>
          <w:sz w:val="17"/>
          <w:szCs w:val="17"/>
          <w:color w:val="auto"/>
        </w:rPr>
      </w:pPr>
    </w:p>
    <w:p>
      <w:pPr>
        <w:ind w:right="160" w:firstLine="408"/>
        <w:spacing w:after="0" w:line="283" w:lineRule="auto"/>
        <w:tabs>
          <w:tab w:leader="none" w:pos="672"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executed in any number of counterparts, each of which when so executed and delivered shall be taken to be an original; but such counterparts shall together constitute one and the same document.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follows]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0400"/>
          </w:cols>
          <w:pgMar w:left="740" w:top="264" w:right="7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1215" cy="36830"/>
                    </a:xfrm>
                    <a:prstGeom prst="rect">
                      <a:avLst/>
                    </a:prstGeom>
                    <a:noFill/>
                  </pic:spPr>
                </pic:pic>
              </a:graphicData>
            </a:graphic>
          </wp:anchor>
        </w:drawing>
        <w:drawing>
          <wp:anchor simplePos="0" relativeHeight="251657728" behindDoc="1" locked="0" layoutInCell="0" allowOverlap="1">
            <wp:simplePos x="0" y="0"/>
            <wp:positionH relativeFrom="page">
              <wp:posOffset>464185</wp:posOffset>
            </wp:positionH>
            <wp:positionV relativeFrom="page">
              <wp:posOffset>178435</wp:posOffset>
            </wp:positionV>
            <wp:extent cx="1435735" cy="4546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435735" cy="454660"/>
                    </a:xfrm>
                    <a:prstGeom prst="rect">
                      <a:avLst/>
                    </a:prstGeom>
                    <a:noFill/>
                  </pic:spPr>
                </pic:pic>
              </a:graphicData>
            </a:graphic>
          </wp:anchor>
        </w:drawing>
        <w:t>IN WITNESS WHEREOF, the parties have executed this Agreement effective on the Effective Date.</w:t>
      </w:r>
    </w:p>
    <w:p>
      <w:pPr>
        <w:spacing w:after="0" w:line="23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b w:val="1"/>
          <w:bCs w:val="1"/>
          <w:color w:val="auto"/>
        </w:rPr>
        <w:t>TANGO THERAPEUTICS, INC.</w:t>
      </w:r>
    </w:p>
    <w:p>
      <w:pPr>
        <w:spacing w:after="0" w:line="2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By: /s/ Alexis Borisy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15875</wp:posOffset>
            </wp:positionV>
            <wp:extent cx="24257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Its:  Chairman</w:t>
      </w:r>
    </w:p>
    <w:p>
      <w:pPr>
        <w:spacing w:after="0" w:line="20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b w:val="1"/>
          <w:bCs w:val="1"/>
          <w:color w:val="auto"/>
        </w:rPr>
        <w:t>EXECUTIVE</w:t>
      </w:r>
    </w:p>
    <w:p>
      <w:pPr>
        <w:spacing w:after="0" w:line="21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/s/ Barbara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3716020</wp:posOffset>
            </wp:positionH>
            <wp:positionV relativeFrom="paragraph">
              <wp:posOffset>15875</wp:posOffset>
            </wp:positionV>
            <wp:extent cx="26447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44775" cy="8255"/>
                    </a:xfrm>
                    <a:prstGeom prst="rect">
                      <a:avLst/>
                    </a:prstGeom>
                    <a:noFill/>
                  </pic:spPr>
                </pic:pic>
              </a:graphicData>
            </a:graphic>
          </wp:anchor>
        </w:drawing>
      </w:r>
    </w:p>
    <w:p>
      <w:pPr>
        <w:spacing w:after="0" w:line="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Barbara Weber, MD</w:t>
      </w:r>
    </w:p>
    <w:p>
      <w:pPr>
        <w:sectPr>
          <w:pgSz w:w="11900" w:h="16838" w:orient="portrait"/>
          <w:cols w:equalWidth="0" w:num="1">
            <w:col w:w="9319"/>
          </w:cols>
          <w:pgMar w:left="1140" w:top="1184" w:right="1440"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Exhibit A</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Restrictive Covenants Agreement</w:t>
      </w:r>
    </w:p>
    <w:p>
      <w:pPr>
        <w:sectPr>
          <w:pgSz w:w="11900" w:h="16838" w:orient="portrait"/>
          <w:cols w:equalWidth="0" w:num="1">
            <w:col w:w="9019"/>
          </w:cols>
          <w:pgMar w:left="1440" w:top="260" w:right="1440"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00" w:lineRule="exact"/>
        <w:rPr>
          <w:sz w:val="20"/>
          <w:szCs w:val="20"/>
          <w:color w:val="auto"/>
        </w:rPr>
      </w:pPr>
    </w:p>
    <w:p>
      <w:pPr>
        <w:spacing w:after="0" w:line="218"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7"/>
          <w:szCs w:val="17"/>
          <w:b w:val="1"/>
          <w:bCs w:val="1"/>
          <w:color w:val="auto"/>
        </w:rPr>
        <w:t>LIMITED TERM EMPLOYMENT AGREEMENT</w:t>
      </w:r>
    </w:p>
    <w:p>
      <w:pPr>
        <w:spacing w:after="0" w:line="21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7"/>
          <w:szCs w:val="17"/>
          <w:color w:val="auto"/>
        </w:rPr>
        <w:t>between</w:t>
      </w:r>
    </w:p>
    <w:p>
      <w:pPr>
        <w:spacing w:after="0" w:line="200" w:lineRule="exact"/>
        <w:rPr>
          <w:sz w:val="20"/>
          <w:szCs w:val="20"/>
          <w:color w:val="auto"/>
        </w:rPr>
      </w:pPr>
    </w:p>
    <w:p>
      <w:pPr>
        <w:spacing w:after="0" w:line="214"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7"/>
          <w:szCs w:val="17"/>
          <w:b w:val="1"/>
          <w:bCs w:val="1"/>
          <w:color w:val="auto"/>
        </w:rPr>
        <w:t>Tango Therapeuitcs, Inc.</w:t>
      </w:r>
    </w:p>
    <w:p>
      <w:pPr>
        <w:spacing w:after="0" w:line="217"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7"/>
          <w:szCs w:val="17"/>
          <w:color w:val="auto"/>
        </w:rPr>
        <w:t>201 Brookline Ave., Suite 901</w:t>
      </w:r>
    </w:p>
    <w:p>
      <w:pPr>
        <w:spacing w:after="0" w:line="213"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7"/>
          <w:szCs w:val="17"/>
          <w:color w:val="auto"/>
        </w:rPr>
        <w:t>Boston, MA 02215</w:t>
      </w:r>
    </w:p>
    <w:p>
      <w:pPr>
        <w:spacing w:after="0" w:line="213"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7"/>
          <w:szCs w:val="17"/>
          <w:color w:val="auto"/>
        </w:rPr>
        <w:t>represented by its</w:t>
      </w:r>
    </w:p>
    <w:p>
      <w:pPr>
        <w:spacing w:after="0" w:line="213"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7"/>
          <w:szCs w:val="17"/>
          <w:color w:val="auto"/>
        </w:rPr>
        <w:t>authorized representative</w:t>
      </w:r>
    </w:p>
    <w:p>
      <w:pPr>
        <w:spacing w:after="0" w:line="213"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7"/>
          <w:szCs w:val="17"/>
          <w:color w:val="auto"/>
        </w:rPr>
        <w:t>Julie Carretero</w:t>
      </w:r>
    </w:p>
    <w:p>
      <w:pPr>
        <w:spacing w:after="0" w:line="209"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7"/>
          <w:szCs w:val="17"/>
          <w:color w:val="auto"/>
        </w:rPr>
        <w:t>– hereinafter referred to as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w:t>
      </w:r>
    </w:p>
    <w:p>
      <w:pPr>
        <w:spacing w:after="0" w:line="21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and</w:t>
      </w:r>
    </w:p>
    <w:p>
      <w:pPr>
        <w:spacing w:after="0" w:line="200" w:lineRule="exact"/>
        <w:rPr>
          <w:sz w:val="20"/>
          <w:szCs w:val="20"/>
          <w:color w:val="auto"/>
        </w:rPr>
      </w:pPr>
    </w:p>
    <w:p>
      <w:pPr>
        <w:spacing w:after="0" w:line="214"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7"/>
          <w:szCs w:val="17"/>
          <w:b w:val="1"/>
          <w:bCs w:val="1"/>
          <w:color w:val="auto"/>
        </w:rPr>
        <w:t>Malte Gerhard Peters</w:t>
      </w:r>
    </w:p>
    <w:p>
      <w:pPr>
        <w:spacing w:after="0" w:line="213"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7"/>
          <w:szCs w:val="17"/>
          <w:color w:val="auto"/>
        </w:rPr>
        <w:t>– hereinafter referred to as the “</w:t>
      </w:r>
      <w:r>
        <w:rPr>
          <w:rFonts w:ascii="Times New Roman" w:cs="Times New Roman" w:eastAsia="Times New Roman" w:hAnsi="Times New Roman"/>
          <w:sz w:val="17"/>
          <w:szCs w:val="17"/>
          <w:b w:val="1"/>
          <w:bCs w:val="1"/>
          <w:color w:val="auto"/>
        </w:rPr>
        <w:t>Employee</w:t>
      </w:r>
      <w:r>
        <w:rPr>
          <w:rFonts w:ascii="Times New Roman" w:cs="Times New Roman" w:eastAsia="Times New Roman" w:hAnsi="Times New Roman"/>
          <w:sz w:val="17"/>
          <w:szCs w:val="17"/>
          <w:color w:val="auto"/>
        </w:rPr>
        <w:t>” –</w:t>
      </w:r>
    </w:p>
    <w:p>
      <w:pPr>
        <w:spacing w:after="0" w:line="213"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7"/>
          <w:szCs w:val="17"/>
          <w:color w:val="auto"/>
        </w:rPr>
        <w:t>– hereinafter together “</w:t>
      </w:r>
      <w:r>
        <w:rPr>
          <w:rFonts w:ascii="Times New Roman" w:cs="Times New Roman" w:eastAsia="Times New Roman" w:hAnsi="Times New Roman"/>
          <w:sz w:val="17"/>
          <w:szCs w:val="17"/>
          <w:b w:val="1"/>
          <w:bCs w:val="1"/>
          <w:color w:val="auto"/>
        </w:rPr>
        <w:t>Parties</w:t>
      </w:r>
      <w:r>
        <w:rPr>
          <w:rFonts w:ascii="Times New Roman" w:cs="Times New Roman" w:eastAsia="Times New Roman" w:hAnsi="Times New Roman"/>
          <w:sz w:val="17"/>
          <w:szCs w:val="17"/>
          <w:color w:val="auto"/>
        </w:rPr>
        <w:t>“ and each individually “</w:t>
      </w:r>
      <w:r>
        <w:rPr>
          <w:rFonts w:ascii="Times New Roman" w:cs="Times New Roman" w:eastAsia="Times New Roman" w:hAnsi="Times New Roman"/>
          <w:sz w:val="17"/>
          <w:szCs w:val="17"/>
          <w:b w:val="1"/>
          <w:bCs w:val="1"/>
          <w:color w:val="auto"/>
        </w:rPr>
        <w:t>Party</w:t>
      </w:r>
      <w:r>
        <w:rPr>
          <w:rFonts w:ascii="Times New Roman" w:cs="Times New Roman" w:eastAsia="Times New Roman" w:hAnsi="Times New Roman"/>
          <w:sz w:val="17"/>
          <w:szCs w:val="17"/>
          <w:color w:val="auto"/>
        </w:rPr>
        <w:t>” –</w:t>
      </w:r>
    </w:p>
    <w:p>
      <w:pPr>
        <w:sectPr>
          <w:pgSz w:w="11900" w:h="16838" w:orient="portrait"/>
          <w:cols w:equalWidth="0" w:num="1">
            <w:col w:w="9720"/>
          </w:cols>
          <w:pgMar w:left="1440" w:top="119" w:right="739" w:bottom="1440" w:gutter="0" w:footer="0" w:header="0"/>
        </w:sectPr>
      </w:pPr>
    </w:p>
    <w:bookmarkStart w:id="22" w:name="page23"/>
    <w:bookmarkEnd w:id="22"/>
    <w:p>
      <w:pPr>
        <w:jc w:val="center"/>
        <w:ind w:right="-8"/>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Art. 1</w:t>
      </w:r>
    </w:p>
    <w:p>
      <w:pPr>
        <w:spacing w:after="0" w:line="3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b w:val="1"/>
          <w:bCs w:val="1"/>
          <w:color w:val="auto"/>
        </w:rPr>
        <w:t>Employment / Area of Responsibility</w:t>
      </w:r>
    </w:p>
    <w:p>
      <w:pPr>
        <w:spacing w:after="0" w:line="222" w:lineRule="exact"/>
        <w:rPr>
          <w:sz w:val="20"/>
          <w:szCs w:val="20"/>
          <w:color w:val="auto"/>
        </w:rPr>
      </w:pPr>
    </w:p>
    <w:p>
      <w:pPr>
        <w:ind w:left="409" w:hanging="409"/>
        <w:spacing w:after="0"/>
        <w:tabs>
          <w:tab w:leader="none" w:pos="409"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Employment Agreement shall commence on January 8, 2026 and shall have a limited term.</w:t>
      </w:r>
    </w:p>
    <w:p>
      <w:pPr>
        <w:spacing w:after="0" w:line="123" w:lineRule="exact"/>
        <w:rPr>
          <w:rFonts w:ascii="Times New Roman" w:cs="Times New Roman" w:eastAsia="Times New Roman" w:hAnsi="Times New Roman"/>
          <w:sz w:val="17"/>
          <w:szCs w:val="17"/>
          <w:color w:val="auto"/>
        </w:rPr>
      </w:pPr>
    </w:p>
    <w:p>
      <w:pPr>
        <w:ind w:left="409" w:hanging="409"/>
        <w:spacing w:after="0"/>
        <w:tabs>
          <w:tab w:leader="none" w:pos="409"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Employee shall be employed by the Company as Chief Executive Officer and President.</w:t>
      </w:r>
    </w:p>
    <w:p>
      <w:pPr>
        <w:spacing w:after="0" w:line="123" w:lineRule="exact"/>
        <w:rPr>
          <w:rFonts w:ascii="Times New Roman" w:cs="Times New Roman" w:eastAsia="Times New Roman" w:hAnsi="Times New Roman"/>
          <w:sz w:val="17"/>
          <w:szCs w:val="17"/>
          <w:color w:val="auto"/>
        </w:rPr>
      </w:pPr>
    </w:p>
    <w:p>
      <w:pPr>
        <w:ind w:left="409" w:right="420" w:hanging="409"/>
        <w:spacing w:after="0" w:line="283" w:lineRule="auto"/>
        <w:tabs>
          <w:tab w:leader="none" w:pos="409"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Employee is obligated to comply with the Company’s policies and directives as amended from time to time as well as the instructions of Employee’s supervisors.</w:t>
      </w:r>
    </w:p>
    <w:p>
      <w:pPr>
        <w:spacing w:after="0" w:line="353"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b w:val="1"/>
          <w:bCs w:val="1"/>
          <w:color w:val="auto"/>
        </w:rPr>
        <w:t>Art. 2</w:t>
      </w:r>
    </w:p>
    <w:p>
      <w:pPr>
        <w:spacing w:after="0" w:line="3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b w:val="1"/>
          <w:bCs w:val="1"/>
          <w:color w:val="auto"/>
        </w:rPr>
        <w:t>Place of Work</w:t>
      </w:r>
    </w:p>
    <w:p>
      <w:pPr>
        <w:spacing w:after="0" w:line="222" w:lineRule="exact"/>
        <w:rPr>
          <w:sz w:val="20"/>
          <w:szCs w:val="20"/>
          <w:color w:val="auto"/>
        </w:rPr>
      </w:pPr>
    </w:p>
    <w:p>
      <w:pPr>
        <w:ind w:left="409" w:hanging="409"/>
        <w:spacing w:after="0"/>
        <w:tabs>
          <w:tab w:leader="none" w:pos="409"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place of work shall be at the Employee’s residence in Munich, Germany.</w:t>
      </w:r>
    </w:p>
    <w:p>
      <w:pPr>
        <w:spacing w:after="0" w:line="123" w:lineRule="exact"/>
        <w:rPr>
          <w:rFonts w:ascii="Times New Roman" w:cs="Times New Roman" w:eastAsia="Times New Roman" w:hAnsi="Times New Roman"/>
          <w:sz w:val="17"/>
          <w:szCs w:val="17"/>
          <w:color w:val="auto"/>
        </w:rPr>
      </w:pPr>
    </w:p>
    <w:p>
      <w:pPr>
        <w:ind w:left="409" w:right="380" w:hanging="409"/>
        <w:spacing w:after="0" w:line="261" w:lineRule="auto"/>
        <w:tabs>
          <w:tab w:leader="none" w:pos="409"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reserves the right, at its reasonable discretion, to assign the Employee to a different place of work, either temporarily or permanently. The Employee’s remuneration remains unaffected by such reassignment of the place of work. The Company’s right to direct the Employee’s place of work remains unaffected and is governed by Sec. 106 of the German Trade, Commerce and Industry Regulation Act (Gewerbeordnung – “</w:t>
      </w:r>
      <w:r>
        <w:rPr>
          <w:rFonts w:ascii="Times New Roman" w:cs="Times New Roman" w:eastAsia="Times New Roman" w:hAnsi="Times New Roman"/>
          <w:sz w:val="17"/>
          <w:szCs w:val="17"/>
          <w:b w:val="1"/>
          <w:bCs w:val="1"/>
          <w:color w:val="auto"/>
        </w:rPr>
        <w:t>GewO</w:t>
      </w:r>
      <w:r>
        <w:rPr>
          <w:rFonts w:ascii="Times New Roman" w:cs="Times New Roman" w:eastAsia="Times New Roman" w:hAnsi="Times New Roman"/>
          <w:sz w:val="17"/>
          <w:szCs w:val="17"/>
          <w:color w:val="auto"/>
        </w:rPr>
        <w:t>”).</w:t>
      </w:r>
    </w:p>
    <w:p>
      <w:pPr>
        <w:spacing w:after="0" w:line="82" w:lineRule="exact"/>
        <w:rPr>
          <w:rFonts w:ascii="Times New Roman" w:cs="Times New Roman" w:eastAsia="Times New Roman" w:hAnsi="Times New Roman"/>
          <w:sz w:val="17"/>
          <w:szCs w:val="17"/>
          <w:color w:val="auto"/>
        </w:rPr>
      </w:pPr>
    </w:p>
    <w:p>
      <w:pPr>
        <w:ind w:left="409" w:hanging="409"/>
        <w:spacing w:after="0"/>
        <w:tabs>
          <w:tab w:leader="none" w:pos="409"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Employee’s duties may involve business travel and temporary stays abroad, both within Europe and in non-European countries.</w:t>
      </w:r>
    </w:p>
    <w:p>
      <w:pPr>
        <w:spacing w:after="0" w:line="200" w:lineRule="exact"/>
        <w:rPr>
          <w:sz w:val="20"/>
          <w:szCs w:val="20"/>
          <w:color w:val="auto"/>
        </w:rPr>
      </w:pPr>
    </w:p>
    <w:p>
      <w:pPr>
        <w:spacing w:after="0" w:line="21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b w:val="1"/>
          <w:bCs w:val="1"/>
          <w:color w:val="auto"/>
        </w:rPr>
        <w:t>Art. 3</w:t>
      </w:r>
    </w:p>
    <w:p>
      <w:pPr>
        <w:spacing w:after="0" w:line="3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b w:val="1"/>
          <w:bCs w:val="1"/>
          <w:color w:val="auto"/>
        </w:rPr>
        <w:t>Working Time</w:t>
      </w:r>
    </w:p>
    <w:p>
      <w:pPr>
        <w:spacing w:after="0" w:line="222" w:lineRule="exact"/>
        <w:rPr>
          <w:sz w:val="20"/>
          <w:szCs w:val="20"/>
          <w:color w:val="auto"/>
        </w:rPr>
      </w:pPr>
    </w:p>
    <w:p>
      <w:pPr>
        <w:ind w:left="409" w:right="520" w:hanging="409"/>
        <w:spacing w:after="0" w:line="283" w:lineRule="auto"/>
        <w:tabs>
          <w:tab w:leader="none" w:pos="409"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regular weekly working time shall be 40 hours. The beginning, the end and the duration of the daily working time as well as breaks are determined in accordance with operational interests and are subject to the Company’s right to direct and issue instructions.</w:t>
      </w:r>
    </w:p>
    <w:p>
      <w:pPr>
        <w:spacing w:after="0" w:line="62" w:lineRule="exact"/>
        <w:rPr>
          <w:rFonts w:ascii="Times New Roman" w:cs="Times New Roman" w:eastAsia="Times New Roman" w:hAnsi="Times New Roman"/>
          <w:sz w:val="17"/>
          <w:szCs w:val="17"/>
          <w:color w:val="auto"/>
        </w:rPr>
      </w:pPr>
    </w:p>
    <w:p>
      <w:pPr>
        <w:ind w:left="409" w:right="400" w:hanging="409"/>
        <w:spacing w:after="0" w:line="267" w:lineRule="auto"/>
        <w:tabs>
          <w:tab w:leader="none" w:pos="409"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Employee shall, in accordance with statutory provisions and upon the Company’s explicit instruction, work overtime (including work on Saturdays, Sundays and public holidays), if operational requirements so demand and if the instruction is made at the Company’s reasonable discretion.</w:t>
      </w:r>
    </w:p>
    <w:p>
      <w:pPr>
        <w:spacing w:after="0" w:line="75" w:lineRule="exact"/>
        <w:rPr>
          <w:rFonts w:ascii="Times New Roman" w:cs="Times New Roman" w:eastAsia="Times New Roman" w:hAnsi="Times New Roman"/>
          <w:sz w:val="17"/>
          <w:szCs w:val="17"/>
          <w:color w:val="auto"/>
        </w:rPr>
      </w:pPr>
    </w:p>
    <w:p>
      <w:pPr>
        <w:ind w:left="409" w:right="60" w:hanging="409"/>
        <w:spacing w:after="0" w:line="283" w:lineRule="auto"/>
        <w:tabs>
          <w:tab w:leader="none" w:pos="409"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view of Employee’s higher-level work and his significant above-average fixed salary, the Employee does not expect any compensatory time off or any additional remuneration beyond the fixed annual salary pursuant to Art. 4.1 for any rendered overtime work.</w:t>
      </w:r>
    </w:p>
    <w:p>
      <w:pPr>
        <w:spacing w:after="0" w:line="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 xml:space="preserve">Seite </w:t>
      </w:r>
      <w:r>
        <w:rPr>
          <w:rFonts w:ascii="Times New Roman" w:cs="Times New Roman" w:eastAsia="Times New Roman" w:hAnsi="Times New Roman"/>
          <w:sz w:val="17"/>
          <w:szCs w:val="17"/>
          <w:b w:val="1"/>
          <w:bCs w:val="1"/>
          <w:color w:val="auto"/>
        </w:rPr>
        <w:t>2</w:t>
      </w:r>
      <w:r>
        <w:rPr>
          <w:rFonts w:ascii="Times New Roman" w:cs="Times New Roman" w:eastAsia="Times New Roman" w:hAnsi="Times New Roman"/>
          <w:sz w:val="17"/>
          <w:szCs w:val="17"/>
          <w:color w:val="auto"/>
        </w:rPr>
        <w:t xml:space="preserve"> von </w:t>
      </w:r>
      <w:r>
        <w:rPr>
          <w:rFonts w:ascii="Times New Roman" w:cs="Times New Roman" w:eastAsia="Times New Roman" w:hAnsi="Times New Roman"/>
          <w:sz w:val="17"/>
          <w:szCs w:val="17"/>
          <w:b w:val="1"/>
          <w:bCs w:val="1"/>
          <w:color w:val="auto"/>
        </w:rPr>
        <w:t>9</w:t>
      </w:r>
    </w:p>
    <w:p>
      <w:pPr>
        <w:sectPr>
          <w:pgSz w:w="11900" w:h="16838" w:orient="portrait"/>
          <w:cols w:equalWidth="0" w:num="1">
            <w:col w:w="10429"/>
          </w:cols>
          <w:pgMar w:left="731" w:top="260" w:right="739" w:bottom="1440" w:gutter="0" w:footer="0" w:header="0"/>
        </w:sectPr>
      </w:pPr>
    </w:p>
    <w:bookmarkStart w:id="23" w:name="page24"/>
    <w:bookmarkEnd w:id="23"/>
    <w:p>
      <w:pPr>
        <w:jc w:val="center"/>
        <w:ind w:right="-8"/>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Art. 4</w:t>
      </w:r>
    </w:p>
    <w:p>
      <w:pPr>
        <w:spacing w:after="0" w:line="3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b w:val="1"/>
          <w:bCs w:val="1"/>
          <w:color w:val="auto"/>
        </w:rPr>
        <w:t>Remuneration / Expenses</w:t>
      </w:r>
    </w:p>
    <w:p>
      <w:pPr>
        <w:spacing w:after="0" w:line="218" w:lineRule="exact"/>
        <w:rPr>
          <w:sz w:val="20"/>
          <w:szCs w:val="20"/>
          <w:color w:val="auto"/>
        </w:rPr>
      </w:pPr>
    </w:p>
    <w:p>
      <w:pPr>
        <w:ind w:left="409" w:right="120" w:hanging="409"/>
        <w:spacing w:after="0" w:line="269" w:lineRule="auto"/>
        <w:tabs>
          <w:tab w:leader="none" w:pos="409"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Employee shall receive a fixed annual gross salary in the amount of </w:t>
      </w:r>
      <w:r>
        <w:rPr>
          <w:rFonts w:ascii="Times New Roman" w:cs="Times New Roman" w:eastAsia="Times New Roman" w:hAnsi="Times New Roman"/>
          <w:sz w:val="17"/>
          <w:szCs w:val="17"/>
          <w:b w:val="1"/>
          <w:bCs w:val="1"/>
          <w:color w:val="auto"/>
        </w:rPr>
        <w:t>EUR 616,086.00</w:t>
      </w:r>
      <w:r>
        <w:rPr>
          <w:rFonts w:ascii="Times New Roman" w:cs="Times New Roman" w:eastAsia="Times New Roman" w:hAnsi="Times New Roman"/>
          <w:sz w:val="17"/>
          <w:szCs w:val="17"/>
          <w:color w:val="auto"/>
        </w:rPr>
        <w:t xml:space="preserve"> (in words: six hundred and sixteen thousand and eighty-six EURO) for his services, payable in monthly installments, minus statutory taxes and deductions, by bank transfer to a domestic account specified by the Employee.</w:t>
      </w:r>
    </w:p>
    <w:p>
      <w:pPr>
        <w:spacing w:after="0" w:line="74" w:lineRule="exact"/>
        <w:rPr>
          <w:rFonts w:ascii="Times New Roman" w:cs="Times New Roman" w:eastAsia="Times New Roman" w:hAnsi="Times New Roman"/>
          <w:sz w:val="17"/>
          <w:szCs w:val="17"/>
          <w:color w:val="auto"/>
        </w:rPr>
      </w:pPr>
    </w:p>
    <w:p>
      <w:pPr>
        <w:ind w:left="409" w:right="120" w:hanging="409"/>
        <w:spacing w:after="0" w:line="259" w:lineRule="auto"/>
        <w:tabs>
          <w:tab w:leader="none" w:pos="409"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the Employee may earn a bonus for the respective fiscal year. The bonus target amount is 60% of the fixed annual salary (“Target”). The relevant targets are determined by the Company at the beginning of each fiscal year at its reasonable discretion. The achievement of these targets is also reviewed and determined by the Company’s Board of Directors after the end of the fiscal year. Further requirements and details are set out in the bonus plan applicable to the respective fiscal year, which the Company may amend and adjust for subsequent fiscal years at its reasonable discretion.</w:t>
      </w:r>
    </w:p>
    <w:p>
      <w:pPr>
        <w:spacing w:after="0" w:line="82" w:lineRule="exact"/>
        <w:rPr>
          <w:rFonts w:ascii="Times New Roman" w:cs="Times New Roman" w:eastAsia="Times New Roman" w:hAnsi="Times New Roman"/>
          <w:sz w:val="17"/>
          <w:szCs w:val="17"/>
          <w:color w:val="auto"/>
        </w:rPr>
      </w:pPr>
    </w:p>
    <w:p>
      <w:pPr>
        <w:ind w:left="409" w:right="100" w:hanging="409"/>
        <w:spacing w:after="0" w:line="283" w:lineRule="auto"/>
        <w:tabs>
          <w:tab w:leader="none" w:pos="409"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employment relationship does not exist for the full twelve months of a calendar year, the fixed annual salary shall be calculated and paid on a pro rata basis.</w:t>
      </w:r>
    </w:p>
    <w:p>
      <w:pPr>
        <w:spacing w:after="0" w:line="62" w:lineRule="exact"/>
        <w:rPr>
          <w:rFonts w:ascii="Times New Roman" w:cs="Times New Roman" w:eastAsia="Times New Roman" w:hAnsi="Times New Roman"/>
          <w:sz w:val="17"/>
          <w:szCs w:val="17"/>
          <w:color w:val="auto"/>
        </w:rPr>
      </w:pPr>
    </w:p>
    <w:p>
      <w:pPr>
        <w:ind w:left="409" w:right="180" w:hanging="409"/>
        <w:spacing w:after="0" w:line="259" w:lineRule="auto"/>
        <w:tabs>
          <w:tab w:leader="none" w:pos="409"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Employee acknowledges that any further payments constitute a voluntary benefit, which is determined at the end of the respective reference period and without recognition of any legal obligation. Even if a benefit is granted more than once and unconditionally, this shall not give rise to any entitlement to continued payment of such a benefit, neither in respect of the cause or the amount, nor for the past or for the future. This provision shall not be applicable with respect to any additional payments based on an individual agreement reached by the Parties (Sec. 305b German Civil Code (Bürgerliches Gesetzbuch – “</w:t>
      </w:r>
      <w:r>
        <w:rPr>
          <w:rFonts w:ascii="Times New Roman" w:cs="Times New Roman" w:eastAsia="Times New Roman" w:hAnsi="Times New Roman"/>
          <w:sz w:val="17"/>
          <w:szCs w:val="17"/>
          <w:b w:val="1"/>
          <w:bCs w:val="1"/>
          <w:color w:val="auto"/>
        </w:rPr>
        <w:t>BGB</w:t>
      </w:r>
      <w:r>
        <w:rPr>
          <w:rFonts w:ascii="Times New Roman" w:cs="Times New Roman" w:eastAsia="Times New Roman" w:hAnsi="Times New Roman"/>
          <w:sz w:val="17"/>
          <w:szCs w:val="17"/>
          <w:color w:val="auto"/>
        </w:rPr>
        <w:t>”)), or which constitute consideration for the Employee’s performance.</w:t>
      </w:r>
    </w:p>
    <w:p>
      <w:pPr>
        <w:spacing w:after="0" w:line="82" w:lineRule="exact"/>
        <w:rPr>
          <w:rFonts w:ascii="Times New Roman" w:cs="Times New Roman" w:eastAsia="Times New Roman" w:hAnsi="Times New Roman"/>
          <w:sz w:val="17"/>
          <w:szCs w:val="17"/>
          <w:color w:val="auto"/>
        </w:rPr>
      </w:pPr>
    </w:p>
    <w:p>
      <w:pPr>
        <w:ind w:left="409" w:right="100" w:hanging="409"/>
        <w:spacing w:after="0" w:line="283" w:lineRule="auto"/>
        <w:tabs>
          <w:tab w:leader="none" w:pos="409"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presentation of corresponding receipts, the Company shall reimburse the Employee for all necessary and reasonable travel costs and further expenses in accordance with the Company’s guidelines, as applicable from time to time and taking into account the applicable tax laws.</w:t>
      </w:r>
    </w:p>
    <w:p>
      <w:pPr>
        <w:spacing w:after="0" w:line="353"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b w:val="1"/>
          <w:bCs w:val="1"/>
          <w:color w:val="auto"/>
        </w:rPr>
        <w:t>Art. 5</w:t>
      </w:r>
    </w:p>
    <w:p>
      <w:pPr>
        <w:spacing w:after="0" w:line="3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b w:val="1"/>
          <w:bCs w:val="1"/>
          <w:color w:val="auto"/>
        </w:rPr>
        <w:t>Secondary Employment / Contractual Non-Compete / Conflicts of Interest</w:t>
      </w:r>
    </w:p>
    <w:p>
      <w:pPr>
        <w:spacing w:after="0" w:line="218" w:lineRule="exact"/>
        <w:rPr>
          <w:sz w:val="20"/>
          <w:szCs w:val="20"/>
          <w:color w:val="auto"/>
        </w:rPr>
      </w:pPr>
    </w:p>
    <w:p>
      <w:pPr>
        <w:ind w:left="409" w:right="120" w:hanging="409"/>
        <w:spacing w:after="0" w:line="269" w:lineRule="auto"/>
        <w:tabs>
          <w:tab w:leader="none" w:pos="409"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additional employment (“</w:t>
      </w:r>
      <w:r>
        <w:rPr>
          <w:rFonts w:ascii="Times New Roman" w:cs="Times New Roman" w:eastAsia="Times New Roman" w:hAnsi="Times New Roman"/>
          <w:sz w:val="17"/>
          <w:szCs w:val="17"/>
          <w:b w:val="1"/>
          <w:bCs w:val="1"/>
          <w:color w:val="auto"/>
        </w:rPr>
        <w:t>Secondary Employment</w:t>
      </w:r>
      <w:r>
        <w:rPr>
          <w:rFonts w:ascii="Times New Roman" w:cs="Times New Roman" w:eastAsia="Times New Roman" w:hAnsi="Times New Roman"/>
          <w:sz w:val="17"/>
          <w:szCs w:val="17"/>
          <w:color w:val="auto"/>
        </w:rPr>
        <w:t>”) of the Employee, whether paid or typically paid, shall require prior approval of the Company. Such approval is also required for any uncompensated activity that may impair the interests of the Company due to its nature or scope. The Employee shall notify the Company in text form of any intended activity, specifying the location, nature, and duration.</w:t>
      </w:r>
    </w:p>
    <w:p>
      <w:pPr>
        <w:spacing w:after="0" w:line="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 xml:space="preserve">Seite </w:t>
      </w:r>
      <w:r>
        <w:rPr>
          <w:rFonts w:ascii="Times New Roman" w:cs="Times New Roman" w:eastAsia="Times New Roman" w:hAnsi="Times New Roman"/>
          <w:sz w:val="17"/>
          <w:szCs w:val="17"/>
          <w:b w:val="1"/>
          <w:bCs w:val="1"/>
          <w:color w:val="auto"/>
        </w:rPr>
        <w:t>3</w:t>
      </w:r>
      <w:r>
        <w:rPr>
          <w:rFonts w:ascii="Times New Roman" w:cs="Times New Roman" w:eastAsia="Times New Roman" w:hAnsi="Times New Roman"/>
          <w:sz w:val="17"/>
          <w:szCs w:val="17"/>
          <w:color w:val="auto"/>
        </w:rPr>
        <w:t xml:space="preserve"> von </w:t>
      </w:r>
      <w:r>
        <w:rPr>
          <w:rFonts w:ascii="Times New Roman" w:cs="Times New Roman" w:eastAsia="Times New Roman" w:hAnsi="Times New Roman"/>
          <w:sz w:val="17"/>
          <w:szCs w:val="17"/>
          <w:b w:val="1"/>
          <w:bCs w:val="1"/>
          <w:color w:val="auto"/>
        </w:rPr>
        <w:t>9</w:t>
      </w:r>
    </w:p>
    <w:p>
      <w:pPr>
        <w:sectPr>
          <w:pgSz w:w="11900" w:h="16838" w:orient="portrait"/>
          <w:cols w:equalWidth="0" w:num="1">
            <w:col w:w="10429"/>
          </w:cols>
          <w:pgMar w:left="731" w:top="260" w:right="739" w:bottom="1440" w:gutter="0" w:footer="0" w:header="0"/>
        </w:sectPr>
      </w:pPr>
    </w:p>
    <w:bookmarkStart w:id="24" w:name="page25"/>
    <w:bookmarkEnd w:id="24"/>
    <w:p>
      <w:pPr>
        <w:ind w:left="409" w:right="200" w:hanging="409"/>
        <w:spacing w:after="0" w:line="267" w:lineRule="auto"/>
        <w:tabs>
          <w:tab w:leader="none" w:pos="409"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Excluded from this approval requirement are voluntary, charitable, confessional or political activities, which are not aimed at generating income and do not impair the contractual duties and legitimate interests of the Company. Nevertheless, the Employee shall notify the Company about these activities in text form stating place, type and duration.</w:t>
      </w:r>
    </w:p>
    <w:p>
      <w:pPr>
        <w:spacing w:after="0" w:line="75" w:lineRule="exact"/>
        <w:rPr>
          <w:rFonts w:ascii="Times New Roman" w:cs="Times New Roman" w:eastAsia="Times New Roman" w:hAnsi="Times New Roman"/>
          <w:sz w:val="17"/>
          <w:szCs w:val="17"/>
          <w:color w:val="auto"/>
        </w:rPr>
      </w:pPr>
    </w:p>
    <w:p>
      <w:pPr>
        <w:ind w:left="409" w:right="780" w:hanging="409"/>
        <w:spacing w:after="0" w:line="283" w:lineRule="auto"/>
        <w:tabs>
          <w:tab w:leader="none" w:pos="409"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Employee shall immediately notify the Company in text form of any subsequent changes to his Secondary Employment, unless the operational interests of the Company are obviously not affected.</w:t>
      </w:r>
    </w:p>
    <w:p>
      <w:pPr>
        <w:spacing w:after="0" w:line="62" w:lineRule="exact"/>
        <w:rPr>
          <w:rFonts w:ascii="Times New Roman" w:cs="Times New Roman" w:eastAsia="Times New Roman" w:hAnsi="Times New Roman"/>
          <w:sz w:val="17"/>
          <w:szCs w:val="17"/>
          <w:color w:val="auto"/>
        </w:rPr>
      </w:pPr>
    </w:p>
    <w:p>
      <w:pPr>
        <w:ind w:left="409" w:right="20" w:hanging="409"/>
        <w:spacing w:after="0" w:line="259" w:lineRule="auto"/>
        <w:tabs>
          <w:tab w:leader="none" w:pos="409"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duration of this Employment Agreement, the Employee shall not engage in any competition with the Company or with any affiliated company within the meaning of Secs. 15 et seq. of the German Stock Corporation Act (Aktiengesetz – “</w:t>
      </w:r>
      <w:r>
        <w:rPr>
          <w:rFonts w:ascii="Times New Roman" w:cs="Times New Roman" w:eastAsia="Times New Roman" w:hAnsi="Times New Roman"/>
          <w:sz w:val="17"/>
          <w:szCs w:val="17"/>
          <w:b w:val="1"/>
          <w:bCs w:val="1"/>
          <w:color w:val="auto"/>
        </w:rPr>
        <w:t>AktG</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Affiliated Company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Contractual Non-Compete Obligation</w:t>
      </w:r>
      <w:r>
        <w:rPr>
          <w:rFonts w:ascii="Times New Roman" w:cs="Times New Roman" w:eastAsia="Times New Roman" w:hAnsi="Times New Roman"/>
          <w:sz w:val="17"/>
          <w:szCs w:val="17"/>
          <w:color w:val="auto"/>
        </w:rPr>
        <w:t>”). In particular, the Employee is prohibited from working for a competitor of the Company as an employee, freelancer, or in any other capacity, as well as from establishing such a competing business or directly or indirectly participating in such a competing company.</w:t>
      </w:r>
    </w:p>
    <w:p>
      <w:pPr>
        <w:spacing w:after="0" w:line="69" w:lineRule="exact"/>
        <w:rPr>
          <w:rFonts w:ascii="Times New Roman" w:cs="Times New Roman" w:eastAsia="Times New Roman" w:hAnsi="Times New Roman"/>
          <w:sz w:val="17"/>
          <w:szCs w:val="17"/>
          <w:color w:val="auto"/>
        </w:rPr>
      </w:pPr>
    </w:p>
    <w:p>
      <w:pPr>
        <w:ind w:left="409" w:right="60"/>
        <w:spacing w:after="0" w:line="26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Excluded from this Contractual Non-Compete Obligation is the acquisition of shares or other securities of a company that is publicly listed and whose securities are traded on a stock exchange, for the purpose of private asset management, provided that such participation does not enable the Employee to exert direct or indirect influence over the statutory bodies of the company.</w:t>
      </w:r>
    </w:p>
    <w:p>
      <w:pPr>
        <w:spacing w:after="0" w:line="75" w:lineRule="exact"/>
        <w:rPr>
          <w:rFonts w:ascii="Times New Roman" w:cs="Times New Roman" w:eastAsia="Times New Roman" w:hAnsi="Times New Roman"/>
          <w:sz w:val="17"/>
          <w:szCs w:val="17"/>
          <w:color w:val="auto"/>
        </w:rPr>
      </w:pPr>
    </w:p>
    <w:p>
      <w:pPr>
        <w:ind w:left="409" w:right="320" w:hanging="409"/>
        <w:spacing w:after="0" w:line="267" w:lineRule="auto"/>
        <w:tabs>
          <w:tab w:leader="none" w:pos="409"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mutual interest, the Employee shall immediately notify the Company in text form of any potential conflicts of interest arising from his employment. The obligation to report shall not be limited to cases in which a conflict of interest may have a concrete effect on the Employee’s duties; rather, the mere appearance of a conflict of interest is sufficient.</w:t>
      </w:r>
    </w:p>
    <w:p>
      <w:pPr>
        <w:spacing w:after="0" w:line="75" w:lineRule="exact"/>
        <w:rPr>
          <w:rFonts w:ascii="Times New Roman" w:cs="Times New Roman" w:eastAsia="Times New Roman" w:hAnsi="Times New Roman"/>
          <w:sz w:val="17"/>
          <w:szCs w:val="17"/>
          <w:color w:val="auto"/>
        </w:rPr>
      </w:pPr>
    </w:p>
    <w:p>
      <w:pPr>
        <w:ind w:left="409" w:right="800" w:hanging="409"/>
        <w:spacing w:after="0" w:line="283" w:lineRule="auto"/>
        <w:tabs>
          <w:tab w:leader="none" w:pos="409"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Employee confirms that he is not bound by any contractual restrictions or obligations to third parties that may limit or preclude the Employee’s ability to perform his duties and obligations under this Employment Agreement.</w:t>
      </w:r>
    </w:p>
    <w:p>
      <w:pPr>
        <w:spacing w:after="0" w:line="353"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b w:val="1"/>
          <w:bCs w:val="1"/>
          <w:color w:val="auto"/>
        </w:rPr>
        <w:t>Art. 6</w:t>
      </w:r>
    </w:p>
    <w:p>
      <w:pPr>
        <w:spacing w:after="0" w:line="3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b w:val="1"/>
          <w:bCs w:val="1"/>
          <w:color w:val="auto"/>
        </w:rPr>
        <w:t>Confidentiality Obligations</w:t>
      </w:r>
    </w:p>
    <w:p>
      <w:pPr>
        <w:spacing w:after="0" w:line="222" w:lineRule="exact"/>
        <w:rPr>
          <w:sz w:val="20"/>
          <w:szCs w:val="20"/>
          <w:color w:val="auto"/>
        </w:rPr>
      </w:pPr>
    </w:p>
    <w:p>
      <w:pPr>
        <w:ind w:left="409" w:right="280" w:hanging="409"/>
        <w:spacing w:after="0" w:line="267" w:lineRule="auto"/>
        <w:tabs>
          <w:tab w:leader="none" w:pos="409"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Employee shall maintain the strictest confidentiality regarding all trade secrets of the Company, any Affiliated Company or any third party maintaining business relations with any of the aforementioned companies. This obligation applies to both vis-à-vis third parties and vis-à-vis employees of the Company or any Affiliated Company who are not authorized to access such information.</w:t>
      </w:r>
    </w:p>
    <w:p>
      <w:pPr>
        <w:spacing w:after="0" w:line="75" w:lineRule="exact"/>
        <w:rPr>
          <w:rFonts w:ascii="Times New Roman" w:cs="Times New Roman" w:eastAsia="Times New Roman" w:hAnsi="Times New Roman"/>
          <w:sz w:val="17"/>
          <w:szCs w:val="17"/>
          <w:color w:val="auto"/>
        </w:rPr>
      </w:pPr>
    </w:p>
    <w:p>
      <w:pPr>
        <w:ind w:left="409" w:right="140" w:hanging="409"/>
        <w:spacing w:after="0" w:line="261" w:lineRule="auto"/>
        <w:tabs>
          <w:tab w:leader="none" w:pos="409"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 secrets are information that are not generally known or easily available, either as a whole or in the precise arrangement and composition of its components, to individuals who normally deal with that type of information, and which is therefore of economic value and subject of confidentiality measures by its rightful owner and where there is a legitimate interest in maintaining confidentiality. The rightful owner is the Company.</w:t>
      </w:r>
    </w:p>
    <w:p>
      <w:pPr>
        <w:spacing w:after="0" w:line="1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 xml:space="preserve">Seite </w:t>
      </w:r>
      <w:r>
        <w:rPr>
          <w:rFonts w:ascii="Times New Roman" w:cs="Times New Roman" w:eastAsia="Times New Roman" w:hAnsi="Times New Roman"/>
          <w:sz w:val="17"/>
          <w:szCs w:val="17"/>
          <w:b w:val="1"/>
          <w:bCs w:val="1"/>
          <w:color w:val="auto"/>
        </w:rPr>
        <w:t>4</w:t>
      </w:r>
      <w:r>
        <w:rPr>
          <w:rFonts w:ascii="Times New Roman" w:cs="Times New Roman" w:eastAsia="Times New Roman" w:hAnsi="Times New Roman"/>
          <w:sz w:val="17"/>
          <w:szCs w:val="17"/>
          <w:color w:val="auto"/>
        </w:rPr>
        <w:t xml:space="preserve"> von </w:t>
      </w:r>
      <w:r>
        <w:rPr>
          <w:rFonts w:ascii="Times New Roman" w:cs="Times New Roman" w:eastAsia="Times New Roman" w:hAnsi="Times New Roman"/>
          <w:sz w:val="17"/>
          <w:szCs w:val="17"/>
          <w:b w:val="1"/>
          <w:bCs w:val="1"/>
          <w:color w:val="auto"/>
        </w:rPr>
        <w:t>9</w:t>
      </w:r>
    </w:p>
    <w:p>
      <w:pPr>
        <w:sectPr>
          <w:pgSz w:w="11900" w:h="16838" w:orient="portrait"/>
          <w:cols w:equalWidth="0" w:num="1">
            <w:col w:w="10429"/>
          </w:cols>
          <w:pgMar w:left="731" w:top="264" w:right="739" w:bottom="1440" w:gutter="0" w:footer="0" w:header="0"/>
        </w:sectPr>
      </w:pPr>
    </w:p>
    <w:bookmarkStart w:id="25" w:name="page26"/>
    <w:bookmarkEnd w:id="25"/>
    <w:p>
      <w:pPr>
        <w:ind w:left="409" w:right="2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Trade secrets are, in particular, but not exclusively, all information about clinical data, research, product plans, products, services, equipment, customers, markets, software, inventions, processes, designs, drawings, formulations, specifications, product configuration information, marketing and finance documents, prototypes, samples, data sets.</w:t>
      </w:r>
    </w:p>
    <w:p>
      <w:pPr>
        <w:spacing w:after="0" w:line="76" w:lineRule="exact"/>
        <w:rPr>
          <w:sz w:val="20"/>
          <w:szCs w:val="20"/>
          <w:color w:val="auto"/>
        </w:rPr>
      </w:pPr>
    </w:p>
    <w:p>
      <w:pPr>
        <w:ind w:left="409" w:right="140" w:hanging="409"/>
        <w:spacing w:after="0" w:line="283" w:lineRule="auto"/>
        <w:tabs>
          <w:tab w:leader="none" w:pos="409"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confidentiality obligation shall apply accordingly to business matters of a confidential nature that are either designated as such in writing by the Company, verbally identified as confidential, or are obviously recognizable as such.</w:t>
      </w:r>
    </w:p>
    <w:p>
      <w:pPr>
        <w:spacing w:after="0" w:line="62" w:lineRule="exact"/>
        <w:rPr>
          <w:rFonts w:ascii="Times New Roman" w:cs="Times New Roman" w:eastAsia="Times New Roman" w:hAnsi="Times New Roman"/>
          <w:sz w:val="17"/>
          <w:szCs w:val="17"/>
          <w:color w:val="auto"/>
        </w:rPr>
      </w:pPr>
    </w:p>
    <w:p>
      <w:pPr>
        <w:jc w:val="both"/>
        <w:ind w:left="409" w:right="20" w:hanging="409"/>
        <w:spacing w:after="0" w:line="283" w:lineRule="auto"/>
        <w:tabs>
          <w:tab w:leader="none" w:pos="409"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Before disclosing any trade secrets or business matters of a confidential nature – e.g. for the proper performance of the work for the Company – as well as in case of doubt about the scope of this confidentiality obligation, the Employee shall be required to obtain instructions from the Company.</w:t>
      </w:r>
    </w:p>
    <w:p>
      <w:pPr>
        <w:spacing w:after="0" w:line="62" w:lineRule="exact"/>
        <w:rPr>
          <w:rFonts w:ascii="Times New Roman" w:cs="Times New Roman" w:eastAsia="Times New Roman" w:hAnsi="Times New Roman"/>
          <w:sz w:val="17"/>
          <w:szCs w:val="17"/>
          <w:color w:val="auto"/>
        </w:rPr>
      </w:pPr>
    </w:p>
    <w:p>
      <w:pPr>
        <w:ind w:left="409" w:hanging="409"/>
        <w:spacing w:after="0"/>
        <w:tabs>
          <w:tab w:leader="none" w:pos="409"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confidentiality obligation does not apply to information that</w:t>
      </w:r>
    </w:p>
    <w:p>
      <w:pPr>
        <w:spacing w:after="0" w:line="124" w:lineRule="exact"/>
        <w:rPr>
          <w:sz w:val="20"/>
          <w:szCs w:val="20"/>
          <w:color w:val="auto"/>
        </w:rPr>
      </w:pPr>
    </w:p>
    <w:p>
      <w:pPr>
        <w:ind w:left="409" w:hanging="409"/>
        <w:spacing w:after="0"/>
        <w:tabs>
          <w:tab w:leader="none" w:pos="409"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was demonstrably already publicly available or otherwise generally known at the time of disclosure,</w:t>
      </w:r>
    </w:p>
    <w:p>
      <w:pPr>
        <w:spacing w:after="0" w:line="123" w:lineRule="exact"/>
        <w:rPr>
          <w:rFonts w:ascii="Times New Roman" w:cs="Times New Roman" w:eastAsia="Times New Roman" w:hAnsi="Times New Roman"/>
          <w:sz w:val="17"/>
          <w:szCs w:val="17"/>
          <w:color w:val="auto"/>
        </w:rPr>
      </w:pPr>
    </w:p>
    <w:p>
      <w:pPr>
        <w:ind w:left="409" w:right="300" w:hanging="409"/>
        <w:spacing w:after="0" w:line="283" w:lineRule="auto"/>
        <w:tabs>
          <w:tab w:leader="none" w:pos="409"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was demonstrably already known to the Employee before it was disclosed to Employee by the Company, without breach of any confidentiality obligation, or</w:t>
      </w:r>
    </w:p>
    <w:p>
      <w:pPr>
        <w:spacing w:after="0" w:line="62" w:lineRule="exact"/>
        <w:rPr>
          <w:rFonts w:ascii="Times New Roman" w:cs="Times New Roman" w:eastAsia="Times New Roman" w:hAnsi="Times New Roman"/>
          <w:sz w:val="17"/>
          <w:szCs w:val="17"/>
          <w:color w:val="auto"/>
        </w:rPr>
      </w:pPr>
    </w:p>
    <w:p>
      <w:pPr>
        <w:ind w:left="409" w:right="1780" w:hanging="409"/>
        <w:spacing w:after="0" w:line="384" w:lineRule="auto"/>
        <w:tabs>
          <w:tab w:leader="none" w:pos="401"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was disclosed to the Employee by a third party who was not bound by a confidentiality obligation vis-à-vis the Company and/or its disclosure</w:t>
      </w:r>
    </w:p>
    <w:p>
      <w:pPr>
        <w:spacing w:after="0" w:line="1" w:lineRule="exact"/>
        <w:rPr>
          <w:sz w:val="20"/>
          <w:szCs w:val="20"/>
          <w:color w:val="auto"/>
        </w:rPr>
      </w:pPr>
    </w:p>
    <w:p>
      <w:pPr>
        <w:ind w:left="929" w:right="60" w:hanging="520"/>
        <w:spacing w:after="0" w:line="283" w:lineRule="auto"/>
        <w:tabs>
          <w:tab w:leader="none" w:pos="929"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made on the basis of statutory provisions or orders of government bodies, whereby the Employee shall immediately notify the Company in text form of any such disclosure,</w:t>
      </w:r>
    </w:p>
    <w:p>
      <w:pPr>
        <w:spacing w:after="0" w:line="62" w:lineRule="exact"/>
        <w:rPr>
          <w:rFonts w:ascii="Times New Roman" w:cs="Times New Roman" w:eastAsia="Times New Roman" w:hAnsi="Times New Roman"/>
          <w:sz w:val="17"/>
          <w:szCs w:val="17"/>
          <w:color w:val="auto"/>
        </w:rPr>
      </w:pPr>
    </w:p>
    <w:p>
      <w:pPr>
        <w:ind w:left="409" w:right="100" w:hanging="409"/>
        <w:spacing w:after="0" w:line="283" w:lineRule="auto"/>
        <w:tabs>
          <w:tab w:leader="none" w:pos="409"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necessary for the legitimate assertion or defence of legal claims in the context of administrative or judicial proceedings, whereby the Employee shall limit the disclosure to the absolute minimum necessary,</w:t>
      </w:r>
    </w:p>
    <w:p>
      <w:pPr>
        <w:spacing w:after="0" w:line="62" w:lineRule="exact"/>
        <w:rPr>
          <w:rFonts w:ascii="Times New Roman" w:cs="Times New Roman" w:eastAsia="Times New Roman" w:hAnsi="Times New Roman"/>
          <w:sz w:val="17"/>
          <w:szCs w:val="17"/>
          <w:color w:val="auto"/>
        </w:rPr>
      </w:pPr>
    </w:p>
    <w:p>
      <w:pPr>
        <w:ind w:left="409" w:right="660" w:hanging="409"/>
        <w:spacing w:after="0" w:line="283" w:lineRule="auto"/>
        <w:tabs>
          <w:tab w:leader="none" w:pos="409"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falls under a statutory exemption from confidentiality obligations, such as any under the German Trade Secret Protection Act (Geschäftsgeheimnisgesetz – “</w:t>
      </w:r>
      <w:r>
        <w:rPr>
          <w:rFonts w:ascii="Times New Roman" w:cs="Times New Roman" w:eastAsia="Times New Roman" w:hAnsi="Times New Roman"/>
          <w:sz w:val="17"/>
          <w:szCs w:val="17"/>
          <w:b w:val="1"/>
          <w:bCs w:val="1"/>
          <w:color w:val="auto"/>
        </w:rPr>
        <w:t>GeschGehG</w:t>
      </w:r>
      <w:r>
        <w:rPr>
          <w:rFonts w:ascii="Times New Roman" w:cs="Times New Roman" w:eastAsia="Times New Roman" w:hAnsi="Times New Roman"/>
          <w:sz w:val="17"/>
          <w:szCs w:val="17"/>
          <w:color w:val="auto"/>
        </w:rPr>
        <w:t>”) or the German Whistleblower Protection Act (Hinweisgeberschutzgesetz – “</w:t>
      </w:r>
      <w:r>
        <w:rPr>
          <w:rFonts w:ascii="Times New Roman" w:cs="Times New Roman" w:eastAsia="Times New Roman" w:hAnsi="Times New Roman"/>
          <w:sz w:val="17"/>
          <w:szCs w:val="17"/>
          <w:b w:val="1"/>
          <w:bCs w:val="1"/>
          <w:color w:val="auto"/>
        </w:rPr>
        <w:t>HinSchG</w:t>
      </w:r>
      <w:r>
        <w:rPr>
          <w:rFonts w:ascii="Times New Roman" w:cs="Times New Roman" w:eastAsia="Times New Roman" w:hAnsi="Times New Roman"/>
          <w:sz w:val="17"/>
          <w:szCs w:val="17"/>
          <w:color w:val="auto"/>
        </w:rPr>
        <w:t>”) or</w:t>
      </w:r>
    </w:p>
    <w:p>
      <w:pPr>
        <w:spacing w:after="0" w:line="62" w:lineRule="exact"/>
        <w:rPr>
          <w:rFonts w:ascii="Times New Roman" w:cs="Times New Roman" w:eastAsia="Times New Roman" w:hAnsi="Times New Roman"/>
          <w:sz w:val="17"/>
          <w:szCs w:val="17"/>
          <w:color w:val="auto"/>
        </w:rPr>
      </w:pPr>
    </w:p>
    <w:p>
      <w:pPr>
        <w:ind w:left="409" w:hanging="409"/>
        <w:spacing w:after="0"/>
        <w:tabs>
          <w:tab w:leader="none" w:pos="409"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been expressly authorized by the Company in text form.</w:t>
      </w:r>
    </w:p>
    <w:p>
      <w:pPr>
        <w:spacing w:after="0" w:line="124" w:lineRule="exact"/>
        <w:rPr>
          <w:sz w:val="20"/>
          <w:szCs w:val="20"/>
          <w:color w:val="auto"/>
        </w:rPr>
      </w:pPr>
    </w:p>
    <w:p>
      <w:pPr>
        <w:ind w:left="409" w:right="200" w:hanging="409"/>
        <w:spacing w:after="0" w:line="283" w:lineRule="auto"/>
        <w:tabs>
          <w:tab w:leader="none" w:pos="409"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Employee is obliged to secure all documents, records, data files (regardless of the storage medium) and devices that contain trade secrets or business matters of a confidential nature, keep them properly and protect them against unauthorized access (e.g. by means of pass codes).</w:t>
      </w:r>
    </w:p>
    <w:p>
      <w:pPr>
        <w:spacing w:after="0" w:line="50" w:lineRule="exact"/>
        <w:rPr>
          <w:rFonts w:ascii="Times New Roman" w:cs="Times New Roman" w:eastAsia="Times New Roman" w:hAnsi="Times New Roman"/>
          <w:sz w:val="17"/>
          <w:szCs w:val="17"/>
          <w:color w:val="auto"/>
        </w:rPr>
      </w:pPr>
    </w:p>
    <w:p>
      <w:pPr>
        <w:ind w:left="40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aforementioned obligations shall also apply, mutatis mutandis, to electronically stored data.</w:t>
      </w:r>
    </w:p>
    <w:p>
      <w:pPr>
        <w:spacing w:after="0" w:line="1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 xml:space="preserve">Seite </w:t>
      </w:r>
      <w:r>
        <w:rPr>
          <w:rFonts w:ascii="Times New Roman" w:cs="Times New Roman" w:eastAsia="Times New Roman" w:hAnsi="Times New Roman"/>
          <w:sz w:val="17"/>
          <w:szCs w:val="17"/>
          <w:b w:val="1"/>
          <w:bCs w:val="1"/>
          <w:color w:val="auto"/>
        </w:rPr>
        <w:t>5</w:t>
      </w:r>
      <w:r>
        <w:rPr>
          <w:rFonts w:ascii="Times New Roman" w:cs="Times New Roman" w:eastAsia="Times New Roman" w:hAnsi="Times New Roman"/>
          <w:sz w:val="17"/>
          <w:szCs w:val="17"/>
          <w:color w:val="auto"/>
        </w:rPr>
        <w:t xml:space="preserve"> von </w:t>
      </w:r>
      <w:r>
        <w:rPr>
          <w:rFonts w:ascii="Times New Roman" w:cs="Times New Roman" w:eastAsia="Times New Roman" w:hAnsi="Times New Roman"/>
          <w:sz w:val="17"/>
          <w:szCs w:val="17"/>
          <w:b w:val="1"/>
          <w:bCs w:val="1"/>
          <w:color w:val="auto"/>
        </w:rPr>
        <w:t>9</w:t>
      </w:r>
    </w:p>
    <w:p>
      <w:pPr>
        <w:sectPr>
          <w:pgSz w:w="11900" w:h="16838" w:orient="portrait"/>
          <w:cols w:equalWidth="0" w:num="1">
            <w:col w:w="10429"/>
          </w:cols>
          <w:pgMar w:left="731" w:top="264" w:right="739" w:bottom="1440" w:gutter="0" w:footer="0" w:header="0"/>
        </w:sectPr>
      </w:pPr>
    </w:p>
    <w:bookmarkStart w:id="26" w:name="page27"/>
    <w:bookmarkEnd w:id="26"/>
    <w:p>
      <w:pPr>
        <w:ind w:left="409" w:right="740" w:hanging="409"/>
        <w:spacing w:after="0" w:line="283" w:lineRule="auto"/>
        <w:tabs>
          <w:tab w:leader="none" w:pos="409"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If there is a possibility that at third party has acquired knowledge of a trade secret or a confidential matter, the Employee shall notify the management immediately and at his own initiative.</w:t>
      </w:r>
    </w:p>
    <w:p>
      <w:pPr>
        <w:spacing w:after="0" w:line="62" w:lineRule="exact"/>
        <w:rPr>
          <w:rFonts w:ascii="Times New Roman" w:cs="Times New Roman" w:eastAsia="Times New Roman" w:hAnsi="Times New Roman"/>
          <w:sz w:val="17"/>
          <w:szCs w:val="17"/>
          <w:color w:val="auto"/>
        </w:rPr>
      </w:pPr>
    </w:p>
    <w:p>
      <w:pPr>
        <w:ind w:left="409" w:right="320" w:hanging="409"/>
        <w:spacing w:after="0" w:line="267" w:lineRule="auto"/>
        <w:tabs>
          <w:tab w:leader="none" w:pos="409"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aforementioned obligations shall continue to apply beyond the termination of this employment relationship. To the extent that they unreasonably restrict the Employee’s professional advancement, the Employee shall have the right to request a limitation of the confidentiality obligation from the Company.</w:t>
      </w:r>
    </w:p>
    <w:p>
      <w:pPr>
        <w:spacing w:after="0" w:line="75" w:lineRule="exact"/>
        <w:rPr>
          <w:rFonts w:ascii="Times New Roman" w:cs="Times New Roman" w:eastAsia="Times New Roman" w:hAnsi="Times New Roman"/>
          <w:sz w:val="17"/>
          <w:szCs w:val="17"/>
          <w:color w:val="auto"/>
        </w:rPr>
      </w:pPr>
    </w:p>
    <w:p>
      <w:pPr>
        <w:ind w:left="409" w:right="200" w:hanging="409"/>
        <w:spacing w:after="0" w:line="283" w:lineRule="auto"/>
        <w:tabs>
          <w:tab w:leader="none" w:pos="409"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Employee is aware that any violation of the above-mentioned duties shall make him liable for damages vis-à-vis the Company and possibly shall render him liable to criminal prosecution pursuant to Sec. 23 GeschGehG.</w:t>
      </w:r>
    </w:p>
    <w:p>
      <w:pPr>
        <w:spacing w:after="0" w:line="62" w:lineRule="exact"/>
        <w:rPr>
          <w:rFonts w:ascii="Times New Roman" w:cs="Times New Roman" w:eastAsia="Times New Roman" w:hAnsi="Times New Roman"/>
          <w:sz w:val="17"/>
          <w:szCs w:val="17"/>
          <w:color w:val="auto"/>
        </w:rPr>
      </w:pPr>
    </w:p>
    <w:p>
      <w:pPr>
        <w:ind w:left="409" w:hanging="409"/>
        <w:spacing w:after="0"/>
        <w:tabs>
          <w:tab w:leader="none" w:pos="409"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Further statutory duties of secrecy and confidentiality remain unaffected.</w:t>
      </w:r>
    </w:p>
    <w:p>
      <w:pPr>
        <w:spacing w:after="0" w:line="200" w:lineRule="exact"/>
        <w:rPr>
          <w:sz w:val="20"/>
          <w:szCs w:val="20"/>
          <w:color w:val="auto"/>
        </w:rPr>
      </w:pPr>
    </w:p>
    <w:p>
      <w:pPr>
        <w:spacing w:after="0" w:line="21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b w:val="1"/>
          <w:bCs w:val="1"/>
          <w:color w:val="auto"/>
        </w:rPr>
        <w:t>Art. 7</w:t>
      </w:r>
    </w:p>
    <w:p>
      <w:pPr>
        <w:spacing w:after="0" w:line="3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b w:val="1"/>
          <w:bCs w:val="1"/>
          <w:color w:val="auto"/>
        </w:rPr>
        <w:t>Data Protection and Information Security</w:t>
      </w:r>
    </w:p>
    <w:p>
      <w:pPr>
        <w:spacing w:after="0" w:line="218" w:lineRule="exact"/>
        <w:rPr>
          <w:sz w:val="20"/>
          <w:szCs w:val="20"/>
          <w:color w:val="auto"/>
        </w:rPr>
      </w:pPr>
    </w:p>
    <w:p>
      <w:pPr>
        <w:ind w:left="409" w:right="460" w:hanging="409"/>
        <w:spacing w:after="0" w:line="288" w:lineRule="auto"/>
        <w:tabs>
          <w:tab w:leader="none" w:pos="409"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Employee shall comply with the Regulation (EU) 2016/679 (General Data Protection Regulation – “</w:t>
      </w:r>
      <w:r>
        <w:rPr>
          <w:rFonts w:ascii="Times New Roman" w:cs="Times New Roman" w:eastAsia="Times New Roman" w:hAnsi="Times New Roman"/>
          <w:sz w:val="17"/>
          <w:szCs w:val="17"/>
          <w:b w:val="1"/>
          <w:bCs w:val="1"/>
          <w:color w:val="auto"/>
        </w:rPr>
        <w:t>GDPR</w:t>
      </w:r>
      <w:r>
        <w:rPr>
          <w:rFonts w:ascii="Times New Roman" w:cs="Times New Roman" w:eastAsia="Times New Roman" w:hAnsi="Times New Roman"/>
          <w:sz w:val="17"/>
          <w:szCs w:val="17"/>
          <w:color w:val="auto"/>
        </w:rPr>
        <w:t>”), the German Federal Data Protection Act (Bundesdatenschutzgesetz – “</w:t>
      </w:r>
      <w:r>
        <w:rPr>
          <w:rFonts w:ascii="Times New Roman" w:cs="Times New Roman" w:eastAsia="Times New Roman" w:hAnsi="Times New Roman"/>
          <w:sz w:val="17"/>
          <w:szCs w:val="17"/>
          <w:b w:val="1"/>
          <w:bCs w:val="1"/>
          <w:color w:val="auto"/>
        </w:rPr>
        <w:t>BDSG</w:t>
      </w:r>
      <w:r>
        <w:rPr>
          <w:rFonts w:ascii="Times New Roman" w:cs="Times New Roman" w:eastAsia="Times New Roman" w:hAnsi="Times New Roman"/>
          <w:sz w:val="17"/>
          <w:szCs w:val="17"/>
          <w:color w:val="auto"/>
        </w:rPr>
        <w:t>”) and the Company’s internal privacy policy, as amended from time to time.</w:t>
      </w:r>
    </w:p>
    <w:p>
      <w:pPr>
        <w:spacing w:after="0" w:line="58" w:lineRule="exact"/>
        <w:rPr>
          <w:rFonts w:ascii="Times New Roman" w:cs="Times New Roman" w:eastAsia="Times New Roman" w:hAnsi="Times New Roman"/>
          <w:sz w:val="17"/>
          <w:szCs w:val="17"/>
          <w:color w:val="auto"/>
        </w:rPr>
      </w:pPr>
    </w:p>
    <w:p>
      <w:pPr>
        <w:ind w:left="409" w:right="120" w:hanging="409"/>
        <w:spacing w:after="0" w:line="283" w:lineRule="auto"/>
        <w:tabs>
          <w:tab w:leader="none" w:pos="409"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processing of personal data on behalf of the Company in connection with this employment relationship must be authorized by the Company. The Employee shall at all times ensure that unauthorized individuals do not have access to personal data.</w:t>
      </w:r>
    </w:p>
    <w:p>
      <w:pPr>
        <w:spacing w:after="0" w:line="62" w:lineRule="exact"/>
        <w:rPr>
          <w:rFonts w:ascii="Times New Roman" w:cs="Times New Roman" w:eastAsia="Times New Roman" w:hAnsi="Times New Roman"/>
          <w:sz w:val="17"/>
          <w:szCs w:val="17"/>
          <w:color w:val="auto"/>
        </w:rPr>
      </w:pPr>
    </w:p>
    <w:p>
      <w:pPr>
        <w:ind w:left="409" w:right="20" w:hanging="409"/>
        <w:spacing w:after="0" w:line="283" w:lineRule="auto"/>
        <w:tabs>
          <w:tab w:leader="none" w:pos="409"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Employee shall maintain strict confidentiality regarding all personal data. In addition, the obligation to maintain confidentiality and to comply with data protection requirements pursuant to the GDPR shall apply, which constitutes an integral part of this Employment Agreement.</w:t>
      </w:r>
    </w:p>
    <w:p>
      <w:pPr>
        <w:spacing w:after="0" w:line="62" w:lineRule="exact"/>
        <w:rPr>
          <w:rFonts w:ascii="Times New Roman" w:cs="Times New Roman" w:eastAsia="Times New Roman" w:hAnsi="Times New Roman"/>
          <w:sz w:val="17"/>
          <w:szCs w:val="17"/>
          <w:color w:val="auto"/>
        </w:rPr>
      </w:pPr>
    </w:p>
    <w:p>
      <w:pPr>
        <w:ind w:left="409" w:right="240" w:hanging="409"/>
        <w:spacing w:after="0" w:line="267" w:lineRule="auto"/>
        <w:tabs>
          <w:tab w:leader="none" w:pos="409"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Employee is obligated to immediately report to the Company any data protection incident or any suspected data protection incident. A data protection incident within the meaning of this provision occurs if there is a possibility that personal data, trade secrets or business matters of a confidential nature have been unlawfully disclosed, lost, altered, destroyed, or made accessible to unauthorized third parties.</w:t>
      </w:r>
    </w:p>
    <w:p>
      <w:pPr>
        <w:spacing w:after="0" w:line="75" w:lineRule="exact"/>
        <w:rPr>
          <w:rFonts w:ascii="Times New Roman" w:cs="Times New Roman" w:eastAsia="Times New Roman" w:hAnsi="Times New Roman"/>
          <w:sz w:val="17"/>
          <w:szCs w:val="17"/>
          <w:color w:val="auto"/>
        </w:rPr>
      </w:pPr>
    </w:p>
    <w:p>
      <w:pPr>
        <w:ind w:left="409" w:hanging="409"/>
        <w:spacing w:after="0"/>
        <w:tabs>
          <w:tab w:leader="none" w:pos="409"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foregoing obligations shall continue to apply beyond the termination of the employment relationship.</w:t>
      </w:r>
    </w:p>
    <w:p>
      <w:pPr>
        <w:spacing w:after="0" w:line="1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 xml:space="preserve">Seite </w:t>
      </w:r>
      <w:r>
        <w:rPr>
          <w:rFonts w:ascii="Times New Roman" w:cs="Times New Roman" w:eastAsia="Times New Roman" w:hAnsi="Times New Roman"/>
          <w:sz w:val="17"/>
          <w:szCs w:val="17"/>
          <w:b w:val="1"/>
          <w:bCs w:val="1"/>
          <w:color w:val="auto"/>
        </w:rPr>
        <w:t>6</w:t>
      </w:r>
      <w:r>
        <w:rPr>
          <w:rFonts w:ascii="Times New Roman" w:cs="Times New Roman" w:eastAsia="Times New Roman" w:hAnsi="Times New Roman"/>
          <w:sz w:val="17"/>
          <w:szCs w:val="17"/>
          <w:color w:val="auto"/>
        </w:rPr>
        <w:t xml:space="preserve"> von </w:t>
      </w:r>
      <w:r>
        <w:rPr>
          <w:rFonts w:ascii="Times New Roman" w:cs="Times New Roman" w:eastAsia="Times New Roman" w:hAnsi="Times New Roman"/>
          <w:sz w:val="17"/>
          <w:szCs w:val="17"/>
          <w:b w:val="1"/>
          <w:bCs w:val="1"/>
          <w:color w:val="auto"/>
        </w:rPr>
        <w:t>9</w:t>
      </w:r>
    </w:p>
    <w:p>
      <w:pPr>
        <w:sectPr>
          <w:pgSz w:w="11900" w:h="16838" w:orient="portrait"/>
          <w:cols w:equalWidth="0" w:num="1">
            <w:col w:w="10429"/>
          </w:cols>
          <w:pgMar w:left="731" w:top="264" w:right="739" w:bottom="1440" w:gutter="0" w:footer="0" w:header="0"/>
        </w:sectPr>
      </w:pPr>
    </w:p>
    <w:bookmarkStart w:id="27" w:name="page28"/>
    <w:bookmarkEnd w:id="27"/>
    <w:p>
      <w:pPr>
        <w:jc w:val="center"/>
        <w:ind w:right="-8"/>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Art. 8</w:t>
      </w:r>
    </w:p>
    <w:p>
      <w:pPr>
        <w:spacing w:after="0" w:line="3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b w:val="1"/>
          <w:bCs w:val="1"/>
          <w:color w:val="auto"/>
        </w:rPr>
        <w:t>Company Property / Return Obligations</w:t>
      </w:r>
    </w:p>
    <w:p>
      <w:pPr>
        <w:spacing w:after="0" w:line="222" w:lineRule="exact"/>
        <w:rPr>
          <w:sz w:val="20"/>
          <w:szCs w:val="20"/>
          <w:color w:val="auto"/>
        </w:rPr>
      </w:pPr>
    </w:p>
    <w:p>
      <w:pPr>
        <w:ind w:left="409" w:right="120" w:hanging="409"/>
        <w:spacing w:after="0" w:line="283" w:lineRule="auto"/>
        <w:tabs>
          <w:tab w:leader="none" w:pos="409"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Employee shall, in the case of being terminated, immediately return to the Company all items and business documents, including any copies, that belong to the Company or any Affiliated Company and are in Employee’s possession</w:t>
      </w:r>
    </w:p>
    <w:p>
      <w:pPr>
        <w:spacing w:after="0" w:line="353"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b w:val="1"/>
          <w:bCs w:val="1"/>
          <w:color w:val="auto"/>
        </w:rPr>
        <w:t>Art. 9</w:t>
      </w:r>
    </w:p>
    <w:p>
      <w:pPr>
        <w:spacing w:after="0" w:line="3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b w:val="1"/>
          <w:bCs w:val="1"/>
          <w:color w:val="auto"/>
        </w:rPr>
        <w:t>Use and Exploitation Rights / Inventions</w:t>
      </w:r>
    </w:p>
    <w:p>
      <w:pPr>
        <w:spacing w:after="0" w:line="222" w:lineRule="exact"/>
        <w:rPr>
          <w:sz w:val="20"/>
          <w:szCs w:val="20"/>
          <w:color w:val="auto"/>
        </w:rPr>
      </w:pPr>
    </w:p>
    <w:p>
      <w:pPr>
        <w:ind w:left="409" w:hanging="409"/>
        <w:spacing w:after="0"/>
        <w:tabs>
          <w:tab w:leader="none" w:pos="409"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work results related to the Employee’s activities shall be the exclusive property of the Company.</w:t>
      </w:r>
    </w:p>
    <w:p>
      <w:pPr>
        <w:spacing w:after="0" w:line="123" w:lineRule="exact"/>
        <w:rPr>
          <w:rFonts w:ascii="Times New Roman" w:cs="Times New Roman" w:eastAsia="Times New Roman" w:hAnsi="Times New Roman"/>
          <w:sz w:val="17"/>
          <w:szCs w:val="17"/>
          <w:color w:val="auto"/>
        </w:rPr>
      </w:pPr>
    </w:p>
    <w:p>
      <w:pPr>
        <w:jc w:val="both"/>
        <w:ind w:left="409" w:right="40" w:hanging="409"/>
        <w:spacing w:after="0" w:line="261" w:lineRule="auto"/>
        <w:tabs>
          <w:tab w:leader="none" w:pos="409"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the work results are protected by copyright, the employee grants the company the exclusive, unlimited, and transferable right to use and exploit such results, including all currently known and future types of use, without any restriction in terms of time, territory, or content. This grant of rights specifically includes the right to modify the work results and to grant sublicenses to third parties. The granted rights shall remain in effect beyond the termination of the employment relationship.</w:t>
      </w:r>
    </w:p>
    <w:p>
      <w:pPr>
        <w:spacing w:after="0" w:line="69" w:lineRule="exact"/>
        <w:rPr>
          <w:rFonts w:ascii="Times New Roman" w:cs="Times New Roman" w:eastAsia="Times New Roman" w:hAnsi="Times New Roman"/>
          <w:sz w:val="17"/>
          <w:szCs w:val="17"/>
          <w:color w:val="auto"/>
        </w:rPr>
      </w:pPr>
    </w:p>
    <w:p>
      <w:pPr>
        <w:ind w:left="409" w:right="460"/>
        <w:spacing w:after="0" w:line="28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Employee expressly waives any other rights he may have as the author or holder of other intellectual property rights in the work results, including, in particular, the right to be credited by name, the right to modify the work, and the right to make the work accessible.</w:t>
      </w:r>
    </w:p>
    <w:p>
      <w:pPr>
        <w:spacing w:after="0" w:line="50" w:lineRule="exact"/>
        <w:rPr>
          <w:rFonts w:ascii="Times New Roman" w:cs="Times New Roman" w:eastAsia="Times New Roman" w:hAnsi="Times New Roman"/>
          <w:sz w:val="17"/>
          <w:szCs w:val="17"/>
          <w:color w:val="auto"/>
        </w:rPr>
      </w:pPr>
    </w:p>
    <w:p>
      <w:pPr>
        <w:ind w:left="409" w:right="780"/>
        <w:spacing w:after="0" w:line="28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Employee shall have no claim to separate compensation for the granted rights of use and exploitation. Instead, the rights of use and exploitation are compensated by the remuneration agreed upon in Art. 4.1.</w:t>
      </w:r>
    </w:p>
    <w:p>
      <w:pPr>
        <w:spacing w:after="0" w:line="58" w:lineRule="exact"/>
        <w:rPr>
          <w:rFonts w:ascii="Times New Roman" w:cs="Times New Roman" w:eastAsia="Times New Roman" w:hAnsi="Times New Roman"/>
          <w:sz w:val="17"/>
          <w:szCs w:val="17"/>
          <w:color w:val="auto"/>
        </w:rPr>
      </w:pPr>
    </w:p>
    <w:p>
      <w:pPr>
        <w:ind w:left="409" w:right="80" w:hanging="409"/>
        <w:spacing w:after="0" w:line="288" w:lineRule="auto"/>
        <w:tabs>
          <w:tab w:leader="none" w:pos="409"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work results are subject to the provisions of the German Act on Employee Inventions (Arbeitnehmererfindungsgesetz – “</w:t>
      </w:r>
      <w:r>
        <w:rPr>
          <w:rFonts w:ascii="Times New Roman" w:cs="Times New Roman" w:eastAsia="Times New Roman" w:hAnsi="Times New Roman"/>
          <w:sz w:val="17"/>
          <w:szCs w:val="17"/>
          <w:b w:val="1"/>
          <w:bCs w:val="1"/>
          <w:color w:val="auto"/>
        </w:rPr>
        <w:t>ArbEG</w:t>
      </w:r>
      <w:r>
        <w:rPr>
          <w:rFonts w:ascii="Times New Roman" w:cs="Times New Roman" w:eastAsia="Times New Roman" w:hAnsi="Times New Roman"/>
          <w:sz w:val="17"/>
          <w:szCs w:val="17"/>
          <w:color w:val="auto"/>
        </w:rPr>
        <w:t>”), the provisions of this Act shall apply as amended from time to time.</w:t>
      </w:r>
    </w:p>
    <w:p>
      <w:pPr>
        <w:spacing w:after="0" w:line="45" w:lineRule="exact"/>
        <w:rPr>
          <w:rFonts w:ascii="Times New Roman" w:cs="Times New Roman" w:eastAsia="Times New Roman" w:hAnsi="Times New Roman"/>
          <w:sz w:val="17"/>
          <w:szCs w:val="17"/>
          <w:color w:val="auto"/>
        </w:rPr>
      </w:pPr>
    </w:p>
    <w:p>
      <w:pPr>
        <w:ind w:left="409" w:right="24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Employee shall in particular immediately notify the Company in text form of any inventions made during the term of the employment relationship, provided they result from the work performed for the Company or are primarily based on operational resources, preliminary work, inventions, knowledge, know-how or other experience or work of the Company or its customer base (hereinafter referred to as “</w:t>
      </w:r>
      <w:r>
        <w:rPr>
          <w:rFonts w:ascii="Times New Roman" w:cs="Times New Roman" w:eastAsia="Times New Roman" w:hAnsi="Times New Roman"/>
          <w:sz w:val="17"/>
          <w:szCs w:val="17"/>
          <w:b w:val="1"/>
          <w:bCs w:val="1"/>
          <w:color w:val="auto"/>
        </w:rPr>
        <w:t>Service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Inventions</w:t>
      </w:r>
      <w:r>
        <w:rPr>
          <w:rFonts w:ascii="Times New Roman" w:cs="Times New Roman" w:eastAsia="Times New Roman" w:hAnsi="Times New Roman"/>
          <w:sz w:val="17"/>
          <w:szCs w:val="17"/>
          <w:color w:val="auto"/>
        </w:rPr>
        <w:t>”).</w:t>
      </w:r>
    </w:p>
    <w:p>
      <w:pPr>
        <w:spacing w:after="0" w:line="69" w:lineRule="exact"/>
        <w:rPr>
          <w:rFonts w:ascii="Times New Roman" w:cs="Times New Roman" w:eastAsia="Times New Roman" w:hAnsi="Times New Roman"/>
          <w:sz w:val="17"/>
          <w:szCs w:val="17"/>
          <w:color w:val="auto"/>
        </w:rPr>
      </w:pPr>
    </w:p>
    <w:p>
      <w:pPr>
        <w:ind w:left="409" w:right="40"/>
        <w:spacing w:after="0" w:line="26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provisions of the ArbEG, the proprietary rights to Service Inventions shall transfer to the Company if it claims them. The same shall apply if the Company does not release a properly reported Service Invention to the Employee in text form within four months after receipt of the notification.</w:t>
      </w:r>
    </w:p>
    <w:p>
      <w:pPr>
        <w:spacing w:after="0" w:line="75" w:lineRule="exact"/>
        <w:rPr>
          <w:rFonts w:ascii="Times New Roman" w:cs="Times New Roman" w:eastAsia="Times New Roman" w:hAnsi="Times New Roman"/>
          <w:sz w:val="17"/>
          <w:szCs w:val="17"/>
          <w:color w:val="auto"/>
        </w:rPr>
      </w:pPr>
    </w:p>
    <w:p>
      <w:pPr>
        <w:ind w:left="409" w:right="540" w:hanging="409"/>
        <w:spacing w:after="0" w:line="261" w:lineRule="auto"/>
        <w:tabs>
          <w:tab w:leader="none" w:pos="409"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Employee shall immediately notify the Company of any software developments made during the term of the employment relationship, provided they result from work performed for the Company, are created following its instructions, or are based on operational resources, preliminary work, inventions, or suggestions from the Company or its customer base. The provisions of Sections 69a et seq. of the German Copyright Act (Urhebergesetz – “</w:t>
      </w:r>
      <w:r>
        <w:rPr>
          <w:rFonts w:ascii="Times New Roman" w:cs="Times New Roman" w:eastAsia="Times New Roman" w:hAnsi="Times New Roman"/>
          <w:sz w:val="17"/>
          <w:szCs w:val="17"/>
          <w:b w:val="1"/>
          <w:bCs w:val="1"/>
          <w:color w:val="auto"/>
        </w:rPr>
        <w:t>UrhG</w:t>
      </w:r>
      <w:r>
        <w:rPr>
          <w:rFonts w:ascii="Times New Roman" w:cs="Times New Roman" w:eastAsia="Times New Roman" w:hAnsi="Times New Roman"/>
          <w:sz w:val="17"/>
          <w:szCs w:val="17"/>
          <w:color w:val="auto"/>
        </w:rPr>
        <w:t>”) shall apply.</w:t>
      </w:r>
    </w:p>
    <w:p>
      <w:pPr>
        <w:spacing w:after="0" w:line="1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 xml:space="preserve">Seite </w:t>
      </w:r>
      <w:r>
        <w:rPr>
          <w:rFonts w:ascii="Times New Roman" w:cs="Times New Roman" w:eastAsia="Times New Roman" w:hAnsi="Times New Roman"/>
          <w:sz w:val="17"/>
          <w:szCs w:val="17"/>
          <w:b w:val="1"/>
          <w:bCs w:val="1"/>
          <w:color w:val="auto"/>
        </w:rPr>
        <w:t>7</w:t>
      </w:r>
      <w:r>
        <w:rPr>
          <w:rFonts w:ascii="Times New Roman" w:cs="Times New Roman" w:eastAsia="Times New Roman" w:hAnsi="Times New Roman"/>
          <w:sz w:val="17"/>
          <w:szCs w:val="17"/>
          <w:color w:val="auto"/>
        </w:rPr>
        <w:t xml:space="preserve"> von </w:t>
      </w:r>
      <w:r>
        <w:rPr>
          <w:rFonts w:ascii="Times New Roman" w:cs="Times New Roman" w:eastAsia="Times New Roman" w:hAnsi="Times New Roman"/>
          <w:sz w:val="17"/>
          <w:szCs w:val="17"/>
          <w:b w:val="1"/>
          <w:bCs w:val="1"/>
          <w:color w:val="auto"/>
        </w:rPr>
        <w:t>9</w:t>
      </w:r>
    </w:p>
    <w:p>
      <w:pPr>
        <w:sectPr>
          <w:pgSz w:w="11900" w:h="16838" w:orient="portrait"/>
          <w:cols w:equalWidth="0" w:num="1">
            <w:col w:w="10429"/>
          </w:cols>
          <w:pgMar w:left="731" w:top="260" w:right="739" w:bottom="1440" w:gutter="0" w:footer="0" w:header="0"/>
        </w:sectPr>
      </w:pPr>
    </w:p>
    <w:bookmarkStart w:id="28" w:name="page29"/>
    <w:bookmarkEnd w:id="28"/>
    <w:p>
      <w:pPr>
        <w:jc w:val="center"/>
        <w:ind w:right="-8"/>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Art. 10</w:t>
      </w:r>
    </w:p>
    <w:p>
      <w:pPr>
        <w:spacing w:after="0" w:line="3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b w:val="1"/>
          <w:bCs w:val="1"/>
          <w:color w:val="auto"/>
        </w:rPr>
        <w:t>Limited Term and Termination of the Employment Relationship</w:t>
      </w:r>
    </w:p>
    <w:p>
      <w:pPr>
        <w:spacing w:after="0" w:line="222" w:lineRule="exact"/>
        <w:rPr>
          <w:sz w:val="20"/>
          <w:szCs w:val="20"/>
          <w:color w:val="auto"/>
        </w:rPr>
      </w:pPr>
    </w:p>
    <w:p>
      <w:pPr>
        <w:ind w:left="409" w:hanging="409"/>
        <w:spacing w:after="0"/>
        <w:tabs>
          <w:tab w:leader="none" w:pos="409"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Employment Agreement shall commence on January 8, 2026 and shall expire automatically and without further notice on February 27, 2026.</w:t>
      </w:r>
    </w:p>
    <w:p>
      <w:pPr>
        <w:spacing w:after="0" w:line="123" w:lineRule="exact"/>
        <w:rPr>
          <w:rFonts w:ascii="Times New Roman" w:cs="Times New Roman" w:eastAsia="Times New Roman" w:hAnsi="Times New Roman"/>
          <w:sz w:val="17"/>
          <w:szCs w:val="17"/>
          <w:color w:val="auto"/>
        </w:rPr>
      </w:pPr>
    </w:p>
    <w:p>
      <w:pPr>
        <w:ind w:left="409" w:hanging="409"/>
        <w:spacing w:after="0"/>
        <w:tabs>
          <w:tab w:leader="none" w:pos="409"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Further, either Party may terminate this Employment Agreement anytime during its limited term subject to the statutory notice periods.</w:t>
      </w:r>
    </w:p>
    <w:p>
      <w:pPr>
        <w:spacing w:after="0" w:line="123" w:lineRule="exact"/>
        <w:rPr>
          <w:rFonts w:ascii="Times New Roman" w:cs="Times New Roman" w:eastAsia="Times New Roman" w:hAnsi="Times New Roman"/>
          <w:sz w:val="17"/>
          <w:szCs w:val="17"/>
          <w:color w:val="auto"/>
        </w:rPr>
      </w:pPr>
    </w:p>
    <w:p>
      <w:pPr>
        <w:ind w:left="409" w:hanging="409"/>
        <w:spacing w:after="0"/>
        <w:tabs>
          <w:tab w:leader="none" w:pos="409"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 to termination without notice for compelling reason (Sec. 626 BGB) shall remain unaffected thereby.</w:t>
      </w:r>
    </w:p>
    <w:p>
      <w:pPr>
        <w:spacing w:after="0" w:line="123" w:lineRule="exact"/>
        <w:rPr>
          <w:rFonts w:ascii="Times New Roman" w:cs="Times New Roman" w:eastAsia="Times New Roman" w:hAnsi="Times New Roman"/>
          <w:sz w:val="17"/>
          <w:szCs w:val="17"/>
          <w:color w:val="auto"/>
        </w:rPr>
      </w:pPr>
    </w:p>
    <w:p>
      <w:pPr>
        <w:ind w:left="409" w:hanging="409"/>
        <w:spacing w:after="0"/>
        <w:tabs>
          <w:tab w:leader="none" w:pos="409"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 termination to be effective, it must be in written form (Sec. 623 BGB).</w:t>
      </w:r>
    </w:p>
    <w:p>
      <w:pPr>
        <w:spacing w:after="0" w:line="123" w:lineRule="exact"/>
        <w:rPr>
          <w:rFonts w:ascii="Times New Roman" w:cs="Times New Roman" w:eastAsia="Times New Roman" w:hAnsi="Times New Roman"/>
          <w:sz w:val="17"/>
          <w:szCs w:val="17"/>
          <w:color w:val="auto"/>
        </w:rPr>
      </w:pPr>
    </w:p>
    <w:p>
      <w:pPr>
        <w:ind w:left="409" w:right="20" w:hanging="409"/>
        <w:spacing w:after="0" w:line="259" w:lineRule="auto"/>
        <w:tabs>
          <w:tab w:leader="none" w:pos="409"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Employee wants to assert that a dismissal is socially unjustified or legally invalid for other reasons or that the time limitation of the Employment Agreement is legally invalid, he must file an action with the labor court within three weeks after receipt of the written notice of dismissal or as of the agreed expiry of the employment for a declaration that the employment relationship has not been terminated by the dismissal nor the time limitation (Sec. 4 Unfair Dismissal Protection Act (Kündigungsschutzgesetz – “</w:t>
      </w:r>
      <w:r>
        <w:rPr>
          <w:rFonts w:ascii="Times New Roman" w:cs="Times New Roman" w:eastAsia="Times New Roman" w:hAnsi="Times New Roman"/>
          <w:sz w:val="17"/>
          <w:szCs w:val="17"/>
          <w:b w:val="1"/>
          <w:bCs w:val="1"/>
          <w:color w:val="auto"/>
        </w:rPr>
        <w:t>KSchG</w:t>
      </w:r>
      <w:r>
        <w:rPr>
          <w:rFonts w:ascii="Times New Roman" w:cs="Times New Roman" w:eastAsia="Times New Roman" w:hAnsi="Times New Roman"/>
          <w:sz w:val="17"/>
          <w:szCs w:val="17"/>
          <w:color w:val="auto"/>
        </w:rPr>
        <w:t>”), Sec. 17 Part-Time and Limited-Term Act Teilzeit- und Befristungsgesetz – “</w:t>
      </w:r>
      <w:r>
        <w:rPr>
          <w:rFonts w:ascii="Times New Roman" w:cs="Times New Roman" w:eastAsia="Times New Roman" w:hAnsi="Times New Roman"/>
          <w:sz w:val="17"/>
          <w:szCs w:val="17"/>
          <w:b w:val="1"/>
          <w:bCs w:val="1"/>
          <w:color w:val="auto"/>
        </w:rPr>
        <w:t>TzBfG</w:t>
      </w:r>
      <w:r>
        <w:rPr>
          <w:rFonts w:ascii="Times New Roman" w:cs="Times New Roman" w:eastAsia="Times New Roman" w:hAnsi="Times New Roman"/>
          <w:sz w:val="17"/>
          <w:szCs w:val="17"/>
          <w:color w:val="auto"/>
        </w:rPr>
        <w:t>”)).</w:t>
      </w:r>
    </w:p>
    <w:p>
      <w:pPr>
        <w:spacing w:after="0" w:line="82" w:lineRule="exact"/>
        <w:rPr>
          <w:rFonts w:ascii="Times New Roman" w:cs="Times New Roman" w:eastAsia="Times New Roman" w:hAnsi="Times New Roman"/>
          <w:sz w:val="17"/>
          <w:szCs w:val="17"/>
          <w:color w:val="auto"/>
        </w:rPr>
      </w:pPr>
    </w:p>
    <w:p>
      <w:pPr>
        <w:jc w:val="both"/>
        <w:ind w:left="409" w:right="140" w:hanging="409"/>
        <w:spacing w:after="0" w:line="267" w:lineRule="auto"/>
        <w:tabs>
          <w:tab w:leader="none" w:pos="409"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invalidity of a termination or a time limitation is not asserted in due time, the termination or the expiry respectively is deemed to be legally effective from the outset pursuant to Sec. 7 KSchG. A belated claim for protection against dismissal or for invalidity of the time termination may only be accepted subsequently under the conditions set forth in Sec. 5 KSchG.</w:t>
      </w:r>
    </w:p>
    <w:p>
      <w:pPr>
        <w:spacing w:after="0" w:line="36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b w:val="1"/>
          <w:bCs w:val="1"/>
          <w:color w:val="auto"/>
        </w:rPr>
        <w:t>Art. 11</w:t>
      </w:r>
    </w:p>
    <w:p>
      <w:pPr>
        <w:spacing w:after="0" w:line="3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b w:val="1"/>
          <w:bCs w:val="1"/>
          <w:color w:val="auto"/>
        </w:rPr>
        <w:t>Final Provisions</w:t>
      </w:r>
    </w:p>
    <w:p>
      <w:pPr>
        <w:spacing w:after="0" w:line="222" w:lineRule="exact"/>
        <w:rPr>
          <w:sz w:val="20"/>
          <w:szCs w:val="20"/>
          <w:color w:val="auto"/>
        </w:rPr>
      </w:pPr>
    </w:p>
    <w:p>
      <w:pPr>
        <w:ind w:left="409" w:hanging="409"/>
        <w:spacing w:after="0" w:line="267" w:lineRule="auto"/>
        <w:tabs>
          <w:tab w:leader="none" w:pos="409"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Employment Agreement between the Employee and the Company represents the entire and sole arrangement relating to the Employee’s occupation for the Company and shall replace or result in the termination of any prior arrangements between the Parties, whether made verbally, in writing or electronically. There are no side agreements.</w:t>
      </w:r>
    </w:p>
    <w:p>
      <w:pPr>
        <w:spacing w:after="0" w:line="75" w:lineRule="exact"/>
        <w:rPr>
          <w:rFonts w:ascii="Times New Roman" w:cs="Times New Roman" w:eastAsia="Times New Roman" w:hAnsi="Times New Roman"/>
          <w:sz w:val="17"/>
          <w:szCs w:val="17"/>
          <w:color w:val="auto"/>
        </w:rPr>
      </w:pPr>
    </w:p>
    <w:p>
      <w:pPr>
        <w:ind w:left="409" w:right="220" w:hanging="409"/>
        <w:spacing w:after="0" w:line="261" w:lineRule="auto"/>
        <w:tabs>
          <w:tab w:leader="none" w:pos="409"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amendments or additions to this Employment Agreement must be made in writing to be effective. This also applies to any waiver or modification of this written form requirement. The foregoing written form requirement shall not apply if the parties negotiate an individual agreement after the conclusion of the contract (Sec. 305b BGB). The written form requirement also applies to any claims arising from company practice (</w:t>
      </w:r>
      <w:r>
        <w:rPr>
          <w:rFonts w:ascii="Times New Roman" w:cs="Times New Roman" w:eastAsia="Times New Roman" w:hAnsi="Times New Roman"/>
          <w:sz w:val="17"/>
          <w:szCs w:val="17"/>
          <w:i w:val="1"/>
          <w:iCs w:val="1"/>
          <w:color w:val="auto"/>
        </w:rPr>
        <w:t>betriebliche Übung</w:t>
      </w:r>
      <w:r>
        <w:rPr>
          <w:rFonts w:ascii="Times New Roman" w:cs="Times New Roman" w:eastAsia="Times New Roman" w:hAnsi="Times New Roman"/>
          <w:sz w:val="17"/>
          <w:szCs w:val="17"/>
          <w:color w:val="auto"/>
        </w:rPr>
        <w:t>).</w:t>
      </w:r>
    </w:p>
    <w:p>
      <w:pPr>
        <w:spacing w:after="0" w:line="82" w:lineRule="exact"/>
        <w:rPr>
          <w:rFonts w:ascii="Times New Roman" w:cs="Times New Roman" w:eastAsia="Times New Roman" w:hAnsi="Times New Roman"/>
          <w:sz w:val="17"/>
          <w:szCs w:val="17"/>
          <w:color w:val="auto"/>
        </w:rPr>
      </w:pPr>
    </w:p>
    <w:p>
      <w:pPr>
        <w:ind w:left="409" w:hanging="409"/>
        <w:spacing w:after="0"/>
        <w:tabs>
          <w:tab w:leader="none" w:pos="409"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is governed by German Law.</w:t>
      </w:r>
    </w:p>
    <w:p>
      <w:pPr>
        <w:spacing w:after="0" w:line="1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 xml:space="preserve">Seite </w:t>
      </w:r>
      <w:r>
        <w:rPr>
          <w:rFonts w:ascii="Times New Roman" w:cs="Times New Roman" w:eastAsia="Times New Roman" w:hAnsi="Times New Roman"/>
          <w:sz w:val="17"/>
          <w:szCs w:val="17"/>
          <w:b w:val="1"/>
          <w:bCs w:val="1"/>
          <w:color w:val="auto"/>
        </w:rPr>
        <w:t>8</w:t>
      </w:r>
      <w:r>
        <w:rPr>
          <w:rFonts w:ascii="Times New Roman" w:cs="Times New Roman" w:eastAsia="Times New Roman" w:hAnsi="Times New Roman"/>
          <w:sz w:val="17"/>
          <w:szCs w:val="17"/>
          <w:color w:val="auto"/>
        </w:rPr>
        <w:t xml:space="preserve"> von </w:t>
      </w:r>
      <w:r>
        <w:rPr>
          <w:rFonts w:ascii="Times New Roman" w:cs="Times New Roman" w:eastAsia="Times New Roman" w:hAnsi="Times New Roman"/>
          <w:sz w:val="17"/>
          <w:szCs w:val="17"/>
          <w:b w:val="1"/>
          <w:bCs w:val="1"/>
          <w:color w:val="auto"/>
        </w:rPr>
        <w:t>9</w:t>
      </w:r>
    </w:p>
    <w:p>
      <w:pPr>
        <w:sectPr>
          <w:pgSz w:w="11900" w:h="16838" w:orient="portrait"/>
          <w:cols w:equalWidth="0" w:num="1">
            <w:col w:w="10429"/>
          </w:cols>
          <w:pgMar w:left="731" w:top="260" w:right="739" w:bottom="1440" w:gutter="0" w:footer="0" w:header="0"/>
        </w:sectPr>
      </w:pPr>
    </w:p>
    <w:bookmarkStart w:id="29" w:name="page30"/>
    <w:bookmarkEnd w:id="29"/>
    <w:p>
      <w:pPr>
        <w:ind w:left="409" w:right="240" w:hanging="409"/>
        <w:spacing w:after="0" w:line="283" w:lineRule="auto"/>
        <w:tabs>
          <w:tab w:leader="none" w:pos="409"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This Employment Agreement is executed in both German and English. Only the German version shall be authoritative and legally binding. The English version is a working translation.</w:t>
      </w:r>
    </w:p>
    <w:p>
      <w:pPr>
        <w:spacing w:after="0" w:line="62" w:lineRule="exact"/>
        <w:rPr>
          <w:rFonts w:ascii="Times New Roman" w:cs="Times New Roman" w:eastAsia="Times New Roman" w:hAnsi="Times New Roman"/>
          <w:sz w:val="17"/>
          <w:szCs w:val="17"/>
          <w:color w:val="auto"/>
        </w:rPr>
      </w:pPr>
    </w:p>
    <w:p>
      <w:pPr>
        <w:ind w:left="409" w:right="20" w:hanging="409"/>
        <w:spacing w:after="0" w:line="259" w:lineRule="auto"/>
        <w:tabs>
          <w:tab w:leader="none" w:pos="409"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provision hereof is or becomes invalid, the validity of the other provisions hereof shall not be affected thereby. In such a case, the invalid provision shall be replaced by the parties with a valid provision, which is as consistent as possible with the economic purpose of the invalid provision intended by the Parties to this Employment Agreement. This shall also apply if a provision is or becomes invalid on account of the scope or extent of an obligation or a time period. In such case, the legally admissible scope or extent of obligation or time period shall apply. The aforesaid shall apply mutatis mutandis to any gap in this Employment Agreement.</w:t>
      </w:r>
    </w:p>
    <w:p>
      <w:pPr>
        <w:spacing w:after="0" w:line="19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b w:val="1"/>
          <w:bCs w:val="1"/>
          <w:color w:val="auto"/>
        </w:rPr>
        <w:t>Tango Therapeutics, Inc.</w:t>
      </w:r>
    </w:p>
    <w:p>
      <w:pPr>
        <w:spacing w:after="0" w:line="21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color w:val="auto"/>
        </w:rPr>
        <w:t>/s/ Julie Carretero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26447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44775" cy="8255"/>
                    </a:xfrm>
                    <a:prstGeom prst="rect">
                      <a:avLst/>
                    </a:prstGeom>
                    <a:noFill/>
                  </pic:spPr>
                </pic:pic>
              </a:graphicData>
            </a:graphic>
          </wp:anchor>
        </w:drawing>
      </w:r>
    </w:p>
    <w:p>
      <w:pPr>
        <w:spacing w:after="0" w:line="14"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color w:val="auto"/>
        </w:rPr>
        <w:t>Julie Carretero</w:t>
      </w:r>
    </w:p>
    <w:p>
      <w:pPr>
        <w:spacing w:after="0" w:line="26"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color w:val="auto"/>
        </w:rPr>
        <w:t>Authorized Representative</w:t>
      </w:r>
    </w:p>
    <w:p>
      <w:pPr>
        <w:spacing w:after="0" w:line="196"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color w:val="auto"/>
        </w:rPr>
        <w:t>/s/ Malte Gerhard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26447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44775" cy="8255"/>
                    </a:xfrm>
                    <a:prstGeom prst="rect">
                      <a:avLst/>
                    </a:prstGeom>
                    <a:noFill/>
                  </pic:spPr>
                </pic:pic>
              </a:graphicData>
            </a:graphic>
          </wp:anchor>
        </w:drawing>
      </w:r>
    </w:p>
    <w:p>
      <w:pPr>
        <w:spacing w:after="0" w:line="14"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color w:val="auto"/>
        </w:rPr>
        <w:t>Malte Gerhard Peters</w:t>
      </w:r>
    </w:p>
    <w:p>
      <w:pPr>
        <w:spacing w:after="0" w:line="31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b w:val="1"/>
          <w:bCs w:val="1"/>
          <w:color w:val="auto"/>
        </w:rPr>
        <w:t>Confirmation of Receipt</w:t>
      </w:r>
    </w:p>
    <w:p>
      <w:pPr>
        <w:spacing w:after="0" w:line="111" w:lineRule="exact"/>
        <w:rPr>
          <w:sz w:val="20"/>
          <w:szCs w:val="20"/>
          <w:color w:val="auto"/>
        </w:rPr>
      </w:pPr>
    </w:p>
    <w:p>
      <w:pPr>
        <w:ind w:left="9" w:right="280"/>
        <w:spacing w:after="0" w:line="288" w:lineRule="auto"/>
        <w:rPr>
          <w:sz w:val="20"/>
          <w:szCs w:val="20"/>
          <w:color w:val="auto"/>
        </w:rPr>
      </w:pPr>
      <w:r>
        <w:rPr>
          <w:rFonts w:ascii="Times New Roman" w:cs="Times New Roman" w:eastAsia="Times New Roman" w:hAnsi="Times New Roman"/>
          <w:sz w:val="17"/>
          <w:szCs w:val="17"/>
          <w:color w:val="auto"/>
        </w:rPr>
        <w:t xml:space="preserve">By this further signature, the Employee confirms that, today, he or she has received a copy of this Employment Agreement </w:t>
      </w:r>
      <w:r>
        <w:rPr>
          <w:rFonts w:ascii="Times New Roman" w:cs="Times New Roman" w:eastAsia="Times New Roman" w:hAnsi="Times New Roman"/>
          <w:sz w:val="17"/>
          <w:szCs w:val="17"/>
          <w:b w:val="1"/>
          <w:bCs w:val="1"/>
          <w:color w:val="auto"/>
        </w:rPr>
        <w:t>originally</w:t>
      </w:r>
      <w:r>
        <w:rPr>
          <w:rFonts w:ascii="Times New Roman" w:cs="Times New Roman" w:eastAsia="Times New Roman" w:hAnsi="Times New Roman"/>
          <w:sz w:val="17"/>
          <w:szCs w:val="17"/>
          <w:color w:val="auto"/>
        </w:rPr>
        <w:t xml:space="preserve"> signed by both Parties.</w:t>
      </w:r>
    </w:p>
    <w:p>
      <w:pPr>
        <w:spacing w:after="0" w:line="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 xml:space="preserve">Seite </w:t>
      </w:r>
      <w:r>
        <w:rPr>
          <w:rFonts w:ascii="Times New Roman" w:cs="Times New Roman" w:eastAsia="Times New Roman" w:hAnsi="Times New Roman"/>
          <w:sz w:val="17"/>
          <w:szCs w:val="17"/>
          <w:b w:val="1"/>
          <w:bCs w:val="1"/>
          <w:color w:val="auto"/>
        </w:rPr>
        <w:t>9</w:t>
      </w:r>
      <w:r>
        <w:rPr>
          <w:rFonts w:ascii="Times New Roman" w:cs="Times New Roman" w:eastAsia="Times New Roman" w:hAnsi="Times New Roman"/>
          <w:sz w:val="17"/>
          <w:szCs w:val="17"/>
          <w:color w:val="auto"/>
        </w:rPr>
        <w:t xml:space="preserve"> von </w:t>
      </w:r>
      <w:r>
        <w:rPr>
          <w:rFonts w:ascii="Times New Roman" w:cs="Times New Roman" w:eastAsia="Times New Roman" w:hAnsi="Times New Roman"/>
          <w:sz w:val="17"/>
          <w:szCs w:val="17"/>
          <w:b w:val="1"/>
          <w:bCs w:val="1"/>
          <w:color w:val="auto"/>
        </w:rPr>
        <w:t>9</w:t>
      </w:r>
    </w:p>
    <w:p>
      <w:pPr>
        <w:sectPr>
          <w:pgSz w:w="11900" w:h="16838" w:orient="portrait"/>
          <w:cols w:equalWidth="0" w:num="1">
            <w:col w:w="10429"/>
          </w:cols>
          <w:pgMar w:left="731" w:top="264" w:right="7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7"/>
          <w:szCs w:val="17"/>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1209040" cy="389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09040" cy="389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EMPLOYMENT AGREEMENT</w:t>
      </w:r>
    </w:p>
    <w:p>
      <w:pPr>
        <w:spacing w:after="0" w:line="217" w:lineRule="exact"/>
        <w:rPr>
          <w:sz w:val="20"/>
          <w:szCs w:val="20"/>
          <w:color w:val="auto"/>
        </w:rPr>
      </w:pPr>
    </w:p>
    <w:p>
      <w:pPr>
        <w:ind w:right="40" w:firstLine="208"/>
        <w:spacing w:after="0" w:line="283" w:lineRule="auto"/>
        <w:rPr>
          <w:sz w:val="20"/>
          <w:szCs w:val="20"/>
          <w:color w:val="auto"/>
        </w:rPr>
      </w:pPr>
      <w:r>
        <w:rPr>
          <w:rFonts w:ascii="Times New Roman" w:cs="Times New Roman" w:eastAsia="Times New Roman" w:hAnsi="Times New Roman"/>
          <w:sz w:val="17"/>
          <w:szCs w:val="17"/>
          <w:color w:val="auto"/>
        </w:rPr>
        <w:t>This Employment Agreement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is made between Tango Therapeutics,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and Malte Peters, M.D. (the “</w:t>
      </w:r>
      <w:r>
        <w:rPr>
          <w:rFonts w:ascii="Times New Roman" w:cs="Times New Roman" w:eastAsia="Times New Roman" w:hAnsi="Times New Roman"/>
          <w:sz w:val="17"/>
          <w:szCs w:val="17"/>
          <w:u w:val="single" w:color="auto"/>
          <w:color w:val="auto"/>
        </w:rPr>
        <w:t>Executive</w:t>
      </w:r>
      <w:r>
        <w:rPr>
          <w:rFonts w:ascii="Times New Roman" w:cs="Times New Roman" w:eastAsia="Times New Roman" w:hAnsi="Times New Roman"/>
          <w:sz w:val="17"/>
          <w:szCs w:val="17"/>
          <w:color w:val="auto"/>
        </w:rPr>
        <w:t>”), and is effective as of the Effective Date, as defined in Section 23 herein.</w:t>
      </w:r>
    </w:p>
    <w:p>
      <w:pPr>
        <w:spacing w:after="0" w:line="152" w:lineRule="exact"/>
        <w:rPr>
          <w:sz w:val="20"/>
          <w:szCs w:val="20"/>
          <w:color w:val="auto"/>
        </w:rPr>
      </w:pPr>
    </w:p>
    <w:p>
      <w:pPr>
        <w:ind w:right="640" w:firstLine="208"/>
        <w:spacing w:after="0" w:line="283" w:lineRule="auto"/>
        <w:rPr>
          <w:sz w:val="20"/>
          <w:szCs w:val="20"/>
          <w:color w:val="auto"/>
        </w:rPr>
      </w:pPr>
      <w:r>
        <w:rPr>
          <w:rFonts w:ascii="Times New Roman" w:cs="Times New Roman" w:eastAsia="Times New Roman" w:hAnsi="Times New Roman"/>
          <w:sz w:val="17"/>
          <w:szCs w:val="17"/>
          <w:color w:val="auto"/>
        </w:rPr>
        <w:t>WHEREAS, the Company desires to employ the Executive and the Executive desires to be employed by the Company on the new terms and conditions contained herein.</w:t>
      </w:r>
    </w:p>
    <w:p>
      <w:pPr>
        <w:spacing w:after="0" w:line="152" w:lineRule="exact"/>
        <w:rPr>
          <w:sz w:val="20"/>
          <w:szCs w:val="20"/>
          <w:color w:val="auto"/>
        </w:rPr>
      </w:pPr>
    </w:p>
    <w:p>
      <w:pPr>
        <w:ind w:right="400" w:firstLine="208"/>
        <w:spacing w:after="0" w:line="283" w:lineRule="auto"/>
        <w:rPr>
          <w:sz w:val="20"/>
          <w:szCs w:val="20"/>
          <w:color w:val="auto"/>
        </w:rPr>
      </w:pPr>
      <w:r>
        <w:rPr>
          <w:rFonts w:ascii="Times New Roman" w:cs="Times New Roman" w:eastAsia="Times New Roman" w:hAnsi="Times New Roman"/>
          <w:sz w:val="17"/>
          <w:szCs w:val="17"/>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50" w:lineRule="exact"/>
        <w:rPr>
          <w:sz w:val="20"/>
          <w:szCs w:val="20"/>
          <w:color w:val="auto"/>
        </w:rPr>
      </w:pPr>
    </w:p>
    <w:p>
      <w:pPr>
        <w:ind w:left="580" w:hanging="172"/>
        <w:spacing w:after="0"/>
        <w:tabs>
          <w:tab w:leader="none" w:pos="58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Employment</w:t>
      </w:r>
      <w:r>
        <w:rPr>
          <w:rFonts w:ascii="Times New Roman" w:cs="Times New Roman" w:eastAsia="Times New Roman" w:hAnsi="Times New Roman"/>
          <w:sz w:val="17"/>
          <w:szCs w:val="17"/>
          <w:color w:val="auto"/>
        </w:rPr>
        <w:t>.</w:t>
      </w:r>
    </w:p>
    <w:p>
      <w:pPr>
        <w:spacing w:after="0" w:line="111" w:lineRule="exact"/>
        <w:rPr>
          <w:rFonts w:ascii="Times New Roman" w:cs="Times New Roman" w:eastAsia="Times New Roman" w:hAnsi="Times New Roman"/>
          <w:sz w:val="17"/>
          <w:szCs w:val="17"/>
          <w:color w:val="auto"/>
        </w:rPr>
      </w:pPr>
    </w:p>
    <w:p>
      <w:pPr>
        <w:ind w:right="240" w:firstLine="929"/>
        <w:spacing w:after="0" w:line="261" w:lineRule="auto"/>
        <w:tabs>
          <w:tab w:leader="none" w:pos="1170" w:val="left"/>
        </w:tabs>
        <w:numPr>
          <w:ilvl w:val="2"/>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 The Company shall employ the Executive and the Executive shall be employed by the Company pursuant to this Agreement commencing as of the Effective Date and continuing until such employment is terminated in accordance with the provisions hereof (the “</w:t>
      </w: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 The Executive’s employment with the Company shall be “at will,” meaning that the Executive’s employment may be terminated by the Company or the Executive at any time and for any reason subject to the terms of this Agreement.</w:t>
      </w:r>
    </w:p>
    <w:p>
      <w:pPr>
        <w:spacing w:after="0" w:line="69" w:lineRule="exact"/>
        <w:rPr>
          <w:rFonts w:ascii="Times New Roman" w:cs="Times New Roman" w:eastAsia="Times New Roman" w:hAnsi="Times New Roman"/>
          <w:sz w:val="17"/>
          <w:szCs w:val="17"/>
          <w:color w:val="auto"/>
        </w:rPr>
      </w:pPr>
    </w:p>
    <w:p>
      <w:pPr>
        <w:ind w:firstLine="929"/>
        <w:spacing w:after="0" w:line="254" w:lineRule="auto"/>
        <w:tabs>
          <w:tab w:leader="none" w:pos="1179" w:val="left"/>
        </w:tabs>
        <w:numPr>
          <w:ilvl w:val="2"/>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Position and Duties</w:t>
      </w:r>
      <w:r>
        <w:rPr>
          <w:rFonts w:ascii="Times New Roman" w:cs="Times New Roman" w:eastAsia="Times New Roman" w:hAnsi="Times New Roman"/>
          <w:sz w:val="17"/>
          <w:szCs w:val="17"/>
          <w:color w:val="auto"/>
        </w:rPr>
        <w:t>. The Executive shall serve as the President and Chief Executive Officer of the Company (the “</w:t>
      </w:r>
      <w:r>
        <w:rPr>
          <w:rFonts w:ascii="Times New Roman" w:cs="Times New Roman" w:eastAsia="Times New Roman" w:hAnsi="Times New Roman"/>
          <w:sz w:val="17"/>
          <w:szCs w:val="17"/>
          <w:u w:val="single" w:color="auto"/>
          <w:color w:val="auto"/>
        </w:rPr>
        <w:t>CEO</w:t>
      </w:r>
      <w:r>
        <w:rPr>
          <w:rFonts w:ascii="Times New Roman" w:cs="Times New Roman" w:eastAsia="Times New Roman" w:hAnsi="Times New Roman"/>
          <w:sz w:val="17"/>
          <w:szCs w:val="17"/>
          <w:color w:val="auto"/>
        </w:rPr>
        <w:t>”) and shall have such powers and duties commensurate with such position as the most senior officer of the Company as may from time to time be prescribed by the Board of Directors of the Company (the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xml:space="preserve">”). In addition, the Company shall cause the Executive to be nominated for election to the Board and to be recommended to the stockholders for election to the Board as long as the Executive remains the CEO,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Executive shall be deemed to have resigned from the Board and from any related positions upon ceasing to serve as CEO for any reason. The Executive shall devote the Executive’s full working time and efforts to the business and affairs of the Company. Notwithstanding the foregoing, the Executive may serve on the boards of directors of other for-profit companies with the prior approval of the Board, or engage in religious, charitable or other community activities as long as such services and activities do not unreasonably interfere with the Executive’s performance of the Executive’s duties to the Company. For the avoidance of doubt, Executive shall be allowed to continue providing services to HOOKIPA Pharma Inc. during the period in which HOOKIPA Pharma Inc. is winding down its business operations.</w:t>
      </w:r>
    </w:p>
    <w:p>
      <w:pPr>
        <w:spacing w:after="0" w:line="77" w:lineRule="exact"/>
        <w:rPr>
          <w:rFonts w:ascii="Times New Roman" w:cs="Times New Roman" w:eastAsia="Times New Roman" w:hAnsi="Times New Roman"/>
          <w:sz w:val="17"/>
          <w:szCs w:val="17"/>
          <w:color w:val="auto"/>
        </w:rPr>
      </w:pPr>
    </w:p>
    <w:p>
      <w:pPr>
        <w:ind w:right="20" w:firstLine="929"/>
        <w:spacing w:after="0" w:line="267" w:lineRule="auto"/>
        <w:tabs>
          <w:tab w:leader="none" w:pos="1170" w:val="left"/>
        </w:tabs>
        <w:numPr>
          <w:ilvl w:val="2"/>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Location</w:t>
      </w:r>
      <w:r>
        <w:rPr>
          <w:rFonts w:ascii="Times New Roman" w:cs="Times New Roman" w:eastAsia="Times New Roman" w:hAnsi="Times New Roman"/>
          <w:sz w:val="17"/>
          <w:szCs w:val="17"/>
          <w:color w:val="auto"/>
        </w:rPr>
        <w:t xml:space="preserve">. The Executive’s primary work location will be in the Company’s principal office, currently located in Boston, Massachusetts; </w:t>
      </w: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the Executive will be (1) allowed to work remotely consistent with Company policy in effect from time to time and (2) required to travel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business from time to time, consistent with the Company’s business needs.</w:t>
      </w:r>
    </w:p>
    <w:p>
      <w:pPr>
        <w:spacing w:after="0" w:line="63" w:lineRule="exact"/>
        <w:rPr>
          <w:rFonts w:ascii="Times New Roman" w:cs="Times New Roman" w:eastAsia="Times New Roman" w:hAnsi="Times New Roman"/>
          <w:sz w:val="17"/>
          <w:szCs w:val="17"/>
          <w:color w:val="auto"/>
        </w:rPr>
      </w:pPr>
    </w:p>
    <w:p>
      <w:pPr>
        <w:ind w:left="360" w:hanging="161"/>
        <w:spacing w:after="0"/>
        <w:tabs>
          <w:tab w:leader="none" w:pos="36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Compensation and Related Matters</w:t>
      </w:r>
      <w:r>
        <w:rPr>
          <w:rFonts w:ascii="Times New Roman" w:cs="Times New Roman" w:eastAsia="Times New Roman" w:hAnsi="Times New Roman"/>
          <w:sz w:val="17"/>
          <w:szCs w:val="17"/>
          <w:color w:val="auto"/>
        </w:rPr>
        <w:t>.</w:t>
      </w:r>
    </w:p>
    <w:p>
      <w:pPr>
        <w:spacing w:after="0" w:line="111" w:lineRule="exact"/>
        <w:rPr>
          <w:rFonts w:ascii="Times New Roman" w:cs="Times New Roman" w:eastAsia="Times New Roman" w:hAnsi="Times New Roman"/>
          <w:sz w:val="17"/>
          <w:szCs w:val="17"/>
          <w:color w:val="auto"/>
        </w:rPr>
      </w:pPr>
    </w:p>
    <w:p>
      <w:pPr>
        <w:ind w:right="20" w:firstLine="929"/>
        <w:spacing w:after="0" w:line="261" w:lineRule="auto"/>
        <w:tabs>
          <w:tab w:leader="none" w:pos="1170" w:val="left"/>
        </w:tabs>
        <w:numPr>
          <w:ilvl w:val="2"/>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Base Salary</w:t>
      </w:r>
      <w:r>
        <w:rPr>
          <w:rFonts w:ascii="Times New Roman" w:cs="Times New Roman" w:eastAsia="Times New Roman" w:hAnsi="Times New Roman"/>
          <w:sz w:val="17"/>
          <w:szCs w:val="17"/>
          <w:color w:val="auto"/>
        </w:rPr>
        <w:t>. The Executive’s initial base salary shall be paid at the rate of $720,000 per year. The Executive’s base salary shall be subject to periodic review and potential increase by the Board or the Compensation Committee of the Board (the “</w:t>
      </w:r>
      <w:r>
        <w:rPr>
          <w:rFonts w:ascii="Times New Roman" w:cs="Times New Roman" w:eastAsia="Times New Roman" w:hAnsi="Times New Roman"/>
          <w:sz w:val="17"/>
          <w:szCs w:val="17"/>
          <w:u w:val="single" w:color="auto"/>
          <w:color w:val="auto"/>
        </w:rPr>
        <w:t>Compensation Committee</w:t>
      </w:r>
      <w:r>
        <w:rPr>
          <w:rFonts w:ascii="Times New Roman" w:cs="Times New Roman" w:eastAsia="Times New Roman" w:hAnsi="Times New Roman"/>
          <w:sz w:val="17"/>
          <w:szCs w:val="17"/>
          <w:color w:val="auto"/>
        </w:rPr>
        <w:t>”). The base salary in effect at any given time is referred to herein as “</w:t>
      </w:r>
      <w:r>
        <w:rPr>
          <w:rFonts w:ascii="Times New Roman" w:cs="Times New Roman" w:eastAsia="Times New Roman" w:hAnsi="Times New Roman"/>
          <w:sz w:val="17"/>
          <w:szCs w:val="17"/>
          <w:u w:val="single" w:color="auto"/>
          <w:color w:val="auto"/>
        </w:rPr>
        <w:t>Base Salary</w:t>
      </w:r>
      <w:r>
        <w:rPr>
          <w:rFonts w:ascii="Times New Roman" w:cs="Times New Roman" w:eastAsia="Times New Roman" w:hAnsi="Times New Roman"/>
          <w:sz w:val="17"/>
          <w:szCs w:val="17"/>
          <w:color w:val="auto"/>
        </w:rPr>
        <w:t>.” The Base Salary shall be payable in a manner that is consistent with the Company’s usual payroll practices for its executive officers.</w:t>
      </w:r>
    </w:p>
    <w:p>
      <w:pPr>
        <w:sectPr>
          <w:pgSz w:w="11900" w:h="16838" w:orient="portrait"/>
          <w:cols w:equalWidth="0" w:num="1">
            <w:col w:w="10420"/>
          </w:cols>
          <w:pgMar w:left="740" w:top="119" w:right="739" w:bottom="1440" w:gutter="0" w:footer="0" w:header="0"/>
        </w:sectPr>
      </w:pPr>
    </w:p>
    <w:bookmarkStart w:id="31" w:name="page32"/>
    <w:bookmarkEnd w:id="31"/>
    <w:p>
      <w:pPr>
        <w:ind w:left="-60" w:right="60" w:firstLine="929"/>
        <w:spacing w:after="0"/>
        <w:tabs>
          <w:tab w:leader="none" w:pos="1119"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Incentive Compensation</w:t>
      </w:r>
      <w:r>
        <w:rPr>
          <w:rFonts w:ascii="Times New Roman" w:cs="Times New Roman" w:eastAsia="Times New Roman" w:hAnsi="Times New Roman"/>
          <w:sz w:val="17"/>
          <w:szCs w:val="17"/>
          <w:color w:val="auto"/>
        </w:rPr>
        <w:t>. The Executive shall be eligible to receive cash incentive compensation as determined by the Board or the Compensation Committee from time to time. The Executive’s initial target annual incentive compensation shall be 60% of the Executive’s Base Salary. The target annual incentive compensation in effect at any given time is referred to herein as “</w:t>
      </w:r>
      <w:r>
        <w:rPr>
          <w:rFonts w:ascii="Times New Roman" w:cs="Times New Roman" w:eastAsia="Times New Roman" w:hAnsi="Times New Roman"/>
          <w:sz w:val="17"/>
          <w:szCs w:val="17"/>
          <w:u w:val="single" w:color="auto"/>
          <w:color w:val="auto"/>
        </w:rPr>
        <w:t>Target Bonus</w:t>
      </w:r>
      <w:r>
        <w:rPr>
          <w:rFonts w:ascii="Times New Roman" w:cs="Times New Roman" w:eastAsia="Times New Roman" w:hAnsi="Times New Roman"/>
          <w:sz w:val="17"/>
          <w:szCs w:val="17"/>
          <w:color w:val="auto"/>
        </w:rPr>
        <w:t>.” The actual amount of the Executive’s annual incentive compensation, if any, shall be determined in the sole discretion of the Board or the Compensation Committee in good faith based on Company and/or individual performance objectives established by the Board or the Compensation Committee and in accordance with the terms of any applicable incentive compensation plan that may be in effect from time to time (except as set forth in this Agreement). Any annual incentive compensation will be paid no later than March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of the calendar year following the calendar year to which such bonus relates. Except as otherwise provided herein or as may be provided by the Board or the Compensation Committee, the Executive must be employed by the Company on the date such incentive compensation is paid in order to earn or receive any annual incentive compensation.</w:t>
      </w:r>
    </w:p>
    <w:p>
      <w:pPr>
        <w:spacing w:after="0" w:line="90" w:lineRule="exact"/>
        <w:rPr>
          <w:rFonts w:ascii="Times New Roman" w:cs="Times New Roman" w:eastAsia="Times New Roman" w:hAnsi="Times New Roman"/>
          <w:sz w:val="17"/>
          <w:szCs w:val="17"/>
          <w:color w:val="auto"/>
        </w:rPr>
      </w:pPr>
    </w:p>
    <w:p>
      <w:pPr>
        <w:ind w:left="-60" w:right="100" w:firstLine="929"/>
        <w:spacing w:after="0" w:line="259" w:lineRule="auto"/>
        <w:tabs>
          <w:tab w:leader="none" w:pos="111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Expenses</w:t>
      </w:r>
      <w:r>
        <w:rPr>
          <w:rFonts w:ascii="Times New Roman" w:cs="Times New Roman" w:eastAsia="Times New Roman" w:hAnsi="Times New Roman"/>
          <w:sz w:val="17"/>
          <w:szCs w:val="17"/>
          <w:color w:val="auto"/>
        </w:rPr>
        <w:t>. The Executive shall be entitled to receive prompt reimbursement for all reasonable and documented business expenses incurred by the Executive and submitted to the Company during the Term in performing services hereunder, including, notwithstanding any Company policy to the contrary, first-class airfare for any business travel on a domestic commercial flight with a scheduled flight time of two (2) hours or longer and business-class airfare for any business travel on an international commercial flight with a scheduled flight time of two (2) hours or longer, in accordance with the policies and procedures then in effect and established by the Company for its executive officers.</w:t>
      </w:r>
    </w:p>
    <w:p>
      <w:pPr>
        <w:spacing w:after="0" w:line="69" w:lineRule="exact"/>
        <w:rPr>
          <w:rFonts w:ascii="Times New Roman" w:cs="Times New Roman" w:eastAsia="Times New Roman" w:hAnsi="Times New Roman"/>
          <w:sz w:val="17"/>
          <w:szCs w:val="17"/>
          <w:color w:val="auto"/>
        </w:rPr>
      </w:pPr>
    </w:p>
    <w:p>
      <w:pPr>
        <w:ind w:left="-60" w:right="140" w:firstLine="929"/>
        <w:spacing w:after="0" w:line="259" w:lineRule="auto"/>
        <w:tabs>
          <w:tab w:leader="none" w:pos="1119"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Benefits</w:t>
      </w:r>
      <w:r>
        <w:rPr>
          <w:rFonts w:ascii="Times New Roman" w:cs="Times New Roman" w:eastAsia="Times New Roman" w:hAnsi="Times New Roman"/>
          <w:sz w:val="17"/>
          <w:szCs w:val="17"/>
          <w:color w:val="auto"/>
        </w:rPr>
        <w:t>. The Executive shall be eligible to participate in or receive benefits under the Company’s employee benefit plans in effect from time to time, subject to the terms of such plans. In addition, the Company shall pay the Executive (i) during the first two years of the Term once the Executive has obtained the required visa, a monthly housing allowance of $15,000 gross (subject to withholdings) and (ii) so long as the Executive or his dependents are not participating in the Company’s group health plan, at the end of each calendar year during the Term, an annual taxable stipend equal to the amount the Executive paid for his German health insurance premium in that calendar year.</w:t>
      </w:r>
    </w:p>
    <w:p>
      <w:pPr>
        <w:spacing w:after="0" w:line="69" w:lineRule="exact"/>
        <w:rPr>
          <w:rFonts w:ascii="Times New Roman" w:cs="Times New Roman" w:eastAsia="Times New Roman" w:hAnsi="Times New Roman"/>
          <w:sz w:val="17"/>
          <w:szCs w:val="17"/>
          <w:color w:val="auto"/>
        </w:rPr>
      </w:pPr>
    </w:p>
    <w:p>
      <w:pPr>
        <w:ind w:left="-60" w:right="80" w:firstLine="929"/>
        <w:spacing w:after="0" w:line="283" w:lineRule="auto"/>
        <w:tabs>
          <w:tab w:leader="none" w:pos="111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Paid Time Off</w:t>
      </w:r>
      <w:r>
        <w:rPr>
          <w:rFonts w:ascii="Times New Roman" w:cs="Times New Roman" w:eastAsia="Times New Roman" w:hAnsi="Times New Roman"/>
          <w:sz w:val="17"/>
          <w:szCs w:val="17"/>
          <w:color w:val="auto"/>
        </w:rPr>
        <w:t>. The Executive shall be entitled to take paid time off in accordance with the Company’s applicable paid time off policy for executives, as may be in effect from time to time.</w:t>
      </w:r>
    </w:p>
    <w:p>
      <w:pPr>
        <w:spacing w:after="0" w:line="50" w:lineRule="exact"/>
        <w:rPr>
          <w:rFonts w:ascii="Times New Roman" w:cs="Times New Roman" w:eastAsia="Times New Roman" w:hAnsi="Times New Roman"/>
          <w:sz w:val="17"/>
          <w:szCs w:val="17"/>
          <w:color w:val="auto"/>
        </w:rPr>
      </w:pPr>
    </w:p>
    <w:p>
      <w:pPr>
        <w:ind w:left="1080" w:hanging="211"/>
        <w:spacing w:after="0"/>
        <w:tabs>
          <w:tab w:leader="none" w:pos="108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Equity</w:t>
      </w:r>
      <w:r>
        <w:rPr>
          <w:rFonts w:ascii="Times New Roman" w:cs="Times New Roman" w:eastAsia="Times New Roman" w:hAnsi="Times New Roman"/>
          <w:sz w:val="17"/>
          <w:szCs w:val="17"/>
          <w:color w:val="auto"/>
        </w:rPr>
        <w:t>.</w:t>
      </w:r>
    </w:p>
    <w:p>
      <w:pPr>
        <w:spacing w:after="0" w:line="111" w:lineRule="exact"/>
        <w:rPr>
          <w:rFonts w:ascii="Times New Roman" w:cs="Times New Roman" w:eastAsia="Times New Roman" w:hAnsi="Times New Roman"/>
          <w:sz w:val="17"/>
          <w:szCs w:val="17"/>
          <w:color w:val="auto"/>
        </w:rPr>
      </w:pPr>
    </w:p>
    <w:p>
      <w:pPr>
        <w:ind w:left="340" w:firstLine="909"/>
        <w:spacing w:after="0" w:line="254" w:lineRule="auto"/>
        <w:tabs>
          <w:tab w:leader="none" w:pos="1444"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New Equity Awards.</w:t>
      </w:r>
      <w:r>
        <w:rPr>
          <w:rFonts w:ascii="Times New Roman" w:cs="Times New Roman" w:eastAsia="Times New Roman" w:hAnsi="Times New Roman"/>
          <w:sz w:val="17"/>
          <w:szCs w:val="17"/>
          <w:color w:val="auto"/>
        </w:rPr>
        <w:t xml:space="preserve"> Subject to the approval of the Board or a committee thereof, the Executive will be granted new hire equity awards in the form of a non-qualified stock option to purchase 1,650,000 shares of common stock of the Company (the “</w:t>
      </w:r>
      <w:r>
        <w:rPr>
          <w:rFonts w:ascii="Times New Roman" w:cs="Times New Roman" w:eastAsia="Times New Roman" w:hAnsi="Times New Roman"/>
          <w:sz w:val="17"/>
          <w:szCs w:val="17"/>
          <w:u w:val="single" w:color="auto"/>
          <w:color w:val="auto"/>
        </w:rPr>
        <w:t>Option</w:t>
      </w:r>
      <w:r>
        <w:rPr>
          <w:rFonts w:ascii="Times New Roman" w:cs="Times New Roman" w:eastAsia="Times New Roman" w:hAnsi="Times New Roman"/>
          <w:sz w:val="17"/>
          <w:szCs w:val="17"/>
          <w:color w:val="auto"/>
        </w:rPr>
        <w:t>”) at an exercise price equal to the fair market value of common stock on the date of grant and 350,000 restricted stock units (“</w:t>
      </w:r>
      <w:r>
        <w:rPr>
          <w:rFonts w:ascii="Times New Roman" w:cs="Times New Roman" w:eastAsia="Times New Roman" w:hAnsi="Times New Roman"/>
          <w:sz w:val="17"/>
          <w:szCs w:val="17"/>
          <w:u w:val="single" w:color="auto"/>
          <w:color w:val="auto"/>
        </w:rPr>
        <w:t>RSUs</w:t>
      </w:r>
      <w:r>
        <w:rPr>
          <w:rFonts w:ascii="Times New Roman" w:cs="Times New Roman" w:eastAsia="Times New Roman" w:hAnsi="Times New Roman"/>
          <w:sz w:val="17"/>
          <w:szCs w:val="17"/>
          <w:color w:val="auto"/>
        </w:rPr>
        <w:t>”). The Option will vest over four years, with 25% of the shares underlying the Option vesting on the first anniversary of January 8, 2026 and the remainder vesting in 36 equal monthly installments following the one-year anniversary of the January 8, 2026, subject to the Executive’s continued employment with the Company on each such vesting date. The RSUs will vest in approximately equal annual installments over three years (in accordance with the Company’s standard RSU vesting schedule at the date of grant), subject to the Executive’s continued employment with the Company on each vesting date. The Option and the RSUs will be subject to the terms of and contingent upon the Executive’s execution of equity award agreements issued pursuant to the Company’s equity incentive plan and the applicable equity incentive plan (collectively, the “</w:t>
      </w:r>
      <w:r>
        <w:rPr>
          <w:rFonts w:ascii="Times New Roman" w:cs="Times New Roman" w:eastAsia="Times New Roman" w:hAnsi="Times New Roman"/>
          <w:sz w:val="17"/>
          <w:szCs w:val="17"/>
          <w:u w:val="single" w:color="auto"/>
          <w:color w:val="auto"/>
        </w:rPr>
        <w:t>Equity Documents</w:t>
      </w:r>
      <w:r>
        <w:rPr>
          <w:rFonts w:ascii="Times New Roman" w:cs="Times New Roman" w:eastAsia="Times New Roman" w:hAnsi="Times New Roman"/>
          <w:sz w:val="17"/>
          <w:szCs w:val="17"/>
          <w:color w:val="auto"/>
        </w:rPr>
        <w:t>”). In the event of any inconsistency between this paragraph and the Equity Documents, the Equity Documents shall govern.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300"/>
          </w:cols>
          <w:pgMar w:left="800" w:top="264" w:right="799" w:bottom="1440" w:gutter="0" w:footer="0" w:header="0"/>
        </w:sectPr>
      </w:pPr>
    </w:p>
    <w:bookmarkStart w:id="32" w:name="page33"/>
    <w:bookmarkEnd w:id="32"/>
    <w:p>
      <w:pPr>
        <w:ind w:left="340" w:right="60" w:firstLine="909"/>
        <w:spacing w:after="0" w:line="267" w:lineRule="auto"/>
        <w:tabs>
          <w:tab w:leader="none" w:pos="1491" w:val="left"/>
        </w:tabs>
        <w:numPr>
          <w:ilvl w:val="2"/>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 xml:space="preserve">The equity awards currently held by the Executive shall continue to be governed by the terms and conditions of the Equity Documents;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and notwithstanding anything to the contrary in the Equity Documents, Sections 5(d) and 6(a) of this Agreement shall apply in the event of a termination of the Executive’s employment by the Company without Cause or by the Executive for Good Reason.</w:t>
      </w:r>
    </w:p>
    <w:p>
      <w:pPr>
        <w:spacing w:after="0" w:line="63" w:lineRule="exact"/>
        <w:rPr>
          <w:rFonts w:ascii="Times New Roman" w:cs="Times New Roman" w:eastAsia="Times New Roman" w:hAnsi="Times New Roman"/>
          <w:sz w:val="17"/>
          <w:szCs w:val="17"/>
          <w:color w:val="auto"/>
        </w:rPr>
      </w:pPr>
    </w:p>
    <w:p>
      <w:pPr>
        <w:ind w:left="-60" w:right="820" w:firstLine="408"/>
        <w:spacing w:after="0" w:line="283" w:lineRule="auto"/>
        <w:tabs>
          <w:tab w:leader="none" w:pos="527"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The Executive’s employment hereunder may be terminated without any breach of this Agreement under the following circumstances:</w:t>
      </w:r>
    </w:p>
    <w:p>
      <w:pPr>
        <w:spacing w:after="0" w:line="50" w:lineRule="exact"/>
        <w:rPr>
          <w:rFonts w:ascii="Times New Roman" w:cs="Times New Roman" w:eastAsia="Times New Roman" w:hAnsi="Times New Roman"/>
          <w:sz w:val="17"/>
          <w:szCs w:val="17"/>
          <w:color w:val="auto"/>
        </w:rPr>
      </w:pPr>
    </w:p>
    <w:p>
      <w:pPr>
        <w:ind w:left="1100" w:hanging="231"/>
        <w:spacing w:after="0"/>
        <w:tabs>
          <w:tab w:leader="none" w:pos="1100"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Death</w:t>
      </w:r>
      <w:r>
        <w:rPr>
          <w:rFonts w:ascii="Times New Roman" w:cs="Times New Roman" w:eastAsia="Times New Roman" w:hAnsi="Times New Roman"/>
          <w:sz w:val="17"/>
          <w:szCs w:val="17"/>
          <w:color w:val="auto"/>
        </w:rPr>
        <w:t>. The Executive’s employment hereunder shall terminate upon death.</w:t>
      </w:r>
    </w:p>
    <w:p>
      <w:pPr>
        <w:spacing w:after="0" w:line="111" w:lineRule="exact"/>
        <w:rPr>
          <w:rFonts w:ascii="Times New Roman" w:cs="Times New Roman" w:eastAsia="Times New Roman" w:hAnsi="Times New Roman"/>
          <w:sz w:val="17"/>
          <w:szCs w:val="17"/>
          <w:color w:val="auto"/>
        </w:rPr>
      </w:pPr>
    </w:p>
    <w:p>
      <w:pPr>
        <w:ind w:left="-60" w:firstLine="929"/>
        <w:spacing w:after="0" w:line="254" w:lineRule="auto"/>
        <w:tabs>
          <w:tab w:leader="none" w:pos="1119"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Disability</w:t>
      </w:r>
      <w:r>
        <w:rPr>
          <w:rFonts w:ascii="Times New Roman" w:cs="Times New Roman" w:eastAsia="Times New Roman" w:hAnsi="Times New Roman"/>
          <w:sz w:val="17"/>
          <w:szCs w:val="17"/>
          <w:color w:val="auto"/>
        </w:rPr>
        <w:t xml:space="preserve">. The Company may terminate the Executive’s employment if the Executive is disabled and unable to perform or expected to be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§2601 </w:t>
      </w:r>
      <w:r>
        <w:rPr>
          <w:rFonts w:ascii="Times New Roman" w:cs="Times New Roman" w:eastAsia="Times New Roman" w:hAnsi="Times New Roman"/>
          <w:sz w:val="17"/>
          <w:szCs w:val="17"/>
          <w:i w:val="1"/>
          <w:iCs w:val="1"/>
          <w:color w:val="auto"/>
        </w:rPr>
        <w:t>et seq</w:t>
      </w:r>
      <w:r>
        <w:rPr>
          <w:rFonts w:ascii="Times New Roman" w:cs="Times New Roman" w:eastAsia="Times New Roman" w:hAnsi="Times New Roman"/>
          <w:sz w:val="17"/>
          <w:szCs w:val="17"/>
          <w:color w:val="auto"/>
        </w:rPr>
        <w:t xml:space="preserve">. and the Americans with Disabilities Act, 42 U.S.C. §12101 </w:t>
      </w:r>
      <w:r>
        <w:rPr>
          <w:rFonts w:ascii="Times New Roman" w:cs="Times New Roman" w:eastAsia="Times New Roman" w:hAnsi="Times New Roman"/>
          <w:sz w:val="17"/>
          <w:szCs w:val="17"/>
          <w:i w:val="1"/>
          <w:iCs w:val="1"/>
          <w:color w:val="auto"/>
        </w:rPr>
        <w:t>et seq.</w:t>
      </w:r>
    </w:p>
    <w:p>
      <w:pPr>
        <w:spacing w:after="0" w:line="75" w:lineRule="exact"/>
        <w:rPr>
          <w:rFonts w:ascii="Times New Roman" w:cs="Times New Roman" w:eastAsia="Times New Roman" w:hAnsi="Times New Roman"/>
          <w:sz w:val="17"/>
          <w:szCs w:val="17"/>
          <w:color w:val="auto"/>
        </w:rPr>
      </w:pPr>
    </w:p>
    <w:p>
      <w:pPr>
        <w:ind w:left="-60" w:right="420" w:firstLine="929"/>
        <w:spacing w:after="0" w:line="283" w:lineRule="auto"/>
        <w:tabs>
          <w:tab w:leader="none" w:pos="1110"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by the Company for Cause</w:t>
      </w:r>
      <w:r>
        <w:rPr>
          <w:rFonts w:ascii="Times New Roman" w:cs="Times New Roman" w:eastAsia="Times New Roman" w:hAnsi="Times New Roman"/>
          <w:sz w:val="17"/>
          <w:szCs w:val="17"/>
          <w:color w:val="auto"/>
        </w:rPr>
        <w:t>. The Company may terminate the Executive’s employment hereunder for Cause. For the purposes of this Agreement, “</w:t>
      </w:r>
      <w:r>
        <w:rPr>
          <w:rFonts w:ascii="Times New Roman" w:cs="Times New Roman" w:eastAsia="Times New Roman" w:hAnsi="Times New Roman"/>
          <w:sz w:val="17"/>
          <w:szCs w:val="17"/>
          <w:u w:val="single" w:color="auto"/>
          <w:color w:val="auto"/>
        </w:rPr>
        <w:t>Cause</w:t>
      </w:r>
      <w:r>
        <w:rPr>
          <w:rFonts w:ascii="Times New Roman" w:cs="Times New Roman" w:eastAsia="Times New Roman" w:hAnsi="Times New Roman"/>
          <w:sz w:val="17"/>
          <w:szCs w:val="17"/>
          <w:color w:val="auto"/>
        </w:rPr>
        <w:t>” shall mean any of the following:</w:t>
      </w:r>
    </w:p>
    <w:p>
      <w:pPr>
        <w:spacing w:after="0" w:line="50" w:lineRule="exact"/>
        <w:rPr>
          <w:rFonts w:ascii="Times New Roman" w:cs="Times New Roman" w:eastAsia="Times New Roman" w:hAnsi="Times New Roman"/>
          <w:sz w:val="17"/>
          <w:szCs w:val="17"/>
          <w:color w:val="auto"/>
        </w:rPr>
      </w:pPr>
    </w:p>
    <w:p>
      <w:pPr>
        <w:ind w:left="340" w:right="80" w:firstLine="909"/>
        <w:spacing w:after="0" w:line="267" w:lineRule="auto"/>
        <w:tabs>
          <w:tab w:leader="none" w:pos="1444" w:val="left"/>
        </w:tabs>
        <w:numPr>
          <w:ilvl w:val="2"/>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Executive’s dishonest statements or acts with respect to the Company or any affiliate of the Company, or any current or prospective customers, suppliers vendors or other third parties with which such entity does business that results in or is reasonably anticipated to result in material harm to the Company;</w:t>
      </w:r>
    </w:p>
    <w:p>
      <w:pPr>
        <w:spacing w:after="0" w:line="63" w:lineRule="exact"/>
        <w:rPr>
          <w:sz w:val="20"/>
          <w:szCs w:val="20"/>
          <w:color w:val="auto"/>
        </w:rPr>
      </w:pPr>
    </w:p>
    <w:p>
      <w:pPr>
        <w:ind w:left="1500" w:hanging="251"/>
        <w:spacing w:after="0"/>
        <w:tabs>
          <w:tab w:leader="none" w:pos="15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Executive’s commission of (A) a felony or (B) any misdemeanor involving moral turpitude, deceit, dishonesty or fraud;</w:t>
      </w:r>
    </w:p>
    <w:p>
      <w:pPr>
        <w:spacing w:after="0" w:line="111" w:lineRule="exact"/>
        <w:rPr>
          <w:rFonts w:ascii="Times New Roman" w:cs="Times New Roman" w:eastAsia="Times New Roman" w:hAnsi="Times New Roman"/>
          <w:sz w:val="17"/>
          <w:szCs w:val="17"/>
          <w:color w:val="auto"/>
        </w:rPr>
      </w:pPr>
    </w:p>
    <w:p>
      <w:pPr>
        <w:ind w:left="340" w:right="100" w:firstLine="909"/>
        <w:spacing w:after="0" w:line="267" w:lineRule="auto"/>
        <w:tabs>
          <w:tab w:leader="none" w:pos="1539"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Executive’s substantial failure to perform the Executive’s assigned material duties and responsibilities which failure continues for 30 days after written notice given to the Executive by the Board describing such failure in reasonable detail in the reasonable good faith judgment of the Board;</w:t>
      </w:r>
    </w:p>
    <w:p>
      <w:pPr>
        <w:spacing w:after="0" w:line="63" w:lineRule="exact"/>
        <w:rPr>
          <w:rFonts w:ascii="Times New Roman" w:cs="Times New Roman" w:eastAsia="Times New Roman" w:hAnsi="Times New Roman"/>
          <w:sz w:val="17"/>
          <w:szCs w:val="17"/>
          <w:color w:val="auto"/>
        </w:rPr>
      </w:pPr>
    </w:p>
    <w:p>
      <w:pPr>
        <w:ind w:left="340" w:right="560" w:firstLine="909"/>
        <w:spacing w:after="0" w:line="283" w:lineRule="auto"/>
        <w:tabs>
          <w:tab w:leader="none" w:pos="1529"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Executive’s gross negligence, willful misconduct or insubordination with respect to the Company that results in or is reasonably anticipated to result in material harm to the Company;</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280"/>
          </w:cols>
          <w:pgMar w:left="800" w:top="264" w:right="819" w:bottom="1440" w:gutter="0" w:footer="0" w:header="0"/>
        </w:sectPr>
      </w:pPr>
    </w:p>
    <w:bookmarkStart w:id="33" w:name="page34"/>
    <w:bookmarkEnd w:id="33"/>
    <w:p>
      <w:pPr>
        <w:ind w:left="400" w:right="120" w:firstLine="909"/>
        <w:spacing w:after="0" w:line="267" w:lineRule="auto"/>
        <w:tabs>
          <w:tab w:leader="none" w:pos="1542"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the Executive’s material violation of this Agreement, the Restrictive Covenants Agreement (as defined below), or any provision of any agreement(s) between the Executive and the Company relating to noncompetition, nonsolicitation, nondisclosure and/or assignment of inventions; or</w:t>
      </w:r>
    </w:p>
    <w:p>
      <w:pPr>
        <w:spacing w:after="0" w:line="63" w:lineRule="exact"/>
        <w:rPr>
          <w:rFonts w:ascii="Times New Roman" w:cs="Times New Roman" w:eastAsia="Times New Roman" w:hAnsi="Times New Roman"/>
          <w:sz w:val="17"/>
          <w:szCs w:val="17"/>
          <w:color w:val="auto"/>
        </w:rPr>
      </w:pPr>
    </w:p>
    <w:p>
      <w:pPr>
        <w:ind w:left="400" w:right="120" w:firstLine="909"/>
        <w:spacing w:after="0" w:line="261" w:lineRule="auto"/>
        <w:tabs>
          <w:tab w:leader="none" w:pos="1589"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Executive’s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69" w:lineRule="exact"/>
        <w:rPr>
          <w:rFonts w:ascii="Times New Roman" w:cs="Times New Roman" w:eastAsia="Times New Roman" w:hAnsi="Times New Roman"/>
          <w:sz w:val="17"/>
          <w:szCs w:val="17"/>
          <w:color w:val="auto"/>
        </w:rPr>
      </w:pPr>
    </w:p>
    <w:p>
      <w:pPr>
        <w:ind w:right="40" w:firstLine="929"/>
        <w:spacing w:after="0" w:line="291" w:lineRule="auto"/>
        <w:tabs>
          <w:tab w:leader="none" w:pos="1179"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by the Company without Cause</w:t>
      </w:r>
      <w:r>
        <w:rPr>
          <w:rFonts w:ascii="Times New Roman" w:cs="Times New Roman" w:eastAsia="Times New Roman" w:hAnsi="Times New Roman"/>
          <w:sz w:val="16"/>
          <w:szCs w:val="16"/>
          <w:color w:val="auto"/>
        </w:rPr>
        <w:t>. The Company may terminate the Executive’s employment hereunder at any time without Cause. Any termination by the Company of the Executive’s employment under this Agreement that does not constitute a termination for Cause under Section 3(c) and does not result from the death or disability of the Executive under Section 3(a) or (b) shall be deemed a termination without Cause.</w:t>
      </w:r>
    </w:p>
    <w:p>
      <w:pPr>
        <w:spacing w:after="0" w:line="46" w:lineRule="exact"/>
        <w:rPr>
          <w:rFonts w:ascii="Times New Roman" w:cs="Times New Roman" w:eastAsia="Times New Roman" w:hAnsi="Times New Roman"/>
          <w:sz w:val="16"/>
          <w:szCs w:val="16"/>
          <w:color w:val="auto"/>
        </w:rPr>
      </w:pPr>
    </w:p>
    <w:p>
      <w:pPr>
        <w:ind w:firstLine="929"/>
        <w:spacing w:after="0" w:line="258" w:lineRule="auto"/>
        <w:tabs>
          <w:tab w:leader="none" w:pos="117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by the Executive</w:t>
      </w:r>
      <w:r>
        <w:rPr>
          <w:rFonts w:ascii="Times New Roman" w:cs="Times New Roman" w:eastAsia="Times New Roman" w:hAnsi="Times New Roman"/>
          <w:sz w:val="17"/>
          <w:szCs w:val="17"/>
          <w:color w:val="auto"/>
        </w:rPr>
        <w:t>. The Executive may terminate employment hereunder at any time for any reason, including but not limited to, Good Reason. For the purposes of this Agreement, “</w:t>
      </w:r>
      <w:r>
        <w:rPr>
          <w:rFonts w:ascii="Times New Roman" w:cs="Times New Roman" w:eastAsia="Times New Roman" w:hAnsi="Times New Roman"/>
          <w:sz w:val="17"/>
          <w:szCs w:val="17"/>
          <w:u w:val="single" w:color="auto"/>
          <w:color w:val="auto"/>
        </w:rPr>
        <w:t>Good Reason</w:t>
      </w:r>
      <w:r>
        <w:rPr>
          <w:rFonts w:ascii="Times New Roman" w:cs="Times New Roman" w:eastAsia="Times New Roman" w:hAnsi="Times New Roman"/>
          <w:sz w:val="17"/>
          <w:szCs w:val="17"/>
          <w:color w:val="auto"/>
        </w:rPr>
        <w:t>” shall mean that the Executive has completed all steps of the Good Reason Process (hereinafter defined) following the occurrence of any of the following events without the Executive’s consent (each, a</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Good Reason Condition</w:t>
      </w:r>
      <w:r>
        <w:rPr>
          <w:rFonts w:ascii="Times New Roman" w:cs="Times New Roman" w:eastAsia="Times New Roman" w:hAnsi="Times New Roman"/>
          <w:sz w:val="17"/>
          <w:szCs w:val="17"/>
          <w:color w:val="auto"/>
        </w:rPr>
        <w:t>”):</w:t>
      </w:r>
    </w:p>
    <w:p>
      <w:pPr>
        <w:spacing w:after="0" w:line="93" w:lineRule="exact"/>
        <w:rPr>
          <w:rFonts w:ascii="Times New Roman" w:cs="Times New Roman" w:eastAsia="Times New Roman" w:hAnsi="Times New Roman"/>
          <w:sz w:val="17"/>
          <w:szCs w:val="17"/>
          <w:color w:val="auto"/>
        </w:rPr>
      </w:pPr>
    </w:p>
    <w:p>
      <w:pPr>
        <w:ind w:left="1520" w:hanging="211"/>
        <w:spacing w:after="0"/>
        <w:tabs>
          <w:tab w:leader="none" w:pos="152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material diminution in the Executive’s title, responsibilities, authority or duties;</w:t>
      </w:r>
    </w:p>
    <w:p>
      <w:pPr>
        <w:spacing w:after="0" w:line="111" w:lineRule="exact"/>
        <w:rPr>
          <w:rFonts w:ascii="Times New Roman" w:cs="Times New Roman" w:eastAsia="Times New Roman" w:hAnsi="Times New Roman"/>
          <w:sz w:val="17"/>
          <w:szCs w:val="17"/>
          <w:color w:val="auto"/>
        </w:rPr>
      </w:pPr>
    </w:p>
    <w:p>
      <w:pPr>
        <w:ind w:left="1560" w:hanging="251"/>
        <w:spacing w:after="0"/>
        <w:tabs>
          <w:tab w:leader="none" w:pos="156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material diminution in the Executive’s Base Salary or a material reduction in the Executive’s benefits, except for</w:t>
      </w:r>
    </w:p>
    <w:p>
      <w:pPr>
        <w:spacing w:after="0" w:line="26" w:lineRule="exact"/>
        <w:rPr>
          <w:sz w:val="20"/>
          <w:szCs w:val="20"/>
          <w:color w:val="auto"/>
        </w:rPr>
      </w:pPr>
    </w:p>
    <w:p>
      <w:pPr>
        <w:ind w:left="400" w:right="280"/>
        <w:spacing w:after="0" w:line="261" w:lineRule="auto"/>
        <w:rPr>
          <w:sz w:val="20"/>
          <w:szCs w:val="20"/>
          <w:color w:val="auto"/>
        </w:rPr>
      </w:pPr>
      <w:r>
        <w:rPr>
          <w:rFonts w:ascii="Times New Roman" w:cs="Times New Roman" w:eastAsia="Times New Roman" w:hAnsi="Times New Roman"/>
          <w:sz w:val="17"/>
          <w:szCs w:val="17"/>
          <w:color w:val="auto"/>
        </w:rPr>
        <w:t>across-the-board salary reductions based on the Company’s financial performance or a general reduction in the benefits, in each case similarly affecting all or substantially all senior management employees of the Company;</w:t>
      </w:r>
    </w:p>
    <w:p>
      <w:pPr>
        <w:spacing w:after="0" w:line="69" w:lineRule="exact"/>
        <w:rPr>
          <w:sz w:val="20"/>
          <w:szCs w:val="20"/>
          <w:color w:val="auto"/>
        </w:rPr>
      </w:pPr>
    </w:p>
    <w:p>
      <w:pPr>
        <w:ind w:left="400" w:firstLine="909"/>
        <w:spacing w:after="0" w:line="267" w:lineRule="auto"/>
        <w:tabs>
          <w:tab w:leader="none" w:pos="1599"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material change in the geographic location of the principal office of the Company to which the Executive is assigned, such that there is an increase of at least 50 miles of driving distance to such location from the Executive’s principal residence as of such change, not including business travel and short-term assignments;</w:t>
      </w:r>
    </w:p>
    <w:p>
      <w:pPr>
        <w:spacing w:after="0" w:line="63" w:lineRule="exact"/>
        <w:rPr>
          <w:rFonts w:ascii="Times New Roman" w:cs="Times New Roman" w:eastAsia="Times New Roman" w:hAnsi="Times New Roman"/>
          <w:sz w:val="17"/>
          <w:szCs w:val="17"/>
          <w:color w:val="auto"/>
        </w:rPr>
      </w:pPr>
    </w:p>
    <w:p>
      <w:pPr>
        <w:ind w:left="1600" w:hanging="291"/>
        <w:spacing w:after="0"/>
        <w:tabs>
          <w:tab w:leader="none" w:pos="16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material breach of this Agreement by the Company; or</w:t>
      </w:r>
    </w:p>
    <w:p>
      <w:pPr>
        <w:spacing w:after="0" w:line="111" w:lineRule="exact"/>
        <w:rPr>
          <w:rFonts w:ascii="Times New Roman" w:cs="Times New Roman" w:eastAsia="Times New Roman" w:hAnsi="Times New Roman"/>
          <w:sz w:val="17"/>
          <w:szCs w:val="17"/>
          <w:color w:val="auto"/>
        </w:rPr>
      </w:pPr>
    </w:p>
    <w:p>
      <w:pPr>
        <w:ind w:left="1540" w:hanging="231"/>
        <w:spacing w:after="0"/>
        <w:tabs>
          <w:tab w:leader="none" w:pos="15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failure by the Company to obtain the assumption of this Agreement by any successor to the Company.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u w:val="single" w:color="auto"/>
          <w:color w:val="auto"/>
        </w:rPr>
        <w:t>Good Reason Process</w:t>
      </w:r>
      <w:r>
        <w:rPr>
          <w:rFonts w:ascii="Times New Roman" w:cs="Times New Roman" w:eastAsia="Times New Roman" w:hAnsi="Times New Roman"/>
          <w:sz w:val="17"/>
          <w:szCs w:val="17"/>
          <w:color w:val="auto"/>
        </w:rPr>
        <w:t>” consists of the following steps:</w:t>
      </w:r>
    </w:p>
    <w:p>
      <w:pPr>
        <w:spacing w:after="0" w:line="111" w:lineRule="exact"/>
        <w:rPr>
          <w:sz w:val="20"/>
          <w:szCs w:val="20"/>
          <w:color w:val="auto"/>
        </w:rPr>
      </w:pPr>
    </w:p>
    <w:p>
      <w:pPr>
        <w:ind w:left="1520" w:hanging="211"/>
        <w:spacing w:after="0"/>
        <w:tabs>
          <w:tab w:leader="none" w:pos="15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 reasonably determines in good faith that a Good Reason Condition has occurred;</w:t>
      </w:r>
    </w:p>
    <w:p>
      <w:pPr>
        <w:spacing w:after="0" w:line="111" w:lineRule="exact"/>
        <w:rPr>
          <w:rFonts w:ascii="Times New Roman" w:cs="Times New Roman" w:eastAsia="Times New Roman" w:hAnsi="Times New Roman"/>
          <w:sz w:val="17"/>
          <w:szCs w:val="17"/>
          <w:color w:val="auto"/>
        </w:rPr>
      </w:pPr>
    </w:p>
    <w:p>
      <w:pPr>
        <w:ind w:left="400" w:right="200" w:firstLine="909"/>
        <w:spacing w:after="0" w:line="283" w:lineRule="auto"/>
        <w:tabs>
          <w:tab w:leader="none" w:pos="1551"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 notifies the Company in writing of the first occurrence of the Good Reason Condition within 60 days of the first occurrence of such condition;</w:t>
      </w:r>
    </w:p>
    <w:p>
      <w:pPr>
        <w:spacing w:after="0" w:line="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380"/>
          </w:cols>
          <w:pgMar w:left="740" w:top="264" w:right="779" w:bottom="1440" w:gutter="0" w:footer="0" w:header="0"/>
        </w:sectPr>
      </w:pPr>
    </w:p>
    <w:bookmarkStart w:id="34" w:name="page35"/>
    <w:bookmarkEnd w:id="34"/>
    <w:p>
      <w:pPr>
        <w:ind w:left="409" w:right="240" w:firstLine="909"/>
        <w:spacing w:after="0" w:line="283" w:lineRule="auto"/>
        <w:tabs>
          <w:tab w:leader="none" w:pos="1608"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the Executive cooperates in good faith with the Company’s efforts, for a period of not less than 30 days following such notice (the “</w:t>
      </w:r>
      <w:r>
        <w:rPr>
          <w:rFonts w:ascii="Times New Roman" w:cs="Times New Roman" w:eastAsia="Times New Roman" w:hAnsi="Times New Roman"/>
          <w:sz w:val="17"/>
          <w:szCs w:val="17"/>
          <w:u w:val="single" w:color="auto"/>
          <w:color w:val="auto"/>
        </w:rPr>
        <w:t>Cure Period</w:t>
      </w:r>
      <w:r>
        <w:rPr>
          <w:rFonts w:ascii="Times New Roman" w:cs="Times New Roman" w:eastAsia="Times New Roman" w:hAnsi="Times New Roman"/>
          <w:sz w:val="17"/>
          <w:szCs w:val="17"/>
          <w:color w:val="auto"/>
        </w:rPr>
        <w:t>”), to remedy the Good Reason Condition;</w:t>
      </w:r>
    </w:p>
    <w:p>
      <w:pPr>
        <w:spacing w:after="0" w:line="50" w:lineRule="exact"/>
        <w:rPr>
          <w:rFonts w:ascii="Times New Roman" w:cs="Times New Roman" w:eastAsia="Times New Roman" w:hAnsi="Times New Roman"/>
          <w:sz w:val="17"/>
          <w:szCs w:val="17"/>
          <w:color w:val="auto"/>
        </w:rPr>
      </w:pPr>
    </w:p>
    <w:p>
      <w:pPr>
        <w:ind w:left="1609" w:hanging="291"/>
        <w:spacing w:after="0"/>
        <w:tabs>
          <w:tab w:leader="none" w:pos="1609"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such efforts, the Good Reason Condition continues to exist at the end of the Cure Period; and</w:t>
      </w:r>
    </w:p>
    <w:p>
      <w:pPr>
        <w:spacing w:after="0" w:line="111" w:lineRule="exact"/>
        <w:rPr>
          <w:rFonts w:ascii="Times New Roman" w:cs="Times New Roman" w:eastAsia="Times New Roman" w:hAnsi="Times New Roman"/>
          <w:sz w:val="17"/>
          <w:szCs w:val="17"/>
          <w:color w:val="auto"/>
        </w:rPr>
      </w:pPr>
    </w:p>
    <w:p>
      <w:pPr>
        <w:ind w:left="1549" w:hanging="231"/>
        <w:spacing w:after="0"/>
        <w:tabs>
          <w:tab w:leader="none" w:pos="1549"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 terminates employment within 60 days after the end of the Cure Period.</w:t>
      </w:r>
    </w:p>
    <w:p>
      <w:pPr>
        <w:spacing w:after="0" w:line="21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color w:val="auto"/>
        </w:rPr>
        <w:t>If the Company cures the Good Reason Condition during the Cure Period, Good Reason shall be deemed not to have occurred.</w:t>
      </w:r>
    </w:p>
    <w:p>
      <w:pPr>
        <w:spacing w:after="0" w:line="111" w:lineRule="exact"/>
        <w:rPr>
          <w:sz w:val="20"/>
          <w:szCs w:val="20"/>
          <w:color w:val="auto"/>
        </w:rPr>
      </w:pPr>
    </w:p>
    <w:p>
      <w:pPr>
        <w:ind w:left="589" w:hanging="172"/>
        <w:spacing w:after="0"/>
        <w:tabs>
          <w:tab w:leader="none" w:pos="589"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Matters related to Termination</w:t>
      </w:r>
      <w:r>
        <w:rPr>
          <w:rFonts w:ascii="Times New Roman" w:cs="Times New Roman" w:eastAsia="Times New Roman" w:hAnsi="Times New Roman"/>
          <w:sz w:val="17"/>
          <w:szCs w:val="17"/>
          <w:color w:val="auto"/>
        </w:rPr>
        <w:t>.</w:t>
      </w:r>
    </w:p>
    <w:p>
      <w:pPr>
        <w:spacing w:after="0" w:line="111" w:lineRule="exact"/>
        <w:rPr>
          <w:rFonts w:ascii="Times New Roman" w:cs="Times New Roman" w:eastAsia="Times New Roman" w:hAnsi="Times New Roman"/>
          <w:sz w:val="17"/>
          <w:szCs w:val="17"/>
          <w:color w:val="auto"/>
        </w:rPr>
      </w:pPr>
    </w:p>
    <w:p>
      <w:pPr>
        <w:ind w:left="9" w:right="100" w:firstLine="929"/>
        <w:spacing w:after="0" w:line="291" w:lineRule="auto"/>
        <w:tabs>
          <w:tab w:leader="none" w:pos="1179" w:val="left"/>
        </w:tabs>
        <w:numPr>
          <w:ilvl w:val="2"/>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 of Termination</w:t>
      </w:r>
      <w:r>
        <w:rPr>
          <w:rFonts w:ascii="Times New Roman" w:cs="Times New Roman" w:eastAsia="Times New Roman" w:hAnsi="Times New Roman"/>
          <w:sz w:val="16"/>
          <w:szCs w:val="16"/>
          <w:color w:val="auto"/>
        </w:rPr>
        <w:t>. Except for termination as specified in Section 3(a), any termination of the Executive’s employment by the Company or any such termination by the Executive shall be communicated by written Notice of Termination to the other party hereto. For the purposes of this Agreement, a “</w:t>
      </w:r>
      <w:r>
        <w:rPr>
          <w:rFonts w:ascii="Times New Roman" w:cs="Times New Roman" w:eastAsia="Times New Roman" w:hAnsi="Times New Roman"/>
          <w:sz w:val="16"/>
          <w:szCs w:val="16"/>
          <w:u w:val="single" w:color="auto"/>
          <w:color w:val="auto"/>
        </w:rPr>
        <w:t>Notice of Termination</w:t>
      </w:r>
      <w:r>
        <w:rPr>
          <w:rFonts w:ascii="Times New Roman" w:cs="Times New Roman" w:eastAsia="Times New Roman" w:hAnsi="Times New Roman"/>
          <w:sz w:val="16"/>
          <w:szCs w:val="16"/>
          <w:color w:val="auto"/>
        </w:rPr>
        <w:t>” shall mean a notice which shall indicate the specific termination provision in this Agreement relied upon.</w:t>
      </w:r>
    </w:p>
    <w:p>
      <w:pPr>
        <w:spacing w:after="0" w:line="46" w:lineRule="exact"/>
        <w:rPr>
          <w:rFonts w:ascii="Times New Roman" w:cs="Times New Roman" w:eastAsia="Times New Roman" w:hAnsi="Times New Roman"/>
          <w:sz w:val="16"/>
          <w:szCs w:val="16"/>
          <w:color w:val="auto"/>
        </w:rPr>
      </w:pPr>
    </w:p>
    <w:p>
      <w:pPr>
        <w:ind w:left="1189" w:hanging="251"/>
        <w:spacing w:after="0"/>
        <w:tabs>
          <w:tab w:leader="none" w:pos="1189" w:val="left"/>
        </w:tabs>
        <w:numPr>
          <w:ilvl w:val="2"/>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Date of Termination</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Date of Termination</w:t>
      </w:r>
      <w:r>
        <w:rPr>
          <w:rFonts w:ascii="Times New Roman" w:cs="Times New Roman" w:eastAsia="Times New Roman" w:hAnsi="Times New Roman"/>
          <w:sz w:val="17"/>
          <w:szCs w:val="17"/>
          <w:color w:val="auto"/>
        </w:rPr>
        <w:t>” shall mean: (i) if the Executive’s employment is terminated by death, the date of death;</w:t>
      </w:r>
    </w:p>
    <w:p>
      <w:pPr>
        <w:spacing w:after="0" w:line="26" w:lineRule="exact"/>
        <w:rPr>
          <w:rFonts w:ascii="Times New Roman" w:cs="Times New Roman" w:eastAsia="Times New Roman" w:hAnsi="Times New Roman"/>
          <w:sz w:val="17"/>
          <w:szCs w:val="17"/>
          <w:color w:val="auto"/>
        </w:rPr>
      </w:pPr>
    </w:p>
    <w:p>
      <w:pPr>
        <w:ind w:left="9" w:hanging="9"/>
        <w:spacing w:after="0" w:line="266" w:lineRule="auto"/>
        <w:tabs>
          <w:tab w:leader="none" w:pos="26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Executive’s employment is terminated on account of disability under Section 3(b) or by the Company for Cause under Section 3(c), the date on which Notice of Termination is given; (iii) if the Executive’s employment is terminated by the Company without Cause under Section 3(d), the date on which a Notice of Termination is given or the date otherwise specified by the Company in the Notice of Termination; (iv) if the Executive’s employment is terminated by the Executive under Section 3(e) other than for Good Reason, 30 days after the date on which a Notice of Termination is given, and</w:t>
      </w:r>
    </w:p>
    <w:p>
      <w:pPr>
        <w:spacing w:after="0" w:line="2" w:lineRule="exact"/>
        <w:rPr>
          <w:rFonts w:ascii="Times New Roman" w:cs="Times New Roman" w:eastAsia="Times New Roman" w:hAnsi="Times New Roman"/>
          <w:sz w:val="16"/>
          <w:szCs w:val="16"/>
          <w:color w:val="auto"/>
        </w:rPr>
      </w:pPr>
    </w:p>
    <w:p>
      <w:pPr>
        <w:ind w:left="9" w:right="20" w:hanging="9"/>
        <w:spacing w:after="0" w:line="254" w:lineRule="auto"/>
        <w:tabs>
          <w:tab w:leader="none" w:pos="25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Executive’s employment is terminated by the Executive under Section 3(e) for Good Reason, the date on which a Notice of Termination is given after the end of the Cure Period. Notwithstanding the foregoing, in the event that the Executive gives a Notice of Termination to the Company, the Company may unilaterally accelerate the Date of Termination and such acceleration shall not result in a termination by the Company for the purposes of this Agreement.</w:t>
      </w:r>
    </w:p>
    <w:p>
      <w:pPr>
        <w:spacing w:after="0" w:line="75" w:lineRule="exact"/>
        <w:rPr>
          <w:rFonts w:ascii="Times New Roman" w:cs="Times New Roman" w:eastAsia="Times New Roman" w:hAnsi="Times New Roman"/>
          <w:sz w:val="17"/>
          <w:szCs w:val="17"/>
          <w:color w:val="auto"/>
        </w:rPr>
      </w:pPr>
    </w:p>
    <w:p>
      <w:pPr>
        <w:ind w:left="9" w:firstLine="929"/>
        <w:spacing w:after="0" w:line="257" w:lineRule="auto"/>
        <w:tabs>
          <w:tab w:leader="none" w:pos="1179" w:val="left"/>
        </w:tabs>
        <w:numPr>
          <w:ilvl w:val="2"/>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Accrued Obligations</w:t>
      </w:r>
      <w:r>
        <w:rPr>
          <w:rFonts w:ascii="Times New Roman" w:cs="Times New Roman" w:eastAsia="Times New Roman" w:hAnsi="Times New Roman"/>
          <w:sz w:val="17"/>
          <w:szCs w:val="17"/>
          <w:color w:val="auto"/>
        </w:rPr>
        <w:t>. If the Executive’s employment with the Company is terminated for any reason, the Company shall pay or provide to the Executive (or to the Executive’s authorized representative or estate) (i) any earned but unpaid Base Salary and, if applicable, accrued but unused vacation earned through the Date of Termination; (ii) unpaid expense reimbursements (subject to, and in accordance with, Section 2(c) of this Agreement); and (iii) any vested benefits the Executive may have under any employee benefit plan of the Company through the Date of Termination, which vested benefits shall be paid and/or provided in accordance with the terms of such employee benefit plans (collectively, the “</w:t>
      </w:r>
      <w:r>
        <w:rPr>
          <w:rFonts w:ascii="Times New Roman" w:cs="Times New Roman" w:eastAsia="Times New Roman" w:hAnsi="Times New Roman"/>
          <w:sz w:val="17"/>
          <w:szCs w:val="17"/>
          <w:u w:val="single" w:color="auto"/>
          <w:color w:val="auto"/>
        </w:rPr>
        <w:t>Accrued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Obligations</w:t>
      </w:r>
      <w:r>
        <w:rPr>
          <w:rFonts w:ascii="Times New Roman" w:cs="Times New Roman" w:eastAsia="Times New Roman" w:hAnsi="Times New Roman"/>
          <w:sz w:val="17"/>
          <w:szCs w:val="17"/>
          <w:color w:val="auto"/>
        </w:rPr>
        <w:t>”).</w:t>
      </w:r>
    </w:p>
    <w:p>
      <w:pPr>
        <w:spacing w:after="0" w:line="72" w:lineRule="exact"/>
        <w:rPr>
          <w:rFonts w:ascii="Times New Roman" w:cs="Times New Roman" w:eastAsia="Times New Roman" w:hAnsi="Times New Roman"/>
          <w:sz w:val="17"/>
          <w:szCs w:val="17"/>
          <w:color w:val="auto"/>
        </w:rPr>
      </w:pPr>
    </w:p>
    <w:p>
      <w:pPr>
        <w:ind w:left="9" w:right="40" w:firstLine="929"/>
        <w:spacing w:after="0" w:line="261" w:lineRule="auto"/>
        <w:tabs>
          <w:tab w:leader="none" w:pos="1188" w:val="left"/>
        </w:tabs>
        <w:numPr>
          <w:ilvl w:val="2"/>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Resignation of All Other Positions</w:t>
      </w:r>
      <w:r>
        <w:rPr>
          <w:rFonts w:ascii="Times New Roman" w:cs="Times New Roman" w:eastAsia="Times New Roman" w:hAnsi="Times New Roman"/>
          <w:sz w:val="17"/>
          <w:szCs w:val="17"/>
          <w:color w:val="auto"/>
        </w:rPr>
        <w:t>. To the extent applicable, the Executive shall be deemed to have resigned from all officer and board member positions that the Executive holds with the Company or any of its respective subsidiaries and affiliates upon the termination of the Executive’s employment for any reason. The Executive shall execute any documents in reasonable form as may be requested by the Company to confirm or effectuate any such resignations.</w:t>
      </w:r>
    </w:p>
    <w:p>
      <w:pPr>
        <w:spacing w:after="0" w:line="108" w:lineRule="exact"/>
        <w:rPr>
          <w:sz w:val="20"/>
          <w:szCs w:val="20"/>
          <w:color w:val="auto"/>
        </w:rPr>
      </w:pPr>
    </w:p>
    <w:p>
      <w:pPr>
        <w:jc w:val="center"/>
        <w:ind w:right="-28"/>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409"/>
          </w:cols>
          <w:pgMar w:left="731" w:top="264" w:right="759" w:bottom="1440" w:gutter="0" w:footer="0" w:header="0"/>
        </w:sectPr>
      </w:pPr>
    </w:p>
    <w:bookmarkStart w:id="35" w:name="page36"/>
    <w:bookmarkEnd w:id="35"/>
    <w:p>
      <w:pPr>
        <w:ind w:left="9" w:right="20" w:firstLine="408"/>
        <w:spacing w:after="0" w:line="254" w:lineRule="auto"/>
        <w:tabs>
          <w:tab w:leader="none" w:pos="596"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Severance Pay and Benefits Upon Termination by the Company without Cause or by the Executive for Good Reason Outside the Change in Control Period</w:t>
      </w:r>
      <w:r>
        <w:rPr>
          <w:rFonts w:ascii="Times New Roman" w:cs="Times New Roman" w:eastAsia="Times New Roman" w:hAnsi="Times New Roman"/>
          <w:sz w:val="17"/>
          <w:szCs w:val="17"/>
          <w:color w:val="auto"/>
        </w:rPr>
        <w:t>. If the Executive’s employment is terminated by the Company without Cause as provided in Section 3(d), or the Executive terminates employment for Good Reason as provided in Section 3(e), in each case outside of the Change in Control Period (as defined below), then, in addition to the Accrued Obligations, and subject to (i) the Executive signing a separation agreement and release in a form and manner reasonably satisfactory to the Company (the “</w:t>
      </w:r>
      <w:r>
        <w:rPr>
          <w:rFonts w:ascii="Times New Roman" w:cs="Times New Roman" w:eastAsia="Times New Roman" w:hAnsi="Times New Roman"/>
          <w:sz w:val="17"/>
          <w:szCs w:val="17"/>
          <w:u w:val="single" w:color="auto"/>
          <w:color w:val="auto"/>
        </w:rPr>
        <w:t>Release</w:t>
      </w:r>
      <w:r>
        <w:rPr>
          <w:rFonts w:ascii="Times New Roman" w:cs="Times New Roman" w:eastAsia="Times New Roman" w:hAnsi="Times New Roman"/>
          <w:sz w:val="17"/>
          <w:szCs w:val="17"/>
          <w:color w:val="auto"/>
        </w:rPr>
        <w:t>”), which shall include, without limitation, a general release of claims against the Company and all related persons and entities that shall not release the Executive’s rights under this Agreement or the other agreements referred to in this Agreement, a reaffirmation of all of the Executive’s Continuing Obligations (as defined below), and, in the Company’s sole discretion, a one-year post-employment noncompetition agreement (which shall not expand the scope of proscribed activities under any then-existing noncompetition obligations), and shall provide that if the Executive breaches any of the Continuing Obligations, all payments of the Severance Amount shall immediately cease (the “</w:t>
      </w:r>
      <w:r>
        <w:rPr>
          <w:rFonts w:ascii="Times New Roman" w:cs="Times New Roman" w:eastAsia="Times New Roman" w:hAnsi="Times New Roman"/>
          <w:sz w:val="17"/>
          <w:szCs w:val="17"/>
          <w:u w:val="single" w:color="auto"/>
          <w:color w:val="auto"/>
        </w:rPr>
        <w:t>Separation Agreement</w:t>
      </w:r>
      <w:r>
        <w:rPr>
          <w:rFonts w:ascii="Times New Roman" w:cs="Times New Roman" w:eastAsia="Times New Roman" w:hAnsi="Times New Roman"/>
          <w:sz w:val="17"/>
          <w:szCs w:val="17"/>
          <w:color w:val="auto"/>
        </w:rPr>
        <w:t>”), and (ii) the Separation Agreement becoming irrevocable, all within 60 days after the Date of Termination (or such shorter period as set forth in the Separation Agreement), which shall include a seven business day revocation period:</w:t>
      </w:r>
    </w:p>
    <w:p>
      <w:pPr>
        <w:spacing w:after="0" w:line="75" w:lineRule="exact"/>
        <w:rPr>
          <w:rFonts w:ascii="Times New Roman" w:cs="Times New Roman" w:eastAsia="Times New Roman" w:hAnsi="Times New Roman"/>
          <w:sz w:val="17"/>
          <w:szCs w:val="17"/>
          <w:color w:val="auto"/>
        </w:rPr>
      </w:pPr>
    </w:p>
    <w:p>
      <w:pPr>
        <w:jc w:val="both"/>
        <w:ind w:left="9" w:right="180" w:firstLine="929"/>
        <w:spacing w:after="0" w:line="267" w:lineRule="auto"/>
        <w:tabs>
          <w:tab w:leader="none" w:pos="1179" w:val="left"/>
        </w:tabs>
        <w:numPr>
          <w:ilvl w:val="2"/>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pay the Executive an amount equal to the sum of (i) 12 months of the Executive’s Base Salary plus (ii) a prorated portion of the Target Bonus for the year of termination based on the Date of Termination (the “</w:t>
      </w:r>
      <w:r>
        <w:rPr>
          <w:rFonts w:ascii="Times New Roman" w:cs="Times New Roman" w:eastAsia="Times New Roman" w:hAnsi="Times New Roman"/>
          <w:sz w:val="17"/>
          <w:szCs w:val="17"/>
          <w:u w:val="single" w:color="auto"/>
          <w:color w:val="auto"/>
        </w:rPr>
        <w:t>Prorated Bonus</w:t>
      </w:r>
      <w:r>
        <w:rPr>
          <w:rFonts w:ascii="Times New Roman" w:cs="Times New Roman" w:eastAsia="Times New Roman" w:hAnsi="Times New Roman"/>
          <w:sz w:val="17"/>
          <w:szCs w:val="17"/>
          <w:color w:val="auto"/>
        </w:rPr>
        <w:t>”) (together, the “</w:t>
      </w:r>
      <w:r>
        <w:rPr>
          <w:rFonts w:ascii="Times New Roman" w:cs="Times New Roman" w:eastAsia="Times New Roman" w:hAnsi="Times New Roman"/>
          <w:sz w:val="17"/>
          <w:szCs w:val="17"/>
          <w:u w:val="single" w:color="auto"/>
          <w:color w:val="auto"/>
        </w:rPr>
        <w:t>Severance Amount</w:t>
      </w:r>
      <w:r>
        <w:rPr>
          <w:rFonts w:ascii="Times New Roman" w:cs="Times New Roman" w:eastAsia="Times New Roman" w:hAnsi="Times New Roman"/>
          <w:sz w:val="17"/>
          <w:szCs w:val="17"/>
          <w:color w:val="auto"/>
        </w:rPr>
        <w:t>”); and</w:t>
      </w:r>
    </w:p>
    <w:p>
      <w:pPr>
        <w:spacing w:after="0" w:line="63" w:lineRule="exact"/>
        <w:rPr>
          <w:rFonts w:ascii="Times New Roman" w:cs="Times New Roman" w:eastAsia="Times New Roman" w:hAnsi="Times New Roman"/>
          <w:sz w:val="17"/>
          <w:szCs w:val="17"/>
          <w:color w:val="auto"/>
        </w:rPr>
      </w:pPr>
    </w:p>
    <w:p>
      <w:pPr>
        <w:jc w:val="both"/>
        <w:ind w:left="9" w:right="40" w:firstLine="929"/>
        <w:spacing w:after="0" w:line="261" w:lineRule="auto"/>
        <w:tabs>
          <w:tab w:leader="none" w:pos="1189" w:val="left"/>
        </w:tabs>
        <w:numPr>
          <w:ilvl w:val="2"/>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Date of Termination occurs after the end of a calendar year and the Board or the Compensation Committee, as applicable, has determined and approved annual incentive compensation pursuant to Section 2(b) but has not yet paid such annual incentive compensation, then the Company shall pay the Executive the annual incentive compensation that he otherwise would have received if he had remained employed on the date of payment (the “</w:t>
      </w:r>
      <w:r>
        <w:rPr>
          <w:rFonts w:ascii="Times New Roman" w:cs="Times New Roman" w:eastAsia="Times New Roman" w:hAnsi="Times New Roman"/>
          <w:sz w:val="17"/>
          <w:szCs w:val="17"/>
          <w:u w:val="single" w:color="auto"/>
          <w:color w:val="auto"/>
        </w:rPr>
        <w:t>Prior Year Bonus</w:t>
      </w:r>
      <w:r>
        <w:rPr>
          <w:rFonts w:ascii="Times New Roman" w:cs="Times New Roman" w:eastAsia="Times New Roman" w:hAnsi="Times New Roman"/>
          <w:sz w:val="17"/>
          <w:szCs w:val="17"/>
          <w:color w:val="auto"/>
        </w:rPr>
        <w:t>”); and</w:t>
      </w:r>
    </w:p>
    <w:p>
      <w:pPr>
        <w:spacing w:after="0" w:line="69" w:lineRule="exact"/>
        <w:rPr>
          <w:rFonts w:ascii="Times New Roman" w:cs="Times New Roman" w:eastAsia="Times New Roman" w:hAnsi="Times New Roman"/>
          <w:sz w:val="17"/>
          <w:szCs w:val="17"/>
          <w:color w:val="auto"/>
        </w:rPr>
      </w:pPr>
    </w:p>
    <w:p>
      <w:pPr>
        <w:ind w:left="9" w:firstLine="929"/>
        <w:spacing w:after="0" w:line="255" w:lineRule="auto"/>
        <w:tabs>
          <w:tab w:leader="none" w:pos="1179" w:val="left"/>
        </w:tabs>
        <w:numPr>
          <w:ilvl w:val="2"/>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Executive is covered under the Company’s group health insurance plan as of the Date of Termination and subject to the Executive’s copayment of premium amounts at the applicable active employees’ rate and the Executive’s proper election to receive benefits under the Consolidated Omnibus Budget Reconciliation Act of 1985, as amended (“</w:t>
      </w:r>
      <w:r>
        <w:rPr>
          <w:rFonts w:ascii="Times New Roman" w:cs="Times New Roman" w:eastAsia="Times New Roman" w:hAnsi="Times New Roman"/>
          <w:sz w:val="17"/>
          <w:szCs w:val="17"/>
          <w:u w:val="single" w:color="auto"/>
          <w:color w:val="auto"/>
        </w:rPr>
        <w:t>COBRA</w:t>
      </w:r>
      <w:r>
        <w:rPr>
          <w:rFonts w:ascii="Times New Roman" w:cs="Times New Roman" w:eastAsia="Times New Roman" w:hAnsi="Times New Roman"/>
          <w:sz w:val="17"/>
          <w:szCs w:val="17"/>
          <w:color w:val="auto"/>
        </w:rPr>
        <w:t>”), the Company shall pay to the group health plan provider or the COBRA provider a monthly payment equal to the monthly employer contribution that the Company would have made to provide health insurance to the Executive if the Executive had remained employed by the Company until the earliest of (A) the 12 month anniversary of the Date of Termination;</w:t>
      </w:r>
    </w:p>
    <w:p>
      <w:pPr>
        <w:ind w:left="9" w:right="60" w:hanging="9"/>
        <w:spacing w:after="0" w:line="253" w:lineRule="auto"/>
        <w:tabs>
          <w:tab w:leader="none" w:pos="279"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date that the Executive becomes eligible for group medical plan benefits under any other employer’s group medical plan; or (C) the cessation of the Executive’s health continuation rights under COBRA;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the Executive for the time period specified above. Such payments to the Executive shall be subject to tax-related deductions and withholdings and paid on the Company’s regular payroll dates; and</w:t>
      </w:r>
    </w:p>
    <w:p>
      <w:pPr>
        <w:spacing w:after="0" w:line="75" w:lineRule="exact"/>
        <w:rPr>
          <w:rFonts w:ascii="Times New Roman" w:cs="Times New Roman" w:eastAsia="Times New Roman" w:hAnsi="Times New Roman"/>
          <w:sz w:val="17"/>
          <w:szCs w:val="17"/>
          <w:color w:val="auto"/>
        </w:rPr>
      </w:pPr>
    </w:p>
    <w:p>
      <w:pPr>
        <w:ind w:left="9" w:right="140" w:firstLine="929"/>
        <w:spacing w:after="0" w:line="256" w:lineRule="auto"/>
        <w:tabs>
          <w:tab w:leader="none" w:pos="1189" w:val="left"/>
        </w:tabs>
        <w:numPr>
          <w:ilvl w:val="2"/>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any applicable option agreement or other stock-based award agreement, the portion of all time-based stock options and other stock-based awards subject solely to time-based vesting held by the Executive (the “</w:t>
      </w:r>
      <w:r>
        <w:rPr>
          <w:rFonts w:ascii="Times New Roman" w:cs="Times New Roman" w:eastAsia="Times New Roman" w:hAnsi="Times New Roman"/>
          <w:sz w:val="17"/>
          <w:szCs w:val="17"/>
          <w:u w:val="single" w:color="auto"/>
          <w:color w:val="auto"/>
        </w:rPr>
        <w:t>Time-Based Equity Awards</w:t>
      </w:r>
      <w:r>
        <w:rPr>
          <w:rFonts w:ascii="Times New Roman" w:cs="Times New Roman" w:eastAsia="Times New Roman" w:hAnsi="Times New Roman"/>
          <w:sz w:val="17"/>
          <w:szCs w:val="17"/>
          <w:color w:val="auto"/>
        </w:rPr>
        <w:t>”) scheduled to vest in the 12 month period following the Date of Termination shall immediately accelerate and become fully vested and exercisable or nonforfeitable as of the later of (i) the Date of Termination or (ii) the effective date of the Release (the “</w:t>
      </w:r>
      <w:r>
        <w:rPr>
          <w:rFonts w:ascii="Times New Roman" w:cs="Times New Roman" w:eastAsia="Times New Roman" w:hAnsi="Times New Roman"/>
          <w:sz w:val="17"/>
          <w:szCs w:val="17"/>
          <w:u w:val="single" w:color="auto"/>
          <w:color w:val="auto"/>
        </w:rPr>
        <w:t>Accelerated Vesting Date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order to effectuate the accelerated vesting contemplated by this subsection, the unvested portion of the Executive’s Time-Based Equity Awards that would otherwise terminate or be forfeited on the Date of Termination will be delayed until the earlier of (A) the effective date of the Release (at which time acceleration will occur), or</w:t>
      </w:r>
    </w:p>
    <w:p>
      <w:pPr>
        <w:spacing w:after="0" w:line="112" w:lineRule="exact"/>
        <w:rPr>
          <w:sz w:val="20"/>
          <w:szCs w:val="20"/>
          <w:color w:val="auto"/>
        </w:rPr>
      </w:pPr>
    </w:p>
    <w:p>
      <w:pPr>
        <w:jc w:val="center"/>
        <w:ind w:right="-48"/>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0389"/>
          </w:cols>
          <w:pgMar w:left="731" w:top="264" w:right="779" w:bottom="1440" w:gutter="0" w:footer="0" w:header="0"/>
        </w:sectPr>
      </w:pPr>
    </w:p>
    <w:bookmarkStart w:id="36" w:name="page37"/>
    <w:bookmarkEnd w:id="36"/>
    <w:p>
      <w:pPr>
        <w:jc w:val="both"/>
        <w:ind w:left="9" w:hanging="9"/>
        <w:spacing w:after="0" w:line="261" w:lineRule="auto"/>
        <w:tabs>
          <w:tab w:leader="none" w:pos="279"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the date that the Release can no longer become fully effective (at which time the unvested portion of the Executive’s Time-Based Equity Awards will terminate or be forfeited). Notwithstanding the foregoing, no additional vesting of the Time-Based Equity Awards shall occur during the period between the Date of Termination and the Accelerated Vesting Date. With respect to any performance-based vesting equity award, such award shall continue to be governed in all respects by the terms of the Equity Documents.</w:t>
      </w:r>
    </w:p>
    <w:p>
      <w:pPr>
        <w:spacing w:after="0" w:line="69" w:lineRule="exact"/>
        <w:rPr>
          <w:rFonts w:ascii="Times New Roman" w:cs="Times New Roman" w:eastAsia="Times New Roman" w:hAnsi="Times New Roman"/>
          <w:sz w:val="17"/>
          <w:szCs w:val="17"/>
          <w:color w:val="auto"/>
        </w:rPr>
      </w:pPr>
    </w:p>
    <w:p>
      <w:pPr>
        <w:ind w:left="9" w:right="60" w:firstLine="929"/>
        <w:spacing w:after="0" w:line="255" w:lineRule="auto"/>
        <w:tabs>
          <w:tab w:leader="none" w:pos="1179" w:val="left"/>
        </w:tabs>
        <w:numPr>
          <w:ilvl w:val="2"/>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for the Prior Year Bonus, the cash amounts payable under Section 5, to the extent taxable, shall be paid out in substantially equal installments in accordance with the Company’s payroll practice over 12 months commencing within 60 days after the Date of Termination;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if the 60-day period begins in one calendar year and ends in a second calendar year, such payments, to the extent they qualify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“non-qualified deferred compensation” within the meaning of Section 409A of the Internal Revenue Code of 1986, as amended (the “</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xml:space="preserve">”), shall begin to be paid in the second calendar year by the last day of such 60-day period;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that the initial payment shall include a catch-up payment to cover amounts retroactive to the day immediately following the Date of Termination. The Prior Year Bonus will be paid on the date that the Company’s other executives receive their annual incentive compensation but no later than March 15 of the year following the year to which the Prior Year Bonus relates. Each payment pursuant to this Agreement is intended to constitute a separate payment for the purposes of Treasury Regulation Section 1.409A-2(b)(2).</w:t>
      </w:r>
    </w:p>
    <w:p>
      <w:pPr>
        <w:spacing w:after="0" w:line="72" w:lineRule="exact"/>
        <w:rPr>
          <w:rFonts w:ascii="Times New Roman" w:cs="Times New Roman" w:eastAsia="Times New Roman" w:hAnsi="Times New Roman"/>
          <w:sz w:val="17"/>
          <w:szCs w:val="17"/>
          <w:color w:val="auto"/>
        </w:rPr>
      </w:pPr>
    </w:p>
    <w:p>
      <w:pPr>
        <w:ind w:left="9" w:right="100" w:firstLine="929"/>
        <w:spacing w:after="0" w:line="259" w:lineRule="auto"/>
        <w:tabs>
          <w:tab w:leader="none" w:pos="1160" w:val="left"/>
        </w:tabs>
        <w:numPr>
          <w:ilvl w:val="2"/>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 acknowledges and agrees that the opportunity to receive severance pay and benefits under this Section 5 or Section 6 below, as applicable, is consideration mutually agreed upon by the Company and the Executive to support the Executive’s noncompetition obligation in the Restrictive Covenants Agreement. The Executive further acknowledges and agrees that absent the Executive’s agreement to the noncompetition obligation in the Restrictive Covenants Agreement, the Company would not provide the Executive with the severance pay and benefits opportunity in Section 5 and Section 6 of this Agreement.</w:t>
      </w:r>
    </w:p>
    <w:p>
      <w:pPr>
        <w:spacing w:after="0" w:line="69" w:lineRule="exact"/>
        <w:rPr>
          <w:rFonts w:ascii="Times New Roman" w:cs="Times New Roman" w:eastAsia="Times New Roman" w:hAnsi="Times New Roman"/>
          <w:sz w:val="17"/>
          <w:szCs w:val="17"/>
          <w:color w:val="auto"/>
        </w:rPr>
      </w:pPr>
    </w:p>
    <w:p>
      <w:pPr>
        <w:ind w:left="9" w:right="40" w:firstLine="408"/>
        <w:spacing w:after="0" w:line="259" w:lineRule="auto"/>
        <w:tabs>
          <w:tab w:leader="none" w:pos="596"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Severance Pay and Benefits Upon Termination by the Company without Cause or by the Executive for Good Reason within the Change in Control Period</w:t>
      </w:r>
      <w:r>
        <w:rPr>
          <w:rFonts w:ascii="Times New Roman" w:cs="Times New Roman" w:eastAsia="Times New Roman" w:hAnsi="Times New Roman"/>
          <w:sz w:val="17"/>
          <w:szCs w:val="17"/>
          <w:color w:val="auto"/>
        </w:rPr>
        <w:t>. The provisions of this Section 6 shall apply in lieu of, and expressly supersede, the provisions of Section 5 if (i) the Executive’s employment is terminated either (a) by the Company without Cause as provided in Section 3(d), or (b) by the Executive for Good Reason as provided in Section 3(e), and (ii) the Date of Termination is on or within 12 months after the occurrence of the first event constituting a Change in Control (such period, the “</w:t>
      </w:r>
      <w:r>
        <w:rPr>
          <w:rFonts w:ascii="Times New Roman" w:cs="Times New Roman" w:eastAsia="Times New Roman" w:hAnsi="Times New Roman"/>
          <w:sz w:val="17"/>
          <w:szCs w:val="17"/>
          <w:u w:val="single" w:color="auto"/>
          <w:color w:val="auto"/>
        </w:rPr>
        <w:t>Change in Control Period</w:t>
      </w:r>
      <w:r>
        <w:rPr>
          <w:rFonts w:ascii="Times New Roman" w:cs="Times New Roman" w:eastAsia="Times New Roman" w:hAnsi="Times New Roman"/>
          <w:sz w:val="17"/>
          <w:szCs w:val="17"/>
          <w:color w:val="auto"/>
        </w:rPr>
        <w:t>”). These provisions shall terminate and be of no further force or effect after the Change in Control Period.</w:t>
      </w:r>
    </w:p>
    <w:p>
      <w:pPr>
        <w:spacing w:after="0" w:line="69" w:lineRule="exact"/>
        <w:rPr>
          <w:rFonts w:ascii="Times New Roman" w:cs="Times New Roman" w:eastAsia="Times New Roman" w:hAnsi="Times New Roman"/>
          <w:sz w:val="17"/>
          <w:szCs w:val="17"/>
          <w:color w:val="auto"/>
        </w:rPr>
      </w:pPr>
    </w:p>
    <w:p>
      <w:pPr>
        <w:ind w:left="9" w:right="60" w:firstLine="929"/>
        <w:spacing w:after="0" w:line="261" w:lineRule="auto"/>
        <w:tabs>
          <w:tab w:leader="none" w:pos="1179" w:val="left"/>
        </w:tabs>
        <w:numPr>
          <w:ilvl w:val="2"/>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Executive’s employment is terminated by the Company without Cause as provided in Section 3(d) or the Executive terminates employment for Good Reason as provided in Section 3(e) and in each case the Date of Termination occurs within the Change in Control Period, then, in addition to the Accrued Obligations, and subject to the signing of the Release by the Executive and the Release becoming fully effective, all within the time frame set forth in the Release but in no event more than 60 days after the Date of Termination:</w:t>
      </w:r>
    </w:p>
    <w:p>
      <w:pPr>
        <w:spacing w:after="0" w:line="69" w:lineRule="exact"/>
        <w:rPr>
          <w:rFonts w:ascii="Times New Roman" w:cs="Times New Roman" w:eastAsia="Times New Roman" w:hAnsi="Times New Roman"/>
          <w:sz w:val="17"/>
          <w:szCs w:val="17"/>
          <w:color w:val="auto"/>
        </w:rPr>
      </w:pPr>
    </w:p>
    <w:p>
      <w:pPr>
        <w:ind w:left="409" w:right="40" w:firstLine="909"/>
        <w:spacing w:after="0" w:line="261" w:lineRule="auto"/>
        <w:tabs>
          <w:tab w:leader="none" w:pos="1513" w:val="left"/>
        </w:tabs>
        <w:numPr>
          <w:ilvl w:val="3"/>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pay the Executive a lump sum in cash in an amount equal to the sum of (A) 18 months of the Executive’s then-current Base Salary (or the Executive’s Base Salary in effect immediately prior to the Change in Control, if higher) plus (B) 1.5 times the Executive’s Target Bonus for the then-current year (or the Executive’s Target Bonus in effect immediately prior to the Change in Control, if higher) plus (C) the Prorated Bonus; and</w:t>
      </w:r>
    </w:p>
    <w:p>
      <w:pPr>
        <w:spacing w:after="0" w:line="10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0429"/>
          </w:cols>
          <w:pgMar w:left="731" w:top="264" w:right="739" w:bottom="1440" w:gutter="0" w:footer="0" w:header="0"/>
        </w:sectPr>
      </w:pPr>
    </w:p>
    <w:bookmarkStart w:id="37" w:name="page38"/>
    <w:bookmarkEnd w:id="37"/>
    <w:p>
      <w:pPr>
        <w:ind w:left="400" w:right="140" w:firstLine="909"/>
        <w:spacing w:after="0" w:line="267" w:lineRule="auto"/>
        <w:tabs>
          <w:tab w:leader="none" w:pos="1551"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if the Date of Termination occurs after the end of a calendar year and the Board or the Compensation Committee, as applicable, has determined and approved annual incentive compensation pursuant to Section 2(b) but has not yet paid such annual incentive compensation, then the Company shall pay the Executive the Prior Year Bonus; and</w:t>
      </w:r>
    </w:p>
    <w:p>
      <w:pPr>
        <w:spacing w:after="0" w:line="63" w:lineRule="exact"/>
        <w:rPr>
          <w:rFonts w:ascii="Times New Roman" w:cs="Times New Roman" w:eastAsia="Times New Roman" w:hAnsi="Times New Roman"/>
          <w:sz w:val="17"/>
          <w:szCs w:val="17"/>
          <w:color w:val="auto"/>
        </w:rPr>
      </w:pPr>
    </w:p>
    <w:p>
      <w:pPr>
        <w:ind w:left="400" w:right="120" w:firstLine="909"/>
        <w:spacing w:after="0" w:line="254" w:lineRule="auto"/>
        <w:tabs>
          <w:tab w:leader="none" w:pos="1599"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any applicable option agreement or other stock-based award agreement, the Time-Based Equity Awards shall immediately accelerate and become fully vested and exercisable or nonforfeitable as of the later of (i) the Date of Termination or (ii) the effective date of the Release (the “</w:t>
      </w:r>
      <w:r>
        <w:rPr>
          <w:rFonts w:ascii="Times New Roman" w:cs="Times New Roman" w:eastAsia="Times New Roman" w:hAnsi="Times New Roman"/>
          <w:sz w:val="17"/>
          <w:szCs w:val="17"/>
          <w:u w:val="single" w:color="auto"/>
          <w:color w:val="auto"/>
        </w:rPr>
        <w:t>Change in Control Accelerated Vesting Date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order to effectuate the accelerated vesting contemplated by this subsection, the unvested portion of the Executive’s Time-Based Equity Awards that would otherwise terminate or be forfeited on the Date of Termination will be delayed until the earlier of (A) the effective date of the Release (at which time acceleration will occur), or (B) the date that the Release can no longer become fully effective (at which time the unvested portion of the Executive’s Time-Based Equity Awards will terminate or be forfeited). Notwithstanding the foregoing, no additional vesting of the Time-Based Equity Awards shall occur during the period between the Date of Termination and the Change in Control Accelerated Vesting Date. With respect to any performance-based vesting equity award, such award shall continue to be governed in all respects by the terms of the applicable Equity Documents; and</w:t>
      </w:r>
    </w:p>
    <w:p>
      <w:pPr>
        <w:spacing w:after="0" w:line="77" w:lineRule="exact"/>
        <w:rPr>
          <w:rFonts w:ascii="Times New Roman" w:cs="Times New Roman" w:eastAsia="Times New Roman" w:hAnsi="Times New Roman"/>
          <w:sz w:val="17"/>
          <w:szCs w:val="17"/>
          <w:color w:val="auto"/>
        </w:rPr>
      </w:pPr>
    </w:p>
    <w:p>
      <w:pPr>
        <w:ind w:left="400" w:right="60" w:firstLine="909"/>
        <w:spacing w:after="0" w:line="254" w:lineRule="auto"/>
        <w:tabs>
          <w:tab w:leader="none" w:pos="1589"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the Executive’s copayment of premium amounts at the applicable active employees’ rate and the Executive’s proper election to receive benefits under COBRA, the Company shall pay to the group health plan provider or the COBRA provider a monthly payment equal to the monthly employer contribution that the Company would have made to provide health insurance to the Executive if the Executive had remained employed by the Company until the earliest of (A) the 18 month anniversary of the Date of Termination; (B) the date that the Executive becomes eligible for group medical plan benefits under any other employer’s group medical plan; or (C) the cessation of the Executive’s health continuation rights under COBRA;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the Executive for the time period specified above. Such payments to the Executive shall be subject to tax-related deductions and withholdings and paid on the Company’s regular payroll dates.</w:t>
      </w:r>
    </w:p>
    <w:p>
      <w:pPr>
        <w:spacing w:after="0" w:line="18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 xml:space="preserve">Except for the Prior Year Bonus, the amounts payable under this Section 6(a), to the extent taxable, shall be paid or commence to be paid within 60 days after the Date of Termination;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if the 60-day period begins in one calendar year and ends in a second calendar year, such payments to the extent they qualify as “non-qualified deferred compensation” within the meaning of Section 409A of the Code, shall be paid or commence to be paid in the second calendar year by the last day of such 60-day period. The Prior Year Bonus will be paid on the date that the Company’s other executives receive their annual incentive compensation but no later than March 15 of the year following the year to which the Prior Year Bonus relates.</w:t>
      </w:r>
    </w:p>
    <w:p>
      <w:pPr>
        <w:spacing w:after="0" w:line="1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0380"/>
          </w:cols>
          <w:pgMar w:left="740" w:top="264" w:right="779" w:bottom="1440" w:gutter="0" w:footer="0" w:header="0"/>
        </w:sectPr>
      </w:pPr>
    </w:p>
    <w:bookmarkStart w:id="38" w:name="page39"/>
    <w:bookmarkEnd w:id="38"/>
    <w:p>
      <w:pPr>
        <w:ind w:left="1160" w:hanging="251"/>
        <w:spacing w:after="0"/>
        <w:tabs>
          <w:tab w:leader="none" w:pos="116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Additional Limitation</w:t>
      </w:r>
      <w:r>
        <w:rPr>
          <w:rFonts w:ascii="Times New Roman" w:cs="Times New Roman" w:eastAsia="Times New Roman" w:hAnsi="Times New Roman"/>
          <w:sz w:val="17"/>
          <w:szCs w:val="17"/>
          <w:color w:val="auto"/>
        </w:rPr>
        <w:t>.</w:t>
      </w:r>
    </w:p>
    <w:p>
      <w:pPr>
        <w:spacing w:after="0" w:line="111" w:lineRule="exact"/>
        <w:rPr>
          <w:rFonts w:ascii="Times New Roman" w:cs="Times New Roman" w:eastAsia="Times New Roman" w:hAnsi="Times New Roman"/>
          <w:sz w:val="17"/>
          <w:szCs w:val="17"/>
          <w:color w:val="auto"/>
        </w:rPr>
      </w:pPr>
    </w:p>
    <w:p>
      <w:pPr>
        <w:ind w:left="380" w:firstLine="909"/>
        <w:spacing w:after="0" w:line="253" w:lineRule="auto"/>
        <w:tabs>
          <w:tab w:leader="none" w:pos="1484" w:val="left"/>
        </w:tabs>
        <w:numPr>
          <w:ilvl w:val="2"/>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Anything in this Agreement to the contrary notwithstanding, in the event that the amount of any compensation, payment or distribution by the Company or any of its affiliates, or any successor or acquiror to or for the benefit of the Executive, whether paid or payable or distributed or distributable pursuant to the terms of this Agreement or otherwise, calculated in a manner consistent with Section 280G of the Code, and the applicable regulations thereunder (the “</w:t>
      </w:r>
      <w:r>
        <w:rPr>
          <w:rFonts w:ascii="Times New Roman" w:cs="Times New Roman" w:eastAsia="Times New Roman" w:hAnsi="Times New Roman"/>
          <w:sz w:val="17"/>
          <w:szCs w:val="17"/>
          <w:u w:val="single" w:color="auto"/>
          <w:color w:val="auto"/>
        </w:rPr>
        <w:t>Aggregate Payments</w:t>
      </w:r>
      <w:r>
        <w:rPr>
          <w:rFonts w:ascii="Times New Roman" w:cs="Times New Roman" w:eastAsia="Times New Roman" w:hAnsi="Times New Roman"/>
          <w:sz w:val="17"/>
          <w:szCs w:val="17"/>
          <w:color w:val="auto"/>
        </w:rPr>
        <w:t xml:space="preserve">”),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80" w:lineRule="exact"/>
        <w:rPr>
          <w:rFonts w:ascii="Times New Roman" w:cs="Times New Roman" w:eastAsia="Times New Roman" w:hAnsi="Times New Roman"/>
          <w:sz w:val="17"/>
          <w:szCs w:val="17"/>
          <w:color w:val="auto"/>
        </w:rPr>
      </w:pPr>
    </w:p>
    <w:p>
      <w:pPr>
        <w:ind w:left="380" w:right="100" w:firstLine="909"/>
        <w:spacing w:after="0" w:line="257" w:lineRule="auto"/>
        <w:tabs>
          <w:tab w:leader="none" w:pos="1531" w:val="left"/>
        </w:tabs>
        <w:numPr>
          <w:ilvl w:val="2"/>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purposes of this Section 6(b), the “</w:t>
      </w:r>
      <w:r>
        <w:rPr>
          <w:rFonts w:ascii="Times New Roman" w:cs="Times New Roman" w:eastAsia="Times New Roman" w:hAnsi="Times New Roman"/>
          <w:sz w:val="17"/>
          <w:szCs w:val="17"/>
          <w:u w:val="single" w:color="auto"/>
          <w:color w:val="auto"/>
        </w:rPr>
        <w:t>After Tax Amount</w:t>
      </w:r>
      <w:r>
        <w:rPr>
          <w:rFonts w:ascii="Times New Roman" w:cs="Times New Roman" w:eastAsia="Times New Roman" w:hAnsi="Times New Roman"/>
          <w:sz w:val="17"/>
          <w:szCs w:val="17"/>
          <w:color w:val="auto"/>
        </w:rPr>
        <w:t>” means the amount of the Aggregate Payments less all federal, state, and local income, excise and employment taxes imposed on the Executive as a result of the Executive’s receipt of the Aggregate Payments. For the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72" w:lineRule="exact"/>
        <w:rPr>
          <w:rFonts w:ascii="Times New Roman" w:cs="Times New Roman" w:eastAsia="Times New Roman" w:hAnsi="Times New Roman"/>
          <w:sz w:val="17"/>
          <w:szCs w:val="17"/>
          <w:color w:val="auto"/>
        </w:rPr>
      </w:pPr>
    </w:p>
    <w:p>
      <w:pPr>
        <w:ind w:left="380" w:right="60" w:firstLine="909"/>
        <w:spacing w:after="0" w:line="259" w:lineRule="auto"/>
        <w:tabs>
          <w:tab w:leader="none" w:pos="1579" w:val="left"/>
        </w:tabs>
        <w:numPr>
          <w:ilvl w:val="2"/>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determination as to whether a reduction in the Aggregate Payments shall be made pursuant to Section 6(b)(i) shall be made by a nationally recognized accounting firm selected by the Company prior to the Change in Control (the “</w:t>
      </w:r>
      <w:r>
        <w:rPr>
          <w:rFonts w:ascii="Times New Roman" w:cs="Times New Roman" w:eastAsia="Times New Roman" w:hAnsi="Times New Roman"/>
          <w:sz w:val="17"/>
          <w:szCs w:val="17"/>
          <w:u w:val="single" w:color="auto"/>
          <w:color w:val="auto"/>
        </w:rPr>
        <w:t>Accounting Firm</w:t>
      </w:r>
      <w:r>
        <w:rPr>
          <w:rFonts w:ascii="Times New Roman" w:cs="Times New Roman" w:eastAsia="Times New Roman" w:hAnsi="Times New Roman"/>
          <w:sz w:val="17"/>
          <w:szCs w:val="17"/>
          <w:color w:val="auto"/>
        </w:rPr>
        <w:t>”), which shall provide detailed supporting calculations both to the Company and the Executive within 15 business days of the Date of Termination, if applicable, or at such earlier time as is reasonably requested by the Company or the Executive. Any determination by the Accounting Firm shall be binding upon the Company and the Executive.</w:t>
      </w:r>
    </w:p>
    <w:p>
      <w:pPr>
        <w:spacing w:after="0" w:line="69" w:lineRule="exact"/>
        <w:rPr>
          <w:rFonts w:ascii="Times New Roman" w:cs="Times New Roman" w:eastAsia="Times New Roman" w:hAnsi="Times New Roman"/>
          <w:sz w:val="17"/>
          <w:szCs w:val="17"/>
          <w:color w:val="auto"/>
        </w:rPr>
      </w:pPr>
    </w:p>
    <w:p>
      <w:pPr>
        <w:ind w:left="-20" w:right="300" w:firstLine="929"/>
        <w:spacing w:after="0" w:line="283" w:lineRule="auto"/>
        <w:tabs>
          <w:tab w:leader="none" w:pos="115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For the purposes of this Agreement, “</w:t>
      </w:r>
      <w:r>
        <w:rPr>
          <w:rFonts w:ascii="Times New Roman" w:cs="Times New Roman" w:eastAsia="Times New Roman" w:hAnsi="Times New Roman"/>
          <w:sz w:val="17"/>
          <w:szCs w:val="17"/>
          <w:u w:val="single" w:color="auto"/>
          <w:color w:val="auto"/>
        </w:rPr>
        <w:t>Change in Control</w:t>
      </w:r>
      <w:r>
        <w:rPr>
          <w:rFonts w:ascii="Times New Roman" w:cs="Times New Roman" w:eastAsia="Times New Roman" w:hAnsi="Times New Roman"/>
          <w:sz w:val="17"/>
          <w:szCs w:val="17"/>
          <w:color w:val="auto"/>
        </w:rPr>
        <w:t>” shall mean a “Sale Event” as defined in the Company’s 2021 Stock Option and Incentive Plan, as the same may be amended from time to time.</w:t>
      </w:r>
    </w:p>
    <w:p>
      <w:pPr>
        <w:spacing w:after="0" w:line="50" w:lineRule="exact"/>
        <w:rPr>
          <w:rFonts w:ascii="Times New Roman" w:cs="Times New Roman" w:eastAsia="Times New Roman" w:hAnsi="Times New Roman"/>
          <w:sz w:val="17"/>
          <w:szCs w:val="17"/>
          <w:color w:val="auto"/>
        </w:rPr>
      </w:pPr>
    </w:p>
    <w:p>
      <w:pPr>
        <w:ind w:left="560" w:hanging="172"/>
        <w:spacing w:after="0"/>
        <w:tabs>
          <w:tab w:leader="none" w:pos="56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409A</w:t>
      </w:r>
      <w:r>
        <w:rPr>
          <w:rFonts w:ascii="Times New Roman" w:cs="Times New Roman" w:eastAsia="Times New Roman" w:hAnsi="Times New Roman"/>
          <w:sz w:val="17"/>
          <w:szCs w:val="17"/>
          <w:color w:val="auto"/>
        </w:rPr>
        <w:t>.</w:t>
      </w:r>
    </w:p>
    <w:p>
      <w:pPr>
        <w:spacing w:after="0" w:line="111" w:lineRule="exact"/>
        <w:rPr>
          <w:rFonts w:ascii="Times New Roman" w:cs="Times New Roman" w:eastAsia="Times New Roman" w:hAnsi="Times New Roman"/>
          <w:sz w:val="17"/>
          <w:szCs w:val="17"/>
          <w:color w:val="auto"/>
        </w:rPr>
      </w:pPr>
    </w:p>
    <w:p>
      <w:pPr>
        <w:ind w:left="-20" w:right="40" w:firstLine="929"/>
        <w:spacing w:after="0" w:line="255" w:lineRule="auto"/>
        <w:tabs>
          <w:tab w:leader="none" w:pos="1141"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 (B)(i) of the Code, then to the extent any payment or benefit that the Executive becomes entitled to under this Agreement or otherwise on account of the Executive’s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0380"/>
          </w:cols>
          <w:pgMar w:left="760" w:top="264" w:right="759" w:bottom="1440" w:gutter="0" w:footer="0" w:header="0"/>
        </w:sectPr>
      </w:pPr>
    </w:p>
    <w:bookmarkStart w:id="39" w:name="page40"/>
    <w:bookmarkEnd w:id="39"/>
    <w:p>
      <w:pPr>
        <w:ind w:left="-20" w:right="80" w:firstLine="929"/>
        <w:spacing w:after="0" w:line="257" w:lineRule="auto"/>
        <w:tabs>
          <w:tab w:leader="none" w:pos="1160"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72" w:lineRule="exact"/>
        <w:rPr>
          <w:rFonts w:ascii="Times New Roman" w:cs="Times New Roman" w:eastAsia="Times New Roman" w:hAnsi="Times New Roman"/>
          <w:sz w:val="17"/>
          <w:szCs w:val="17"/>
          <w:color w:val="auto"/>
        </w:rPr>
      </w:pPr>
    </w:p>
    <w:p>
      <w:pPr>
        <w:jc w:val="both"/>
        <w:ind w:left="-20" w:right="180" w:firstLine="929"/>
        <w:spacing w:after="0" w:line="261" w:lineRule="auto"/>
        <w:tabs>
          <w:tab w:leader="none" w:pos="1150"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1.409A-1(h).</w:t>
      </w:r>
    </w:p>
    <w:p>
      <w:pPr>
        <w:spacing w:after="0" w:line="69" w:lineRule="exact"/>
        <w:rPr>
          <w:rFonts w:ascii="Times New Roman" w:cs="Times New Roman" w:eastAsia="Times New Roman" w:hAnsi="Times New Roman"/>
          <w:sz w:val="17"/>
          <w:szCs w:val="17"/>
          <w:color w:val="auto"/>
        </w:rPr>
      </w:pPr>
    </w:p>
    <w:p>
      <w:pPr>
        <w:ind w:left="-20" w:firstLine="929"/>
        <w:spacing w:after="0" w:line="257" w:lineRule="auto"/>
        <w:tabs>
          <w:tab w:leader="none" w:pos="1160"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or the Restrictive Covenants Agreement is intended to constitute a separate payment for the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72" w:lineRule="exact"/>
        <w:rPr>
          <w:rFonts w:ascii="Times New Roman" w:cs="Times New Roman" w:eastAsia="Times New Roman" w:hAnsi="Times New Roman"/>
          <w:sz w:val="17"/>
          <w:szCs w:val="17"/>
          <w:color w:val="auto"/>
        </w:rPr>
      </w:pPr>
    </w:p>
    <w:p>
      <w:pPr>
        <w:ind w:left="-20" w:right="40" w:firstLine="929"/>
        <w:spacing w:after="0" w:line="267" w:lineRule="auto"/>
        <w:tabs>
          <w:tab w:leader="none" w:pos="1150"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63" w:lineRule="exact"/>
        <w:rPr>
          <w:rFonts w:ascii="Times New Roman" w:cs="Times New Roman" w:eastAsia="Times New Roman" w:hAnsi="Times New Roman"/>
          <w:sz w:val="17"/>
          <w:szCs w:val="17"/>
          <w:color w:val="auto"/>
        </w:rPr>
      </w:pPr>
    </w:p>
    <w:p>
      <w:pPr>
        <w:ind w:left="560" w:hanging="172"/>
        <w:spacing w:after="0"/>
        <w:tabs>
          <w:tab w:leader="none" w:pos="56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Continuing Obligations</w:t>
      </w:r>
      <w:r>
        <w:rPr>
          <w:rFonts w:ascii="Times New Roman" w:cs="Times New Roman" w:eastAsia="Times New Roman" w:hAnsi="Times New Roman"/>
          <w:sz w:val="17"/>
          <w:szCs w:val="17"/>
          <w:color w:val="auto"/>
        </w:rPr>
        <w:t>.</w:t>
      </w:r>
    </w:p>
    <w:p>
      <w:pPr>
        <w:spacing w:after="0" w:line="111" w:lineRule="exact"/>
        <w:rPr>
          <w:rFonts w:ascii="Times New Roman" w:cs="Times New Roman" w:eastAsia="Times New Roman" w:hAnsi="Times New Roman"/>
          <w:sz w:val="17"/>
          <w:szCs w:val="17"/>
          <w:color w:val="auto"/>
        </w:rPr>
      </w:pPr>
    </w:p>
    <w:p>
      <w:pPr>
        <w:ind w:left="-20" w:right="40" w:firstLine="929"/>
        <w:spacing w:after="0" w:line="254" w:lineRule="auto"/>
        <w:tabs>
          <w:tab w:leader="none" w:pos="1150"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Restrictive Covenants Agreement</w:t>
      </w:r>
      <w:r>
        <w:rPr>
          <w:rFonts w:ascii="Times New Roman" w:cs="Times New Roman" w:eastAsia="Times New Roman" w:hAnsi="Times New Roman"/>
          <w:sz w:val="17"/>
          <w:szCs w:val="17"/>
          <w:color w:val="auto"/>
        </w:rPr>
        <w:t xml:space="preserve">. As a condition of employment under the terms of this Agreement, the Executive is required to enter into the Employee Confidentiality, Assignment, Nonsolicitation and Noncompetition Agreement attached hereto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Restrictive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Covenants Agreement</w:t>
      </w:r>
      <w:r>
        <w:rPr>
          <w:rFonts w:ascii="Times New Roman" w:cs="Times New Roman" w:eastAsia="Times New Roman" w:hAnsi="Times New Roman"/>
          <w:sz w:val="17"/>
          <w:szCs w:val="17"/>
          <w:color w:val="auto"/>
        </w:rPr>
        <w:t>”). The Executive also understands and agrees that the equity, cash incentive, and severance compensation (individually and collectively, the “</w:t>
      </w:r>
      <w:r>
        <w:rPr>
          <w:rFonts w:ascii="Times New Roman" w:cs="Times New Roman" w:eastAsia="Times New Roman" w:hAnsi="Times New Roman"/>
          <w:sz w:val="17"/>
          <w:szCs w:val="17"/>
          <w:i w:val="1"/>
          <w:iCs w:val="1"/>
          <w:color w:val="auto"/>
        </w:rPr>
        <w:t>Noncompete Additional Consideration</w:t>
      </w:r>
      <w:r>
        <w:rPr>
          <w:rFonts w:ascii="Times New Roman" w:cs="Times New Roman" w:eastAsia="Times New Roman" w:hAnsi="Times New Roman"/>
          <w:sz w:val="17"/>
          <w:szCs w:val="17"/>
          <w:color w:val="auto"/>
        </w:rPr>
        <w:t>”) for which the Company has made Executive eligible under this Agreement constitutes (in each case and independent of the other) sufficient, mutually agreed-upon, fair and reasonable consideration for the Restrictive Covenant Agreement (including without limitation the noncompetition and nonsolicitation provisions of the Restrictive Covenant Agreement) that is independent of his employment with the Company. To avoid all doubt, the Executive agrees that his eligibility for any one of the above, or his eligibility for any combination of one or more of the above, constitutes such Additional Consideration. For the purposes of this Agreement, the obligations in this Section 8 and those that arise in the Restrictive Covenants Agreement and any other agreement relating to confidentiality, assignment of inventions, or other restrictive covenants shall collectively be referred to as the “</w:t>
      </w:r>
      <w:r>
        <w:rPr>
          <w:rFonts w:ascii="Times New Roman" w:cs="Times New Roman" w:eastAsia="Times New Roman" w:hAnsi="Times New Roman"/>
          <w:sz w:val="17"/>
          <w:szCs w:val="17"/>
          <w:u w:val="single" w:color="auto"/>
          <w:color w:val="auto"/>
        </w:rPr>
        <w:t>Continuing Obligations</w:t>
      </w:r>
      <w:r>
        <w:rPr>
          <w:rFonts w:ascii="Times New Roman" w:cs="Times New Roman" w:eastAsia="Times New Roman" w:hAnsi="Times New Roman"/>
          <w:sz w:val="17"/>
          <w:szCs w:val="17"/>
          <w:color w:val="auto"/>
        </w:rPr>
        <w: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0360"/>
          </w:cols>
          <w:pgMar w:left="760" w:top="264" w:right="779" w:bottom="1440" w:gutter="0" w:footer="0" w:header="0"/>
        </w:sectPr>
      </w:pPr>
    </w:p>
    <w:bookmarkStart w:id="40" w:name="page41"/>
    <w:bookmarkEnd w:id="40"/>
    <w:p>
      <w:pPr>
        <w:ind w:left="9" w:right="120" w:firstLine="929"/>
        <w:spacing w:after="0" w:line="255" w:lineRule="auto"/>
        <w:tabs>
          <w:tab w:leader="none" w:pos="1188" w:val="left"/>
        </w:tabs>
        <w:numPr>
          <w:ilvl w:val="2"/>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Third-Party Agreements and Rights</w:t>
      </w:r>
      <w:r>
        <w:rPr>
          <w:rFonts w:ascii="Times New Roman" w:cs="Times New Roman" w:eastAsia="Times New Roman" w:hAnsi="Times New Roman"/>
          <w:sz w:val="17"/>
          <w:szCs w:val="17"/>
          <w:color w:val="auto"/>
        </w:rPr>
        <w:t>. The Executive hereby confirms that the Executive is not bound by the terms of any agreement with any previous employer or other party which restricts in any way the Executive’s use or disclosure of information, other than confidentiality restrictions (if any), or the Executive’s engagement in any business. The Executive represents to the Company that the Executive’s execution of this Agreement, the Executive’s employment with the Company and the performance of the Executive’s proposed duties for the Company will not violate any obligations the Executive may have to any such previous employer or other party. In the Executive’s work for the Company, the Executive will not disclose or make use of any information in violation of any agreements with or rights of any such previous employer or other party, and the Executive will not bring to the premises of the Company any copies or other tangible embodiments of non-public information belonging to or obtained from any such previous employment or other party.</w:t>
      </w:r>
    </w:p>
    <w:p>
      <w:pPr>
        <w:spacing w:after="0" w:line="76" w:lineRule="exact"/>
        <w:rPr>
          <w:rFonts w:ascii="Times New Roman" w:cs="Times New Roman" w:eastAsia="Times New Roman" w:hAnsi="Times New Roman"/>
          <w:sz w:val="17"/>
          <w:szCs w:val="17"/>
          <w:color w:val="auto"/>
        </w:rPr>
      </w:pPr>
    </w:p>
    <w:p>
      <w:pPr>
        <w:ind w:left="9" w:right="300" w:firstLine="929"/>
        <w:spacing w:after="0" w:line="272" w:lineRule="auto"/>
        <w:tabs>
          <w:tab w:leader="none" w:pos="1179" w:val="left"/>
        </w:tabs>
        <w:numPr>
          <w:ilvl w:val="2"/>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Litigation and Regulatory Cooperation</w:t>
      </w:r>
      <w:r>
        <w:rPr>
          <w:rFonts w:ascii="Times New Roman" w:cs="Times New Roman" w:eastAsia="Times New Roman" w:hAnsi="Times New Roman"/>
          <w:sz w:val="16"/>
          <w:szCs w:val="16"/>
          <w:color w:val="auto"/>
        </w:rPr>
        <w:t>. During and after the Executive’s employment and in all cases subject to the Company’s compliance with its indemnification obligations and with due regard for the Executive’s personal and professional commitments, the Executive shall cooperate fully with the Company in (i) the defense or prosecution of any claims or actions now in existence or which may be brought in the future against or on behalf of the Company which relate to events or occurrences that transpired while the Executive was employed by the Company, and</w:t>
      </w:r>
    </w:p>
    <w:p>
      <w:pPr>
        <w:ind w:left="9" w:right="20" w:hanging="9"/>
        <w:spacing w:after="0" w:line="252" w:lineRule="auto"/>
        <w:tabs>
          <w:tab w:leader="none" w:pos="26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investigation, whether internal or external, of any matters about which the Company believes the Executive may have knowledge or information. The Executive’s full cooperation in connection with such claims, actions or investigations shall include, but not be limited to, being available to meet with counsel to answer questions or to prepare for discovery or trial and to act as a witness on behalf of the Company at mutually convenient times. During and after the Executive’s employment and in all cases subject to the Company’s compliance with its indemnification obligations and with due regard for the Executive’s personal and professional commitments, the Executive also shall cooperate fully with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out-of-pocket expenses incurred in connection with the Executive’s performance of obligations pursuant to this Section 8(c) .</w:t>
      </w:r>
    </w:p>
    <w:p>
      <w:pPr>
        <w:spacing w:after="0" w:line="78" w:lineRule="exact"/>
        <w:rPr>
          <w:rFonts w:ascii="Times New Roman" w:cs="Times New Roman" w:eastAsia="Times New Roman" w:hAnsi="Times New Roman"/>
          <w:sz w:val="17"/>
          <w:szCs w:val="17"/>
          <w:color w:val="auto"/>
        </w:rPr>
      </w:pPr>
    </w:p>
    <w:p>
      <w:pPr>
        <w:ind w:left="9" w:right="100" w:firstLine="929"/>
        <w:spacing w:after="0" w:line="255" w:lineRule="auto"/>
        <w:tabs>
          <w:tab w:leader="none" w:pos="1188" w:val="left"/>
        </w:tabs>
        <w:numPr>
          <w:ilvl w:val="2"/>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Relief</w:t>
      </w:r>
      <w:r>
        <w:rPr>
          <w:rFonts w:ascii="Times New Roman" w:cs="Times New Roman" w:eastAsia="Times New Roman" w:hAnsi="Times New Roman"/>
          <w:sz w:val="17"/>
          <w:szCs w:val="17"/>
          <w:color w:val="auto"/>
        </w:rPr>
        <w:t>. The Executive agrees that it would be difficult to measure any damages caused to the Company which might result from any breach by the Executive of the Continuing Obligations, and that in any event money damages would be an inadequate remedy for any such breach. Accordingly</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the Executive agrees that if the Executive breaches, or proposes to breach, any portion of the Continuing Obligations, the Company shall be entitled, in addition to all other remedies that it may have, to seek an injunction or other appropriate equitable relief to restrain any such breach without showing or proving any actual damage to the Company. If any action, suit, or proceeding arising out of or relating to this Agreement is brought by either the Company or Executive, the prevailing party shall be entitled to recover from the non-prevailing party its reasonable attorneys’ fees, expenses, and court costs incurred in such action (including in any appeals), in addition to any other remedies available at law, in equity, or under contract. For purposes of this </w:t>
      </w:r>
      <w:r>
        <w:rPr>
          <w:rFonts w:ascii="Times New Roman" w:cs="Times New Roman" w:eastAsia="Times New Roman" w:hAnsi="Times New Roman"/>
          <w:sz w:val="17"/>
          <w:szCs w:val="17"/>
          <w:u w:val="single" w:color="auto"/>
          <w:color w:val="auto"/>
        </w:rPr>
        <w:t>Section 8(d)</w:t>
      </w:r>
      <w:r>
        <w:rPr>
          <w:rFonts w:ascii="Times New Roman" w:cs="Times New Roman" w:eastAsia="Times New Roman" w:hAnsi="Times New Roman"/>
          <w:sz w:val="17"/>
          <w:szCs w:val="17"/>
          <w:color w:val="auto"/>
        </w:rPr>
        <w:t>, the “prevailing party” means the party that substantially obtains the relief sought.</w:t>
      </w:r>
    </w:p>
    <w:p>
      <w:pPr>
        <w:spacing w:after="0" w:line="76" w:lineRule="exact"/>
        <w:rPr>
          <w:rFonts w:ascii="Times New Roman" w:cs="Times New Roman" w:eastAsia="Times New Roman" w:hAnsi="Times New Roman"/>
          <w:sz w:val="17"/>
          <w:szCs w:val="17"/>
          <w:color w:val="auto"/>
        </w:rPr>
      </w:pPr>
    </w:p>
    <w:p>
      <w:pPr>
        <w:ind w:left="9" w:firstLine="408"/>
        <w:spacing w:after="0" w:line="261" w:lineRule="auto"/>
        <w:tabs>
          <w:tab w:leader="none" w:pos="596"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Consent to Jurisdiction</w:t>
      </w:r>
      <w:r>
        <w:rPr>
          <w:rFonts w:ascii="Times New Roman" w:cs="Times New Roman" w:eastAsia="Times New Roman" w:hAnsi="Times New Roman"/>
          <w:sz w:val="17"/>
          <w:szCs w:val="17"/>
          <w:color w:val="auto"/>
        </w:rPr>
        <w:t>. The parties hereby consent to the jurisdiction of the state and federal courts of the Commonwealth of Massachusetts. Accordingly, with respect to any such court action, the Executive (a) submits to the exclusive personal jurisdiction of such courts; (b) consents to service of process; and (c) waives any other requirement (whether imposed by statute, rule of court, or otherwise) with respect to personal jurisdiction or service of process.</w:t>
      </w:r>
    </w:p>
    <w:p>
      <w:pPr>
        <w:spacing w:after="0" w:line="108" w:lineRule="exact"/>
        <w:rPr>
          <w:sz w:val="20"/>
          <w:szCs w:val="20"/>
          <w:color w:val="auto"/>
        </w:rPr>
      </w:pPr>
    </w:p>
    <w:p>
      <w:pPr>
        <w:jc w:val="center"/>
        <w:ind w:right="-28"/>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0409"/>
          </w:cols>
          <w:pgMar w:left="731" w:top="264" w:right="759" w:bottom="1440" w:gutter="0" w:footer="0" w:header="0"/>
        </w:sectPr>
      </w:pPr>
    </w:p>
    <w:bookmarkStart w:id="41" w:name="page42"/>
    <w:bookmarkEnd w:id="41"/>
    <w:p>
      <w:pPr>
        <w:ind w:right="120" w:firstLine="408"/>
        <w:spacing w:after="0" w:line="259" w:lineRule="auto"/>
        <w:tabs>
          <w:tab w:leader="none" w:pos="672"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Waiver of Jury Trial</w:t>
      </w:r>
      <w:r>
        <w:rPr>
          <w:rFonts w:ascii="Times New Roman" w:cs="Times New Roman" w:eastAsia="Times New Roman" w:hAnsi="Times New Roman"/>
          <w:sz w:val="17"/>
          <w:szCs w:val="17"/>
          <w:color w:val="auto"/>
        </w:rPr>
        <w:t>. Each of the Executive and the Company irrevocably and unconditionally WAIVES ALL RIGHT TO TRIAL BY JURY IN ANY PROCEEDING (WHETHER BASED ON CONTRACT, TORT OR OTHERWISE) ARISING OUT OF OR RELATING TO THIS AGREEMENT OR THE EXECUTIVE’S EMPLOYMENT BY THE COMPANY OR ANY AFFILIATE OF THE COMPANY, INCLUDING WITHOUT LIMITATION THE EXECUTIVE’S OR THE COMPANY’S PERFORMANCE UNDER, OR THE ENFORCEMENT OF, THIS AGREEMENT.</w:t>
      </w:r>
    </w:p>
    <w:p>
      <w:pPr>
        <w:spacing w:after="0" w:line="69" w:lineRule="exact"/>
        <w:rPr>
          <w:rFonts w:ascii="Times New Roman" w:cs="Times New Roman" w:eastAsia="Times New Roman" w:hAnsi="Times New Roman"/>
          <w:sz w:val="17"/>
          <w:szCs w:val="17"/>
          <w:color w:val="auto"/>
        </w:rPr>
      </w:pPr>
    </w:p>
    <w:p>
      <w:pPr>
        <w:ind w:left="660" w:hanging="252"/>
        <w:spacing w:after="0"/>
        <w:tabs>
          <w:tab w:leader="none" w:pos="66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Indemnification Agreement</w:t>
      </w:r>
      <w:r>
        <w:rPr>
          <w:rFonts w:ascii="Times New Roman" w:cs="Times New Roman" w:eastAsia="Times New Roman" w:hAnsi="Times New Roman"/>
          <w:sz w:val="17"/>
          <w:szCs w:val="17"/>
          <w:color w:val="auto"/>
        </w:rPr>
        <w:t>. The Company and the Executive shall enter into the Company’s form of Indemnification Agreement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-7620</wp:posOffset>
            </wp:positionV>
            <wp:extent cx="273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Indemnification Agreement</w:t>
      </w:r>
      <w:r>
        <w:rPr>
          <w:rFonts w:ascii="Times New Roman" w:cs="Times New Roman" w:eastAsia="Times New Roman" w:hAnsi="Times New Roman"/>
          <w:sz w:val="17"/>
          <w:szCs w:val="17"/>
          <w:color w:val="auto"/>
        </w:rPr>
        <w:t>”), which shall also cover his acts and omissions while previously serving as a member of the Board.</w:t>
      </w:r>
    </w:p>
    <w:p>
      <w:pPr>
        <w:spacing w:after="0" w:line="94" w:lineRule="exact"/>
        <w:rPr>
          <w:sz w:val="20"/>
          <w:szCs w:val="20"/>
          <w:color w:val="auto"/>
        </w:rPr>
      </w:pPr>
    </w:p>
    <w:p>
      <w:pPr>
        <w:ind w:right="160" w:firstLine="408"/>
        <w:spacing w:after="0" w:line="267" w:lineRule="auto"/>
        <w:tabs>
          <w:tab w:leader="none" w:pos="672"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Integration</w:t>
      </w:r>
      <w:r>
        <w:rPr>
          <w:rFonts w:ascii="Times New Roman" w:cs="Times New Roman" w:eastAsia="Times New Roman" w:hAnsi="Times New Roman"/>
          <w:sz w:val="17"/>
          <w:szCs w:val="17"/>
          <w:color w:val="auto"/>
        </w:rPr>
        <w:t>. This Agreement, together with the Equity Documents, the Restrictive Covenant Agreement and the Indemnification Agreement, constitutes the entire agreement between the parties with respect to the subject matter hereof and supersedes all prior agreements between the parties concerning such subject matter.</w:t>
      </w:r>
    </w:p>
    <w:p>
      <w:pPr>
        <w:spacing w:after="0" w:line="63" w:lineRule="exact"/>
        <w:rPr>
          <w:rFonts w:ascii="Times New Roman" w:cs="Times New Roman" w:eastAsia="Times New Roman" w:hAnsi="Times New Roman"/>
          <w:sz w:val="17"/>
          <w:szCs w:val="17"/>
          <w:color w:val="auto"/>
        </w:rPr>
      </w:pPr>
    </w:p>
    <w:p>
      <w:pPr>
        <w:ind w:firstLine="408"/>
        <w:spacing w:after="0" w:line="261" w:lineRule="auto"/>
        <w:tabs>
          <w:tab w:leader="none" w:pos="672"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Withholding; Tax Effect</w:t>
      </w:r>
      <w:r>
        <w:rPr>
          <w:rFonts w:ascii="Times New Roman" w:cs="Times New Roman" w:eastAsia="Times New Roman" w:hAnsi="Times New Roman"/>
          <w:sz w:val="17"/>
          <w:szCs w:val="17"/>
          <w:color w:val="auto"/>
        </w:rPr>
        <w:t>. All payments made by the Company to the Executive under this Agreement shall be net of any tax or other amounts required to be withheld by the Company under applicable law. Nothing in this Agreement shall be construed to require the Company to make any payments to compensate the Executive for any adverse tax effect associated with any payments or benefits or for any deduction or withholding from any payment or benefit.</w:t>
      </w:r>
    </w:p>
    <w:p>
      <w:pPr>
        <w:spacing w:after="0" w:line="69" w:lineRule="exact"/>
        <w:rPr>
          <w:rFonts w:ascii="Times New Roman" w:cs="Times New Roman" w:eastAsia="Times New Roman" w:hAnsi="Times New Roman"/>
          <w:sz w:val="17"/>
          <w:szCs w:val="17"/>
          <w:color w:val="auto"/>
        </w:rPr>
      </w:pPr>
    </w:p>
    <w:p>
      <w:pPr>
        <w:ind w:right="60" w:firstLine="408"/>
        <w:spacing w:after="0" w:line="254" w:lineRule="auto"/>
        <w:tabs>
          <w:tab w:leader="none" w:pos="672"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Assignment; Successors and Assigns</w:t>
      </w:r>
      <w:r>
        <w:rPr>
          <w:rFonts w:ascii="Times New Roman" w:cs="Times New Roman" w:eastAsia="Times New Roman" w:hAnsi="Times New Roman"/>
          <w:sz w:val="17"/>
          <w:szCs w:val="17"/>
          <w:color w:val="auto"/>
        </w:rPr>
        <w:t xml:space="preserve">. Neither the Executive nor the Company may make any assignment of this Agreement or any interest in it, by operation of law or otherwise, without the prior written consent of the other;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the Company may assign its rights and obligations under this Agreement (including the Restrictive Covenants Agreement) without the Executive’s consent to any affiliate or to any person or entity with whom the Company shall hereafter effect a reorganization or consolidation, into which the Company merges or to whom it transfers all or substantially all of its properties or assets;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xml:space="preserve"> that if the Executive remains employed or becomes employed by the Company, the purchaser or any of their affiliates in connection with any such transaction, then the Executive shall not be entitled to any payments, benefits or vesting pursuant to Section 5 or pursuant to Section 6 of this Agreement solely as a result of such transaction. This Agreement shall inure to the benefit of and be binding upon the Executive and the Company, and each of the Executive’s and the Company’s respective successors, executors, administrators, heirs and permitted assigns. In the event of the Executive’s death after the Executive’s termination of employment but prior to the completion by the Company of all payments due to the Executive under this Agreement, the Company shall continue such payments to the Executive’s beneficiary designated in writing to the Company prior to the Executive’s death (or to the Executive’s estate, if the Executive fails to make such designation).</w:t>
      </w:r>
    </w:p>
    <w:p>
      <w:pPr>
        <w:spacing w:after="0" w:line="75" w:lineRule="exact"/>
        <w:rPr>
          <w:rFonts w:ascii="Times New Roman" w:cs="Times New Roman" w:eastAsia="Times New Roman" w:hAnsi="Times New Roman"/>
          <w:sz w:val="17"/>
          <w:szCs w:val="17"/>
          <w:color w:val="auto"/>
        </w:rPr>
      </w:pPr>
    </w:p>
    <w:p>
      <w:pPr>
        <w:ind w:right="220" w:firstLine="408"/>
        <w:spacing w:after="0" w:line="261" w:lineRule="auto"/>
        <w:tabs>
          <w:tab w:leader="none" w:pos="672"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Enforceability</w:t>
      </w:r>
      <w:r>
        <w:rPr>
          <w:rFonts w:ascii="Times New Roman" w:cs="Times New Roman" w:eastAsia="Times New Roman" w:hAnsi="Times New Roman"/>
          <w:sz w:val="17"/>
          <w:szCs w:val="17"/>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69" w:lineRule="exact"/>
        <w:rPr>
          <w:rFonts w:ascii="Times New Roman" w:cs="Times New Roman" w:eastAsia="Times New Roman" w:hAnsi="Times New Roman"/>
          <w:sz w:val="17"/>
          <w:szCs w:val="17"/>
          <w:color w:val="auto"/>
        </w:rPr>
      </w:pPr>
    </w:p>
    <w:p>
      <w:pPr>
        <w:ind w:right="180" w:firstLine="408"/>
        <w:spacing w:after="0" w:line="283" w:lineRule="auto"/>
        <w:tabs>
          <w:tab w:leader="none" w:pos="672"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Survival</w:t>
      </w:r>
      <w:r>
        <w:rPr>
          <w:rFonts w:ascii="Times New Roman" w:cs="Times New Roman" w:eastAsia="Times New Roman" w:hAnsi="Times New Roman"/>
          <w:sz w:val="17"/>
          <w:szCs w:val="17"/>
          <w:color w:val="auto"/>
        </w:rPr>
        <w:t>. For the avoidance of doubt, this Agreement shall survive the termination of the Executive’s employment to the extent necessary to effectuate the terms contained herein.</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0380"/>
          </w:cols>
          <w:pgMar w:left="740" w:top="264" w:right="779" w:bottom="1440" w:gutter="0" w:footer="0" w:header="0"/>
        </w:sectPr>
      </w:pPr>
    </w:p>
    <w:bookmarkStart w:id="42" w:name="page43"/>
    <w:bookmarkEnd w:id="42"/>
    <w:p>
      <w:pPr>
        <w:ind w:left="9" w:right="100" w:firstLine="408"/>
        <w:spacing w:after="0" w:line="267" w:lineRule="auto"/>
        <w:tabs>
          <w:tab w:leader="none" w:pos="681"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Waiver</w:t>
      </w:r>
      <w:r>
        <w:rPr>
          <w:rFonts w:ascii="Times New Roman" w:cs="Times New Roman" w:eastAsia="Times New Roman" w:hAnsi="Times New Roman"/>
          <w:sz w:val="17"/>
          <w:szCs w:val="17"/>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63" w:lineRule="exact"/>
        <w:rPr>
          <w:rFonts w:ascii="Times New Roman" w:cs="Times New Roman" w:eastAsia="Times New Roman" w:hAnsi="Times New Roman"/>
          <w:sz w:val="17"/>
          <w:szCs w:val="17"/>
          <w:color w:val="auto"/>
        </w:rPr>
      </w:pPr>
    </w:p>
    <w:p>
      <w:pPr>
        <w:ind w:left="9" w:right="100" w:firstLine="408"/>
        <w:spacing w:after="0" w:line="257" w:lineRule="auto"/>
        <w:tabs>
          <w:tab w:leader="none" w:pos="681"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 Notices, requests, demands and other communications provided for by this Agreement shall also be sufficient if sent by email to the Company email address of the Executive or, in the case of the Company, the Company email address of the Company’s Human Resources Department, with confirmation of receipt.</w:t>
      </w:r>
    </w:p>
    <w:p>
      <w:pPr>
        <w:spacing w:after="0" w:line="72" w:lineRule="exact"/>
        <w:rPr>
          <w:rFonts w:ascii="Times New Roman" w:cs="Times New Roman" w:eastAsia="Times New Roman" w:hAnsi="Times New Roman"/>
          <w:sz w:val="17"/>
          <w:szCs w:val="17"/>
          <w:color w:val="auto"/>
        </w:rPr>
      </w:pPr>
    </w:p>
    <w:p>
      <w:pPr>
        <w:ind w:left="9" w:right="300" w:firstLine="408"/>
        <w:spacing w:after="0" w:line="283" w:lineRule="auto"/>
        <w:tabs>
          <w:tab w:leader="none" w:pos="681"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This Agreement may be amended or modified only by a written instrument signed by the Executive and by a duly authorized representative of the Company.</w:t>
      </w:r>
    </w:p>
    <w:p>
      <w:pPr>
        <w:spacing w:after="0" w:line="50" w:lineRule="exact"/>
        <w:rPr>
          <w:rFonts w:ascii="Times New Roman" w:cs="Times New Roman" w:eastAsia="Times New Roman" w:hAnsi="Times New Roman"/>
          <w:sz w:val="17"/>
          <w:szCs w:val="17"/>
          <w:color w:val="auto"/>
        </w:rPr>
      </w:pPr>
    </w:p>
    <w:p>
      <w:pPr>
        <w:ind w:left="9" w:firstLine="408"/>
        <w:spacing w:after="0" w:line="253" w:lineRule="auto"/>
        <w:tabs>
          <w:tab w:leader="none" w:pos="681"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 on Other Plans and Agreements</w:t>
      </w:r>
      <w:r>
        <w:rPr>
          <w:rFonts w:ascii="Times New Roman" w:cs="Times New Roman" w:eastAsia="Times New Roman" w:hAnsi="Times New Roman"/>
          <w:sz w:val="17"/>
          <w:szCs w:val="17"/>
          <w:color w:val="auto"/>
        </w:rPr>
        <w:t>. An election by the Executive to resign for Good Reason under the provisions of this Agreement shall not be deemed a voluntary termination of employment by the Executive for the purpose of interpreting the provisions of any of the Company’s benefit plans, programs or policies. Nothing in this Agreement shall be construed to limit the rights of the Executive under the Company’s benefit plans, programs or policies except as otherwise provided in Section 8 hereof, and except that the Executive shall have no rights to any severance benefits under any Company severance pay plan, offer letter or otherwise. Notwithstanding anything to the contrary in this Agreement, all severance pay and benefits provided to the Executive pursuant to Section 5 or Section 6 of this Agreement (as applicable) shall be reduced and/or offset by any amounts or benefits paid to the Executive to satisfy the federal Worker Adjustment and Retraining Notification (WARN) Act, 29 U.S.C. § 2101 et seq., as amended, and any applicable state plant or facility closing or mass layoff law (whether as damages, as payment of salary or other wages during an applicable notice period or otherwise). Except for the Restrictive Covenants Agreement, in the event that the Executive is party to an agreement with the Company providing for payments or benefits under such plan or agreement and under this Agreement, the terms of this Agreement shall govern and the Executive may receive payment under this Agreement only and not both. Further, Section 5 and Section 6 of this Agreement are mutually exclusive and in no event shall the Executive be entitled to payments or benefits pursuant to both Section 5 and Section 6 of this Agreement.</w:t>
      </w:r>
    </w:p>
    <w:p>
      <w:pPr>
        <w:spacing w:after="0" w:line="82" w:lineRule="exact"/>
        <w:rPr>
          <w:rFonts w:ascii="Times New Roman" w:cs="Times New Roman" w:eastAsia="Times New Roman" w:hAnsi="Times New Roman"/>
          <w:sz w:val="17"/>
          <w:szCs w:val="17"/>
          <w:color w:val="auto"/>
        </w:rPr>
      </w:pPr>
    </w:p>
    <w:p>
      <w:pPr>
        <w:jc w:val="both"/>
        <w:ind w:left="9" w:firstLine="408"/>
        <w:spacing w:after="0" w:line="261" w:lineRule="auto"/>
        <w:tabs>
          <w:tab w:leader="none" w:pos="681"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is a Massachusetts contract and, except as set forth in Section 23, shall be construed under and be governed in all respects by the laws of the Commonwealth of Massachusetts, without giving effect to the conflict of laws principles thereof. With respect to any disputes concerning federal law, such disputes shall be determined in accordance with the law as it would be interpreted and applied by the United States Court of Appeals for the First Circuit.</w:t>
      </w:r>
    </w:p>
    <w:p>
      <w:pPr>
        <w:spacing w:after="0" w:line="69" w:lineRule="exact"/>
        <w:rPr>
          <w:rFonts w:ascii="Times New Roman" w:cs="Times New Roman" w:eastAsia="Times New Roman" w:hAnsi="Times New Roman"/>
          <w:sz w:val="17"/>
          <w:szCs w:val="17"/>
          <w:color w:val="auto"/>
        </w:rPr>
      </w:pPr>
    </w:p>
    <w:p>
      <w:pPr>
        <w:ind w:left="9" w:right="420" w:firstLine="408"/>
        <w:spacing w:after="0" w:line="283" w:lineRule="auto"/>
        <w:tabs>
          <w:tab w:leader="none" w:pos="681"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Conditions</w:t>
      </w:r>
      <w:r>
        <w:rPr>
          <w:rFonts w:ascii="Times New Roman" w:cs="Times New Roman" w:eastAsia="Times New Roman" w:hAnsi="Times New Roman"/>
          <w:sz w:val="17"/>
          <w:szCs w:val="17"/>
          <w:color w:val="auto"/>
        </w:rPr>
        <w:t>. Notwithstanding anything to the contrary herein, the effectiveness of this Agreement shall be conditioned on the Executive’s satisfactory completion of reference and background checks (if so requested by the Company).</w:t>
      </w:r>
    </w:p>
    <w:p>
      <w:pPr>
        <w:spacing w:after="0" w:line="50" w:lineRule="exact"/>
        <w:rPr>
          <w:rFonts w:ascii="Times New Roman" w:cs="Times New Roman" w:eastAsia="Times New Roman" w:hAnsi="Times New Roman"/>
          <w:sz w:val="17"/>
          <w:szCs w:val="17"/>
          <w:color w:val="auto"/>
        </w:rPr>
      </w:pPr>
    </w:p>
    <w:p>
      <w:pPr>
        <w:ind w:left="9" w:right="140" w:firstLine="408"/>
        <w:spacing w:after="0" w:line="277" w:lineRule="auto"/>
        <w:tabs>
          <w:tab w:leader="none" w:pos="681"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Effective Date; Pre-Work Authorization Period</w:t>
      </w:r>
      <w:r>
        <w:rPr>
          <w:rFonts w:ascii="Times New Roman" w:cs="Times New Roman" w:eastAsia="Times New Roman" w:hAnsi="Times New Roman"/>
          <w:sz w:val="16"/>
          <w:szCs w:val="16"/>
          <w:color w:val="auto"/>
        </w:rPr>
        <w:t>. The Agreement shall become effective upon Executive’s receipt of authorization to work in the United States (the “</w:t>
      </w:r>
      <w:r>
        <w:rPr>
          <w:rFonts w:ascii="Times New Roman" w:cs="Times New Roman" w:eastAsia="Times New Roman" w:hAnsi="Times New Roman"/>
          <w:sz w:val="16"/>
          <w:szCs w:val="16"/>
          <w:u w:val="single" w:color="auto"/>
          <w:color w:val="auto"/>
        </w:rPr>
        <w:t>Effective Date</w:t>
      </w:r>
      <w:r>
        <w:rPr>
          <w:rFonts w:ascii="Times New Roman" w:cs="Times New Roman" w:eastAsia="Times New Roman" w:hAnsi="Times New Roman"/>
          <w:sz w:val="16"/>
          <w:szCs w:val="16"/>
          <w:color w:val="auto"/>
        </w:rPr>
        <w:t>”). Notwithstanding anything to the contrary herein, commencing on January 8, 2026 through the Effective Date:</w:t>
      </w:r>
    </w:p>
    <w:p>
      <w:pPr>
        <w:spacing w:after="0" w:line="1" w:lineRule="exact"/>
        <w:rPr>
          <w:rFonts w:ascii="Times New Roman" w:cs="Times New Roman" w:eastAsia="Times New Roman" w:hAnsi="Times New Roman"/>
          <w:sz w:val="16"/>
          <w:szCs w:val="16"/>
          <w:color w:val="auto"/>
        </w:rPr>
      </w:pPr>
    </w:p>
    <w:p>
      <w:pPr>
        <w:ind w:left="9" w:right="40" w:hanging="9"/>
        <w:spacing w:after="0" w:line="253" w:lineRule="auto"/>
        <w:tabs>
          <w:tab w:leader="none" w:pos="212"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 will perform the services for the Company remotely from Germany, (ii) the Executive’s employment shall be governed by the terms of the Limited Term Employment Agreement, between the Executive and the Company dated January 8, 2026 (the “</w:t>
      </w:r>
      <w:r>
        <w:rPr>
          <w:rFonts w:ascii="Times New Roman" w:cs="Times New Roman" w:eastAsia="Times New Roman" w:hAnsi="Times New Roman"/>
          <w:sz w:val="17"/>
          <w:szCs w:val="17"/>
          <w:u w:val="single" w:color="auto"/>
          <w:color w:val="auto"/>
        </w:rPr>
        <w:t>Limited Term Employment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(iii) the Limited Term Employment Agreement shall automatically expire on the Effective Date; (iv) the Limited Term Agreement and this Agreement are mutually exclusive and in no event shall the Executive shall be entitled to overlapping or duplicative payments, benefits or other compensation under both the Limited Term Agreement and this Agreement.</w:t>
      </w:r>
    </w:p>
    <w:p>
      <w:pPr>
        <w:spacing w:after="0" w:line="115"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0409"/>
          </w:cols>
          <w:pgMar w:left="731" w:top="264" w:right="759" w:bottom="1440" w:gutter="0" w:footer="0" w:header="0"/>
        </w:sectPr>
      </w:pPr>
    </w:p>
    <w:bookmarkStart w:id="43" w:name="page44"/>
    <w:bookmarkEnd w:id="43"/>
    <w:p>
      <w:pPr>
        <w:ind w:left="-160" w:firstLine="408"/>
        <w:spacing w:after="0" w:line="283" w:lineRule="auto"/>
        <w:tabs>
          <w:tab w:leader="none" w:pos="512"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Counterparts</w:t>
      </w:r>
      <w:r>
        <w:rPr>
          <w:rFonts w:ascii="Times New Roman" w:cs="Times New Roman" w:eastAsia="Times New Roman" w:hAnsi="Times New Roman"/>
          <w:sz w:val="17"/>
          <w:szCs w:val="17"/>
          <w:color w:val="auto"/>
        </w:rPr>
        <w:t>. This Agreement may be executed in any number of counterparts, each of which when so executed and delivered shall be taken to be an original; but such counterparts shall together constitute one and the same document.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follows]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0080"/>
          </w:cols>
          <w:pgMar w:left="900" w:top="264" w:right="9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1215" cy="36830"/>
                    </a:xfrm>
                    <a:prstGeom prst="rect">
                      <a:avLst/>
                    </a:prstGeom>
                    <a:noFill/>
                  </pic:spPr>
                </pic:pic>
              </a:graphicData>
            </a:graphic>
          </wp:anchor>
        </w:drawing>
        <w:drawing>
          <wp:anchor simplePos="0" relativeHeight="251657728" behindDoc="1" locked="0" layoutInCell="0" allowOverlap="1">
            <wp:simplePos x="0" y="0"/>
            <wp:positionH relativeFrom="page">
              <wp:posOffset>464185</wp:posOffset>
            </wp:positionH>
            <wp:positionV relativeFrom="page">
              <wp:posOffset>178435</wp:posOffset>
            </wp:positionV>
            <wp:extent cx="1209040" cy="389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89255"/>
                    </a:xfrm>
                    <a:prstGeom prst="rect">
                      <a:avLst/>
                    </a:prstGeom>
                    <a:noFill/>
                  </pic:spPr>
                </pic:pic>
              </a:graphicData>
            </a:graphic>
          </wp:anchor>
        </w:drawing>
        <w:t>IN WITNESS WHEREOF, the parties have executed this Agreement effective on the Effective Date.</w:t>
      </w:r>
    </w:p>
    <w:p>
      <w:pPr>
        <w:spacing w:after="0" w:line="23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b w:val="1"/>
          <w:bCs w:val="1"/>
          <w:color w:val="auto"/>
        </w:rPr>
        <w:t>TANGO THERAPEUTICS, INC.</w:t>
      </w:r>
    </w:p>
    <w:p>
      <w:pPr>
        <w:spacing w:after="0" w:line="2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By: /s/ Alexis Borisy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15875</wp:posOffset>
            </wp:positionV>
            <wp:extent cx="24257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Its:  Chairman</w:t>
      </w:r>
    </w:p>
    <w:p>
      <w:pPr>
        <w:spacing w:after="0" w:line="20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b w:val="1"/>
          <w:bCs w:val="1"/>
          <w:color w:val="auto"/>
        </w:rPr>
        <w:t>EXECUTIVE</w:t>
      </w:r>
    </w:p>
    <w:p>
      <w:pPr>
        <w:spacing w:after="0" w:line="21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/s/ Malte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3716020</wp:posOffset>
            </wp:positionH>
            <wp:positionV relativeFrom="paragraph">
              <wp:posOffset>15875</wp:posOffset>
            </wp:positionV>
            <wp:extent cx="26447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44775" cy="8255"/>
                    </a:xfrm>
                    <a:prstGeom prst="rect">
                      <a:avLst/>
                    </a:prstGeom>
                    <a:noFill/>
                  </pic:spPr>
                </pic:pic>
              </a:graphicData>
            </a:graphic>
          </wp:anchor>
        </w:drawing>
      </w:r>
    </w:p>
    <w:p>
      <w:pPr>
        <w:spacing w:after="0" w:line="1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Malte Peters, M.D.</w:t>
      </w:r>
    </w:p>
    <w:p>
      <w:pPr>
        <w:sectPr>
          <w:pgSz w:w="11900" w:h="16838" w:orient="portrait"/>
          <w:cols w:equalWidth="0" w:num="1">
            <w:col w:w="9319"/>
          </w:cols>
          <w:pgMar w:left="1140" w:top="1081" w:right="1440"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Exhibit A</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Restrictive Covenants Agreement</w:t>
      </w:r>
    </w:p>
    <w:p>
      <w:pPr>
        <w:sectPr>
          <w:pgSz w:w="11900" w:h="16838" w:orient="portrait"/>
          <w:cols w:equalWidth="0" w:num="1">
            <w:col w:w="9019"/>
          </w:cols>
          <w:pgMar w:left="1440" w:top="260" w:right="1440"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1209040" cy="389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09040" cy="389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Tango Therapeutics Announces CEO Transition: Barbara Weber to Retire, Malte Peters Appointed Successor</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Founding CEO Barbara Weber, M.D. to become executive chair of the board of directors -</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Malte Peters, M.D., current board member, appointed President and Chief Executive Officer, effective immediately –</w:t>
      </w:r>
    </w:p>
    <w:p>
      <w:pPr>
        <w:spacing w:after="0" w:line="217"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7"/>
          <w:szCs w:val="17"/>
          <w:color w:val="auto"/>
        </w:rPr>
        <w:t>BOSTON, January 8, 2026 (GLOBE NEWSWIRE) — Tango Therapeutics, Inc. (NASDAQ: TNGX), a clinical-stage biotechnology company committed to discovering and delivering the next generation of precision cancer medicines today announced the retirement of its Chief Executive Officer, Dr. Barbara Weber, effective today January 8, 2026. Dr. Weber, the company’s founding CEO, will become Executive Chair for 2026 and then serve as non-executive chair starting in 2027. She is succeeded by Dr. Malte Peters, a distinguished leader with extensive clinical development and leadership experience and who has served on the Tango Board of Directors since 2018, who will drive the next phase of company growth.</w:t>
      </w:r>
    </w:p>
    <w:p>
      <w:pPr>
        <w:spacing w:after="0" w:line="172"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7"/>
          <w:szCs w:val="17"/>
          <w:color w:val="auto"/>
        </w:rPr>
        <w:t>In her new capacity as Executive Chair, Dr. Weber will remain closely involved with the senior management team of Tango, supporting the company’s strategic priorities and working with Dr. Peters to ensure a seamless transition and continued clinical execution throughout 2026. Alexis Borisy, the current Board Chair, will transition to Lead Independent Director.</w:t>
      </w:r>
    </w:p>
    <w:p>
      <w:pPr>
        <w:spacing w:after="0" w:line="165"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6"/>
          <w:szCs w:val="16"/>
          <w:color w:val="auto"/>
        </w:rPr>
        <w:t>“It has been an extraordinary privilege to build and lead Tango from its inception,” said Barbara Weber, M.D., Executive Chair of Tango Therapeutics. “I am incredibly proud of what the team has accomplished in the last eight years as we leveraged rigorous science to advance our mission to improve outcomes for people with cancer. With vopimetostat now advancing into its first registrational trial and actively enrolling potentially transformative combination studies, this is the right moment for Malte’s leadership expertise and strategic vision to propel Tango into the next phase of growth.”</w:t>
      </w:r>
    </w:p>
    <w:p>
      <w:pPr>
        <w:spacing w:after="0" w:line="1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Dr. Weber added, “Having worked closely with Malte for over 15 years, I have seen firsthand his exceptional leadership in late-stage clinical development and his deep commitment to patients. I have the confidence and trust that bringing his extensive late-stage development and regulatory expertise to our promising clinical-stage pipeline will be an important driver of our success as we move vopimetostat into pivotal studies and ultimately commercialization.”</w:t>
      </w:r>
    </w:p>
    <w:p>
      <w:pPr>
        <w:sectPr>
          <w:pgSz w:w="11900" w:h="16838" w:orient="portrait"/>
          <w:cols w:equalWidth="0" w:num="1">
            <w:col w:w="10420"/>
          </w:cols>
          <w:pgMar w:left="740" w:top="119" w:right="739" w:bottom="1440" w:gutter="0" w:footer="0" w:header="0"/>
        </w:sectPr>
      </w:pPr>
    </w:p>
    <w:bookmarkStart w:id="47" w:name="page48"/>
    <w:bookmarkEnd w:id="47"/>
    <w:p>
      <w:pPr>
        <w:spacing w:after="0" w:line="25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“Following a thorough formal search process, we are thrilled to appoint Dr. Malte Peters as president and CEO,” said Alexis Borisy, Lead Independent Director of Tango Therapeutics. “On behalf of the entire Board, I want to extend our heartfelt gratitude to Barbara for her many years of visionary leadership and unwavering dedication. Her accomplishments, especially in advancing vopimetostat to the threshold of pivotal clinical studies, have been truly transformative for the company. We look forward to her continued guidance as Executive Chair and are confident in the future of Tango under Malte’s capable leadership.”</w:t>
      </w:r>
    </w:p>
    <w:p>
      <w:pPr>
        <w:spacing w:after="0" w:line="172"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color w:val="auto"/>
        </w:rPr>
        <w:t>“I am honored to join the executive team of Tango at such a pivotal time and would like to congratulate Barbara and the team on the outstanding accomplishments,” said Malte Peters, M.D., President and Chief Executive Officer of Tango Therapeutics. “I look forward to continuing to work with Barbara, as she steps into the Executive Chairman role, the Board, and our entire executive team. The progress to date is a testament to Barbara’s remarkable leadership and the dedication of the entire team. I value the trust placed in me and look forward to leading Tango as we build on this strong foundation to pursue our shared vision for the future.”</w:t>
      </w:r>
    </w:p>
    <w:p>
      <w:pPr>
        <w:spacing w:after="0" w:line="1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An accomplished industry veteran, Dr. Peters joins the Tango executive team with a proven track record in both early- and late-stage clinical development, having led global teams and brought innovative therapies to patients. In addition to his service on the Tango board, he was Chief Research and Development Officer at MorphoSys AG, following his tenure as Chief Development Officer and board member since March 2017, where he oversaw a large development organization and the global regulatory approval of Monjuvi in combination with lenalidomide in diffuse large B cell lymphoma. Earlier in his career, he was Global Head of Clinical Development for the Biopharmaceuticals Business Unit at Sandoz International. He also held key leadership positions at Novartis as Clinical Head and Site Head for Basel and East Hanover in Oncology Translational Medicine.</w:t>
      </w:r>
    </w:p>
    <w:p>
      <w:pPr>
        <w:spacing w:after="0" w:line="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Dr. Peters earned his medical degree from the Freie Universität Berlin, Germany, with medical training at the Universities of Padova, Italy, and Bochum and Berlin, Germany.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also renewed its previous guidance on anticipated clinical milestones in 2026:</w:t>
      </w:r>
    </w:p>
    <w:p>
      <w:pPr>
        <w:spacing w:after="0" w:line="124" w:lineRule="exact"/>
        <w:rPr>
          <w:sz w:val="20"/>
          <w:szCs w:val="20"/>
          <w:color w:val="auto"/>
        </w:rPr>
      </w:pPr>
    </w:p>
    <w:p>
      <w:pPr>
        <w:ind w:left="920" w:right="140" w:hanging="418"/>
        <w:spacing w:after="0" w:line="283" w:lineRule="auto"/>
        <w:tabs>
          <w:tab w:leader="none" w:pos="92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Combination trial with vopimetostat + daraxonrasib, and vopimetostat + zoldonrasib (Revolution Medicines), phase 1/2 initial safety and efficacy data 2026</w:t>
      </w:r>
    </w:p>
    <w:p>
      <w:pPr>
        <w:spacing w:after="0" w:line="62" w:lineRule="exact"/>
        <w:rPr>
          <w:rFonts w:ascii="Times New Roman" w:cs="Times New Roman" w:eastAsia="Times New Roman" w:hAnsi="Times New Roman"/>
          <w:sz w:val="17"/>
          <w:szCs w:val="17"/>
          <w:color w:val="auto"/>
        </w:rPr>
      </w:pPr>
    </w:p>
    <w:p>
      <w:pPr>
        <w:ind w:left="920" w:hanging="418"/>
        <w:spacing w:after="0"/>
        <w:tabs>
          <w:tab w:leader="none" w:pos="92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Vopimetostat monotherapy Phase 1/2 clinical data lung cancer update in 2026</w:t>
      </w:r>
    </w:p>
    <w:p>
      <w:pPr>
        <w:spacing w:after="0" w:line="123" w:lineRule="exact"/>
        <w:rPr>
          <w:rFonts w:ascii="Times New Roman" w:cs="Times New Roman" w:eastAsia="Times New Roman" w:hAnsi="Times New Roman"/>
          <w:sz w:val="17"/>
          <w:szCs w:val="17"/>
          <w:color w:val="auto"/>
        </w:rPr>
      </w:pPr>
    </w:p>
    <w:p>
      <w:pPr>
        <w:ind w:left="920" w:hanging="418"/>
        <w:spacing w:after="0"/>
        <w:tabs>
          <w:tab w:leader="none" w:pos="92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Vopimetostat monotherapy 2L pancreatic cancer pivotal study start 2026</w:t>
      </w:r>
    </w:p>
    <w:p>
      <w:pPr>
        <w:spacing w:after="0" w:line="123" w:lineRule="exact"/>
        <w:rPr>
          <w:rFonts w:ascii="Times New Roman" w:cs="Times New Roman" w:eastAsia="Times New Roman" w:hAnsi="Times New Roman"/>
          <w:sz w:val="17"/>
          <w:szCs w:val="17"/>
          <w:color w:val="auto"/>
        </w:rPr>
      </w:pPr>
    </w:p>
    <w:p>
      <w:pPr>
        <w:ind w:left="920" w:hanging="418"/>
        <w:spacing w:after="0"/>
        <w:tabs>
          <w:tab w:leader="none" w:pos="92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TNG456 monotherapy phase 1/2 trial initial safety and efficacy data 2026</w:t>
      </w:r>
    </w:p>
    <w:p>
      <w:pPr>
        <w:sectPr>
          <w:pgSz w:w="11900" w:h="16838" w:orient="portrait"/>
          <w:cols w:equalWidth="0" w:num="1">
            <w:col w:w="10380"/>
          </w:cols>
          <w:pgMar w:left="740" w:top="264" w:right="779" w:bottom="1440" w:gutter="0" w:footer="0" w:header="0"/>
        </w:sectPr>
      </w:pPr>
    </w:p>
    <w:bookmarkStart w:id="48" w:name="page49"/>
    <w:bookmarkEnd w:id="48"/>
    <w:p>
      <w:pPr>
        <w:ind w:left="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Forward-Looking Statements</w:t>
      </w:r>
    </w:p>
    <w:p>
      <w:pPr>
        <w:spacing w:after="0" w:line="115" w:lineRule="exact"/>
        <w:rPr>
          <w:sz w:val="20"/>
          <w:szCs w:val="20"/>
          <w:color w:val="auto"/>
        </w:rPr>
      </w:pPr>
    </w:p>
    <w:p>
      <w:pPr>
        <w:ind w:left="9" w:right="40"/>
        <w:spacing w:after="0" w:line="252" w:lineRule="auto"/>
        <w:rPr>
          <w:sz w:val="20"/>
          <w:szCs w:val="20"/>
          <w:color w:val="auto"/>
        </w:rPr>
      </w:pPr>
      <w:r>
        <w:rPr>
          <w:rFonts w:ascii="Times New Roman" w:cs="Times New Roman" w:eastAsia="Times New Roman" w:hAnsi="Times New Roman"/>
          <w:sz w:val="17"/>
          <w:szCs w:val="17"/>
          <w:color w:val="auto"/>
        </w:rPr>
        <w:t>Certain statements in this press release may be considered forward-looking statements. Forward-looking statements generally relate to future events, Tango’s future operating performance and goals, the anticipated benefits of therapies and combination therapies (that include a Tango pipeline product), as well as the expectations, beliefs and development objectives for Tango’s product pipeline and clinical trials. In some cases, you can identify forward-looking statements by terminology such as “may”, “should”, “expect”, “intend”, “will”, “goal”, “estimate”, “anticipate”, “believe”, “predict”, “designed,” “potential” or “continue”, or the negatives of these terms or variations of them or similar terminology. For example, implicit or explicit statements concerning the following include or constitute forward-looking statements: Dr. Weber’s statements in this press release and statements regarding: (i) the potential of the Company’s PRMT5 molecules, as both standalone treatments and in combination with RAS(ON)-inhibitors, including our belief that vopimetostat has the potential to play a major role in treating patients with MTAP-del cancers; (ii) the preclinical research of the Company’s PRMT5 inhibitors, as a monotherapy and in combination,; (iii) expectations regarding the anticipated benefits of our molecules;; (v) beliefs regarding the ability of the ongoing vopimetostat clinical trial to inform the initiation of a registrational trial in pancreatic cancer next year and our development strategy in lung cancer; (vi) our plans and timing for combination trials, including the ongoing Phase 1/2 clinical trial of vopimetostat with each of two RAS(ON) inhibitors from Revolution Medicines; (vii) the timing of our Phase 1/2 clinical trial in TNG456;; and (ix) the expected timing of:</w:t>
      </w:r>
    </w:p>
    <w:p>
      <w:pPr>
        <w:spacing w:after="0" w:line="7" w:lineRule="exact"/>
        <w:rPr>
          <w:sz w:val="20"/>
          <w:szCs w:val="20"/>
          <w:color w:val="auto"/>
        </w:rPr>
      </w:pPr>
    </w:p>
    <w:p>
      <w:pPr>
        <w:ind w:left="9" w:hanging="9"/>
        <w:spacing w:after="0" w:line="250" w:lineRule="auto"/>
        <w:tabs>
          <w:tab w:leader="none" w:pos="241"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 candidate declaration for certain targets; (b) initiating IND-enabling studies; (c) filing INDs; (d) clinical trial initiation, enrollment, dose escalation and dose expansion (including for combination studies); (e) disclosing initial, interim, updated, additional and final clinical trial results (including for combination studies), including expectations to present clinical updates for vopimetostat, combination, and TNG456 data in 2026; and</w:t>
      </w:r>
    </w:p>
    <w:p>
      <w:pPr>
        <w:spacing w:after="0" w:line="2" w:lineRule="exact"/>
        <w:rPr>
          <w:rFonts w:ascii="Times New Roman" w:cs="Times New Roman" w:eastAsia="Times New Roman" w:hAnsi="Times New Roman"/>
          <w:sz w:val="17"/>
          <w:szCs w:val="17"/>
          <w:color w:val="auto"/>
        </w:rPr>
      </w:pPr>
    </w:p>
    <w:p>
      <w:pPr>
        <w:ind w:left="9" w:right="80" w:hanging="9"/>
        <w:spacing w:after="0" w:line="251" w:lineRule="auto"/>
        <w:tabs>
          <w:tab w:leader="none" w:pos="222"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expected benefits of the Company’s development candidates and other product candidates. Such forward-looking statements are subject to risks, uncertainties, and other factors which could cause actual results to differ materially from those expressed or implied by such forward-looking statements. These forward-looking statements are based upon estimates and assumptions that, while considered reasonable by Tango and its management, are inherently uncertain. New risks and uncertainties may emerge from time to time, and it is not possible to predict all risks and uncertainties. Factors that may cause actual results to differ materially from current expectations include, but are not limited to: the benefits of product candidates seen in preclinical tests and analyses may not be evident when tested in later preclinical studies or in clinical trials or when used in broader patient populations (if approved for commercial sale); Tango has limited experience conducting clinical trials (and does and will continue to rely on a third party to operate its clinical trials) and may not be able to commence its clinical trials (including opening clinical trial sites, dosing the first patient, and continued enrollment and dosing of an adequate number of clinical trial participants) when expected, may not be able to continue dosing, initiate dose escalation and/or dose expansion on anticipated timelines, and may not generate or report clinical trial results (including final, initial, interim, updated clinical trial results or additional safety and efficacy data and the establishment of proof-of-mechanism and proof-of-concept) in the anticipated timeframe (or at all); future clinical trial data releases may differ materially from initial or interim data from our current and future clinical trials; Tango’s pipeline products may not be safe and/or effective in humans;</w:t>
      </w:r>
    </w:p>
    <w:p>
      <w:pPr>
        <w:sectPr>
          <w:pgSz w:w="11900" w:h="16838" w:orient="portrait"/>
          <w:cols w:equalWidth="0" w:num="1">
            <w:col w:w="10429"/>
          </w:cols>
          <w:pgMar w:left="731" w:top="260" w:right="739" w:bottom="1440" w:gutter="0" w:footer="0" w:header="0"/>
        </w:sectPr>
      </w:pPr>
    </w:p>
    <w:bookmarkStart w:id="49" w:name="page50"/>
    <w:bookmarkEnd w:id="49"/>
    <w:p>
      <w:pPr>
        <w:spacing w:after="0" w:line="25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Tango has a limited operating history and has not generated any revenue to date from product sales, and may never become profitable; other companies may be able to identify and develop product candidates more quickly than the Company and commercially introduce the product prior to the Company; the Company may not be able to identify development candidates on the schedule it anticipates due to technical, financial or other reasons; the Company may not be able to file INDs for development candidates on time, or at all, due to technical or financial reasons or otherwise; the Company may utilize cash resources more quickly than anticipated; the Company will need to raise capital in the future and if we are unable to raise capital when needed or on attractive terms, we would be forced to delay, scale back or discontinue some of our development programs or future commercialization efforts (which may delay filing of INDs, dosing patients, initiation of dose expansion, reporting clinical trial results and filing new drug applications); the Company may be unable to advance our preclinical development programs into and through the clinic for safety or efficacy reasons or commercialize our product candidates or we may experience significant delays in doing so as a result of factors beyond our control; the Company may not be able to realize the benefits of orphan drug or Fast Track designation (and such designations may not advance any anticipated approval timelines); the expected benefits of our product candidates in patients as single agents and/or in combination may not be realized; the Company may experience delays or difficulties in the initiation, enrollment, or dosing of patients in clinical trials or the announcement of clinical trial results, Tango may not identify or discover additional product candidates or may expend limited resources to pursue a particular product candidate or indication and fail to capitalize on product candidates or indications that may be more profitable or for which there is a greater likelihood of success; the Company’s product candidates may cause adverse or other undesirable side effects (or may not show requisite efficacy) that could, among other things, delay or prevent regulatory approval; our dependence on one or a limited number third parties for conducting clinical trials and producing drug substance and drug product (including drug substance, which is currently sole sourced); government regulation may negatively impact the Company’s business, including the potential approval of the BIOSECURE Act; the impact of trade restrictions such as sanctions or tariffs, legal actions or enforcement and inflation rates on our business, financial condition, and results of operations; inadequate funding for or disruptions at the U.S. Food and Drug Administration or other government agencies may slow the time necessary for new drugs to be reviewed and/or approved or prevent these agencies from performing business functions on which the operation of our business may rely (which could negatively impact our business); uncertainty around the U.S. presidential administration’s approach to governmental agencies and/or product candidate approvals may present challenges for our business or create a more costly environment in which to pursue the development of new therapeutic candidates; our success depends on our ability to obtain and maintain patent and other proprietary protection for our technology and product candidates; and the scope of intellectual property protection obtained may not be sufficiently broad. Additional information concerning risks, uncertainties and assumptions can be found in Tango’s filings with the Securities and Exchange Commission (SEC), including the risk factors referenced in Tango’s Annual Report on Form 10-K for the fiscal year ended December 31, 2024, as supplemented and/or modified by its most recent Quarterly Report on Form 10-Q. You should not place undue reliance on forward-looking statements in this press release, which speak only as of the date they are made and are qualified in their entirety by reference to the cautionary statements herein. Tango specifically disclaims any duty to update these forward-looking statements.</w:t>
      </w:r>
    </w:p>
    <w:p>
      <w:pPr>
        <w:sectPr>
          <w:pgSz w:w="11900" w:h="16838" w:orient="portrait"/>
          <w:cols w:equalWidth="0" w:num="1">
            <w:col w:w="10400"/>
          </w:cols>
          <w:pgMar w:left="740" w:top="264" w:right="7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215"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Investors and Media:</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Elizabeth Hickin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IR@tangotx.com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media@tangotx.com</w:t>
      </w:r>
    </w:p>
    <w:p>
      <w:pPr>
        <w:sectPr>
          <w:pgSz w:w="11900" w:h="16838" w:orient="portrait"/>
          <w:cols w:equalWidth="0" w:num="1">
            <w:col w:w="9719"/>
          </w:cols>
          <w:pgMar w:left="740" w:top="260" w:right="1440" w:bottom="1440" w:gutter="0" w:footer="0" w:header="0"/>
        </w:sectPr>
      </w:pPr>
    </w:p>
    <w:bookmarkStart w:id="51" w:name="page52"/>
    <w:bookmarkEnd w:id="51"/>
    <w:p>
      <w:pPr>
        <w:ind w:left="884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-449580</wp:posOffset>
            </wp:positionH>
            <wp:positionV relativeFrom="paragraph">
              <wp:posOffset>164465</wp:posOffset>
            </wp:positionV>
            <wp:extent cx="6939915" cy="40239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39915" cy="4023995"/>
                    </a:xfrm>
                    <a:prstGeom prst="rect">
                      <a:avLst/>
                    </a:prstGeom>
                    <a:noFill/>
                  </pic:spPr>
                </pic:pic>
              </a:graphicData>
            </a:graphic>
          </wp:anchor>
        </w:drawing>
      </w:r>
    </w:p>
    <w:p>
      <w:pPr>
        <w:sectPr>
          <w:pgSz w:w="11900" w:h="16838" w:orient="portrait"/>
          <w:cols w:equalWidth="0" w:num="1">
            <w:col w:w="9720"/>
          </w:cols>
          <w:pgMar w:left="1440" w:top="119" w:right="739" w:bottom="1440"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212330" cy="4105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2330" cy="41052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1."/>
      <w:numFmt w:val="decimal"/>
      <w:start w:val="1"/>
    </w:lvl>
    <w:lvl w:ilvl="1">
      <w:lvlJc w:val="left"/>
      <w:lvlText w:val="(%2)"/>
      <w:numFmt w:val="lowerLetter"/>
      <w:start w:val="1"/>
    </w:lvl>
  </w:abstractNum>
  <w:abstractNum w:abstractNumId="4">
    <w:nsid w:val="2A487CB0"/>
    <w:multiLevelType w:val="hybridMultilevel"/>
    <w:lvl w:ilvl="0">
      <w:lvlJc w:val="left"/>
      <w:lvlText w:val="%1"/>
      <w:numFmt w:val="decimal"/>
      <w:start w:val="1"/>
    </w:lvl>
    <w:lvl w:ilvl="1">
      <w:lvlJc w:val="left"/>
      <w:lvlText w:val="(%2)"/>
      <w:numFmt w:val="lowerLetter"/>
      <w:start w:val="3"/>
    </w:lvl>
  </w:abstractNum>
  <w:abstractNum w:abstractNumId="5">
    <w:nsid w:val="1D4ED43B"/>
    <w:multiLevelType w:val="hybridMultilevel"/>
    <w:lvl w:ilvl="0">
      <w:lvlJc w:val="left"/>
      <w:lvlText w:val="%1."/>
      <w:numFmt w:val="decimal"/>
      <w:start w:val="2"/>
    </w:lvl>
    <w:lvl w:ilvl="1">
      <w:lvlJc w:val="left"/>
      <w:lvlText w:val="(%2)"/>
      <w:numFmt w:val="lowerLetter"/>
      <w:start w:val="1"/>
    </w:lvl>
  </w:abstractNum>
  <w:abstractNum w:abstractNumId="6">
    <w:nsid w:val="725A06FB"/>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7">
    <w:nsid w:val="2CD89A3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8">
    <w:nsid w:val="57E4CCAF"/>
    <w:multiLevelType w:val="hybridMultilevel"/>
    <w:lvl w:ilvl="0">
      <w:lvlJc w:val="left"/>
      <w:lvlText w:val="(%1)"/>
      <w:numFmt w:val="lowerLetter"/>
      <w:start w:val="3"/>
    </w:lvl>
    <w:lvl w:ilvl="1">
      <w:lvlJc w:val="left"/>
      <w:lvlText w:val="(%2)"/>
      <w:numFmt w:val="lowerRoman"/>
      <w:start w:val="1"/>
    </w:lvl>
  </w:abstractNum>
  <w:abstractNum w:abstractNumId="9">
    <w:nsid w:val="7A6D8D3C"/>
    <w:multiLevelType w:val="hybridMultilevel"/>
    <w:lvl w:ilvl="0">
      <w:lvlJc w:val="left"/>
      <w:lvlText w:val="(%1)"/>
      <w:numFmt w:val="lowerRoman"/>
      <w:start w:val="2"/>
    </w:lvl>
  </w:abstractNum>
  <w:abstractNum w:abstractNumId="10">
    <w:nsid w:val="4B588F54"/>
    <w:multiLevelType w:val="hybridMultilevel"/>
    <w:lvl w:ilvl="0">
      <w:lvlJc w:val="left"/>
      <w:lvlText w:val="(%1)"/>
      <w:numFmt w:val="lowerRoman"/>
      <w:start w:val="1"/>
    </w:lvl>
  </w:abstractNum>
  <w:abstractNum w:abstractNumId="11">
    <w:nsid w:val="542289EC"/>
    <w:multiLevelType w:val="hybridMultilevel"/>
    <w:lvl w:ilvl="0">
      <w:lvlJc w:val="left"/>
      <w:lvlText w:val="%1."/>
      <w:numFmt w:val="decimal"/>
      <w:start w:val="4"/>
    </w:lvl>
    <w:lvl w:ilvl="1">
      <w:lvlJc w:val="left"/>
      <w:lvlText w:val="(%2)"/>
      <w:numFmt w:val="lowerLetter"/>
      <w:start w:val="1"/>
    </w:lvl>
  </w:abstractNum>
  <w:abstractNum w:abstractNumId="12">
    <w:nsid w:val="6DE91B1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3">
    <w:nsid w:val="38437FDB"/>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14">
    <w:nsid w:val="7644A45C"/>
    <w:multiLevelType w:val="hybridMultilevel"/>
    <w:lvl w:ilvl="0">
      <w:lvlJc w:val="left"/>
      <w:lvlText w:val="(%1)"/>
      <w:numFmt w:val="lowerLetter"/>
      <w:start w:val="22"/>
    </w:lvl>
    <w:lvl w:ilvl="1">
      <w:lvlJc w:val="left"/>
      <w:lvlText w:val="%2."/>
      <w:numFmt w:val="decimal"/>
      <w:start w:val="4"/>
    </w:lvl>
    <w:lvl w:ilvl="2">
      <w:lvlJc w:val="left"/>
      <w:lvlText w:val="(%3)"/>
      <w:numFmt w:val="lowerLetter"/>
      <w:start w:val="3"/>
    </w:lvl>
  </w:abstractNum>
  <w:abstractNum w:abstractNumId="15">
    <w:nsid w:val="32FFF902"/>
    <w:multiLevelType w:val="hybridMultilevel"/>
    <w:lvl w:ilvl="0">
      <w:lvlJc w:val="left"/>
      <w:lvlText w:val="%1"/>
      <w:numFmt w:val="upperLetter"/>
      <w:start w:val="1"/>
    </w:lvl>
    <w:lvl w:ilvl="1">
      <w:lvlJc w:val="left"/>
      <w:lvlText w:val="(%2)"/>
      <w:numFmt w:val="lowerLetter"/>
      <w:start w:val="1"/>
    </w:lvl>
  </w:abstractNum>
  <w:abstractNum w:abstractNumId="16">
    <w:nsid w:val="684A481A"/>
    <w:multiLevelType w:val="hybridMultilevel"/>
    <w:lvl w:ilvl="0">
      <w:lvlJc w:val="left"/>
      <w:lvlText w:val="(%1)"/>
      <w:numFmt w:val="upperLetter"/>
      <w:start w:val="3"/>
    </w:lvl>
    <w:lvl w:ilvl="1">
      <w:lvlJc w:val="left"/>
      <w:lvlText w:val="(%2)"/>
      <w:numFmt w:val="lowerLetter"/>
      <w:start w:val="4"/>
    </w:lvl>
  </w:abstractNum>
  <w:abstractNum w:abstractNumId="17">
    <w:nsid w:val="579478FE"/>
    <w:multiLevelType w:val="hybridMultilevel"/>
    <w:lvl w:ilvl="0">
      <w:lvlJc w:val="left"/>
      <w:lvlText w:val="(%1)"/>
      <w:numFmt w:val="upperLetter"/>
      <w:start w:val="2"/>
    </w:lvl>
    <w:lvl w:ilvl="1">
      <w:lvlJc w:val="left"/>
      <w:lvlText w:val="%2"/>
      <w:numFmt w:val="lowerLetter"/>
      <w:start w:val="1"/>
    </w:lvl>
  </w:abstractNum>
  <w:abstractNum w:abstractNumId="18">
    <w:nsid w:val="749ABB43"/>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9">
    <w:nsid w:val="3DC240FB"/>
    <w:multiLevelType w:val="hybridMultilevel"/>
    <w:lvl w:ilvl="0">
      <w:lvlJc w:val="left"/>
      <w:lvlText w:val="(%1)"/>
      <w:numFmt w:val="lowerRoman"/>
      <w:start w:val="4"/>
    </w:lvl>
  </w:abstractNum>
  <w:abstractNum w:abstractNumId="20">
    <w:nsid w:val="1BA026FA"/>
    <w:multiLevelType w:val="hybridMultilevel"/>
    <w:lvl w:ilvl="0">
      <w:lvlJc w:val="left"/>
      <w:lvlText w:val="(%1)"/>
      <w:numFmt w:val="lowerLetter"/>
      <w:start w:val="2"/>
    </w:lvl>
    <w:lvl w:ilvl="1">
      <w:lvlJc w:val="left"/>
      <w:lvlText w:val="(%2)"/>
      <w:numFmt w:val="lowerLetter"/>
      <w:start w:val="9"/>
    </w:lvl>
  </w:abstractNum>
  <w:abstractNum w:abstractNumId="21">
    <w:nsid w:val="79A1DEAA"/>
    <w:multiLevelType w:val="hybridMultilevel"/>
    <w:lvl w:ilvl="0">
      <w:lvlJc w:val="left"/>
      <w:lvlText w:val="(%1)"/>
      <w:numFmt w:val="decimal"/>
      <w:start w:val="3"/>
    </w:lvl>
    <w:lvl w:ilvl="1">
      <w:lvlJc w:val="left"/>
      <w:lvlText w:val="%2."/>
      <w:numFmt w:val="decimal"/>
      <w:start w:val="6"/>
    </w:lvl>
    <w:lvl w:ilvl="2">
      <w:lvlJc w:val="left"/>
      <w:lvlText w:val="(%3)"/>
      <w:numFmt w:val="lowerLetter"/>
      <w:start w:val="2"/>
    </w:lvl>
    <w:lvl w:ilvl="3">
      <w:lvlJc w:val="left"/>
      <w:lvlText w:val="(%4)"/>
      <w:numFmt w:val="lowerRoman"/>
      <w:start w:val="2"/>
    </w:lvl>
  </w:abstractNum>
  <w:abstractNum w:abstractNumId="22">
    <w:nsid w:val="75C6C33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3">
    <w:nsid w:val="12E685FB"/>
    <w:multiLevelType w:val="hybridMultilevel"/>
    <w:lvl w:ilvl="0">
      <w:lvlJc w:val="left"/>
      <w:lvlText w:val="%1"/>
      <w:numFmt w:val="decimal"/>
      <w:start w:val="1"/>
    </w:lvl>
    <w:lvl w:ilvl="1">
      <w:lvlJc w:val="left"/>
      <w:lvlText w:val="(%2)"/>
      <w:numFmt w:val="lowerLetter"/>
      <w:start w:val="2"/>
    </w:lvl>
  </w:abstractNum>
  <w:abstractNum w:abstractNumId="24">
    <w:nsid w:val="70C6A529"/>
    <w:multiLevelType w:val="hybridMultilevel"/>
    <w:lvl w:ilvl="0">
      <w:lvlJc w:val="left"/>
      <w:lvlText w:val="%1."/>
      <w:numFmt w:val="decimal"/>
      <w:start w:val="8"/>
    </w:lvl>
    <w:lvl w:ilvl="1">
      <w:lvlJc w:val="left"/>
      <w:lvlText w:val="(%2)"/>
      <w:numFmt w:val="lowerLetter"/>
      <w:start w:val="1"/>
    </w:lvl>
  </w:abstractNum>
  <w:abstractNum w:abstractNumId="25">
    <w:nsid w:val="520EEDD1"/>
    <w:multiLevelType w:val="hybridMultilevel"/>
    <w:lvl w:ilvl="0">
      <w:lvlJc w:val="left"/>
      <w:lvlText w:val="%1"/>
      <w:numFmt w:val="decimal"/>
      <w:start w:val="1"/>
    </w:lvl>
    <w:lvl w:ilvl="1">
      <w:lvlJc w:val="left"/>
      <w:lvlText w:val="(%2)"/>
      <w:numFmt w:val="lowerLetter"/>
      <w:start w:val="2"/>
    </w:lvl>
  </w:abstractNum>
  <w:abstractNum w:abstractNumId="26">
    <w:nsid w:val="374A3FE6"/>
    <w:multiLevelType w:val="hybridMultilevel"/>
    <w:lvl w:ilvl="0">
      <w:lvlJc w:val="left"/>
      <w:lvlText w:val="%1."/>
      <w:numFmt w:val="decimal"/>
      <w:start w:val="9"/>
    </w:lvl>
    <w:lvl w:ilvl="1">
      <w:lvlJc w:val="left"/>
      <w:lvlText w:val="%2"/>
      <w:numFmt w:val="lowerLetter"/>
      <w:start w:val="1"/>
    </w:lvl>
  </w:abstractNum>
  <w:abstractNum w:abstractNumId="27">
    <w:nsid w:val="4F4EF005"/>
    <w:multiLevelType w:val="hybridMultilevel"/>
    <w:lvl w:ilvl="0">
      <w:lvlJc w:val="left"/>
      <w:lvlText w:val="%1."/>
      <w:numFmt w:val="decimal"/>
      <w:start w:val="10"/>
    </w:lvl>
  </w:abstractNum>
  <w:abstractNum w:abstractNumId="28">
    <w:nsid w:val="23F9C13C"/>
    <w:multiLevelType w:val="hybridMultilevel"/>
    <w:lvl w:ilvl="0">
      <w:lvlJc w:val="left"/>
      <w:lvlText w:val="%1."/>
      <w:numFmt w:val="decimal"/>
      <w:start w:val="16"/>
    </w:lvl>
  </w:abstractNum>
  <w:abstractNum w:abstractNumId="29">
    <w:nsid w:val="649BB77C"/>
    <w:multiLevelType w:val="hybridMultilevel"/>
    <w:lvl w:ilvl="0">
      <w:lvlJc w:val="left"/>
      <w:lvlText w:val="%1."/>
      <w:numFmt w:val="decimal"/>
      <w:start w:val="1"/>
    </w:lvl>
  </w:abstractNum>
  <w:abstractNum w:abstractNumId="30">
    <w:nsid w:val="275AC794"/>
    <w:multiLevelType w:val="hybridMultilevel"/>
    <w:lvl w:ilvl="0">
      <w:lvlJc w:val="left"/>
      <w:lvlText w:val="%1."/>
      <w:numFmt w:val="decimal"/>
      <w:start w:val="1"/>
    </w:lvl>
  </w:abstractNum>
  <w:abstractNum w:abstractNumId="31">
    <w:nsid w:val="39386575"/>
    <w:multiLevelType w:val="hybridMultilevel"/>
    <w:lvl w:ilvl="0">
      <w:lvlJc w:val="left"/>
      <w:lvlText w:val="%1."/>
      <w:numFmt w:val="decimal"/>
      <w:start w:val="1"/>
    </w:lvl>
  </w:abstractNum>
  <w:abstractNum w:abstractNumId="32">
    <w:nsid w:val="1CF10FD8"/>
    <w:multiLevelType w:val="hybridMultilevel"/>
    <w:lvl w:ilvl="0">
      <w:lvlJc w:val="left"/>
      <w:lvlText w:val="%1."/>
      <w:numFmt w:val="decimal"/>
      <w:start w:val="1"/>
    </w:lvl>
  </w:abstractNum>
  <w:abstractNum w:abstractNumId="33">
    <w:nsid w:val="180115BE"/>
    <w:multiLevelType w:val="hybridMultilevel"/>
    <w:lvl w:ilvl="0">
      <w:lvlJc w:val="left"/>
      <w:lvlText w:val="%1."/>
      <w:numFmt w:val="decimal"/>
      <w:start w:val="1"/>
    </w:lvl>
  </w:abstractNum>
  <w:abstractNum w:abstractNumId="34">
    <w:nsid w:val="235BA861"/>
    <w:multiLevelType w:val="hybridMultilevel"/>
    <w:lvl w:ilvl="0">
      <w:lvlJc w:val="left"/>
      <w:lvlText w:val="%1."/>
      <w:numFmt w:val="decimal"/>
      <w:start w:val="2"/>
    </w:lvl>
  </w:abstractNum>
  <w:abstractNum w:abstractNumId="35">
    <w:nsid w:val="47398C89"/>
    <w:multiLevelType w:val="hybridMultilevel"/>
    <w:lvl w:ilvl="0">
      <w:lvlJc w:val="left"/>
      <w:lvlText w:val="%1."/>
      <w:numFmt w:val="decimal"/>
      <w:start w:val="1"/>
    </w:lvl>
  </w:abstractNum>
  <w:abstractNum w:abstractNumId="36">
    <w:nsid w:val="354FE9F9"/>
    <w:multiLevelType w:val="hybridMultilevel"/>
    <w:lvl w:ilvl="0">
      <w:lvlJc w:val="left"/>
      <w:lvlText w:val="%1."/>
      <w:numFmt w:val="decimal"/>
      <w:start w:val="3"/>
    </w:lvl>
  </w:abstractNum>
  <w:abstractNum w:abstractNumId="37">
    <w:nsid w:val="15B5AF5C"/>
    <w:multiLevelType w:val="hybridMultilevel"/>
    <w:lvl w:ilvl="0">
      <w:lvlJc w:val="left"/>
      <w:lvlText w:val="(%1)"/>
      <w:numFmt w:val="lowerRoman"/>
      <w:start w:val="1"/>
    </w:lvl>
  </w:abstractNum>
  <w:abstractNum w:abstractNumId="38">
    <w:nsid w:val="741226BB"/>
    <w:multiLevelType w:val="hybridMultilevel"/>
    <w:lvl w:ilvl="0">
      <w:lvlJc w:val="left"/>
      <w:lvlText w:val="%1"/>
      <w:numFmt w:val="lowerRoman"/>
      <w:start w:val="1"/>
    </w:lvl>
    <w:lvl w:ilvl="1">
      <w:lvlJc w:val="left"/>
      <w:lvlText w:val="(%2)"/>
      <w:numFmt w:val="lowerRoman"/>
      <w:start w:val="1"/>
    </w:lvl>
  </w:abstractNum>
  <w:abstractNum w:abstractNumId="39">
    <w:nsid w:val="D34B6A8"/>
    <w:multiLevelType w:val="hybridMultilevel"/>
    <w:lvl w:ilvl="0">
      <w:lvlJc w:val="left"/>
      <w:lvlText w:val="(%1)"/>
      <w:numFmt w:val="lowerRoman"/>
      <w:start w:val="2"/>
    </w:lvl>
    <w:lvl w:ilvl="1">
      <w:lvlJc w:val="left"/>
      <w:lvlText w:val="%2"/>
      <w:numFmt w:val="lowerRoman"/>
      <w:start w:val="1"/>
    </w:lvl>
  </w:abstractNum>
  <w:abstractNum w:abstractNumId="40">
    <w:nsid w:val="10233C99"/>
    <w:multiLevelType w:val="hybridMultilevel"/>
    <w:lvl w:ilvl="0">
      <w:lvlJc w:val="left"/>
      <w:lvlText w:val="%1."/>
      <w:numFmt w:val="decimal"/>
      <w:start w:val="6"/>
    </w:lvl>
  </w:abstractNum>
  <w:abstractNum w:abstractNumId="41">
    <w:nsid w:val="3F6AB60F"/>
    <w:multiLevelType w:val="hybridMultilevel"/>
    <w:lvl w:ilvl="0">
      <w:lvlJc w:val="left"/>
      <w:lvlText w:val="%1."/>
      <w:numFmt w:val="decimal"/>
      <w:start w:val="7"/>
    </w:lvl>
  </w:abstractNum>
  <w:abstractNum w:abstractNumId="42">
    <w:nsid w:val="61574095"/>
    <w:multiLevelType w:val="hybridMultilevel"/>
    <w:lvl w:ilvl="0">
      <w:lvlJc w:val="left"/>
      <w:lvlText w:val="%1."/>
      <w:numFmt w:val="decimal"/>
      <w:start w:val="1"/>
    </w:lvl>
  </w:abstractNum>
  <w:abstractNum w:abstractNumId="43">
    <w:nsid w:val="7E0C57B1"/>
    <w:multiLevelType w:val="hybridMultilevel"/>
    <w:lvl w:ilvl="0">
      <w:lvlJc w:val="left"/>
      <w:lvlText w:val="%1."/>
      <w:numFmt w:val="decimal"/>
      <w:start w:val="1"/>
    </w:lvl>
  </w:abstractNum>
  <w:abstractNum w:abstractNumId="44">
    <w:nsid w:val="77AE35EB"/>
    <w:multiLevelType w:val="hybridMultilevel"/>
    <w:lvl w:ilvl="0">
      <w:lvlJc w:val="left"/>
      <w:lvlText w:val="%1."/>
      <w:numFmt w:val="decimal"/>
      <w:start w:val="1"/>
    </w:lvl>
  </w:abstractNum>
  <w:abstractNum w:abstractNumId="45">
    <w:nsid w:val="579BE4F1"/>
    <w:multiLevelType w:val="hybridMultilevel"/>
    <w:lvl w:ilvl="0">
      <w:lvlJc w:val="left"/>
      <w:lvlText w:val="%1."/>
      <w:numFmt w:val="decimal"/>
      <w:start w:val="1"/>
    </w:lvl>
  </w:abstractNum>
  <w:abstractNum w:abstractNumId="46">
    <w:nsid w:val="310C50B3"/>
    <w:multiLevelType w:val="hybridMultilevel"/>
    <w:lvl w:ilvl="0">
      <w:lvlJc w:val="left"/>
      <w:lvlText w:val="%1."/>
      <w:numFmt w:val="decimal"/>
      <w:start w:val="1"/>
    </w:lvl>
  </w:abstractNum>
  <w:abstractNum w:abstractNumId="47">
    <w:nsid w:val="5FF87E05"/>
    <w:multiLevelType w:val="hybridMultilevel"/>
    <w:lvl w:ilvl="0">
      <w:lvlJc w:val="left"/>
      <w:lvlText w:val="%1."/>
      <w:numFmt w:val="decimal"/>
      <w:start w:val="4"/>
    </w:lvl>
  </w:abstractNum>
  <w:abstractNum w:abstractNumId="48">
    <w:nsid w:val="2F305DEF"/>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49">
    <w:nsid w:val="25A70BF7"/>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50">
    <w:nsid w:val="1DBABF00"/>
    <w:multiLevelType w:val="hybridMultilevel"/>
    <w:lvl w:ilvl="0">
      <w:lvlJc w:val="left"/>
      <w:lvlText w:val="(%1)"/>
      <w:numFmt w:val="lowerLetter"/>
      <w:start w:val="2"/>
    </w:lvl>
    <w:lvl w:ilvl="1">
      <w:lvlJc w:val="left"/>
      <w:lvlText w:val="(%2)"/>
      <w:numFmt w:val="lowerLetter"/>
      <w:start w:val="9"/>
    </w:lvl>
  </w:abstractNum>
  <w:abstractNum w:abstractNumId="51">
    <w:nsid w:val="4AD084E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52">
    <w:nsid w:val="1F48EAA1"/>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53">
    <w:nsid w:val="1381823A"/>
    <w:multiLevelType w:val="hybridMultilevel"/>
    <w:lvl w:ilvl="0">
      <w:lvlJc w:val="left"/>
      <w:lvlText w:val="(%1)"/>
      <w:numFmt w:val="lowerRoman"/>
      <w:start w:val="2"/>
    </w:lvl>
  </w:abstractNum>
  <w:abstractNum w:abstractNumId="54">
    <w:nsid w:val="5DB70AE5"/>
    <w:multiLevelType w:val="hybridMultilevel"/>
    <w:lvl w:ilvl="0">
      <w:lvlJc w:val="left"/>
      <w:lvlText w:val="%1"/>
      <w:numFmt w:val="lowerLetter"/>
      <w:start w:val="1"/>
    </w:lvl>
    <w:lvl w:ilvl="1">
      <w:lvlJc w:val="left"/>
      <w:lvlText w:val="(%2)"/>
      <w:numFmt w:val="lowerRoman"/>
      <w:start w:val="5"/>
    </w:lvl>
  </w:abstractNum>
  <w:abstractNum w:abstractNumId="55">
    <w:nsid w:val="100F8FCA"/>
    <w:multiLevelType w:val="hybridMultilevel"/>
    <w:lvl w:ilvl="0">
      <w:lvlJc w:val="left"/>
      <w:lvlText w:val="(%1)"/>
      <w:numFmt w:val="lowerLetter"/>
      <w:start w:val="4"/>
    </w:lvl>
    <w:lvl w:ilvl="1">
      <w:lvlJc w:val="left"/>
      <w:lvlText w:val="(%2)"/>
      <w:numFmt w:val="lowerRoman"/>
      <w:start w:val="1"/>
    </w:lvl>
  </w:abstractNum>
  <w:abstractNum w:abstractNumId="56">
    <w:nsid w:val="6590700B"/>
    <w:multiLevelType w:val="hybridMultilevel"/>
    <w:lvl w:ilvl="0">
      <w:lvlJc w:val="left"/>
      <w:lvlText w:val="(%1)"/>
      <w:numFmt w:val="lowerRoman"/>
      <w:start w:val="3"/>
    </w:lvl>
  </w:abstractNum>
  <w:abstractNum w:abstractNumId="57">
    <w:nsid w:val="15014ACB"/>
    <w:multiLevelType w:val="hybridMultilevel"/>
    <w:lvl w:ilvl="0">
      <w:lvlJc w:val="left"/>
      <w:lvlText w:val="(%1)"/>
      <w:numFmt w:val="lowerRoman"/>
      <w:start w:val="1"/>
    </w:lvl>
  </w:abstractNum>
  <w:abstractNum w:abstractNumId="58">
    <w:nsid w:val="5F5E7FD0"/>
    <w:multiLevelType w:val="hybridMultilevel"/>
    <w:lvl w:ilvl="0">
      <w:lvlJc w:val="left"/>
      <w:lvlText w:val="(%1)"/>
      <w:numFmt w:val="lowerRoman"/>
      <w:start w:val="3"/>
    </w:lvl>
  </w:abstractNum>
  <w:abstractNum w:abstractNumId="59">
    <w:nsid w:val="98A3148"/>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60">
    <w:nsid w:val="799D0247"/>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61">
    <w:nsid w:val="6B94764"/>
    <w:multiLevelType w:val="hybridMultilevel"/>
    <w:lvl w:ilvl="0">
      <w:lvlJc w:val="left"/>
      <w:lvlText w:val="(%1)"/>
      <w:numFmt w:val="lowerLetter"/>
      <w:start w:val="22"/>
    </w:lvl>
    <w:lvl w:ilvl="1">
      <w:lvlJc w:val="left"/>
      <w:lvlText w:val="%2"/>
      <w:numFmt w:val="decimal"/>
      <w:start w:val="1"/>
    </w:lvl>
    <w:lvl w:ilvl="2">
      <w:lvlJc w:val="left"/>
      <w:lvlText w:val="(%3)"/>
      <w:numFmt w:val="lowerLetter"/>
      <w:start w:val="3"/>
    </w:lvl>
  </w:abstractNum>
  <w:abstractNum w:abstractNumId="62">
    <w:nsid w:val="42C296BD"/>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1"/>
    </w:lvl>
  </w:abstractNum>
  <w:abstractNum w:abstractNumId="63">
    <w:nsid w:val="168E121F"/>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4"/>
    </w:lvl>
  </w:abstractNum>
  <w:abstractNum w:abstractNumId="64">
    <w:nsid w:val="1EBA5D23"/>
    <w:multiLevelType w:val="hybridMultilevel"/>
    <w:lvl w:ilvl="0">
      <w:lvlJc w:val="left"/>
      <w:lvlText w:val="(%1)"/>
      <w:numFmt w:val="upperLetter"/>
      <w:start w:val="2"/>
    </w:lvl>
    <w:lvl w:ilvl="1">
      <w:lvlJc w:val="left"/>
      <w:lvlText w:val="%2."/>
      <w:numFmt w:val="decimal"/>
      <w:start w:val="5"/>
    </w:lvl>
    <w:lvl w:ilvl="2">
      <w:lvlJc w:val="left"/>
      <w:lvlText w:val="(%3)"/>
      <w:numFmt w:val="lowerLetter"/>
      <w:start w:val="5"/>
    </w:lvl>
    <w:lvl w:ilvl="3">
      <w:lvlJc w:val="left"/>
      <w:lvlText w:val="%4"/>
      <w:numFmt w:val="lowerLetter"/>
      <w:start w:val="1"/>
    </w:lvl>
  </w:abstractNum>
  <w:abstractNum w:abstractNumId="65">
    <w:nsid w:val="661E3F1E"/>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Letter"/>
      <w:start w:val="9"/>
    </w:lvl>
  </w:abstractNum>
  <w:abstractNum w:abstractNumId="66">
    <w:nsid w:val="5DC79EA8"/>
    <w:multiLevelType w:val="hybridMultilevel"/>
    <w:lvl w:ilvl="0">
      <w:lvlJc w:val="left"/>
      <w:lvlText w:val="(%1)"/>
      <w:numFmt w:val="lowerRoman"/>
      <w:start w:val="2"/>
    </w:lvl>
  </w:abstractNum>
  <w:abstractNum w:abstractNumId="67">
    <w:nsid w:val="540A471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8">
    <w:nsid w:val="7BD3EE7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69">
    <w:nsid w:val="51D9C564"/>
    <w:multiLevelType w:val="hybridMultilevel"/>
    <w:lvl w:ilvl="0">
      <w:lvlJc w:val="left"/>
      <w:lvlText w:val="%1"/>
      <w:numFmt w:val="decimal"/>
      <w:start w:val="1"/>
    </w:lvl>
    <w:lvl w:ilvl="1">
      <w:lvlJc w:val="left"/>
      <w:lvlText w:val="(%2)"/>
      <w:numFmt w:val="lowerLetter"/>
      <w:start w:val="2"/>
    </w:lvl>
  </w:abstractNum>
  <w:abstractNum w:abstractNumId="70">
    <w:nsid w:val="613EFDC5"/>
    <w:multiLevelType w:val="hybridMultilevel"/>
    <w:lvl w:ilvl="0">
      <w:lvlJc w:val="left"/>
      <w:lvlText w:val="%1."/>
      <w:numFmt w:val="decimal"/>
      <w:start w:val="8"/>
    </w:lvl>
    <w:lvl w:ilvl="1">
      <w:lvlJc w:val="left"/>
      <w:lvlText w:val="(%2)"/>
      <w:numFmt w:val="lowerLetter"/>
      <w:start w:val="1"/>
    </w:lvl>
  </w:abstractNum>
  <w:abstractNum w:abstractNumId="71">
    <w:nsid w:val="BF72B1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72">
    <w:nsid w:val="11447B73"/>
    <w:multiLevelType w:val="hybridMultilevel"/>
    <w:lvl w:ilvl="0">
      <w:lvlJc w:val="left"/>
      <w:lvlText w:val="(%1)"/>
      <w:numFmt w:val="lowerLetter"/>
      <w:start w:val="35"/>
    </w:lvl>
    <w:lvl w:ilvl="1">
      <w:lvlJc w:val="left"/>
      <w:lvlText w:val="%2."/>
      <w:numFmt w:val="decimal"/>
      <w:start w:val="8"/>
    </w:lvl>
    <w:lvl w:ilvl="2">
      <w:lvlJc w:val="left"/>
      <w:lvlText w:val="(%3)"/>
      <w:numFmt w:val="lowerLetter"/>
      <w:start w:val="4"/>
    </w:lvl>
  </w:abstractNum>
  <w:abstractNum w:abstractNumId="73">
    <w:nsid w:val="42963E5A"/>
    <w:multiLevelType w:val="hybridMultilevel"/>
    <w:lvl w:ilvl="0">
      <w:lvlJc w:val="left"/>
      <w:lvlText w:val="%1."/>
      <w:numFmt w:val="decimal"/>
      <w:start w:val="10"/>
    </w:lvl>
  </w:abstractNum>
  <w:abstractNum w:abstractNumId="74">
    <w:nsid w:val="A0382C5"/>
    <w:multiLevelType w:val="hybridMultilevel"/>
    <w:lvl w:ilvl="0">
      <w:lvlJc w:val="left"/>
      <w:lvlText w:val="%1."/>
      <w:numFmt w:val="decimal"/>
      <w:start w:val="12"/>
    </w:lvl>
  </w:abstractNum>
  <w:abstractNum w:abstractNumId="75">
    <w:nsid w:val="8F2B15E"/>
    <w:multiLevelType w:val="hybridMultilevel"/>
    <w:lvl w:ilvl="0">
      <w:lvlJc w:val="left"/>
      <w:lvlText w:val="%1"/>
      <w:numFmt w:val="lowerRoman"/>
      <w:start w:val="1"/>
    </w:lvl>
    <w:lvl w:ilvl="1">
      <w:lvlJc w:val="left"/>
      <w:lvlText w:val="%2."/>
      <w:numFmt w:val="decimal"/>
      <w:start w:val="17"/>
    </w:lvl>
  </w:abstractNum>
  <w:abstractNum w:abstractNumId="76">
    <w:nsid w:val="1A32234B"/>
    <w:multiLevelType w:val="hybridMultilevel"/>
    <w:lvl w:ilvl="0">
      <w:lvlJc w:val="left"/>
      <w:lvlText w:val="(%1)"/>
      <w:numFmt w:val="lowerRoman"/>
      <w:start w:val="1"/>
    </w:lvl>
    <w:lvl w:ilvl="1">
      <w:lvlJc w:val="left"/>
      <w:lvlText w:val="%2"/>
      <w:numFmt w:val="decimal"/>
      <w:start w:val="1"/>
    </w:lvl>
  </w:abstractNum>
  <w:abstractNum w:abstractNumId="77">
    <w:nsid w:val="3B0FD379"/>
    <w:multiLevelType w:val="hybridMultilevel"/>
    <w:lvl w:ilvl="0">
      <w:lvlJc w:val="left"/>
      <w:lvlText w:val="%1."/>
      <w:numFmt w:val="decimal"/>
      <w:start w:val="24"/>
    </w:lvl>
  </w:abstractNum>
  <w:abstractNum w:abstractNumId="78">
    <w:nsid w:val="68EB2F63"/>
    <w:multiLevelType w:val="hybridMultilevel"/>
    <w:lvl w:ilvl="0">
      <w:lvlJc w:val="left"/>
      <w:lvlText w:val="•"/>
      <w:numFmt w:val="bullet"/>
      <w:start w:val="1"/>
    </w:lvl>
  </w:abstractNum>
  <w:abstractNum w:abstractNumId="79">
    <w:nsid w:val="4962813B"/>
    <w:multiLevelType w:val="hybridMultilevel"/>
    <w:lvl w:ilvl="0">
      <w:lvlJc w:val="left"/>
      <w:lvlText w:val="(%1)"/>
      <w:numFmt w:val="lowerLetter"/>
      <w:start w:val="1"/>
    </w:lvl>
  </w:abstractNum>
  <w:abstractNum w:abstractNumId="80">
    <w:nsid w:val="60B6DF70"/>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2026-01-08T08:14:07Z</dcterms:created>
  <dcterms:modified xsi:type="dcterms:W3CDTF">2026-01-08T08:14:07Z</dcterms:modified>
</cp:coreProperties>
</file>