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1,055,717.00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1,055,717.00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1,055,717.00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1,470,591.00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1,470,591.00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1,470,591.00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290,563.00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290,563.00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290,563.00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III, 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226,033.00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226,033.00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226,033.00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Four Crossings Institutional Partners 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260,503.00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260,503.00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260,503.00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Offshore Investors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2,488,434.00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2,488,434.00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2,488,434.00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(AM) Investors,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163,734.00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163,734.00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163,734.00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F5 Master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292,726.00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292,726.00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292,726.00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Healthcare Partners Master,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5,008,902.00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5,008,902.00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5,008,902.00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10,964,477.00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10,964,477.00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10,964,477.00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Institutional (GP) 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260,503.00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260,503.00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260,503.00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11"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F5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292,726.00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292,726.00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292,726.00</w:t>
      </w:r>
    </w:p>
    <w:p>
      <w:pPr>
        <w:sectPr>
          <w:pgSz w:w="11900" w:h="16911" w:orient="portrait"/>
          <w:cols w:equalWidth="0" w:num="1">
            <w:col w:w="10099"/>
          </w:cols>
          <w:pgMar w:left="360" w:top="111" w:right="1440" w:bottom="0" w:gutter="0" w:footer="0" w:header="0"/>
          <w:type w:val="continuous"/>
        </w:sectPr>
      </w:pPr>
    </w:p>
    <w:bookmarkStart w:id="9" w:name="page10"/>
    <w:bookmarkEnd w:id="9"/>
    <w:p>
      <w:pPr>
        <w:jc w:val="right"/>
        <w:ind w:right="1399"/>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Healthcare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40"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5,008,902.00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5,008,902.00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5,008,902.00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4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099"/>
          </w:cols>
          <w:pgMar w:left="360" w:top="140"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140" w:right="1440" w:bottom="0" w:gutter="0" w:footer="0" w:header="0"/>
          <w:type w:val="continuous"/>
        </w:sectPr>
      </w:pPr>
    </w:p>
    <w:bookmarkStart w:id="10" w:name="page11"/>
    <w:bookmarkEnd w:id="10"/>
    <w:p>
      <w:pPr>
        <w:ind w:left="1120"/>
        <w:spacing w:after="0"/>
        <w:rPr>
          <w:sz w:val="20"/>
          <w:szCs w:val="20"/>
          <w:color w:val="auto"/>
        </w:rPr>
      </w:pPr>
      <w:r>
        <w:rPr>
          <w:rFonts w:ascii="Times New Roman" w:cs="Times New Roman" w:eastAsia="Times New Roman" w:hAnsi="Times New Roman"/>
          <w:sz w:val="22"/>
          <w:szCs w:val="22"/>
          <w:color w:val="auto"/>
        </w:rPr>
        <w:t>Dapice Joshua J.</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11,257,203.00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Dreyfuss, Philip 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11,257,203.00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112" w:right="1440" w:bottom="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112" w:right="1440" w:bottom="0" w:gutter="0" w:footer="0" w:header="0"/>
          <w:type w:val="continuous"/>
        </w:sectPr>
      </w:pPr>
    </w:p>
    <w:bookmarkStart w:id="11" w:name="page12"/>
    <w:bookmarkEnd w:id="11"/>
    <w:p>
      <w:pPr>
        <w:ind w:left="1400" w:right="7059" w:hanging="231"/>
        <w:spacing w:after="0" w:line="259" w:lineRule="auto"/>
        <w:tabs>
          <w:tab w:leader="none" w:pos="14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11,257,203.00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11,257,203.00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Dunn Hannah 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51"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11,257,203.00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451" w:gutter="0" w:footer="0" w:header="0"/>
          <w:type w:val="continuous"/>
        </w:sectPr>
      </w:pPr>
    </w:p>
    <w:bookmarkStart w:id="12" w:name="page13"/>
    <w:bookmarkEnd w:id="12"/>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Gehani, Varun 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11,257,203.00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Giauque, Nicolas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6999"/>
        <w:spacing w:after="0"/>
        <w:rPr>
          <w:sz w:val="20"/>
          <w:szCs w:val="20"/>
          <w:color w:val="auto"/>
        </w:rPr>
      </w:pPr>
      <w:r>
        <w:rPr>
          <w:rFonts w:ascii="Times New Roman" w:cs="Times New Roman" w:eastAsia="Times New Roman" w:hAnsi="Times New Roman"/>
          <w:sz w:val="22"/>
          <w:szCs w:val="22"/>
          <w:color w:val="auto"/>
        </w:rPr>
        <w:t>FRANCE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110" w:right="144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11,257,203.00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Husen, Avner 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11,257,203.00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2" w:right="1440" w:bottom="0" w:gutter="0" w:footer="0" w:header="0"/>
          <w:type w:val="continuous"/>
        </w:sectPr>
      </w:pPr>
    </w:p>
    <w:bookmarkStart w:id="14" w:name="page15"/>
    <w:bookmarkEnd w:id="14"/>
    <w:p>
      <w:pPr>
        <w:ind w:left="1120"/>
        <w:spacing w:after="0"/>
        <w:rPr>
          <w:sz w:val="20"/>
          <w:szCs w:val="20"/>
          <w:color w:val="auto"/>
        </w:rPr>
      </w:pPr>
      <w:r>
        <w:rPr>
          <w:rFonts w:ascii="Times New Roman" w:cs="Times New Roman" w:eastAsia="Times New Roman" w:hAnsi="Times New Roman"/>
          <w:sz w:val="22"/>
          <w:szCs w:val="22"/>
          <w:color w:val="auto"/>
        </w:rPr>
        <w:t>7.8 %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Kim, David 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11,257,203.00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Linn, Michael G.</w:t>
      </w:r>
    </w:p>
    <w:p>
      <w:pPr>
        <w:spacing w:after="0" w:line="20" w:lineRule="exact"/>
        <w:rPr>
          <w:sz w:val="20"/>
          <w:szCs w:val="20"/>
          <w:color w:val="auto"/>
        </w:rPr>
      </w:pPr>
    </w:p>
    <w:p>
      <w:pPr>
        <w:ind w:left="1120" w:hanging="1112"/>
        <w:spacing w:after="0"/>
        <w:tabs>
          <w:tab w:leader="none" w:pos="11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327" w:gutter="0" w:footer="0" w:header="0"/>
          <w:type w:val="continuous"/>
        </w:sectPr>
      </w:pPr>
    </w:p>
    <w:bookmarkStart w:id="15" w:name="page16"/>
    <w:bookmarkEnd w:id="15"/>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11,257,203.00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Luo Patrick (Cheng)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11,257,203.00</w:t>
            </w: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16" w:name="page17"/>
    <w:bookmarkEnd w:id="16"/>
    <w:p>
      <w:pPr>
        <w:ind w:left="1400"/>
        <w:spacing w:after="0"/>
        <w:rPr>
          <w:sz w:val="20"/>
          <w:szCs w:val="20"/>
          <w:color w:val="auto"/>
        </w:rPr>
      </w:pPr>
      <w:r>
        <w:rPr>
          <w:rFonts w:ascii="Times New Roman" w:cs="Times New Roman" w:eastAsia="Times New Roman" w:hAnsi="Times New Roman"/>
          <w:sz w:val="22"/>
          <w:szCs w:val="22"/>
          <w:color w:val="auto"/>
        </w:rPr>
        <w:t>11,257,203.00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11,257,203.00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Roberts, Jr., Thomas 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11,257,203.00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17" w:name="page18"/>
    <w:bookmarkEnd w:id="17"/>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Saito Edric 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90"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11,257,203.00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90"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Short Daniel 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90" w:orient="portrait"/>
          <w:cols w:equalWidth="0" w:num="1">
            <w:col w:w="10099"/>
          </w:cols>
          <w:pgMar w:left="360" w:top="108" w:right="1440" w:bottom="0" w:gutter="0" w:footer="0" w:header="0"/>
          <w:type w:val="continuous"/>
        </w:sectPr>
      </w:pPr>
    </w:p>
    <w:bookmarkStart w:id="18" w:name="page19"/>
    <w:bookmarkEnd w:id="18"/>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11,257,203.00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11,257,203.00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11,257,203.00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Spokes, Andrew J. 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11,257,203.00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19" w:name="page20"/>
    <w:bookmarkEnd w:id="19"/>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Warren, John 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11,257,203.00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Wehrly, Mark 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11,257,203.00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11,257,203.00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40"/>
          </w:cols>
          <w:pgMar w:left="360" w:top="111" w:right="47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Brookline Ave., Suite 901, Boston, Massachusetts, 02215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Amendment No. 4 to Schedule 13G (this "Amendment") is filed by the entities and persons listed below, all of whom together are referred to herein as the "Reporting Persons." (i) Farallon Capital Partners, L.P., a California limited partnership ("FCP"), with respect to the Shares held by it and the Shares that it currently has the right to acquire upon the exercise of Warrants (as defined in Item 4); (ii) Farallon Capital Institutional Partners, L.P., a California limited partnership ("FCIP"), with respect to the Shares held by it and the Shares that it currently has the right to acquire upon the exercise of Warrants; (iii) Farallon Capital Institutional Partners II, L.P., a California limited partnership ("FCIP II"), with respect to the Shares held by it and the Shares that it currently has the right to acquire upon the exercise of Warrants; (iv) Farallon Capital Institutional Partners III, L.P., a Delaware limited partnership ("FCIP III"), with respect to the Shares held by it and the Shares that it currently has the right to acquire upon the exercise of Warrants; (v) Four Crossings Institutional Partners V, L.P., a Delaware limited partnership ("FCIP V"), with respect to the Shares held by it and the Shares that it currently has the right to acquire upon the exercise of Warrants; (vi) Farallon Capital Offshore Investors II, L.P., a Cayman Islands exempted limited partnership ("FCOI II"), with respect to the Shares held by it and the Shares that it currently has the right to acquire upon the exercise of Warrants; (vii) Farallon Capital (AM) Investors, L.P., a Delaware limited partnership ("FCAMI"), with respect to the Shares held by it and the Shares that it currently has the right to acquire upon the exercise of Warrants; (viii) Farallon Capital F5 Master I, L.P., a Cayman Islands exempted limited partnership ("F5MI"), with respect to the Shares held by it and the Shares that it currently has the right to acquire upon the exercise of Warrants; and (ix) Farallon Healthcare Partners Master, L.P., a Cayman Islands exempted limited partnership ("FHPM"), with respect to the Shares held by it. FCP, FCIP, FCIP II, FCIP III, FCIP V, FCOI II, FCAMI, F5MI and FHPM are together referred to herein as the "Farallon Funds." (x) Farallon Partners, L.L.C., a Delaware limited liability company (the "Farallon General Partner"), which is the general partner of each of FCP, FCIP, FCIP II, FCIP III, FCOI II and FCAMI and the</w:t>
      </w:r>
    </w:p>
    <w:p>
      <w:pPr>
        <w:sectPr>
          <w:pgSz w:w="11900" w:h="16838" w:orient="portrait"/>
          <w:cols w:equalWidth="0" w:num="1">
            <w:col w:w="11060"/>
          </w:cols>
          <w:pgMar w:left="360" w:top="111" w:right="479" w:bottom="0" w:gutter="0" w:footer="0" w:header="0"/>
          <w:type w:val="continuous"/>
        </w:sectPr>
      </w:pPr>
    </w:p>
    <w:bookmarkStart w:id="21" w:name="page22"/>
    <w:bookmarkEnd w:id="21"/>
    <w:p>
      <w:pPr>
        <w:spacing w:after="0" w:line="3"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sole member of each of the FCIP V General Partner (as defined below) and the FHPM General Partner (as defined below), with respect to the Shares held by each of the Farallon Funds other than F5MI and the Shares that each of the Farallon Funds other than F5MI currently has the right to acquire upon the exercise of Warrants. (xi) Farallon Institutional (GP) V, L.L.C., a Delaware limited liability company (the "FCIP V General Partner"), which is the general partner of FCIP V, with respect to the Shares held by FCIP V and the Shares that FCIP V currently has the right to acquire upon the exercise of Warrants. (xii) Farallon F5 (GP), L.L.C., a Delaware limited liability company (the "F5MI General Partner"), which is the general partner of F5MI, with respect to the Shares held by F5MI and the Shares that F5MI currently has the right to acquire upon the exercise of Warrants. (xiii) Farallon Healthcare Partners (GP), L.L.C., a Delaware limited liability company (the "FHPM General Partner"), which is the general partner of FHPM, with respect to the Shares held by FHPM. (xiv) The following persons, each of whom is a managing member or senior managing member, as the case may be, of the Farallon General Partner and a manager or senior manager, as the case may be, of the FCIP V General Partner, the F5MI General Partner and the FHPM General Partner, with respect to the Shares held by the Farallon Funds and the Shares that the Farallon Funds currently have the right to acquire upon the exercise of Warrants: Joshua J. Dapice ("Dapice"); Philip D. Dreyfuss ("Dreyfuss"); Hannah E. Dunn ("Dunn"); Varun N. Gehani ("Gehani"); Nicolas Giauque ("Giauque"); Avner A. Husen ("Husen"); David T. Kim ("Kim"); Michael G. Linn ("Linn"); Patrick (Cheng) Luo ("Luo"); Thomas G. Roberts, Jr. ("Roberts"); Edric C. Saito ("Saito"); Daniel S. Short ("Short"); Andrew J. M. Spokes ("Spokes"); John R. Warren ("Warren"); and Mark C. Wehrly ("Wehrly"). Dapice, Dreyfuss, Dunn, Gehani, Giauque, Husen, Kim, Linn, Luo, Roberts, Saito, Short, Spokes, Warren and Wehrly are together referred to herein as the "Farallon Individual Reporting Persons."</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360" w:hanging="912"/>
        <w:spacing w:after="0" w:line="185" w:lineRule="auto"/>
        <w:tabs>
          <w:tab w:leader="none" w:pos="920" w:val="left"/>
        </w:tabs>
        <w:numPr>
          <w:ilvl w:val="0"/>
          <w:numId w:val="2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Farallon Capital Management, L.L.C., One Maritime Plaza, Suite 2100, San Francisco, California 94111.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40" w:hanging="912"/>
        <w:spacing w:after="0" w:line="193" w:lineRule="auto"/>
        <w:tabs>
          <w:tab w:leader="none" w:pos="920" w:val="left"/>
        </w:tabs>
        <w:numPr>
          <w:ilvl w:val="0"/>
          <w:numId w:val="2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citizenship of each of the Farallon Funds, the Farallon General Partner, the FCIP V General Partner, the F5MI General Partner and the FHPM General Partner is set forth above. Each of the Farallon Individual Reporting Persons, other than Giauque, Luo and Spokes, is a citizen of the United States. Giauque is a citizen of France. Luo is a citizen of China. Spokes is a citizen of the United Kingdom.</w:t>
      </w:r>
    </w:p>
    <w:p>
      <w:pPr>
        <w:sectPr>
          <w:pgSz w:w="11900" w:h="16841" w:orient="portrait"/>
          <w:cols w:equalWidth="0" w:num="1">
            <w:col w:w="11120"/>
          </w:cols>
          <w:pgMar w:left="360" w:top="111" w:right="419" w:bottom="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 (the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Â§Â§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Â§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Â§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Â§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40"/>
        <w:spacing w:after="0" w:line="241" w:lineRule="auto"/>
        <w:rPr>
          <w:sz w:val="20"/>
          <w:szCs w:val="20"/>
          <w:color w:val="auto"/>
        </w:rPr>
      </w:pPr>
      <w:r>
        <w:rPr>
          <w:sz w:val="1"/>
          <w:szCs w:val="1"/>
          <w:color w:val="auto"/>
        </w:rPr>
        <w:drawing>
          <wp:inline distT="0" distB="0" distL="0" distR="0">
            <wp:extent cx="128905" cy="1289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Â§ 240.13d-1(b)(1)(ii)(J). If filing as a non-U.S. institution in accordance with Â§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41"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2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required by Items 4(a) - (c) and set forth in Rows 5 through 11 of the cover page for each Reporting Person is incorporated herein by reference for each such Reporting Person. As of the date requiring the filing of this report, the Farallon Funds hold an aggregate of: (i) 9,097,411 Shares; and (ii) 2,159,792 Pre-Funded Common Stock Purchase Warrants (the "Warrants"), each of which is exercisable, subject to the Beneficial Ownership Limitation (as defined below), to purchase one Share. The terms of the Warrants provide that Warrants may not be exercised to the extent that, after giving effect to such exercise, the Reporting Persons would beneficially own, as determined in accordance with Section 13(d) of the Securities Exchange Act of 1934, as amended, more than 9.99% of the Shares then issued and outstanding (the "Beneficial Ownership Limitation"). As of the date requiring the filing of this report, the Beneficial Ownership Limitation does not prevent the Farallon Funds from exercising any Warrants. Accordingly, in providing the beneficial ownership information set forth herein, the Reporting Persons have assumed that all of the</w:t>
      </w:r>
    </w:p>
    <w:p>
      <w:pPr>
        <w:sectPr>
          <w:pgSz w:w="11900" w:h="16841" w:orient="portrait"/>
          <w:cols w:equalWidth="0" w:num="1">
            <w:col w:w="11120"/>
          </w:cols>
          <w:pgMar w:left="360" w:top="111" w:right="419" w:bottom="0" w:gutter="0" w:footer="0" w:header="0"/>
          <w:type w:val="continuous"/>
        </w:sectPr>
      </w:pPr>
    </w:p>
    <w:bookmarkStart w:id="22" w:name="page23"/>
    <w:bookmarkEnd w:id="22"/>
    <w:p>
      <w:pPr>
        <w:spacing w:after="0" w:line="35"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aggregate 2,159,792 Warrants held by the Farallon Funds are exercisable within 60 days of the date hereof and therefore confer beneficial ownership of the underlying Shares. The Shares and Warrants reported hereby for the Farallon Funds are held directly by the Farallon Funds. The Farallon General Partner, as the general partner of FCP, FCIP, FCIP II, FCIP III, FCOI II and FCAMI and the sole member of the FCIP V General Partner and the FHPM General Partner, may be deemed to be a beneficial owner of all such Shares held by the Farallon Funds other than F5MI and the Shares that the Farallon Funds other than F5MI have the right to acquire upon the exercise of Warrants. The FCIP V General Partner, as the general partner of FCIP V, may be deemed to be a beneficial owner of all such Shares held by FCIP V and the Shares that FCIP V has the right to acquire upon the exercise of Warrants. The F5MI General Partner, as the general partner of F5MI, may be deemed to be a beneficial owner of all such Shares held by F5MI and the Shares that F5MI has the right to acquire upon the exercise of Warrants. The FHPM General Partner, as the general partner of FHPM, may be deemed to be a beneficial owner of all such Shares held by FHPM. Each of the Farallon Individual Reporting Persons, as a managing member or senior managing member, as the case may be, of the Farallon General Partner and a manager or senior manager, as the case may be, of the FCIP V General Partner, the F5MI General Partner and the FHPM General Partner, in each case with the power to exercise investment discretion, may be deemed to be a beneficial owner of all such Shares held by the Farallon Funds and the Shares that the Farallon Funds have the right to acquire upon the exercise of Warrants. Each of the Farallon General Partner, the FCIP V General Partner, the F5MI General Partner, the FHPM General Partner and the Farallon Individual Reporting Persons hereby disclaims any beneficial ownership of any such Shares.</w:t>
      </w:r>
    </w:p>
    <w:p>
      <w:pPr>
        <w:spacing w:after="0" w:line="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120" w:hanging="912"/>
        <w:spacing w:after="0" w:line="185" w:lineRule="auto"/>
        <w:tabs>
          <w:tab w:leader="none" w:pos="920" w:val="left"/>
        </w:tabs>
        <w:numPr>
          <w:ilvl w:val="0"/>
          <w:numId w:val="3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 - (c) and set forth in Rows 5 through 11 of the cover page for each Reporting Person is incorporated herein by reference for each such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20"/>
          </w:cols>
          <w:pgMar w:left="360" w:top="111"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74" w:orient="portrait"/>
          <w:cols w:equalWidth="0" w:num="2">
            <w:col w:w="620" w:space="300"/>
            <w:col w:w="10200"/>
          </w:cols>
          <w:pgMar w:left="360" w:top="111" w:right="41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Â§240.13d-1(b)(1)(ii)(J), so indicate under Item 3(j) and attach an exhibit stating the identity and Item 3 classification of each member of the group. If a group has filed this schedule pursuant to Â§240.13d-1(c) or Â§240.13d-1(d),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100"/>
        <w:spacing w:after="0" w:line="244" w:lineRule="auto"/>
        <w:rPr>
          <w:sz w:val="20"/>
          <w:szCs w:val="20"/>
          <w:color w:val="auto"/>
        </w:rPr>
      </w:pPr>
      <w:r>
        <w:rPr>
          <w:rFonts w:ascii="Times New Roman" w:cs="Times New Roman" w:eastAsia="Times New Roman" w:hAnsi="Times New Roman"/>
          <w:sz w:val="22"/>
          <w:szCs w:val="22"/>
          <w:color w:val="auto"/>
        </w:rPr>
        <w:t>The Reporting Persons are filing this Schedule 13G pursuant to Section 240.13d-1(c). The Reporting Persons neither disclaim nor affirm the existence of a group among them. Each Reporting Person is a beneficial owner only of the securities reported by it on its cover page.</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w:t>
      </w:r>
    </w:p>
    <w:p>
      <w:pPr>
        <w:sectPr>
          <w:pgSz w:w="11900" w:h="16874" w:orient="portrait"/>
          <w:cols w:equalWidth="0" w:num="1">
            <w:col w:w="11120"/>
          </w:cols>
          <w:pgMar w:left="360" w:top="111" w:right="419" w:bottom="0" w:gutter="0" w:footer="0" w:header="0"/>
          <w:type w:val="continuous"/>
        </w:sectPr>
      </w:pPr>
    </w:p>
    <w:bookmarkStart w:id="23" w:name="page24"/>
    <w:bookmarkEnd w:id="23"/>
    <w:p>
      <w:pPr>
        <w:spacing w:after="0" w:line="22" w:lineRule="exact"/>
        <w:rPr>
          <w:sz w:val="20"/>
          <w:szCs w:val="20"/>
          <w:color w:val="auto"/>
        </w:rPr>
      </w:pPr>
    </w:p>
    <w:p>
      <w:pPr>
        <w:jc w:val="both"/>
        <w:ind w:left="720" w:right="160"/>
        <w:spacing w:after="0" w:line="244" w:lineRule="auto"/>
        <w:rPr>
          <w:sz w:val="20"/>
          <w:szCs w:val="20"/>
          <w:color w:val="auto"/>
        </w:rPr>
      </w:pPr>
      <w:r>
        <w:rPr>
          <w:rFonts w:ascii="Times New Roman" w:cs="Times New Roman" w:eastAsia="Times New Roman" w:hAnsi="Times New Roman"/>
          <w:sz w:val="22"/>
          <w:szCs w:val="22"/>
          <w:color w:val="auto"/>
        </w:rPr>
        <w:t>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Farallon Capital Partners,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Farallon Capital Institutional Partners,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Farallon Capital Institutional Partners II,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Farallon Capital Institutional Partners III,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Four Crossings Institutional Partners V, L.P.</w:t>
      </w:r>
    </w:p>
    <w:p>
      <w:pPr>
        <w:spacing w:after="0" w:line="152" w:lineRule="exact"/>
        <w:rPr>
          <w:sz w:val="20"/>
          <w:szCs w:val="20"/>
          <w:color w:val="auto"/>
        </w:rPr>
      </w:pPr>
    </w:p>
    <w:p>
      <w:pPr>
        <w:ind w:left="5300"/>
        <w:spacing w:after="0"/>
        <w:tabs>
          <w:tab w:leader="none" w:pos="6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Name/Title: Hannah E. Dunn, Manager of its General Partner</w:t>
      </w:r>
    </w:p>
    <w:p>
      <w:pPr>
        <w:spacing w:after="0" w:line="44" w:lineRule="exact"/>
        <w:rPr>
          <w:sz w:val="20"/>
          <w:szCs w:val="20"/>
          <w:color w:val="auto"/>
        </w:rPr>
      </w:pPr>
    </w:p>
    <w:p>
      <w:pPr>
        <w:ind w:left="5300"/>
        <w:spacing w:after="0"/>
        <w:tabs>
          <w:tab w:leader="none" w:pos="6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Farallon Capital Offshore Investors II,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Farallon Capital (AM) Investors,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Farallon Capital F5 Master I, L.P.</w:t>
      </w:r>
    </w:p>
    <w:p>
      <w:pPr>
        <w:spacing w:after="0" w:line="152" w:lineRule="exact"/>
        <w:rPr>
          <w:sz w:val="20"/>
          <w:szCs w:val="20"/>
          <w:color w:val="auto"/>
        </w:rPr>
      </w:pPr>
    </w:p>
    <w:p>
      <w:pPr>
        <w:ind w:left="5300"/>
        <w:spacing w:after="0"/>
        <w:tabs>
          <w:tab w:leader="none" w:pos="6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Name/Title: Hannah E. Dunn, Manager of its General Partner</w:t>
      </w:r>
    </w:p>
    <w:p>
      <w:pPr>
        <w:spacing w:after="0" w:line="44" w:lineRule="exact"/>
        <w:rPr>
          <w:sz w:val="20"/>
          <w:szCs w:val="20"/>
          <w:color w:val="auto"/>
        </w:rPr>
      </w:pPr>
    </w:p>
    <w:p>
      <w:pPr>
        <w:ind w:left="5300"/>
        <w:spacing w:after="0"/>
        <w:tabs>
          <w:tab w:leader="none" w:pos="6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Farallon Healthcare Partners Master, L.P.</w:t>
      </w:r>
    </w:p>
    <w:p>
      <w:pPr>
        <w:spacing w:after="0" w:line="152" w:lineRule="exact"/>
        <w:rPr>
          <w:sz w:val="20"/>
          <w:szCs w:val="20"/>
          <w:color w:val="auto"/>
        </w:rPr>
      </w:pPr>
    </w:p>
    <w:p>
      <w:pPr>
        <w:ind w:left="5300"/>
        <w:spacing w:after="0"/>
        <w:tabs>
          <w:tab w:leader="none" w:pos="6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Name/Title: Hannah E. Dunn, Manager of its General Partner</w:t>
      </w:r>
    </w:p>
    <w:p>
      <w:pPr>
        <w:spacing w:after="0" w:line="44" w:lineRule="exact"/>
        <w:rPr>
          <w:sz w:val="20"/>
          <w:szCs w:val="20"/>
          <w:color w:val="auto"/>
        </w:rPr>
      </w:pPr>
    </w:p>
    <w:p>
      <w:pPr>
        <w:ind w:left="5300"/>
        <w:spacing w:after="0"/>
        <w:tabs>
          <w:tab w:leader="none" w:pos="6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Farallon Partners, L.L.C.</w:t>
      </w:r>
    </w:p>
    <w:p>
      <w:pPr>
        <w:sectPr>
          <w:pgSz w:w="11900" w:h="16860" w:orient="portrait"/>
          <w:cols w:equalWidth="0" w:num="1">
            <w:col w:w="10920"/>
          </w:cols>
          <w:pgMar w:left="580" w:top="111" w:right="399" w:bottom="0" w:gutter="0" w:footer="0" w:header="0"/>
        </w:sectPr>
      </w:pPr>
    </w:p>
    <w:bookmarkStart w:id="24" w:name="page25"/>
    <w:bookmarkEnd w:id="24"/>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color w:val="auto"/>
        </w:rPr>
        <w:t>Name/Title: Hannah E. Dunn, Managing Member</w:t>
      </w:r>
    </w:p>
    <w:p>
      <w:pPr>
        <w:spacing w:after="0" w:line="56"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Farallon Institutional (GP) V,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Farallon F5 (GP),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Farallon Healthcare Partners (GP),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Dapice Joshua J.</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Dreyfuss, Philip D.</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Dunn Hannah E.</w:t>
      </w:r>
    </w:p>
    <w:p>
      <w:pPr>
        <w:spacing w:after="0" w:line="152"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Hannah E. Dunn</w:t>
      </w:r>
    </w:p>
    <w:p>
      <w:pPr>
        <w:spacing w:after="0" w:line="44"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Gehani, Varun N.</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Giauque, Nicolas</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Husen, Avner A.</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Kim, David T.</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Linn, Michael G.</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ectPr>
          <w:pgSz w:w="11900" w:h="16838" w:orient="portrait"/>
          <w:cols w:equalWidth="0" w:num="1">
            <w:col w:w="9019"/>
          </w:cols>
          <w:pgMar w:left="1440" w:top="234" w:right="1440" w:bottom="0" w:gutter="0" w:footer="0" w:header="0"/>
        </w:sectPr>
      </w:pPr>
    </w:p>
    <w:bookmarkStart w:id="25" w:name="page26"/>
    <w:bookmarkEnd w:id="25"/>
    <w:p>
      <w:pPr>
        <w:ind w:left="1960"/>
        <w:spacing w:after="0"/>
        <w:rPr>
          <w:sz w:val="20"/>
          <w:szCs w:val="20"/>
          <w:color w:val="auto"/>
        </w:rPr>
      </w:pPr>
      <w:r>
        <w:rPr>
          <w:rFonts w:ascii="Times New Roman" w:cs="Times New Roman" w:eastAsia="Times New Roman" w:hAnsi="Times New Roman"/>
          <w:sz w:val="22"/>
          <w:szCs w:val="22"/>
          <w:color w:val="auto"/>
        </w:rPr>
        <w:t>Luo Patrick (Cheng)</w:t>
      </w:r>
    </w:p>
    <w:p>
      <w:pPr>
        <w:spacing w:after="0" w:line="153"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Roberts, Jr., Thomas G.</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Saito Edric C.</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Short Daniel S.</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Spokes, Andrew J. M.</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Warren, John R.</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Wehrly, Mark C.</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08" w:lineRule="exact"/>
        <w:rPr>
          <w:sz w:val="20"/>
          <w:szCs w:val="20"/>
          <w:color w:val="auto"/>
        </w:rPr>
      </w:pPr>
    </w:p>
    <w:p>
      <w:pPr>
        <w:jc w:val="center"/>
        <w:ind w:right="23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Joint Acquisition Statement Pursuant to Section 240.13d-1(k) (previously filed)</w:t>
      </w:r>
    </w:p>
    <w:sectPr>
      <w:pgSz w:w="11900" w:h="16838" w:orient="portrait"/>
      <w:cols w:equalWidth="0" w:num="1">
        <w:col w:w="10099"/>
      </w:cols>
      <w:pgMar w:left="36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2"/>
      <w:numFmt w:val="bullet"/>
      <w:start w:val="1"/>
    </w:lvl>
  </w:abstractNum>
  <w:abstractNum w:abstractNumId="1">
    <w:nsid w:val="4E6AFB66"/>
    <w:multiLevelType w:val="hybridMultilevel"/>
    <w:lvl w:ilvl="0">
      <w:lvlJc w:val="left"/>
      <w:lvlText w:val="3"/>
      <w:numFmt w:val="bullet"/>
      <w:start w:val="1"/>
    </w:lvl>
  </w:abstractNum>
  <w:abstractNum w:abstractNumId="2">
    <w:nsid w:val="25E45D32"/>
    <w:multiLevelType w:val="hybridMultilevel"/>
    <w:lvl w:ilvl="0">
      <w:lvlJc w:val="left"/>
      <w:lvlText w:val="5"/>
      <w:numFmt w:val="bullet"/>
      <w:start w:val="1"/>
    </w:lvl>
  </w:abstractNum>
  <w:abstractNum w:abstractNumId="3">
    <w:nsid w:val="519B500D"/>
    <w:multiLevelType w:val="hybridMultilevel"/>
    <w:lvl w:ilvl="0">
      <w:lvlJc w:val="left"/>
      <w:lvlText w:val="%1"/>
      <w:numFmt w:val="decimal"/>
      <w:start w:val="11"/>
    </w:lvl>
  </w:abstractNum>
  <w:abstractNum w:abstractNumId="4">
    <w:nsid w:val="431BD7B7"/>
    <w:multiLevelType w:val="hybridMultilevel"/>
    <w:lvl w:ilvl="0">
      <w:lvlJc w:val="left"/>
      <w:lvlText w:val="2"/>
      <w:numFmt w:val="bullet"/>
      <w:start w:val="1"/>
    </w:lvl>
  </w:abstractNum>
  <w:abstractNum w:abstractNumId="5">
    <w:nsid w:val="3F2DBA31"/>
    <w:multiLevelType w:val="hybridMultilevel"/>
    <w:lvl w:ilvl="0">
      <w:lvlJc w:val="left"/>
      <w:lvlText w:val="2"/>
      <w:numFmt w:val="bullet"/>
      <w:start w:val="1"/>
    </w:lvl>
  </w:abstractNum>
  <w:abstractNum w:abstractNumId="6">
    <w:nsid w:val="7C83E458"/>
    <w:multiLevelType w:val="hybridMultilevel"/>
    <w:lvl w:ilvl="0">
      <w:lvlJc w:val="left"/>
      <w:lvlText w:val="3"/>
      <w:numFmt w:val="bullet"/>
      <w:start w:val="1"/>
    </w:lvl>
  </w:abstractNum>
  <w:abstractNum w:abstractNumId="7">
    <w:nsid w:val="257130A3"/>
    <w:multiLevelType w:val="hybridMultilevel"/>
    <w:lvl w:ilvl="0">
      <w:lvlJc w:val="left"/>
      <w:lvlText w:val="2"/>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2"/>
      <w:numFmt w:val="bullet"/>
      <w:start w:val="1"/>
    </w:lvl>
  </w:abstractNum>
  <w:abstractNum w:abstractNumId="10">
    <w:nsid w:val="628C895D"/>
    <w:multiLevelType w:val="hybridMultilevel"/>
    <w:lvl w:ilvl="0">
      <w:lvlJc w:val="left"/>
      <w:lvlText w:val="3"/>
      <w:numFmt w:val="bullet"/>
      <w:start w:val="1"/>
    </w:lvl>
  </w:abstractNum>
  <w:abstractNum w:abstractNumId="11">
    <w:nsid w:val="333AB105"/>
    <w:multiLevelType w:val="hybridMultilevel"/>
    <w:lvl w:ilvl="0">
      <w:lvlJc w:val="left"/>
      <w:lvlText w:val="2"/>
      <w:numFmt w:val="bullet"/>
      <w:start w:val="1"/>
    </w:lvl>
  </w:abstractNum>
  <w:abstractNum w:abstractNumId="12">
    <w:nsid w:val="721DA317"/>
    <w:multiLevelType w:val="hybridMultilevel"/>
    <w:lvl w:ilvl="0">
      <w:lvlJc w:val="left"/>
      <w:lvlText w:val="3"/>
      <w:numFmt w:val="bullet"/>
      <w:start w:val="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2"/>
      <w:numFmt w:val="bullet"/>
      <w:start w:val="1"/>
    </w:lvl>
  </w:abstractNum>
  <w:abstractNum w:abstractNumId="15">
    <w:nsid w:val="6763845E"/>
    <w:multiLevelType w:val="hybridMultilevel"/>
    <w:lvl w:ilvl="0">
      <w:lvlJc w:val="left"/>
      <w:lvlText w:val="3"/>
      <w:numFmt w:val="bullet"/>
      <w:start w:val="1"/>
    </w:lvl>
  </w:abstractNum>
  <w:abstractNum w:abstractNumId="16">
    <w:nsid w:val="75A2A8D4"/>
    <w:multiLevelType w:val="hybridMultilevel"/>
    <w:lvl w:ilvl="0">
      <w:lvlJc w:val="left"/>
      <w:lvlText w:val="8"/>
      <w:numFmt w:val="bullet"/>
      <w:start w:val="1"/>
    </w:lvl>
  </w:abstractNum>
  <w:abstractNum w:abstractNumId="17">
    <w:nsid w:val="8EDBDAB"/>
    <w:multiLevelType w:val="hybridMultilevel"/>
    <w:lvl w:ilvl="0">
      <w:lvlJc w:val="left"/>
      <w:lvlText w:val="2"/>
      <w:numFmt w:val="bullet"/>
      <w:start w:val="1"/>
    </w:lvl>
  </w:abstractNum>
  <w:abstractNum w:abstractNumId="18">
    <w:nsid w:val="79838CB2"/>
    <w:multiLevelType w:val="hybridMultilevel"/>
    <w:lvl w:ilvl="0">
      <w:lvlJc w:val="left"/>
      <w:lvlText w:val="3"/>
      <w:numFmt w:val="bullet"/>
      <w:start w:val="1"/>
    </w:lvl>
  </w:abstractNum>
  <w:abstractNum w:abstractNumId="19">
    <w:nsid w:val="4353D0CD"/>
    <w:multiLevelType w:val="hybridMultilevel"/>
    <w:lvl w:ilvl="0">
      <w:lvlJc w:val="left"/>
      <w:lvlText w:val="2"/>
      <w:numFmt w:val="bullet"/>
      <w:start w:val="1"/>
    </w:lvl>
  </w:abstractNum>
  <w:abstractNum w:abstractNumId="20">
    <w:nsid w:val="B03E0C6"/>
    <w:multiLevelType w:val="hybridMultilevel"/>
    <w:lvl w:ilvl="0">
      <w:lvlJc w:val="left"/>
      <w:lvlText w:val="2"/>
      <w:numFmt w:val="bullet"/>
      <w:start w:val="1"/>
    </w:lvl>
  </w:abstractNum>
  <w:abstractNum w:abstractNumId="21">
    <w:nsid w:val="189A769B"/>
    <w:multiLevelType w:val="hybridMultilevel"/>
    <w:lvl w:ilvl="0">
      <w:lvlJc w:val="left"/>
      <w:lvlText w:val="3"/>
      <w:numFmt w:val="bullet"/>
      <w:start w:val="1"/>
    </w:lvl>
  </w:abstractNum>
  <w:abstractNum w:abstractNumId="22">
    <w:nsid w:val="54E49EB4"/>
    <w:multiLevelType w:val="hybridMultilevel"/>
    <w:lvl w:ilvl="0">
      <w:lvlJc w:val="left"/>
      <w:lvlText w:val="2"/>
      <w:numFmt w:val="bullet"/>
      <w:start w:val="1"/>
    </w:lvl>
  </w:abstractNum>
  <w:abstractNum w:abstractNumId="23">
    <w:nsid w:val="71F32454"/>
    <w:multiLevelType w:val="hybridMultilevel"/>
    <w:lvl w:ilvl="0">
      <w:lvlJc w:val="left"/>
      <w:lvlText w:val="3"/>
      <w:numFmt w:val="bullet"/>
      <w:start w:val="1"/>
    </w:lvl>
  </w:abstractNum>
  <w:abstractNum w:abstractNumId="24">
    <w:nsid w:val="2CA88611"/>
    <w:multiLevelType w:val="hybridMultilevel"/>
    <w:lvl w:ilvl="0">
      <w:lvlJc w:val="left"/>
      <w:lvlText w:val="2"/>
      <w:numFmt w:val="bullet"/>
      <w:start w:val="1"/>
    </w:lvl>
  </w:abstractNum>
  <w:abstractNum w:abstractNumId="25">
    <w:nsid w:val="836C40E"/>
    <w:multiLevelType w:val="hybridMultilevel"/>
    <w:lvl w:ilvl="0">
      <w:lvlJc w:val="left"/>
      <w:lvlText w:val="3"/>
      <w:numFmt w:val="bullet"/>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2"/>
    </w:lvl>
  </w:abstractNum>
  <w:abstractNum w:abstractNumId="28">
    <w:nsid w:val="8138641"/>
    <w:multiLevelType w:val="hybridMultilevel"/>
    <w:lvl w:ilvl="0">
      <w:lvlJc w:val="left"/>
      <w:lvlText w:val="(%1)"/>
      <w:numFmt w:val="lowerLetter"/>
      <w:start w:val="11"/>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2026-05-11T07:50:26Z</dcterms:created>
  <dcterms:modified xsi:type="dcterms:W3CDTF">2026-05-11T07:50:26Z</dcterms:modified>
</cp:coreProperties>
</file>