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13G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__)</w:t>
      </w:r>
      <w:r>
        <w:rPr>
          <w:rFonts w:ascii="Arial" w:cs="Arial" w:eastAsia="Arial" w:hAnsi="Arial"/>
          <w:sz w:val="18"/>
          <w:szCs w:val="18"/>
          <w:color w:val="auto"/>
        </w:rPr>
        <w:t>*</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right="9440" w:firstLine="8"/>
        <w:spacing w:after="0" w:line="504" w:lineRule="auto"/>
        <w:tabs>
          <w:tab w:leader="none" w:pos="529"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8" w:lineRule="exact"/>
        <w:rPr>
          <w:sz w:val="24"/>
          <w:szCs w:val="24"/>
          <w:color w:val="auto"/>
        </w:rPr>
      </w:pPr>
    </w:p>
    <w:p>
      <w:pPr>
        <w:jc w:val="both"/>
        <w:ind w:firstLine="656"/>
        <w:spacing w:after="0" w:line="234" w:lineRule="auto"/>
        <w:tabs>
          <w:tab w:leader="none" w:pos="86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ind w:right="400" w:firstLine="810"/>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ind w:left="772" w:hanging="772"/>
        <w:spacing w:after="0"/>
        <w:tabs>
          <w:tab w:leader="none" w:pos="772"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72" w:right="5239"/>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-692785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4,899,184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4,899,184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65" w:lineRule="exact"/>
        <w:rPr>
          <w:sz w:val="20"/>
          <w:szCs w:val="20"/>
          <w:color w:val="auto"/>
        </w:rPr>
      </w:pPr>
    </w:p>
    <w:p>
      <w:pPr>
        <w:ind w:left="752" w:hanging="752"/>
        <w:spacing w:after="0"/>
        <w:tabs>
          <w:tab w:leader="none" w:pos="752"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98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Arial" w:cs="Arial" w:eastAsia="Arial" w:hAnsi="Arial"/>
          <w:sz w:val="18"/>
          <w:szCs w:val="18"/>
          <w:color w:val="auto"/>
        </w:rPr>
        <w:t>4,899,184 shares</w:t>
      </w:r>
    </w:p>
    <w:p>
      <w:pPr>
        <w:spacing w:after="0" w:line="23" w:lineRule="exact"/>
        <w:rPr>
          <w:sz w:val="20"/>
          <w:szCs w:val="20"/>
          <w:color w:val="auto"/>
        </w:rPr>
      </w:pP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932" w:right="3139" w:hanging="932"/>
        <w:spacing w:after="0" w:line="258" w:lineRule="auto"/>
        <w:tabs>
          <w:tab w:leader="none" w:pos="752"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ind w:left="752" w:hanging="752"/>
        <w:spacing w:after="0"/>
        <w:tabs>
          <w:tab w:leader="none" w:pos="75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5.60%</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9" w:lineRule="exact"/>
        <w:rPr>
          <w:rFonts w:ascii="Arial" w:cs="Arial" w:eastAsia="Arial" w:hAnsi="Arial"/>
          <w:sz w:val="18"/>
          <w:szCs w:val="18"/>
          <w:color w:val="auto"/>
        </w:rPr>
      </w:pPr>
    </w:p>
    <w:p>
      <w:pPr>
        <w:ind w:left="752" w:hanging="752"/>
        <w:spacing w:after="0"/>
        <w:tabs>
          <w:tab w:leader="none" w:pos="7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098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-404495</wp:posOffset>
            </wp:positionV>
            <wp:extent cx="7098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-962025</wp:posOffset>
            </wp:positionV>
            <wp:extent cx="70980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288925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2" w:name="page3"/>
    <w:bookmarkEnd w:id="2"/>
    <w:p>
      <w:pPr>
        <w:ind w:left="772" w:hanging="772"/>
        <w:spacing w:after="0"/>
        <w:tabs>
          <w:tab w:leader="none" w:pos="772"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72" w:right="5239"/>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-692785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4,899,184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4,899,184 shares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65" w:lineRule="exact"/>
        <w:rPr>
          <w:sz w:val="20"/>
          <w:szCs w:val="20"/>
          <w:color w:val="auto"/>
        </w:rPr>
      </w:pPr>
    </w:p>
    <w:p>
      <w:pPr>
        <w:ind w:left="752" w:hanging="752"/>
        <w:spacing w:after="0"/>
        <w:tabs>
          <w:tab w:leader="none" w:pos="7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980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Arial" w:cs="Arial" w:eastAsia="Arial" w:hAnsi="Arial"/>
          <w:sz w:val="18"/>
          <w:szCs w:val="18"/>
          <w:color w:val="auto"/>
        </w:rPr>
        <w:t>4,899,184 shares</w:t>
      </w:r>
    </w:p>
    <w:p>
      <w:pPr>
        <w:spacing w:after="0" w:line="23" w:lineRule="exact"/>
        <w:rPr>
          <w:sz w:val="20"/>
          <w:szCs w:val="20"/>
          <w:color w:val="auto"/>
        </w:rPr>
      </w:pP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932" w:right="3139" w:hanging="932"/>
        <w:spacing w:after="0" w:line="258" w:lineRule="auto"/>
        <w:tabs>
          <w:tab w:leader="none" w:pos="7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 N/A</w:t>
      </w:r>
    </w:p>
    <w:p>
      <w:pPr>
        <w:ind w:left="752" w:hanging="752"/>
        <w:spacing w:after="0"/>
        <w:tabs>
          <w:tab w:leader="none" w:pos="7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5.60%</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9" w:lineRule="exact"/>
        <w:rPr>
          <w:rFonts w:ascii="Arial" w:cs="Arial" w:eastAsia="Arial" w:hAnsi="Arial"/>
          <w:sz w:val="18"/>
          <w:szCs w:val="18"/>
          <w:color w:val="auto"/>
        </w:rPr>
      </w:pPr>
    </w:p>
    <w:p>
      <w:pPr>
        <w:ind w:left="752" w:hanging="752"/>
        <w:spacing w:after="0"/>
        <w:tabs>
          <w:tab w:leader="none" w:pos="7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4"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0980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-404495</wp:posOffset>
            </wp:positionV>
            <wp:extent cx="7098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-962025</wp:posOffset>
            </wp:positionV>
            <wp:extent cx="7098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b w:val="1"/>
          <w:bCs w:val="1"/>
          <w:color w:val="auto"/>
        </w:rPr>
        <w:t>Item 1.</w:t>
      </w:r>
    </w:p>
    <w:p>
      <w:pPr>
        <w:spacing w:after="0" w:line="220" w:lineRule="exact"/>
        <w:rPr>
          <w:sz w:val="20"/>
          <w:szCs w:val="20"/>
          <w:color w:val="auto"/>
        </w:rPr>
      </w:pPr>
    </w:p>
    <w:p>
      <w:pPr>
        <w:ind w:left="820" w:hanging="81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Tango Therapeutics, Inc.</w:t>
      </w:r>
    </w:p>
    <w:p>
      <w:pPr>
        <w:spacing w:after="0" w:line="210" w:lineRule="exact"/>
        <w:rPr>
          <w:rFonts w:ascii="Arial" w:cs="Arial" w:eastAsia="Arial" w:hAnsi="Arial"/>
          <w:sz w:val="18"/>
          <w:szCs w:val="18"/>
          <w:color w:val="auto"/>
        </w:rPr>
      </w:pPr>
    </w:p>
    <w:p>
      <w:pPr>
        <w:ind w:left="820" w:right="5699" w:hanging="812"/>
        <w:spacing w:after="0" w:line="572" w:lineRule="auto"/>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Address of Issuer’s Principal Executive Offices 100 Binney St., Suite 700, Cambridge, MA 02142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9" w:lineRule="exact"/>
        <w:rPr>
          <w:sz w:val="20"/>
          <w:szCs w:val="20"/>
          <w:color w:val="auto"/>
        </w:rPr>
      </w:pPr>
    </w:p>
    <w:p>
      <w:pPr>
        <w:ind w:left="800" w:hanging="79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800" w:right="6819"/>
        <w:spacing w:after="0" w:line="277" w:lineRule="auto"/>
        <w:rPr>
          <w:rFonts w:ascii="Arial" w:cs="Arial" w:eastAsia="Arial" w:hAnsi="Arial"/>
          <w:sz w:val="18"/>
          <w:szCs w:val="18"/>
          <w:color w:val="auto"/>
        </w:rPr>
      </w:pPr>
      <w:r>
        <w:rPr>
          <w:rFonts w:ascii="Arial" w:cs="Arial" w:eastAsia="Arial" w:hAnsi="Arial"/>
          <w:sz w:val="18"/>
          <w:szCs w:val="18"/>
          <w:color w:val="auto"/>
        </w:rPr>
        <w:t>Cormorant Asset Management, LP Bihua Chen</w:t>
      </w:r>
    </w:p>
    <w:p>
      <w:pPr>
        <w:spacing w:after="0" w:line="170" w:lineRule="exact"/>
        <w:rPr>
          <w:rFonts w:ascii="Arial" w:cs="Arial" w:eastAsia="Arial" w:hAnsi="Arial"/>
          <w:sz w:val="18"/>
          <w:szCs w:val="18"/>
          <w:color w:val="auto"/>
        </w:rPr>
      </w:pPr>
    </w:p>
    <w:p>
      <w:pPr>
        <w:ind w:left="800" w:right="5059" w:hanging="792"/>
        <w:spacing w:after="0" w:line="25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200 Clarendon Street, 52nd Floor</w:t>
      </w:r>
    </w:p>
    <w:p>
      <w:pPr>
        <w:spacing w:after="0" w:line="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Boston, MA 02116</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800" w:right="5979"/>
        <w:spacing w:after="0" w:line="277" w:lineRule="auto"/>
        <w:rPr>
          <w:rFonts w:ascii="Arial" w:cs="Arial" w:eastAsia="Arial" w:hAnsi="Arial"/>
          <w:sz w:val="18"/>
          <w:szCs w:val="18"/>
          <w:color w:val="auto"/>
        </w:rPr>
      </w:pPr>
      <w:r>
        <w:rPr>
          <w:rFonts w:ascii="Arial" w:cs="Arial" w:eastAsia="Arial" w:hAnsi="Arial"/>
          <w:sz w:val="18"/>
          <w:szCs w:val="18"/>
          <w:color w:val="auto"/>
        </w:rPr>
        <w:t>Cormorant Asset Management, LP - Delaware Bihua Chen - United States</w:t>
      </w:r>
    </w:p>
    <w:p>
      <w:pPr>
        <w:spacing w:after="0" w:line="170" w:lineRule="exact"/>
        <w:rPr>
          <w:rFonts w:ascii="Arial" w:cs="Arial" w:eastAsia="Arial" w:hAnsi="Arial"/>
          <w:sz w:val="18"/>
          <w:szCs w:val="18"/>
          <w:color w:val="auto"/>
        </w:rPr>
      </w:pPr>
    </w:p>
    <w:p>
      <w:pPr>
        <w:ind w:left="800" w:right="7419" w:hanging="792"/>
        <w:spacing w:after="0" w:line="342"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23" w:lineRule="exact"/>
        <w:rPr>
          <w:rFonts w:ascii="Arial" w:cs="Arial" w:eastAsia="Arial" w:hAnsi="Arial"/>
          <w:sz w:val="16"/>
          <w:szCs w:val="16"/>
          <w:color w:val="auto"/>
        </w:rPr>
      </w:pPr>
    </w:p>
    <w:p>
      <w:pPr>
        <w:ind w:left="800" w:right="8199" w:hanging="792"/>
        <w:spacing w:after="0" w:line="342"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CUSIP Number 87583X109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300" w:type="dxa"/>
            <w:vAlign w:val="bottom"/>
          </w:tcPr>
          <w:p>
            <w:pPr>
              <w:spacing w:after="0"/>
              <w:rPr>
                <w:sz w:val="20"/>
                <w:szCs w:val="20"/>
                <w:color w:val="auto"/>
              </w:rPr>
            </w:pPr>
          </w:p>
        </w:tc>
        <w:tc>
          <w:tcPr>
            <w:tcW w:w="8500" w:type="dxa"/>
            <w:vAlign w:val="bottom"/>
          </w:tcPr>
          <w:p>
            <w:pPr>
              <w:ind w:left="20"/>
              <w:spacing w:after="0"/>
              <w:rPr>
                <w:sz w:val="20"/>
                <w:szCs w:val="20"/>
                <w:color w:val="auto"/>
              </w:rPr>
            </w:pPr>
            <w:r>
              <w:rPr>
                <w:rFonts w:ascii="Arial" w:cs="Arial" w:eastAsia="Arial" w:hAnsi="Arial"/>
                <w:sz w:val="18"/>
                <w:szCs w:val="18"/>
                <w:b w:val="1"/>
                <w:bCs w:val="1"/>
                <w:color w:val="auto"/>
                <w:w w:val="90"/>
              </w:rPr>
              <w:t>If this statement is filed pursuant to §§240.13d-1(b) or 240.13d-2(b) or (c), check whether the person filing is a:</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(a)</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8500" w:type="dxa"/>
            <w:vAlign w:val="bottom"/>
          </w:tcPr>
          <w:p>
            <w:pPr>
              <w:ind w:left="58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8500" w:type="dxa"/>
            <w:vAlign w:val="bottom"/>
          </w:tcPr>
          <w:p>
            <w:pPr>
              <w:ind w:left="580"/>
              <w:spacing w:after="0"/>
              <w:rPr>
                <w:sz w:val="20"/>
                <w:szCs w:val="20"/>
                <w:color w:val="auto"/>
              </w:rPr>
            </w:pPr>
            <w:r>
              <w:rPr>
                <w:rFonts w:ascii="Arial" w:cs="Arial" w:eastAsia="Arial" w:hAnsi="Arial"/>
                <w:sz w:val="18"/>
                <w:szCs w:val="18"/>
                <w:color w:val="auto"/>
              </w:rPr>
              <w:t>Bank as defined in section 3(a)(6) of the Act (15 U.S.C. 78c).</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(c)</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8500" w:type="dxa"/>
            <w:vAlign w:val="bottom"/>
          </w:tcPr>
          <w:p>
            <w:pPr>
              <w:ind w:left="580"/>
              <w:spacing w:after="0"/>
              <w:rPr>
                <w:sz w:val="20"/>
                <w:szCs w:val="20"/>
                <w:color w:val="auto"/>
              </w:rPr>
            </w:pPr>
            <w:r>
              <w:rPr>
                <w:rFonts w:ascii="Arial" w:cs="Arial" w:eastAsia="Arial" w:hAnsi="Arial"/>
                <w:sz w:val="18"/>
                <w:szCs w:val="18"/>
                <w:color w:val="auto"/>
              </w:rPr>
              <w:t>Insurance Company as defined in Section 3(a)(19) of the Act</w:t>
            </w:r>
          </w:p>
        </w:tc>
      </w:tr>
    </w:tbl>
    <w:p>
      <w:pPr>
        <w:ind w:left="780" w:hanging="772"/>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780" w:hanging="772"/>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9" w:lineRule="exact"/>
        <w:rPr>
          <w:sz w:val="20"/>
          <w:szCs w:val="20"/>
          <w:color w:val="auto"/>
        </w:rPr>
      </w:pPr>
    </w:p>
    <w:p>
      <w:pPr>
        <w:spacing w:after="0"/>
        <w:tabs>
          <w:tab w:leader="none" w:pos="760" w:val="left"/>
          <w:tab w:leader="none" w:pos="152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An employee benefit plan or endowment fund in accordance with §240.13d-1(b)(1)(ii)(F);</w:t>
      </w:r>
    </w:p>
    <w:p>
      <w:pPr>
        <w:spacing w:after="0" w:line="9" w:lineRule="exact"/>
        <w:rPr>
          <w:sz w:val="20"/>
          <w:szCs w:val="20"/>
          <w:color w:val="auto"/>
        </w:rPr>
      </w:pPr>
    </w:p>
    <w:p>
      <w:pPr>
        <w:ind w:left="780" w:hanging="77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(h)</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w w:val="93"/>
              </w:rPr>
              <w:t>A church plan that is excluded from the definition of an investment company under section 3(c)(14) of the Investment Company Act</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80" w:type="dxa"/>
            <w:vAlign w:val="bottom"/>
          </w:tcPr>
          <w:p>
            <w:pPr>
              <w:ind w:left="580"/>
              <w:spacing w:after="0"/>
              <w:rPr>
                <w:sz w:val="20"/>
                <w:szCs w:val="20"/>
                <w:color w:val="auto"/>
              </w:rPr>
            </w:pPr>
            <w:r>
              <w:rPr>
                <w:rFonts w:ascii="Arial" w:cs="Arial" w:eastAsia="Arial" w:hAnsi="Arial"/>
                <w:sz w:val="18"/>
                <w:szCs w:val="18"/>
                <w:color w:val="auto"/>
              </w:rPr>
              <w:t>of 1940 (15 U.S.C. 80a-3);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(j)</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rPr>
              <w:t>A non-U.S. institution in accordance with §240.13d–1(b)(1)(ii)(J);</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(k)</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rPr>
              <w:t>Group, in accordance with §240.13d-1(b)(1)(ii)(K).</w:t>
            </w:r>
          </w:p>
        </w:tc>
      </w:tr>
      <w:tr>
        <w:trPr>
          <w:trHeight w:val="459"/>
        </w:trPr>
        <w:tc>
          <w:tcPr>
            <w:tcW w:w="6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00" w:type="dxa"/>
            <w:vAlign w:val="bottom"/>
          </w:tcPr>
          <w:p>
            <w:pPr>
              <w:spacing w:after="0"/>
              <w:rPr>
                <w:sz w:val="24"/>
                <w:szCs w:val="24"/>
                <w:color w:val="auto"/>
              </w:rPr>
            </w:pPr>
          </w:p>
        </w:tc>
        <w:tc>
          <w:tcPr>
            <w:tcW w:w="10280" w:type="dxa"/>
            <w:vAlign w:val="bottom"/>
          </w:tcPr>
          <w:p>
            <w:pPr>
              <w:ind w:left="20"/>
              <w:spacing w:after="0"/>
              <w:rPr>
                <w:sz w:val="20"/>
                <w:szCs w:val="20"/>
                <w:color w:val="auto"/>
              </w:rPr>
            </w:pPr>
            <w:r>
              <w:rPr>
                <w:rFonts w:ascii="Arial" w:cs="Arial" w:eastAsia="Arial" w:hAnsi="Arial"/>
                <w:sz w:val="18"/>
                <w:szCs w:val="18"/>
                <w:b w:val="1"/>
                <w:bCs w:val="1"/>
                <w:color w:val="auto"/>
              </w:rPr>
              <w:t>Ownership***</w:t>
            </w:r>
          </w:p>
        </w:tc>
      </w:tr>
    </w:tbl>
    <w:p>
      <w:pPr>
        <w:spacing w:after="0" w:line="195"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182" w:lineRule="exact"/>
        <w:rPr>
          <w:sz w:val="20"/>
          <w:szCs w:val="20"/>
          <w:color w:val="auto"/>
        </w:rPr>
      </w:pPr>
    </w:p>
    <w:p>
      <w:pPr>
        <w:ind w:left="800" w:hanging="79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800" w:right="6540"/>
        <w:spacing w:after="0" w:line="258" w:lineRule="auto"/>
        <w:rPr>
          <w:rFonts w:ascii="Arial" w:cs="Arial" w:eastAsia="Arial" w:hAnsi="Arial"/>
          <w:sz w:val="18"/>
          <w:szCs w:val="18"/>
          <w:color w:val="auto"/>
        </w:rPr>
      </w:pPr>
      <w:r>
        <w:rPr>
          <w:rFonts w:ascii="Arial" w:cs="Arial" w:eastAsia="Arial" w:hAnsi="Arial"/>
          <w:sz w:val="18"/>
          <w:szCs w:val="18"/>
          <w:color w:val="auto"/>
        </w:rPr>
        <w:t>Cormorant Asset Management, LP – 4,899,184 shares Bihua Chen – 4,899,184 shares</w:t>
      </w:r>
    </w:p>
    <w:p>
      <w:pPr>
        <w:spacing w:after="0" w:line="1" w:lineRule="exact"/>
        <w:rPr>
          <w:rFonts w:ascii="Arial" w:cs="Arial" w:eastAsia="Arial" w:hAnsi="Arial"/>
          <w:sz w:val="18"/>
          <w:szCs w:val="18"/>
          <w:color w:val="auto"/>
        </w:rPr>
      </w:pPr>
    </w:p>
    <w:p>
      <w:pPr>
        <w:ind w:left="800" w:hanging="79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10" w:lineRule="exact"/>
        <w:rPr>
          <w:rFonts w:ascii="Arial" w:cs="Arial" w:eastAsia="Arial" w:hAnsi="Arial"/>
          <w:sz w:val="18"/>
          <w:szCs w:val="18"/>
          <w:color w:val="auto"/>
        </w:rPr>
      </w:pPr>
    </w:p>
    <w:p>
      <w:pPr>
        <w:ind w:left="800" w:right="7300"/>
        <w:spacing w:after="0" w:line="277" w:lineRule="auto"/>
        <w:rPr>
          <w:rFonts w:ascii="Arial" w:cs="Arial" w:eastAsia="Arial" w:hAnsi="Arial"/>
          <w:sz w:val="18"/>
          <w:szCs w:val="18"/>
          <w:color w:val="auto"/>
        </w:rPr>
      </w:pPr>
      <w:r>
        <w:rPr>
          <w:rFonts w:ascii="Arial" w:cs="Arial" w:eastAsia="Arial" w:hAnsi="Arial"/>
          <w:sz w:val="18"/>
          <w:szCs w:val="18"/>
          <w:color w:val="auto"/>
        </w:rPr>
        <w:t>Cormorant Asset Management, LP – 5.60% Bihua Chen – 5.60%</w:t>
      </w:r>
    </w:p>
    <w:p>
      <w:pPr>
        <w:spacing w:after="0" w:line="197" w:lineRule="exact"/>
        <w:rPr>
          <w:rFonts w:ascii="Arial" w:cs="Arial" w:eastAsia="Arial" w:hAnsi="Arial"/>
          <w:sz w:val="18"/>
          <w:szCs w:val="18"/>
          <w:color w:val="auto"/>
        </w:rPr>
      </w:pPr>
    </w:p>
    <w:p>
      <w:pPr>
        <w:ind w:left="800" w:hanging="79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560" w:hanging="769"/>
        <w:spacing w:after="0"/>
        <w:tabs>
          <w:tab w:leader="none" w:pos="1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560" w:right="6440"/>
        <w:spacing w:after="0" w:line="277" w:lineRule="auto"/>
        <w:rPr>
          <w:rFonts w:ascii="Arial" w:cs="Arial" w:eastAsia="Arial" w:hAnsi="Arial"/>
          <w:sz w:val="18"/>
          <w:szCs w:val="18"/>
          <w:color w:val="auto"/>
        </w:rPr>
      </w:pPr>
      <w:r>
        <w:rPr>
          <w:rFonts w:ascii="Arial" w:cs="Arial" w:eastAsia="Arial" w:hAnsi="Arial"/>
          <w:sz w:val="18"/>
          <w:szCs w:val="18"/>
          <w:color w:val="auto"/>
        </w:rPr>
        <w:t>Cormorant Asset Management, LP - 0 shares Bihua Chen - 0 shares</w:t>
      </w:r>
    </w:p>
    <w:p>
      <w:pPr>
        <w:spacing w:after="0" w:line="170" w:lineRule="exact"/>
        <w:rPr>
          <w:rFonts w:ascii="Arial" w:cs="Arial" w:eastAsia="Arial" w:hAnsi="Arial"/>
          <w:sz w:val="18"/>
          <w:szCs w:val="18"/>
          <w:color w:val="auto"/>
        </w:rPr>
      </w:pPr>
    </w:p>
    <w:p>
      <w:pPr>
        <w:ind w:left="1560" w:hanging="769"/>
        <w:spacing w:after="0"/>
        <w:tabs>
          <w:tab w:leader="none" w:pos="1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560" w:right="5780"/>
        <w:spacing w:after="0" w:line="258" w:lineRule="auto"/>
        <w:rPr>
          <w:rFonts w:ascii="Arial" w:cs="Arial" w:eastAsia="Arial" w:hAnsi="Arial"/>
          <w:sz w:val="18"/>
          <w:szCs w:val="18"/>
          <w:color w:val="auto"/>
        </w:rPr>
      </w:pPr>
      <w:r>
        <w:rPr>
          <w:rFonts w:ascii="Arial" w:cs="Arial" w:eastAsia="Arial" w:hAnsi="Arial"/>
          <w:sz w:val="18"/>
          <w:szCs w:val="18"/>
          <w:color w:val="auto"/>
        </w:rPr>
        <w:t>Cormorant Asset Management, LP – 4,899,184 shares Bihua Chen – 4,899,184 shares</w:t>
      </w:r>
    </w:p>
    <w:p>
      <w:pPr>
        <w:spacing w:after="0" w:line="1" w:lineRule="exact"/>
        <w:rPr>
          <w:rFonts w:ascii="Arial" w:cs="Arial" w:eastAsia="Arial" w:hAnsi="Arial"/>
          <w:sz w:val="18"/>
          <w:szCs w:val="18"/>
          <w:color w:val="auto"/>
        </w:rPr>
      </w:pPr>
    </w:p>
    <w:p>
      <w:pPr>
        <w:ind w:left="1560" w:hanging="769"/>
        <w:spacing w:after="0"/>
        <w:tabs>
          <w:tab w:leader="none" w:pos="1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10" w:lineRule="exact"/>
        <w:rPr>
          <w:rFonts w:ascii="Arial" w:cs="Arial" w:eastAsia="Arial" w:hAnsi="Arial"/>
          <w:sz w:val="18"/>
          <w:szCs w:val="18"/>
          <w:color w:val="auto"/>
        </w:rPr>
      </w:pPr>
    </w:p>
    <w:p>
      <w:pPr>
        <w:ind w:left="1560" w:right="6440"/>
        <w:spacing w:after="0" w:line="277" w:lineRule="auto"/>
        <w:rPr>
          <w:rFonts w:ascii="Arial" w:cs="Arial" w:eastAsia="Arial" w:hAnsi="Arial"/>
          <w:sz w:val="18"/>
          <w:szCs w:val="18"/>
          <w:color w:val="auto"/>
        </w:rPr>
      </w:pPr>
      <w:r>
        <w:rPr>
          <w:rFonts w:ascii="Arial" w:cs="Arial" w:eastAsia="Arial" w:hAnsi="Arial"/>
          <w:sz w:val="18"/>
          <w:szCs w:val="18"/>
          <w:color w:val="auto"/>
        </w:rPr>
        <w:t>Cormorant Asset Management, LP - 0 shares Bihua Chen - 0 shares</w:t>
      </w:r>
    </w:p>
    <w:p>
      <w:pPr>
        <w:spacing w:after="0" w:line="170" w:lineRule="exact"/>
        <w:rPr>
          <w:rFonts w:ascii="Arial" w:cs="Arial" w:eastAsia="Arial" w:hAnsi="Arial"/>
          <w:sz w:val="18"/>
          <w:szCs w:val="18"/>
          <w:color w:val="auto"/>
        </w:rPr>
      </w:pPr>
    </w:p>
    <w:p>
      <w:pPr>
        <w:ind w:left="1560" w:hanging="769"/>
        <w:spacing w:after="0"/>
        <w:tabs>
          <w:tab w:leader="none" w:pos="1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560" w:right="5780"/>
        <w:spacing w:after="0" w:line="277" w:lineRule="auto"/>
        <w:rPr>
          <w:rFonts w:ascii="Arial" w:cs="Arial" w:eastAsia="Arial" w:hAnsi="Arial"/>
          <w:sz w:val="18"/>
          <w:szCs w:val="18"/>
          <w:color w:val="auto"/>
        </w:rPr>
      </w:pPr>
      <w:r>
        <w:rPr>
          <w:rFonts w:ascii="Arial" w:cs="Arial" w:eastAsia="Arial" w:hAnsi="Arial"/>
          <w:sz w:val="18"/>
          <w:szCs w:val="18"/>
          <w:color w:val="auto"/>
        </w:rPr>
        <w:t>Cormorant Asset Management, LP – 4,899,184 shares Bihua Chen – 4,899,184 shares</w:t>
      </w:r>
    </w:p>
    <w:p>
      <w:pPr>
        <w:spacing w:after="0" w:line="366" w:lineRule="exact"/>
        <w:rPr>
          <w:sz w:val="20"/>
          <w:szCs w:val="20"/>
          <w:color w:val="auto"/>
        </w:rPr>
      </w:pPr>
    </w:p>
    <w:p>
      <w:pPr>
        <w:jc w:val="both"/>
        <w:ind w:left="660" w:hanging="4"/>
        <w:spacing w:after="0" w:line="238" w:lineRule="auto"/>
        <w:tabs>
          <w:tab w:leader="none" w:pos="1039" w:val="left"/>
        </w:tabs>
        <w:numPr>
          <w:ilvl w:val="0"/>
          <w:numId w:val="20"/>
        </w:numPr>
        <w:rPr>
          <w:rFonts w:ascii="Arial" w:cs="Arial" w:eastAsia="Arial" w:hAnsi="Arial"/>
          <w:sz w:val="22"/>
          <w:szCs w:val="22"/>
          <w:color w:val="auto"/>
        </w:rPr>
      </w:pPr>
      <w:r>
        <w:rPr>
          <w:rFonts w:ascii="Arial" w:cs="Arial" w:eastAsia="Arial" w:hAnsi="Arial"/>
          <w:sz w:val="22"/>
          <w:szCs w:val="22"/>
          <w:color w:val="auto"/>
        </w:rPr>
        <w:t>Shares reported herein for are held for the benefit of private funds and a managed account for which Cormorant Asset Management, LP serves as investment manager. Bihua Chen serves as the general partner of Cormorant Asset Management, LP. Each of the Reporting Persons disclaims beneficial ownership of the shares reported herein except to the extent of its or her pecuniary interest therein.</w:t>
      </w:r>
    </w:p>
    <w:p>
      <w:pPr>
        <w:spacing w:after="0" w:line="63"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The percentages reported herein with respect to the Reporting Persons’ holdings are calculated based upon a statement in the Issuer’s quarterly Report on form 10-Q for the quarterly period ended September 30, 2021, as filed with the Securities and Exchange Commission on November 9, 2021, that there were 87,546,430 shares of Common Stock outstanding as of November 5, 2021.</w:t>
      </w:r>
    </w:p>
    <w:p>
      <w:pPr>
        <w:spacing w:after="0" w:line="39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ectPr>
          <w:pgSz w:w="11900" w:h="16838" w:orient="portrait"/>
          <w:cols w:equalWidth="0" w:num="1">
            <w:col w:w="11240"/>
          </w:cols>
          <w:pgMar w:left="320" w:top="121" w:right="339" w:bottom="0" w:gutter="0" w:footer="0" w:header="0"/>
        </w:sectPr>
      </w:pPr>
    </w:p>
    <w:p>
      <w:pPr>
        <w:spacing w:after="0" w:line="222" w:lineRule="exact"/>
        <w:rPr>
          <w:sz w:val="20"/>
          <w:szCs w:val="20"/>
          <w:color w:val="auto"/>
        </w:rPr>
      </w:pPr>
    </w:p>
    <w:p>
      <w:pPr>
        <w:ind w:left="9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21" w:right="339" w:bottom="0" w:gutter="0" w:footer="0" w:header="0"/>
          <w:type w:val="continuous"/>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2" w:lineRule="exact"/>
        <w:rPr>
          <w:sz w:val="20"/>
          <w:szCs w:val="20"/>
          <w:color w:val="auto"/>
        </w:rPr>
      </w:pPr>
    </w:p>
    <w:p>
      <w:pPr>
        <w:jc w:val="center"/>
        <w:ind w:right="796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Exhibits</w:t>
        <w:tab/>
        <w:t>Exhibit</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99.1</w:t>
      </w:r>
      <w:r>
        <w:rPr>
          <w:sz w:val="20"/>
          <w:szCs w:val="20"/>
          <w:color w:val="auto"/>
        </w:rPr>
        <w:tab/>
      </w:r>
      <w:r>
        <w:rPr>
          <w:rFonts w:ascii="Arial" w:cs="Arial" w:eastAsia="Arial" w:hAnsi="Arial"/>
          <w:sz w:val="19"/>
          <w:szCs w:val="19"/>
          <w:color w:val="auto"/>
        </w:rPr>
        <w:t>Joint Filing Agreement by and among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February 14, 2022</w:t>
      </w:r>
    </w:p>
    <w:p>
      <w:pPr>
        <w:spacing w:after="0" w:line="200" w:lineRule="exact"/>
        <w:rPr>
          <w:sz w:val="20"/>
          <w:szCs w:val="20"/>
          <w:color w:val="auto"/>
        </w:rPr>
      </w:pPr>
    </w:p>
    <w:p>
      <w:pPr>
        <w:spacing w:after="0" w:line="24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ASSET MANAGEMENT, LP</w:t>
      </w:r>
    </w:p>
    <w:p>
      <w:pPr>
        <w:ind w:left="4220"/>
        <w:spacing w:after="0" w:line="238" w:lineRule="auto"/>
        <w:rPr>
          <w:sz w:val="20"/>
          <w:szCs w:val="20"/>
          <w:color w:val="auto"/>
        </w:rPr>
      </w:pPr>
      <w:r>
        <w:rPr>
          <w:rFonts w:ascii="Arial" w:cs="Arial" w:eastAsia="Arial" w:hAnsi="Arial"/>
          <w:sz w:val="22"/>
          <w:szCs w:val="22"/>
          <w:color w:val="auto"/>
        </w:rPr>
        <w:t>By: Cormorant Asset Management GP, LLC</w:t>
      </w:r>
    </w:p>
    <w:p>
      <w:pPr>
        <w:ind w:left="422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w:t>
      </w:r>
    </w:p>
    <w:p>
      <w:pPr>
        <w:sectPr>
          <w:pgSz w:w="11900" w:h="16838" w:orient="portrait"/>
          <w:cols w:equalWidth="0" w:num="1">
            <w:col w:w="11240"/>
          </w:cols>
          <w:pgMar w:left="320" w:top="11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color w:val="auto"/>
        </w:rPr>
        <w:t>Exhibit 99.1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12" w:lineRule="exact"/>
        <w:rPr>
          <w:sz w:val="20"/>
          <w:szCs w:val="20"/>
          <w:color w:val="auto"/>
        </w:rPr>
      </w:pPr>
    </w:p>
    <w:p>
      <w:pPr>
        <w:jc w:val="both"/>
        <w:ind w:right="20" w:firstLine="972"/>
        <w:spacing w:after="0" w:line="250" w:lineRule="auto"/>
        <w:rPr>
          <w:sz w:val="20"/>
          <w:szCs w:val="20"/>
          <w:color w:val="auto"/>
        </w:rPr>
      </w:pPr>
      <w:r>
        <w:rPr>
          <w:rFonts w:ascii="Arial" w:cs="Arial" w:eastAsia="Arial" w:hAnsi="Arial"/>
          <w:sz w:val="22"/>
          <w:szCs w:val="22"/>
          <w:color w:val="auto"/>
        </w:rPr>
        <w:t>This Joint Filing Agreement, dated as of February 14, 2022, is by and between Cormorant Asset Management, LP and Bihua Chen (collectively, the “Filers”).</w:t>
      </w:r>
    </w:p>
    <w:p>
      <w:pPr>
        <w:spacing w:after="0" w:line="175" w:lineRule="exact"/>
        <w:rPr>
          <w:sz w:val="20"/>
          <w:szCs w:val="20"/>
          <w:color w:val="auto"/>
        </w:rPr>
      </w:pPr>
    </w:p>
    <w:p>
      <w:pPr>
        <w:jc w:val="both"/>
        <w:ind w:firstLine="972"/>
        <w:spacing w:after="0"/>
        <w:rPr>
          <w:sz w:val="20"/>
          <w:szCs w:val="20"/>
          <w:color w:val="auto"/>
        </w:rPr>
      </w:pPr>
      <w:r>
        <w:rPr>
          <w:rFonts w:ascii="Arial" w:cs="Arial" w:eastAsia="Arial" w:hAnsi="Arial"/>
          <w:sz w:val="22"/>
          <w:szCs w:val="22"/>
          <w:color w:val="auto"/>
        </w:rPr>
        <w:t>Each of the Filers may be required to file with the United States Securities and Exchange Commission a statement on Schedule 13D and/or 13G with respect to shares of Common Stock of Tango Therapeutics, Inc. beneficially owned by them from time to time.</w:t>
      </w:r>
    </w:p>
    <w:p>
      <w:pPr>
        <w:spacing w:after="0" w:line="213" w:lineRule="exact"/>
        <w:rPr>
          <w:sz w:val="20"/>
          <w:szCs w:val="20"/>
          <w:color w:val="auto"/>
        </w:rPr>
      </w:pPr>
    </w:p>
    <w:p>
      <w:pPr>
        <w:jc w:val="both"/>
        <w:ind w:firstLine="972"/>
        <w:spacing w:after="0" w:line="238" w:lineRule="auto"/>
        <w:rPr>
          <w:sz w:val="20"/>
          <w:szCs w:val="20"/>
          <w:color w:val="auto"/>
        </w:rPr>
      </w:pPr>
      <w:r>
        <w:rPr>
          <w:rFonts w:ascii="Arial" w:cs="Arial" w:eastAsia="Arial" w:hAnsi="Arial"/>
          <w:sz w:val="22"/>
          <w:szCs w:val="22"/>
          <w:color w:val="auto"/>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spacing w:after="0" w:line="212" w:lineRule="exact"/>
        <w:rPr>
          <w:sz w:val="20"/>
          <w:szCs w:val="20"/>
          <w:color w:val="auto"/>
        </w:rPr>
      </w:pPr>
    </w:p>
    <w:p>
      <w:pPr>
        <w:jc w:val="both"/>
        <w:ind w:right="20" w:firstLine="972"/>
        <w:spacing w:after="0" w:line="250" w:lineRule="auto"/>
        <w:rPr>
          <w:sz w:val="20"/>
          <w:szCs w:val="20"/>
          <w:color w:val="auto"/>
        </w:rPr>
      </w:pPr>
      <w:r>
        <w:rPr>
          <w:rFonts w:ascii="Arial" w:cs="Arial" w:eastAsia="Arial" w:hAnsi="Arial"/>
          <w:sz w:val="22"/>
          <w:szCs w:val="22"/>
          <w:color w:val="auto"/>
        </w:rPr>
        <w:t>This Joint Filing Agreement may be terminated by any of the Filers upon written notice or such lesser period of notice as the Filers may mutually agree.</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ASSET MANAGEMENT, LP</w:t>
      </w:r>
    </w:p>
    <w:p>
      <w:pPr>
        <w:ind w:left="4220"/>
        <w:spacing w:after="0" w:line="238" w:lineRule="auto"/>
        <w:rPr>
          <w:sz w:val="20"/>
          <w:szCs w:val="20"/>
          <w:color w:val="auto"/>
        </w:rPr>
      </w:pPr>
      <w:r>
        <w:rPr>
          <w:rFonts w:ascii="Arial" w:cs="Arial" w:eastAsia="Arial" w:hAnsi="Arial"/>
          <w:sz w:val="22"/>
          <w:szCs w:val="22"/>
          <w:color w:val="auto"/>
        </w:rPr>
        <w:t>By: Cormorant Asset Management GP, LLC</w:t>
      </w:r>
    </w:p>
    <w:p>
      <w:pPr>
        <w:ind w:left="422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Roman"/>
      <w:start w:val="10"/>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lvl w:ilvl="1">
      <w:lvlJc w:val="left"/>
      <w:lvlText w:val="(%2)"/>
      <w:numFmt w:val="lowerLetter"/>
      <w:start w:val="1"/>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4"/>
      <w:numFmt w:val="bullet"/>
      <w:start w:val="1"/>
    </w:lvl>
  </w:abstractNum>
  <w:abstractNum w:abstractNumId="6">
    <w:nsid w:val="109CF92E"/>
    <w:multiLevelType w:val="hybridMultilevel"/>
    <w:lvl w:ilvl="0">
      <w:lvlJc w:val="left"/>
      <w:lvlText w:val="9"/>
      <w:numFmt w:val="bullet"/>
      <w:start w:val="1"/>
    </w:lvl>
  </w:abstractNum>
  <w:abstractNum w:abstractNumId="7">
    <w:nsid w:val="DED7263"/>
    <w:multiLevelType w:val="hybridMultilevel"/>
    <w:lvl w:ilvl="0">
      <w:lvlJc w:val="left"/>
      <w:lvlText w:val="%1"/>
      <w:numFmt w:val="decimal"/>
      <w:start w:val="10"/>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2"/>
      <w:numFmt w:val="bullet"/>
      <w:start w:val="1"/>
    </w:lvl>
    <w:lvl w:ilvl="1">
      <w:lvlJc w:val="left"/>
      <w:lvlText w:val="(%2)"/>
      <w:numFmt w:val="lowerLetter"/>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4"/>
      <w:numFmt w:val="bullet"/>
      <w:start w:val="1"/>
    </w:lvl>
  </w:abstractNum>
  <w:abstractNum w:abstractNumId="12">
    <w:nsid w:val="4E6AFB66"/>
    <w:multiLevelType w:val="hybridMultilevel"/>
    <w:lvl w:ilvl="0">
      <w:lvlJc w:val="left"/>
      <w:lvlText w:val="9"/>
      <w:numFmt w:val="bullet"/>
      <w:start w:val="1"/>
    </w:lvl>
  </w:abstractNum>
  <w:abstractNum w:abstractNumId="13">
    <w:nsid w:val="25E45D32"/>
    <w:multiLevelType w:val="hybridMultilevel"/>
    <w:lvl w:ilvl="0">
      <w:lvlJc w:val="left"/>
      <w:lvlText w:val="%1"/>
      <w:numFmt w:val="decimal"/>
      <w:start w:val="10"/>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4"/>
    </w:lvl>
  </w:abstractNum>
  <w:abstractNum w:abstractNumId="17">
    <w:nsid w:val="7C83E458"/>
    <w:multiLevelType w:val="hybridMultilevel"/>
    <w:lvl w:ilvl="0">
      <w:lvlJc w:val="left"/>
      <w:lvlText w:val="(%1)"/>
      <w:numFmt w:val="lowerLetter"/>
      <w:start w:val="7"/>
    </w:lvl>
  </w:abstractNum>
  <w:abstractNum w:abstractNumId="18">
    <w:nsid w:val="257130A3"/>
    <w:multiLevelType w:val="hybridMultilevel"/>
    <w:lvl w:ilvl="0">
      <w:lvlJc w:val="left"/>
      <w:lvlText w:val="(%1)"/>
      <w:numFmt w:val="lowerLetter"/>
      <w:start w:val="1"/>
    </w:lvl>
    <w:lvl w:ilvl="1">
      <w:lvlJc w:val="left"/>
      <w:lvlText w:val="(%2)"/>
      <w:numFmt w:val="lowerRoman"/>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2022-02-14T14:19:04Z</dcterms:created>
  <dcterms:modified xsi:type="dcterms:W3CDTF">2022-02-14T14:19:04Z</dcterms:modified>
</cp:coreProperties>
</file>