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120" w:after="0"/>
        <w:jc w:val="center"/>
        <w:rPr>
          <w:rFonts w:ascii="Times New Roman" w:hAnsi="Times New Roman"/>
          <w:sz w:val="20"/>
        </w:rPr>
      </w:pPr>
      <w:bookmarkStart w:id="0" w:name="def14a_proxy_tngx_april_.htm"/>
      <w:bookmarkStart w:id="1" w:name="ksdef14a_proxy_tngx_april_"/>
      <w:bookmarkEnd w:id="0"/>
      <w:bookmarkEnd w:id="1"/>
      <w:r>
        <w:rPr>
          <w:rFonts w:ascii="Times New Roman;serif" w:hAnsi="Times New Roman;serif"/>
          <w:b/>
          <w:sz w:val="30"/>
        </w:rPr>
        <w:t>UNITED STATES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30"/>
        </w:rPr>
        <w:t>SECURITIES AND EXCHANGE COMMISSION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18"/>
        </w:rPr>
        <w:t>Washington, D.C. 20549</w:t>
      </w:r>
      <w:r>
        <w:rPr>
          <w:rFonts w:ascii="Times New Roman" w:hAnsi="Times New Roman"/>
          <w:sz w:val="20"/>
        </w:rPr>
        <w:t xml:space="preserve"> </w:t>
      </w:r>
    </w:p>
    <w:p>
      <w:pPr>
        <w:pStyle w:val="TextBody"/>
        <w:spacing w:before="240" w:after="0"/>
        <w:jc w:val="center"/>
        <w:rPr>
          <w:rFonts w:ascii="Times New Roman;serif" w:hAnsi="Times New Roman;serif"/>
          <w:b/>
          <w:sz w:val="30"/>
        </w:rPr>
      </w:pPr>
      <w:r>
        <w:rPr>
          <w:rFonts w:ascii="Times New Roman;serif" w:hAnsi="Times New Roman;serif"/>
          <w:b/>
          <w:sz w:val="30"/>
        </w:rPr>
        <w:t>Schedule 14A Information</w:t>
      </w:r>
    </w:p>
    <w:p>
      <w:pPr>
        <w:pStyle w:val="TextBody"/>
        <w:spacing w:before="0" w:after="0"/>
        <w:jc w:val="center"/>
        <w:rPr/>
      </w:pPr>
      <w:r>
        <w:rPr/>
        <w:t> </w:t>
      </w:r>
    </w:p>
    <w:p>
      <w:pPr>
        <w:pStyle w:val="TextBody"/>
        <w:spacing w:before="240" w:after="0"/>
        <w:jc w:val="center"/>
        <w:rPr>
          <w:rFonts w:ascii="Times New Roman" w:hAnsi="Times New Roman"/>
          <w:sz w:val="20"/>
        </w:rPr>
      </w:pPr>
      <w:r>
        <w:rPr>
          <w:rFonts w:ascii="Times New Roman;serif" w:hAnsi="Times New Roman;serif"/>
          <w:b/>
          <w:sz w:val="22"/>
        </w:rPr>
        <w:t>Proxy Statement Pursuant to Section 14(a) of the</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2"/>
        </w:rPr>
        <w:t>Securities Exchange Act of 1934</w:t>
      </w:r>
      <w:r>
        <w:rPr>
          <w:rFonts w:ascii="Times New Roman" w:hAnsi="Times New Roman"/>
          <w:sz w:val="20"/>
        </w:rPr>
        <w:t xml:space="preserve"> </w:t>
      </w:r>
    </w:p>
    <w:p>
      <w:pPr>
        <w:pStyle w:val="TextBody"/>
        <w:spacing w:before="0" w:after="0"/>
        <w:jc w:val="center"/>
        <w:rPr>
          <w:rFonts w:ascii="Times New Roman;serif" w:hAnsi="Times New Roman;serif"/>
          <w:b/>
          <w:sz w:val="22"/>
        </w:rPr>
      </w:pPr>
      <w:r>
        <w:rPr>
          <w:rFonts w:ascii="Times New Roman;serif" w:hAnsi="Times New Roman;serif"/>
          <w:b/>
          <w:sz w:val="22"/>
        </w:rPr>
        <w:t>(Amendment No. )</w:t>
      </w:r>
    </w:p>
    <w:p>
      <w:pPr>
        <w:pStyle w:val="TextBody"/>
        <w:spacing w:before="240" w:after="0"/>
        <w:jc w:val="left"/>
        <w:rPr>
          <w:rFonts w:ascii="Times New Roman" w:hAnsi="Times New Roman"/>
          <w:sz w:val="20"/>
        </w:rPr>
      </w:pPr>
      <w:r>
        <w:rPr>
          <w:rFonts w:ascii="Times New Roman;serif" w:hAnsi="Times New Roman;serif"/>
          <w:b w:val="false"/>
          <w:sz w:val="18"/>
        </w:rPr>
        <w:t>Filed by the Registrant ☒ Filed by a Party other than the Registrant ☐</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18"/>
        </w:rPr>
        <w:t>Check the appropriate box:</w:t>
      </w:r>
      <w:r>
        <w:rPr>
          <w:rFonts w:ascii="Times New Roman" w:hAnsi="Times New Roman"/>
          <w:sz w:val="20"/>
        </w:rPr>
        <w:t xml:space="preserve"> </w:t>
      </w:r>
    </w:p>
    <w:p>
      <w:pPr>
        <w:pStyle w:val="TextBody"/>
        <w:spacing w:before="120" w:after="0"/>
        <w:jc w:val="left"/>
        <w:rPr/>
      </w:pPr>
      <w:r>
        <w:rPr/>
        <w:t xml:space="preserve">☐ </w:t>
      </w:r>
      <w:r>
        <w:rPr>
          <w:rFonts w:ascii="Times New Roman;serif" w:hAnsi="Times New Roman;serif"/>
          <w:b w:val="false"/>
          <w:sz w:val="18"/>
        </w:rPr>
        <w:t>Preliminary Proxy Statement</w:t>
      </w:r>
      <w:r>
        <w:rPr>
          <w:rFonts w:ascii="Times New Roman" w:hAnsi="Times New Roman"/>
          <w:sz w:val="20"/>
        </w:rPr>
        <w:t xml:space="preserve"> </w:t>
      </w:r>
    </w:p>
    <w:p>
      <w:pPr>
        <w:pStyle w:val="TextBody"/>
        <w:spacing w:before="120" w:after="0"/>
        <w:jc w:val="left"/>
        <w:rPr/>
      </w:pPr>
      <w:r>
        <w:rPr/>
        <w:t xml:space="preserve">☐ </w:t>
      </w:r>
      <w:r>
        <w:rPr>
          <w:rFonts w:ascii="Times New Roman;serif" w:hAnsi="Times New Roman;serif"/>
          <w:b w:val="false"/>
          <w:sz w:val="18"/>
        </w:rPr>
        <w:t>Confidential, for Use of the Commission Only (as permitted by Rule 14a-6(e)(2))</w:t>
      </w:r>
      <w:r>
        <w:rPr>
          <w:rFonts w:ascii="Times New Roman" w:hAnsi="Times New Roman"/>
          <w:sz w:val="20"/>
        </w:rPr>
        <w:t xml:space="preserve"> </w:t>
      </w:r>
    </w:p>
    <w:p>
      <w:pPr>
        <w:pStyle w:val="TextBody"/>
        <w:spacing w:before="120" w:after="0"/>
        <w:jc w:val="left"/>
        <w:rPr/>
      </w:pPr>
      <w:r>
        <w:rPr/>
        <w:t xml:space="preserve">☒ </w:t>
      </w:r>
      <w:r>
        <w:rPr>
          <w:rFonts w:ascii="Times New Roman;serif" w:hAnsi="Times New Roman;serif"/>
          <w:b w:val="false"/>
          <w:sz w:val="18"/>
        </w:rPr>
        <w:t>Definitive Proxy Statement</w:t>
      </w:r>
      <w:r>
        <w:rPr>
          <w:rFonts w:ascii="Times New Roman" w:hAnsi="Times New Roman"/>
          <w:sz w:val="20"/>
        </w:rPr>
        <w:t xml:space="preserve"> </w:t>
      </w:r>
    </w:p>
    <w:p>
      <w:pPr>
        <w:pStyle w:val="TextBody"/>
        <w:spacing w:before="120" w:after="0"/>
        <w:jc w:val="left"/>
        <w:rPr/>
      </w:pPr>
      <w:r>
        <w:rPr/>
        <w:t xml:space="preserve">☐ </w:t>
      </w:r>
      <w:r>
        <w:rPr>
          <w:rFonts w:ascii="Times New Roman;serif" w:hAnsi="Times New Roman;serif"/>
          <w:b w:val="false"/>
          <w:sz w:val="18"/>
        </w:rPr>
        <w:t>Definitive Additional Materials</w:t>
      </w:r>
      <w:r>
        <w:rPr>
          <w:rFonts w:ascii="Times New Roman" w:hAnsi="Times New Roman"/>
          <w:sz w:val="20"/>
        </w:rPr>
        <w:t xml:space="preserve"> </w:t>
      </w:r>
    </w:p>
    <w:p>
      <w:pPr>
        <w:pStyle w:val="TextBody"/>
        <w:spacing w:before="120" w:after="480"/>
        <w:jc w:val="left"/>
        <w:rPr/>
      </w:pPr>
      <w:r>
        <w:rPr/>
        <w:t xml:space="preserve">☐ </w:t>
      </w:r>
      <w:r>
        <w:rPr>
          <w:rFonts w:ascii="Times New Roman;serif" w:hAnsi="Times New Roman;serif"/>
          <w:b w:val="false"/>
          <w:sz w:val="18"/>
        </w:rPr>
        <w:t>Soliciting Material under §240.14a-12</w:t>
      </w:r>
    </w:p>
    <w:p>
      <w:pPr>
        <w:pStyle w:val="TextBody"/>
        <w:spacing w:before="0" w:after="0"/>
        <w:jc w:val="center"/>
        <w:rPr>
          <w:rFonts w:ascii="Times New Roman;serif" w:hAnsi="Times New Roman;serif"/>
          <w:b/>
          <w:sz w:val="44"/>
        </w:rPr>
      </w:pPr>
      <w:r>
        <w:rPr>
          <w:rFonts w:ascii="Times New Roman;serif" w:hAnsi="Times New Roman;serif"/>
          <w:b/>
          <w:sz w:val="44"/>
        </w:rPr>
        <w:t>TANGO THERAPEUTICS, INC.</w:t>
      </w:r>
    </w:p>
    <w:p>
      <w:pPr>
        <w:pStyle w:val="TextBody"/>
        <w:spacing w:before="0" w:after="0"/>
        <w:jc w:val="center"/>
        <w:rPr>
          <w:rFonts w:ascii="Times New Roman" w:hAnsi="Times New Roman"/>
          <w:sz w:val="20"/>
        </w:rPr>
      </w:pPr>
      <w:r>
        <w:rPr>
          <w:rFonts w:ascii="Times New Roman;serif" w:hAnsi="Times New Roman;serif"/>
          <w:b/>
          <w:sz w:val="18"/>
        </w:rPr>
        <w:t>(Name of Registrant as Specified In Its Charter)</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18"/>
        </w:rPr>
        <w:t>(Name of Person(s) Filing Proxy Statement, if other than the Registrant)</w:t>
      </w:r>
      <w:r>
        <w:rPr>
          <w:rFonts w:ascii="Times New Roman" w:hAnsi="Times New Roman"/>
          <w:sz w:val="20"/>
        </w:rPr>
        <w:t xml:space="preserve"> </w:t>
      </w:r>
    </w:p>
    <w:p>
      <w:pPr>
        <w:pStyle w:val="TextBody"/>
        <w:spacing w:before="480" w:after="0"/>
        <w:jc w:val="left"/>
        <w:rPr>
          <w:rFonts w:ascii="Times New Roman" w:hAnsi="Times New Roman"/>
          <w:sz w:val="20"/>
        </w:rPr>
      </w:pPr>
      <w:r>
        <w:rPr>
          <w:rFonts w:ascii="Times New Roman;serif" w:hAnsi="Times New Roman;serif"/>
          <w:b w:val="false"/>
          <w:sz w:val="18"/>
        </w:rPr>
        <w:t>Payment of Filing Fee (Check all boxes that apply):</w:t>
      </w:r>
      <w:r>
        <w:rPr>
          <w:rFonts w:ascii="Times New Roman" w:hAnsi="Times New Roman"/>
          <w:sz w:val="20"/>
        </w:rPr>
        <w:t xml:space="preserve"> </w:t>
      </w:r>
    </w:p>
    <w:p>
      <w:pPr>
        <w:pStyle w:val="TextBody"/>
        <w:spacing w:before="60" w:after="0"/>
        <w:jc w:val="left"/>
        <w:rPr/>
      </w:pPr>
      <w:r>
        <w:rPr/>
        <w:t xml:space="preserve">☒ </w:t>
      </w:r>
      <w:r>
        <w:rPr>
          <w:rFonts w:ascii="Times New Roman;serif" w:hAnsi="Times New Roman;serif"/>
          <w:b w:val="false"/>
          <w:sz w:val="18"/>
        </w:rPr>
        <w:t>No fee required.</w:t>
      </w:r>
      <w:r>
        <w:rPr>
          <w:rFonts w:ascii="Times New Roman" w:hAnsi="Times New Roman"/>
          <w:sz w:val="20"/>
        </w:rPr>
        <w:t xml:space="preserve"> </w:t>
      </w:r>
    </w:p>
    <w:p>
      <w:pPr>
        <w:pStyle w:val="TextBody"/>
        <w:spacing w:before="60" w:after="0"/>
        <w:jc w:val="left"/>
        <w:rPr/>
      </w:pPr>
      <w:r>
        <w:rPr/>
        <w:t xml:space="preserve">☐ </w:t>
      </w:r>
      <w:r>
        <w:rPr>
          <w:rFonts w:ascii="Times New Roman;serif" w:hAnsi="Times New Roman;serif"/>
          <w:b w:val="false"/>
          <w:sz w:val="18"/>
        </w:rPr>
        <w:t>Fee paid previously with preliminary materials.</w:t>
      </w:r>
      <w:r>
        <w:rPr>
          <w:rFonts w:ascii="Times New Roman" w:hAnsi="Times New Roman"/>
          <w:sz w:val="20"/>
        </w:rPr>
        <w:t xml:space="preserve"> </w:t>
      </w:r>
    </w:p>
    <w:p>
      <w:pPr>
        <w:pStyle w:val="TextBody"/>
        <w:spacing w:before="60" w:after="0"/>
        <w:jc w:val="left"/>
        <w:rPr/>
      </w:pPr>
      <w:r>
        <w:rPr/>
        <w:t xml:space="preserve">☐ </w:t>
      </w:r>
      <w:r>
        <w:rPr>
          <w:rFonts w:ascii="Times New Roman;serif" w:hAnsi="Times New Roman;serif"/>
          <w:b w:val="false"/>
          <w:sz w:val="18"/>
        </w:rPr>
        <w:t>Fee computed on table in exhibit required by Item 25(b) per Exchange Act Rules 14a-6(i)(1) and 0-11.</w:t>
      </w:r>
      <w:r>
        <w:rPr>
          <w:rFonts w:ascii="Times New Roman" w:hAnsi="Times New Roman"/>
          <w:sz w:val="20"/>
        </w:rPr>
        <w:t xml:space="preserve"> </w:t>
      </w:r>
    </w:p>
    <w:p>
      <w:pPr>
        <w:pStyle w:val="TextBody"/>
        <w:spacing w:before="0" w:after="0"/>
        <w:jc w:val="left"/>
        <w:rPr/>
      </w:pPr>
      <w:r>
        <w:rPr/>
        <w:t> </w:t>
      </w:r>
    </w:p>
    <w:p>
      <w:pPr>
        <w:pStyle w:val="HorizontalLine"/>
        <w:rPr/>
      </w:pPr>
      <w:r>
        <w:rPr/>
      </w:r>
    </w:p>
    <w:p>
      <w:pPr>
        <w:pStyle w:val="TextBody"/>
        <w:spacing w:before="0" w:after="0"/>
        <w:jc w:val="center"/>
        <w:rPr/>
      </w:pPr>
      <w:r>
        <w:rPr/>
        <w:t> </w:t>
      </w:r>
    </w:p>
    <w:p>
      <w:pPr>
        <w:pStyle w:val="TextBody"/>
        <w:spacing w:before="0" w:after="0"/>
        <w:jc w:val="center"/>
        <w:rPr/>
      </w:pPr>
      <w:r>
        <w:rPr/>
        <w:drawing>
          <wp:inline distT="0" distB="0" distL="0" distR="0">
            <wp:extent cx="192405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771525"/>
                    </a:xfrm>
                    <a:prstGeom prst="rect">
                      <a:avLst/>
                    </a:prstGeom>
                  </pic:spPr>
                </pic:pic>
              </a:graphicData>
            </a:graphic>
          </wp:inline>
        </w:drawing>
      </w:r>
      <w:r>
        <w:rPr/>
        <w:t> </w:t>
      </w:r>
    </w:p>
    <w:p>
      <w:pPr>
        <w:pStyle w:val="TextBody"/>
        <w:spacing w:before="0" w:after="0"/>
        <w:jc w:val="center"/>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Dear Fellow Stockholder:</w:t>
      </w:r>
    </w:p>
    <w:p>
      <w:pPr>
        <w:pStyle w:val="TextBody"/>
        <w:spacing w:before="240" w:after="0"/>
        <w:jc w:val="left"/>
        <w:rPr>
          <w:rFonts w:ascii="Times New Roman" w:hAnsi="Times New Roman"/>
          <w:sz w:val="20"/>
        </w:rPr>
      </w:pPr>
      <w:r>
        <w:rPr>
          <w:rFonts w:ascii="Times New Roman;serif" w:hAnsi="Times New Roman;serif"/>
          <w:b w:val="false"/>
          <w:sz w:val="20"/>
        </w:rPr>
        <w:t>Tango Therapeutics was founded with a clear mission: discover the next generation of precision medicines to help patients with cancer through addressing the specific genetic alterations that fuel the cancer. We leverage our state-of-the-art target discovery platform to identify novel targets and develop new drugs directed at tumor suppressor gene loss in defined patient populations with high unmet medical need. Tango's discovery and development teams made great strides in the past year, including: (i) actively enrolling patients in the Phase 1/2 clinical trial for TNG908, a PRMT5 inhibitor and our lead program, (ii) in the first quarter of 2023, the FDA cleared the investigational new drug application, or IND, for the Phase 1/2 trial and granted Fast Track designation to TNG462, out next generation PRMT5 inhibitor, and (iii) in the first quarter of 2023, the FDA cleared the IND for the Phase 1/2 trial for TNG260, a first-in-class CoREST inhibitor. 2023 will be a year of further advancements in our programs, as we expect to provide an update on the ongoing dose escalation portion of the TNG908 trial, focusing on proof-of-mechanism, in the second quarter of 2023, and we expect to initiate the Phase 1/2 clinical trial for TNG462 in mid-2023.</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along with our board of directors, are pleased to invite you to attend the 2023 Annual Meeting of Stockholders, or the Annual Meeting, of Tango Therapeutics, Inc. ("Tango" or the "Company") to be held virtually on Tuesday, June 6, 2023 at 10:00 a.m. Eastern Time. Stockholders will have the ability to participate in the Annual Meeting, vote their shares and ask questions by accessing the virtual meeting.</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At the Annual Meeting, our stockholders will be asked to: (1) elect the two nominees who are named in the Proxy Statement as Class II Directors; (2) ratify the appointment of PricewaterhouseCoopers LLP as our independent registered public accounting firm for the fiscal year ending December 31, 2023; and (3) transact any other business that properly comes before the Annual Meeting (including adjournments, continuations and postponements thereof). Our board of directors recommends that you vote "FOR" the election of each director nominee and "FOR" the ratification of the appointment of PricewaterhouseCoopers LLP. You should carefully read our proxy materials, which contain detailed information concerning each of these proposals.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Under Securities and Exchange Commission rules, the Company is providing access to the proxy materials for the Annual Meeting to stockholders via the Internet. Accordingly, you can access the proxy materials and vote at www.proxyvote.com. Instructions for accessing the proxy materials and voting are described below and in the Notice of Internet Availability of Proxy Materials that you received in the mail (unless you have previously requested a paper copy of our proxy materials). The Notice of Internet Availability of Proxy Materials also contains instructions on how to request a paper copy of our proxy materials and our Annual Report on Form 10-K for the year ended December 31, 2022. This process allows us to provide our stockholders with the information they need on a more timely basis, while reducing the environmental impact and lowering the costs of printing and distributing our proxy materials.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Your vote is very important. Whether or not you plan to virtually attend the meeting, please carefully review the proxy materials and then cast your vote. If you are a stockholder of record and have received our Notice of Internet Availability of Proxy Materials, then instructions regarding how you can vote are contained in that notice. If you requested to receive a printed set of the proxy materials, please vote by completing, signing, dating and mailing the accompanying proxy card in the return envelope or voting by telephone or the Internet, in accordance with the instructions set forth on the proxy card. Submitting your vote via the Internet or by telephone or proxy card will not affect your right to attend and to vote at the Annual Meeting if you decide to virtually attend the Annual Meeting. If your shares are held in street name (held for your account by a broker or other nominee), you will receive instructions from your broker or other nominee explaining how to vote your shares, and you will have the option to cast your vote by telephone or over the Internet if your voting instruction form from your broker or nominee includes instructions and a toll-free telephone number or Internet website to do so. In any event, to be sure that your vote will be received in time, please cast your vote by your choice of available means at your earliest convenience.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Thank you for your ongoing support of and continued interest in Tango.</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Sincerely,</w:t>
      </w:r>
    </w:p>
    <w:p>
      <w:pPr>
        <w:pStyle w:val="TextBody"/>
        <w:spacing w:before="80" w:after="0"/>
        <w:jc w:val="left"/>
        <w:rPr/>
      </w:pPr>
      <w:r>
        <w:rPr/>
        <w:drawing>
          <wp:inline distT="0" distB="0" distL="0" distR="0">
            <wp:extent cx="1295400" cy="552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95400" cy="552450"/>
                    </a:xfrm>
                    <a:prstGeom prst="rect">
                      <a:avLst/>
                    </a:prstGeom>
                  </pic:spPr>
                </pic:pic>
              </a:graphicData>
            </a:graphic>
          </wp:inline>
        </w:drawing>
      </w: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Barbara Weber, M.D.</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President and Chief Executive Officer</w:t>
      </w:r>
    </w:p>
    <w:p>
      <w:pPr>
        <w:pStyle w:val="HorizontalLine"/>
        <w:rPr/>
      </w:pPr>
      <w:r>
        <w:rPr/>
      </w:r>
    </w:p>
    <w:p>
      <w:pPr>
        <w:pStyle w:val="TextBody"/>
        <w:spacing w:before="0" w:after="0"/>
        <w:jc w:val="center"/>
        <w:rPr/>
      </w:pPr>
      <w:r>
        <w:rPr/>
        <w:drawing>
          <wp:inline distT="0" distB="0" distL="0" distR="0">
            <wp:extent cx="1914525" cy="771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14525" cy="771525"/>
                    </a:xfrm>
                    <a:prstGeom prst="rect">
                      <a:avLst/>
                    </a:prstGeom>
                  </pic:spPr>
                </pic:pic>
              </a:graphicData>
            </a:graphic>
          </wp:inline>
        </w:drawing>
      </w:r>
      <w:r>
        <w:rPr/>
        <w:t> </w:t>
      </w:r>
    </w:p>
    <w:p>
      <w:pPr>
        <w:pStyle w:val="TextBody"/>
        <w:spacing w:before="0" w:after="0"/>
        <w:jc w:val="center"/>
        <w:rPr/>
      </w:pPr>
      <w:r>
        <w:rPr/>
        <w:t> </w:t>
      </w:r>
    </w:p>
    <w:p>
      <w:pPr>
        <w:pStyle w:val="TextBody"/>
        <w:spacing w:before="0" w:after="0"/>
        <w:jc w:val="center"/>
        <w:rPr>
          <w:rFonts w:ascii="Times New Roman;serif" w:hAnsi="Times New Roman;serif"/>
          <w:b/>
          <w:sz w:val="24"/>
        </w:rPr>
      </w:pPr>
      <w:r>
        <w:rPr>
          <w:rFonts w:ascii="Times New Roman;serif" w:hAnsi="Times New Roman;serif"/>
          <w:b/>
          <w:sz w:val="24"/>
        </w:rPr>
        <w:t>Tango Therapeutics, Inc.</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201 Brookline Avenue, Suite 901</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Boston, MA 02215</w:t>
      </w:r>
    </w:p>
    <w:p>
      <w:pPr>
        <w:pStyle w:val="TextBody"/>
        <w:spacing w:before="240" w:after="0"/>
        <w:jc w:val="center"/>
        <w:rPr>
          <w:rFonts w:ascii="Times New Roman" w:hAnsi="Times New Roman"/>
          <w:sz w:val="20"/>
        </w:rPr>
      </w:pPr>
      <w:r>
        <w:rPr>
          <w:rFonts w:ascii="Times New Roman;serif" w:hAnsi="Times New Roman;serif"/>
          <w:b/>
          <w:sz w:val="20"/>
        </w:rPr>
        <w:t>NOTICE OF 2023 ANNUAL MEETING OF STOCKHOLDERS</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To be held on June 6, 2023</w:t>
      </w:r>
    </w:p>
    <w:p>
      <w:pPr>
        <w:pStyle w:val="TextBody"/>
        <w:spacing w:before="0" w:after="0"/>
        <w:jc w:val="center"/>
        <w:rPr/>
      </w:pPr>
      <w:r>
        <w:rPr/>
        <w:t> </w:t>
      </w:r>
    </w:p>
    <w:p>
      <w:pPr>
        <w:pStyle w:val="TextBody"/>
        <w:spacing w:before="0" w:after="0"/>
        <w:jc w:val="left"/>
        <w:rPr>
          <w:rFonts w:ascii="Times New Roman" w:hAnsi="Times New Roman"/>
          <w:sz w:val="20"/>
        </w:rPr>
      </w:pPr>
      <w:r>
        <w:rPr>
          <w:rFonts w:ascii="Times New Roman;serif" w:hAnsi="Times New Roman;serif"/>
          <w:b w:val="false"/>
          <w:sz w:val="20"/>
        </w:rPr>
        <w:t>Notice is hereby given that the 2023 Annual Meeting of Stockholders, or Annual Meeting, of Tango Therapeutics, Inc., will be held online on Tuesday, June 6, 2023. You may attend the meeting virtually via the Internet, where you will be able to participate in the meeting, vote electronically and submit questions that are germane to the matters under consideration at the Annual Meeting. You will need the 16-digit control number included with the Notice of Internet Availability of Proxy Materials, your proxy card (if you received a printed copy of the proxy materials) or in the instructions that accompanied your proxy materials in order to attend the Annual Meeting. The purpose of the Annual Meeting is the following: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1. To elect two class II directors, Malte Peters, M.D. and Mace Rothenberg,</w:t>
      </w:r>
      <w:r>
        <w:rPr>
          <w:rFonts w:ascii="Times New Roman" w:hAnsi="Times New Roman"/>
          <w:sz w:val="20"/>
        </w:rPr>
        <w:t xml:space="preserve"> </w:t>
      </w:r>
      <w:r>
        <w:rPr>
          <w:rFonts w:ascii="Times New Roman;serif" w:hAnsi="Times New Roman;serif"/>
          <w:b w:val="false"/>
          <w:sz w:val="20"/>
        </w:rPr>
        <w:t>M.D., to our board of directors, each to serve until the 2026 annual meeting of stockholders and until his successor has been duly elected and qualified, or until his earlier death, resignation or removal;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2. To ratify the appointment of PricewaterhouseCoopers LLP as the independent registered public accounting firm for the fiscal year ending December 31, 2023;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3. To transact any other business properly brought before the Annual Meeting or any adjournment or postponement of the Annual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Annual Meeting will begin promptly at 10:00 a.m. Eastern Time. Only stockholders of record at the close of business on April 10, 2023 will be entitled to vote at the Annual Meeting and any adjournment or postponement thereof.</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are pleased to adhere to the Securities and Exchange Commission’s “Notice and Access” rule that allows companies to furnish their proxy materials by posting them on the Internet. As a result, we are mailing to our stockholders a Notice of Internet Availability of Proxy Materials, or the Notice, instead of a paper copy of the accompanying proxy statement and our Annual Report on Form 10-K for the fiscal year ended December 31, 2022, or 2022 Annual Report. We plan to mail the Notice on or about April 24, 2023, and it contains instructions on how to access both the 2022 Annual Report and accompanying proxy statement over the Internet. This method provides our stockholders with expedited access to proxy materials and not only lowers the cost of printing and distribution but also reduces the environmental impact of the Annual Meeting. If you would like to receive a print version of the proxy materials, free of charge, please follow the instructions in this Notice.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To be virtually admitted to the Annual Meeting and vote your shares, you must provide the 16-digit control number as provided in the Notice, your proxy card (if you received a printed copy of the proxy materials) or in the instructions that accompanied your proxy materials. Please see the “General Information Regarding the Meeting” section of the proxy statement that accompanies this notice for more details regarding the logistics of the virtual Annual Meeting, including the ability of stockholders to submit questions that are germane to the topics under consideration at the Annual Meeting during the Annual Meeting, and technical details and support related to accessing the virtual platform.</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Your vote is important. Whether or not you expect to attend the Annual Meeting virtually, it is important that your shares be represented. To ensure that your vote is recorded promptly, please vote as soon as possible, even if you plan to attend the meeting, by submitting your proxy via the Internet at the address listed on the proxy card, via the telephone number listed on the proxy card or by signing, dating and returning the proxy card. Even if you have voted by proxy, you may still vote at the Annual Meeting. Please note, however, that if your shares are held through a broker, bank or other nominee and you wish to vote at the Annual Meeting, you must obtain a proxy issued in your name from that record holder.</w:t>
      </w:r>
      <w:r>
        <w:rPr>
          <w:rFonts w:ascii="Times New Roman" w:hAnsi="Times New Roman"/>
          <w:sz w:val="20"/>
        </w:rPr>
        <w:t xml:space="preserve"> </w:t>
      </w:r>
    </w:p>
    <w:tbl>
      <w:tblPr>
        <w:tblW w:w="2956" w:type="dxa"/>
        <w:jc w:val="left"/>
        <w:tblInd w:w="0" w:type="dxa"/>
        <w:tblCellMar>
          <w:top w:w="28" w:type="dxa"/>
          <w:left w:w="28" w:type="dxa"/>
          <w:bottom w:w="28" w:type="dxa"/>
          <w:right w:w="28" w:type="dxa"/>
        </w:tblCellMar>
      </w:tblPr>
      <w:tblGrid>
        <w:gridCol w:w="2956"/>
      </w:tblGrid>
      <w:tr>
        <w:trPr/>
        <w:tc>
          <w:tcPr>
            <w:tcW w:w="2956" w:type="dxa"/>
            <w:tcBorders/>
            <w:shd w:fill="auto" w:val="clear"/>
            <w:vAlign w:val="center"/>
          </w:tcPr>
          <w:p>
            <w:pPr>
              <w:pStyle w:val="TableContents"/>
              <w:spacing w:before="0" w:after="283"/>
              <w:rPr>
                <w:sz w:val="4"/>
                <w:szCs w:val="4"/>
              </w:rPr>
            </w:pPr>
            <w:r>
              <w:rPr>
                <w:sz w:val="4"/>
                <w:szCs w:val="4"/>
              </w:rPr>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 order of the Board of Directors,</w:t>
            </w:r>
          </w:p>
        </w:tc>
      </w:tr>
      <w:tr>
        <w:trPr/>
        <w:tc>
          <w:tcPr>
            <w:tcW w:w="2956" w:type="dxa"/>
            <w:tcBorders/>
            <w:shd w:fill="auto" w:val="clear"/>
            <w:vAlign w:val="center"/>
          </w:tcPr>
          <w:p>
            <w:pPr>
              <w:pStyle w:val="TableContents"/>
              <w:spacing w:before="0" w:after="0"/>
              <w:ind w:left="0" w:right="0" w:hanging="0"/>
              <w:jc w:val="left"/>
              <w:rPr/>
            </w:pPr>
            <w:r>
              <w:rPr/>
              <w:drawing>
                <wp:inline distT="0" distB="0" distL="0" distR="0">
                  <wp:extent cx="1209675" cy="542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09675" cy="542925"/>
                          </a:xfrm>
                          <a:prstGeom prst="rect">
                            <a:avLst/>
                          </a:prstGeom>
                        </pic:spPr>
                      </pic:pic>
                    </a:graphicData>
                  </a:graphic>
                </wp:inline>
              </w:drawing>
            </w:r>
            <w:r>
              <w:rPr/>
              <w:t> </w:t>
            </w:r>
          </w:p>
        </w:tc>
      </w:tr>
      <w:tr>
        <w:trPr/>
        <w:tc>
          <w:tcPr>
            <w:tcW w:w="2956" w:type="dxa"/>
            <w:tcBorders/>
            <w:shd w:fill="auto" w:val="clear"/>
            <w:vAlign w:val="center"/>
          </w:tcPr>
          <w:p>
            <w:pPr>
              <w:pStyle w:val="TableContents"/>
              <w:spacing w:before="0" w:after="20"/>
              <w:ind w:left="0" w:right="0" w:hanging="0"/>
              <w:jc w:val="left"/>
              <w:rPr>
                <w:rFonts w:ascii="Times New Roman;serif" w:hAnsi="Times New Roman;serif"/>
                <w:b w:val="false"/>
                <w:sz w:val="20"/>
              </w:rPr>
            </w:pPr>
            <w:r>
              <w:rPr>
                <w:rFonts w:ascii="Times New Roman;serif" w:hAnsi="Times New Roman;serif"/>
                <w:b w:val="false"/>
                <w:sz w:val="20"/>
              </w:rPr>
              <w:t>Douglas Barry</w:t>
            </w:r>
          </w:p>
        </w:tc>
      </w:tr>
    </w:tbl>
    <w:p>
      <w:pPr>
        <w:pStyle w:val="HorizontalLine"/>
        <w:rPr/>
      </w:pPr>
      <w:r>
        <w:rPr/>
      </w:r>
    </w:p>
    <w:tbl>
      <w:tblPr>
        <w:tblW w:w="5686" w:type="dxa"/>
        <w:jc w:val="left"/>
        <w:tblInd w:w="0" w:type="dxa"/>
        <w:tblCellMar>
          <w:top w:w="28" w:type="dxa"/>
          <w:left w:w="28" w:type="dxa"/>
          <w:bottom w:w="28" w:type="dxa"/>
          <w:right w:w="28" w:type="dxa"/>
        </w:tblCellMar>
      </w:tblPr>
      <w:tblGrid>
        <w:gridCol w:w="5686"/>
      </w:tblGrid>
      <w:tr>
        <w:trPr/>
        <w:tc>
          <w:tcPr>
            <w:tcW w:w="5686" w:type="dxa"/>
            <w:tcBorders/>
            <w:shd w:fill="auto" w:val="clear"/>
            <w:vAlign w:val="center"/>
          </w:tcPr>
          <w:p>
            <w:pPr>
              <w:pStyle w:val="TableContents"/>
              <w:spacing w:before="0" w:after="283"/>
              <w:rPr>
                <w:sz w:val="4"/>
                <w:szCs w:val="4"/>
              </w:rPr>
            </w:pPr>
            <w:r>
              <w:rPr>
                <w:sz w:val="4"/>
                <w:szCs w:val="4"/>
              </w:rPr>
            </w:r>
          </w:p>
        </w:tc>
      </w:tr>
      <w:tr>
        <w:trPr/>
        <w:tc>
          <w:tcPr>
            <w:tcW w:w="5686" w:type="dxa"/>
            <w:tcBorders/>
            <w:shd w:fill="auto" w:val="clear"/>
            <w:vAlign w:val="center"/>
          </w:tcPr>
          <w:p>
            <w:pPr>
              <w:pStyle w:val="TableContents"/>
              <w:spacing w:before="0" w:after="20"/>
              <w:ind w:left="0" w:right="0" w:hanging="0"/>
              <w:jc w:val="left"/>
              <w:rPr>
                <w:rFonts w:ascii="Times New Roman;serif" w:hAnsi="Times New Roman;serif"/>
                <w:b w:val="false"/>
                <w:sz w:val="20"/>
              </w:rPr>
            </w:pPr>
            <w:r>
              <w:rPr>
                <w:rFonts w:ascii="Times New Roman;serif" w:hAnsi="Times New Roman;serif"/>
                <w:b w:val="false"/>
                <w:sz w:val="20"/>
              </w:rPr>
              <w:t>General Counsel, Chief Compliance Officer and Corporate Secretary</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Boston, MA</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April 24, 2023</w:t>
      </w:r>
    </w:p>
    <w:p>
      <w:pPr>
        <w:pStyle w:val="HorizontalLine"/>
        <w:rPr/>
      </w:pPr>
      <w:r>
        <w:rPr/>
      </w:r>
    </w:p>
    <w:p>
      <w:pPr>
        <w:pStyle w:val="TextBody"/>
        <w:spacing w:before="0" w:after="0"/>
        <w:jc w:val="left"/>
        <w:rPr/>
      </w:pPr>
      <w:r>
        <w:rPr/>
        <w:t> </w:t>
      </w:r>
    </w:p>
    <w:p>
      <w:pPr>
        <w:pStyle w:val="TextBody"/>
        <w:spacing w:before="240" w:after="0"/>
        <w:jc w:val="center"/>
        <w:rPr>
          <w:rFonts w:ascii="Times New Roman;serif" w:hAnsi="Times New Roman;serif"/>
          <w:b/>
          <w:caps/>
          <w:sz w:val="20"/>
        </w:rPr>
      </w:pPr>
      <w:r>
        <w:rPr>
          <w:rFonts w:ascii="Times New Roman;serif" w:hAnsi="Times New Roman;serif"/>
          <w:b/>
          <w:caps/>
          <w:sz w:val="20"/>
        </w:rPr>
        <w:t>Table of Contents</w:t>
      </w:r>
    </w:p>
    <w:p>
      <w:pPr>
        <w:pStyle w:val="TextBody"/>
        <w:spacing w:before="0" w:after="0"/>
        <w:jc w:val="left"/>
        <w:rPr/>
      </w:pPr>
      <w:r>
        <w:rPr/>
        <w:t> </w:t>
      </w:r>
    </w:p>
    <w:tbl>
      <w:tblPr>
        <w:tblW w:w="9107" w:type="dxa"/>
        <w:jc w:val="left"/>
        <w:tblInd w:w="0" w:type="dxa"/>
        <w:tblCellMar>
          <w:top w:w="28" w:type="dxa"/>
          <w:left w:w="28" w:type="dxa"/>
          <w:bottom w:w="28" w:type="dxa"/>
          <w:right w:w="28" w:type="dxa"/>
        </w:tblCellMar>
      </w:tblPr>
      <w:tblGrid>
        <w:gridCol w:w="8596"/>
        <w:gridCol w:w="511"/>
      </w:tblGrid>
      <w:tr>
        <w:trPr/>
        <w:tc>
          <w:tcPr>
            <w:tcW w:w="85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859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859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xy_statement_summary">
              <w:r>
                <w:rPr>
                  <w:rStyle w:val="InternetLink"/>
                  <w:rFonts w:ascii="Times New Roman;serif" w:hAnsi="Times New Roman;serif"/>
                  <w:b w:val="false"/>
                  <w:sz w:val="20"/>
                  <w:u w:val="single"/>
                </w:rPr>
                <w:t>Proxy Statement Summary</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859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general_information">
              <w:r>
                <w:rPr>
                  <w:rStyle w:val="InternetLink"/>
                  <w:rFonts w:ascii="Times New Roman;serif" w:hAnsi="Times New Roman;serif"/>
                  <w:b w:val="false"/>
                  <w:sz w:val="20"/>
                  <w:u w:val="single"/>
                </w:rPr>
                <w:t>General Information Regarding the Meeting</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859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overview_of_proposals">
              <w:r>
                <w:rPr>
                  <w:rStyle w:val="InternetLink"/>
                  <w:rFonts w:ascii="Times New Roman;serif" w:hAnsi="Times New Roman;serif"/>
                  <w:b w:val="false"/>
                  <w:sz w:val="20"/>
                  <w:u w:val="single"/>
                </w:rPr>
                <w:t>Overview of Proposals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859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posal_1_election_of_directors">
              <w:r>
                <w:rPr>
                  <w:rStyle w:val="InternetLink"/>
                  <w:rFonts w:ascii="Times New Roman;serif" w:hAnsi="Times New Roman;serif"/>
                  <w:b w:val="false"/>
                  <w:sz w:val="20"/>
                  <w:u w:val="single"/>
                </w:rPr>
                <w:t>Proposal No. 1 – Election of Class II Directors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859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general_info_bod">
              <w:r>
                <w:rPr>
                  <w:rStyle w:val="InternetLink"/>
                  <w:rFonts w:ascii="Times New Roman;serif" w:hAnsi="Times New Roman;serif"/>
                  <w:b w:val="false"/>
                  <w:sz w:val="20"/>
                  <w:u w:val="single"/>
                </w:rPr>
                <w:t>General Information About the Board of Directors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r>
      <w:tr>
        <w:trPr/>
        <w:tc>
          <w:tcPr>
            <w:tcW w:w="859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rporate_governance">
              <w:r>
                <w:rPr>
                  <w:rStyle w:val="InternetLink"/>
                  <w:rFonts w:ascii="Times New Roman;serif" w:hAnsi="Times New Roman;serif"/>
                  <w:b w:val="false"/>
                  <w:sz w:val="20"/>
                  <w:u w:val="single"/>
                </w:rPr>
                <w:t>Corporate Governance</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r>
      <w:tr>
        <w:trPr/>
        <w:tc>
          <w:tcPr>
            <w:tcW w:w="859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general_info_executives">
              <w:r>
                <w:rPr>
                  <w:rStyle w:val="InternetLink"/>
                  <w:rFonts w:ascii="Times New Roman;serif" w:hAnsi="Times New Roman;serif"/>
                  <w:b w:val="false"/>
                  <w:sz w:val="20"/>
                  <w:u w:val="single"/>
                </w:rPr>
                <w:t>General Information About the Executive Officers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r>
      <w:tr>
        <w:trPr/>
        <w:tc>
          <w:tcPr>
            <w:tcW w:w="859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executive_compensation">
              <w:r>
                <w:rPr>
                  <w:rStyle w:val="InternetLink"/>
                  <w:rFonts w:ascii="Times New Roman;serif" w:hAnsi="Times New Roman;serif"/>
                  <w:b w:val="false"/>
                  <w:sz w:val="20"/>
                  <w:u w:val="single"/>
                </w:rPr>
                <w:t>Executive Compensation</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r>
      <w:tr>
        <w:trPr/>
        <w:tc>
          <w:tcPr>
            <w:tcW w:w="859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director_compensation">
              <w:r>
                <w:rPr>
                  <w:rStyle w:val="InternetLink"/>
                  <w:rFonts w:ascii="Times New Roman;serif" w:hAnsi="Times New Roman;serif"/>
                  <w:b w:val="false"/>
                  <w:sz w:val="20"/>
                  <w:u w:val="single"/>
                </w:rPr>
                <w:t>Non-Employee Director Compensation</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859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posal_2_accountants">
              <w:r>
                <w:rPr>
                  <w:rStyle w:val="InternetLink"/>
                  <w:rFonts w:ascii="Times New Roman;serif" w:hAnsi="Times New Roman;serif"/>
                  <w:b w:val="false"/>
                  <w:sz w:val="20"/>
                  <w:u w:val="single"/>
                </w:rPr>
                <w:t>Proposal No. 2 – Ratification of the Appointment of the Independent Registered Public Accounting Firm</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r>
      <w:tr>
        <w:trPr/>
        <w:tc>
          <w:tcPr>
            <w:tcW w:w="859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accountant_fees_services">
              <w:r>
                <w:rPr>
                  <w:rStyle w:val="InternetLink"/>
                  <w:rFonts w:ascii="Times New Roman;serif" w:hAnsi="Times New Roman;serif"/>
                  <w:b w:val="false"/>
                  <w:sz w:val="20"/>
                  <w:u w:val="single"/>
                </w:rPr>
                <w:t>Principal Accountant Fees and Services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r>
      <w:tr>
        <w:trPr/>
        <w:tc>
          <w:tcPr>
            <w:tcW w:w="859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report_of_audit_committee">
              <w:r>
                <w:rPr>
                  <w:rStyle w:val="InternetLink"/>
                  <w:rFonts w:ascii="Times New Roman;serif" w:hAnsi="Times New Roman;serif"/>
                  <w:b w:val="false"/>
                  <w:sz w:val="20"/>
                  <w:u w:val="single"/>
                </w:rPr>
                <w:t>Report of the Audit Committee</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8596" w:type="dxa"/>
            <w:tcBorders/>
            <w:shd w:fill="auto" w:val="clear"/>
            <w:tcMar>
              <w:top w:w="0" w:type="dxa"/>
              <w:left w:w="0" w:type="dxa"/>
              <w:bottom w:w="0" w:type="dxa"/>
              <w:right w:w="0" w:type="dxa"/>
            </w:tcMar>
            <w:vAlign w:val="center"/>
          </w:tcPr>
          <w:p>
            <w:pPr>
              <w:pStyle w:val="TableContents"/>
              <w:spacing w:before="0" w:after="0"/>
              <w:ind w:left="0" w:right="0" w:firstLine="137"/>
              <w:jc w:val="left"/>
              <w:rPr/>
            </w:pPr>
            <w:hyperlink w:anchor="security_owners_beneficial_owners">
              <w:r>
                <w:rPr>
                  <w:rStyle w:val="InternetLink"/>
                  <w:rFonts w:ascii="Times New Roman;serif" w:hAnsi="Times New Roman;serif"/>
                  <w:b w:val="false"/>
                  <w:sz w:val="20"/>
                  <w:u w:val="single"/>
                </w:rPr>
                <w:t>Security Ownership of Certain Beneficial Owners and Management</w:t>
              </w:r>
            </w:hyperlink>
          </w:p>
        </w:tc>
        <w:tc>
          <w:tcPr>
            <w:tcW w:w="511" w:type="dxa"/>
            <w:tcBorders/>
            <w:shd w:fill="auto" w:val="clear"/>
            <w:tcMar>
              <w:top w:w="0" w:type="dxa"/>
              <w:left w:w="0" w:type="dxa"/>
              <w:bottom w:w="0" w:type="dxa"/>
              <w:right w:w="0" w:type="dxa"/>
            </w:tcMar>
            <w:vAlign w:val="center"/>
          </w:tcPr>
          <w:p>
            <w:pPr>
              <w:pStyle w:val="TableContents"/>
              <w:spacing w:before="0" w:after="0"/>
              <w:ind w:left="137"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8596" w:type="dxa"/>
            <w:tcBorders/>
            <w:shd w:fill="auto" w:val="clear"/>
            <w:tcMar>
              <w:top w:w="0" w:type="dxa"/>
              <w:left w:w="0" w:type="dxa"/>
              <w:bottom w:w="0" w:type="dxa"/>
              <w:right w:w="0" w:type="dxa"/>
            </w:tcMar>
            <w:vAlign w:val="center"/>
          </w:tcPr>
          <w:p>
            <w:pPr>
              <w:pStyle w:val="TableContents"/>
              <w:spacing w:before="0" w:after="0"/>
              <w:ind w:left="0" w:right="0" w:firstLine="137"/>
              <w:jc w:val="left"/>
              <w:rPr/>
            </w:pPr>
            <w:hyperlink w:anchor="certain_relationships_and_rps">
              <w:r>
                <w:rPr>
                  <w:rStyle w:val="InternetLink"/>
                  <w:rFonts w:ascii="Times New Roman;serif" w:hAnsi="Times New Roman;serif"/>
                  <w:b w:val="false"/>
                  <w:sz w:val="20"/>
                  <w:u w:val="single"/>
                </w:rPr>
                <w:t>Certain Relationships and Related Party Transactions</w:t>
              </w:r>
            </w:hyperlink>
          </w:p>
        </w:tc>
        <w:tc>
          <w:tcPr>
            <w:tcW w:w="511" w:type="dxa"/>
            <w:tcBorders/>
            <w:shd w:fill="auto" w:val="clear"/>
            <w:tcMar>
              <w:top w:w="0" w:type="dxa"/>
              <w:left w:w="0" w:type="dxa"/>
              <w:bottom w:w="0" w:type="dxa"/>
              <w:right w:w="0" w:type="dxa"/>
            </w:tcMar>
            <w:vAlign w:val="center"/>
          </w:tcPr>
          <w:p>
            <w:pPr>
              <w:pStyle w:val="TableContents"/>
              <w:spacing w:before="0" w:after="0"/>
              <w:ind w:left="137" w:right="0" w:hanging="0"/>
              <w:jc w:val="right"/>
              <w:rPr>
                <w:rFonts w:ascii="Times New Roman;serif" w:hAnsi="Times New Roman;serif"/>
                <w:b w:val="false"/>
                <w:sz w:val="20"/>
              </w:rPr>
            </w:pPr>
            <w:r>
              <w:rPr>
                <w:rFonts w:ascii="Times New Roman;serif" w:hAnsi="Times New Roman;serif"/>
                <w:b w:val="false"/>
                <w:sz w:val="20"/>
              </w:rPr>
              <w:t>35</w:t>
            </w:r>
          </w:p>
        </w:tc>
      </w:tr>
      <w:tr>
        <w:trPr/>
        <w:tc>
          <w:tcPr>
            <w:tcW w:w="859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additional_information_and_other">
              <w:r>
                <w:rPr>
                  <w:rStyle w:val="InternetLink"/>
                  <w:rFonts w:ascii="Times New Roman;serif" w:hAnsi="Times New Roman;serif"/>
                  <w:b w:val="false"/>
                  <w:sz w:val="20"/>
                  <w:u w:val="single"/>
                </w:rPr>
                <w:t>Additional Information and Other Business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i</w:t>
      </w:r>
    </w:p>
    <w:p>
      <w:pPr>
        <w:pStyle w:val="HorizontalLine"/>
        <w:rPr/>
      </w:pPr>
      <w:r>
        <w:rPr/>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pPr>
      <w:r>
        <w:rPr/>
        <w:drawing>
          <wp:inline distT="0" distB="0" distL="0" distR="0">
            <wp:extent cx="1943100" cy="781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43100" cy="781050"/>
                    </a:xfrm>
                    <a:prstGeom prst="rect">
                      <a:avLst/>
                    </a:prstGeom>
                  </pic:spPr>
                </pic:pic>
              </a:graphicData>
            </a:graphic>
          </wp:inline>
        </w:drawing>
      </w:r>
    </w:p>
    <w:p>
      <w:pPr>
        <w:pStyle w:val="TextBody"/>
        <w:spacing w:before="0" w:after="0"/>
        <w:jc w:val="center"/>
        <w:rPr/>
      </w:pPr>
      <w:r>
        <w:rPr/>
        <w:t> </w:t>
      </w:r>
    </w:p>
    <w:p>
      <w:pPr>
        <w:pStyle w:val="TextBody"/>
        <w:spacing w:before="0" w:after="240"/>
        <w:jc w:val="center"/>
        <w:rPr>
          <w:rFonts w:ascii="Times New Roman;serif" w:hAnsi="Times New Roman;serif"/>
          <w:b/>
          <w:caps/>
          <w:sz w:val="24"/>
        </w:rPr>
      </w:pPr>
      <w:bookmarkStart w:id="2" w:name="proxy_statement_summary"/>
      <w:bookmarkEnd w:id="2"/>
      <w:r>
        <w:rPr>
          <w:rFonts w:ascii="Times New Roman;serif" w:hAnsi="Times New Roman;serif"/>
          <w:b/>
          <w:caps/>
          <w:sz w:val="24"/>
        </w:rPr>
        <w:t>PROXY STATEMENT SUMMARY</w:t>
      </w:r>
    </w:p>
    <w:p>
      <w:pPr>
        <w:pStyle w:val="TextBody"/>
        <w:spacing w:before="0" w:after="0"/>
        <w:jc w:val="center"/>
        <w:rPr>
          <w:rFonts w:ascii="Times New Roman" w:hAnsi="Times New Roman"/>
          <w:sz w:val="20"/>
        </w:rPr>
      </w:pPr>
      <w:r>
        <w:rPr>
          <w:rFonts w:ascii="Times New Roman;serif" w:hAnsi="Times New Roman;serif"/>
          <w:b/>
          <w:caps/>
          <w:sz w:val="20"/>
        </w:rPr>
        <w:t>FOR THE 2023 ANNUAL MEETING OF STOCKHOLDERS</w:t>
      </w:r>
      <w:r>
        <w:rPr>
          <w:rFonts w:ascii="Times New Roman" w:hAnsi="Times New Roman"/>
          <w:caps/>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TO BE HELD JUNE 6, 2023</w:t>
      </w:r>
    </w:p>
    <w:p>
      <w:pPr>
        <w:pStyle w:val="TextBody"/>
        <w:spacing w:before="240" w:after="0"/>
        <w:jc w:val="left"/>
        <w:rPr>
          <w:rFonts w:ascii="Times New Roman" w:hAnsi="Times New Roman"/>
          <w:sz w:val="20"/>
        </w:rPr>
      </w:pPr>
      <w:r>
        <w:rPr>
          <w:rFonts w:ascii="Times New Roman;serif" w:hAnsi="Times New Roman;serif"/>
          <w:b w:val="false"/>
          <w:sz w:val="20"/>
        </w:rPr>
        <w:t>This proxy statement contains information about the 2023 Annual Meeting of Stockholders, or the Annual Meeting, of Tango Therapeutics, Inc. which will be held online on June 6, 2023 at 10:00 a.m. Eastern Time. You may attend the Annual Meeting virtually via the Internet at www.virtualshareholdermeeting.com/TNGX2023, where you will be able to vote electronically and submit questions germane to the matters under consideration at the Annual Meeting. The board of directors of Tango Therapeutics, Inc. is using this proxy statement to solicit proxies for use at the Annual Meeting. In this proxy statement, the terms “Tango,” the “Company,” “we,” “us,” and “our” refer to Tango Therapeutics, Inc. The mailing address of our principal executive office is: 201 Brookline Avenue, Suite 901, Boston, Massachusetts, 02215.</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All properly submitted proxies will be voted in accordance with the instructions contained in those proxies. If a proxy is signed and/or returned without instructions, the proxies will be voted in accordance with the recommendation of our board of directors with respect to each of the matters set forth in this proxy statement and the accompanying proxy card. You may revoke your proxy at any time before it is exercised at the meeting by giving our corporate secretary written notice to that effect, by mailing a duly executed proxy bearing a later date, re-voting by phone or the Internet prior to the date and time identified in this proxy statement or by voting in person at the Annual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are mailing to our stockholders a Notice of Internet Availability of proxy materials and our 2022 Annual Report on or about April 24, 2023.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are an “emerging growth company” under applicable federal securities laws and therefore permitted to conform with certain reduced public company reporting requirements. As an emerging growth company, we provide in this proxy statement the scaled disclosure permitted under the Jumpstart Our Business Startups Act of 2012, including the compensation disclosures required of a “smaller reporting company,” as that term is defined in Rule 12b-2 promulgated under the Securities Exchange Act of 1934, as amended, or the Exchange Act. In addition, as an emerging growth company, we are not required to conduct votes seeking approval, on an advisory basis, of the compensation of our named executive officers or the frequency with which such votes must be conducted and we are not required to disclose pay versus performance information under Item 402(v) of Regulation S-K. We will remain an “emerging growth company” until the earliest of (i) the last day of the fiscal year following the fifth anniversary of our initial public offering; (ii) the last day of the fiscal year in which our total annual gross revenue is equal to or more than $1.235 billion; (iii) the date on which we have issued more than $1 billion in nonconvertible debt during the previous three years; or (iv) the date on which we are deemed to be a large accelerated filer under the rules of the Securities and Exchange Commission, or the SEC. Even after we are no longer an “emerging growth company,” we may remain a “smaller reporting company.”</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Important Notice Regarding the Availability of Proxy Materials for</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the Annual Meeting of Stockholders to be Held on June 6, 2023:</w:t>
      </w:r>
      <w:r>
        <w:rPr>
          <w:rFonts w:ascii="Times New Roman" w:hAnsi="Times New Roman"/>
          <w:sz w:val="20"/>
        </w:rPr>
        <w:t xml:space="preserve"> </w:t>
      </w:r>
    </w:p>
    <w:p>
      <w:pPr>
        <w:pStyle w:val="TextBody"/>
        <w:spacing w:before="120" w:after="0"/>
        <w:jc w:val="center"/>
        <w:rPr>
          <w:rFonts w:ascii="Times New Roman" w:hAnsi="Times New Roman"/>
          <w:sz w:val="20"/>
        </w:rPr>
      </w:pPr>
      <w:r>
        <w:rPr>
          <w:rFonts w:ascii="Times New Roman;serif" w:hAnsi="Times New Roman;serif"/>
          <w:b/>
          <w:i/>
          <w:sz w:val="20"/>
        </w:rPr>
        <w:t>This proxy statement and our 2022 Annual Report on Form 10-K are</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i/>
          <w:sz w:val="20"/>
        </w:rPr>
        <w:t>available for viewing, printing and downloading at www.proxyvote.com.</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A copy of our 2022 Annual Report on Form 10-K, as filed with the SEC, except for exhibits, will be furnished without charge to any stockholder upon written request or oral request to Tango Therapeutics, Inc., 201 Brookline Avenue, Suite 901, Boston, Massachusetts, 02215, (857) 320-4900, Attention: Corporate Secretary. This proxy statement and our 2022 Annual Report are also available on the SEC’s website at</w:t>
      </w:r>
      <w:r>
        <w:rPr>
          <w:rFonts w:ascii="Times New Roman" w:hAnsi="Times New Roman"/>
          <w:sz w:val="20"/>
        </w:rPr>
        <w:t xml:space="preserve"> </w:t>
      </w:r>
      <w:r>
        <w:rPr>
          <w:rFonts w:ascii="Times New Roman;serif" w:hAnsi="Times New Roman;serif"/>
          <w:b/>
          <w:i/>
          <w:sz w:val="20"/>
        </w:rPr>
        <w:t>www.sec.gov</w:t>
      </w:r>
      <w:r>
        <w:rPr>
          <w:rFonts w:ascii="Times New Roman;serif" w:hAnsi="Times New Roman;serif"/>
          <w:b/>
          <w:sz w:val="20"/>
        </w:rPr>
        <w:t>.</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caps/>
          <w:sz w:val="20"/>
        </w:rPr>
      </w:pPr>
      <w:bookmarkStart w:id="3" w:name="general_information"/>
      <w:bookmarkEnd w:id="3"/>
      <w:r>
        <w:rPr>
          <w:rFonts w:ascii="Times New Roman;serif" w:hAnsi="Times New Roman;serif"/>
          <w:b/>
          <w:caps/>
          <w:sz w:val="20"/>
        </w:rPr>
        <w:t>GENERAL INFORMATION REGARDING THE MEETING</w:t>
      </w:r>
    </w:p>
    <w:p>
      <w:pPr>
        <w:pStyle w:val="TextBody"/>
        <w:spacing w:before="240" w:after="0"/>
        <w:jc w:val="left"/>
        <w:rPr>
          <w:rFonts w:ascii="Times New Roman" w:hAnsi="Times New Roman"/>
          <w:sz w:val="20"/>
        </w:rPr>
      </w:pPr>
      <w:r>
        <w:rPr>
          <w:rFonts w:ascii="Times New Roman;serif" w:hAnsi="Times New Roman;serif"/>
          <w:b/>
          <w:sz w:val="20"/>
        </w:rPr>
        <w:t>Why is Tango holding a virtual Annual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This year’s Annual Meeting will be a “virtual meeting” of stockholders. We have implemented the virtual format in order to facilitate stockholder attendance at our Annual Meeting. While you will not be able to attend the Annual Meeting in person, stockholders will, to the extent possible, be afforded the same rights and opportunities to participate at the virtual meeting similarly to how they would participate at an in-person meeting. We have designed our virtual format to enhance, rather than constrain, stockholder access, participation and communication. For example, the virtual format allows stockholders to communicate with us during the Annual Meeting so they can ask questions of our board of directors or management that are germane to the matters under consideration at the Annual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How can I virtually attend the Annual Meeting?</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To attend and participate in the Annual Meeting, stockholders will need to access the live webcast of the meeting. To do so, stockholders will need to visit www.virtualshareholdermeeting.com/TNGX2023 and enter the 16-digit control number provided in the Notice of Internet Availability of Proxy Materials, or the Notice, the proxy card (if the stockholder received a printed copy of the proxy materials) or in the instructions that accompanied the stockholder's proxy materials. Beneficial owners of shares held in "street name" (as described below) will need to follow the instructions provided in the voting instructions form by their broker, bank or other nominee that holds their shares.</w:t>
      </w:r>
    </w:p>
    <w:p>
      <w:pPr>
        <w:pStyle w:val="TextBody"/>
        <w:spacing w:before="240" w:after="0"/>
        <w:jc w:val="left"/>
        <w:rPr>
          <w:rFonts w:ascii="Times New Roman" w:hAnsi="Times New Roman"/>
          <w:sz w:val="20"/>
        </w:rPr>
      </w:pPr>
      <w:r>
        <w:rPr>
          <w:rFonts w:ascii="Times New Roman;serif" w:hAnsi="Times New Roman;serif"/>
          <w:b w:val="false"/>
          <w:sz w:val="20"/>
        </w:rPr>
        <w:t>On the day of the Annual Meeting, stockholders may log-in to the online virtual annual meeting platform beginning at 9:45 a.m. Eastern Time, and the meeting will begin promptly at 10:00 a.m. Eastern Time. Please allow ample time for on-line login so that you may participate in the entire Annual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Questions related to substantive matters of business under consideration at the Annual Meeting may be asked during the Annual Meeting by logging on to the virtual meeting platform. If you wish to submit a question during the Annual Meeting, you may do so on the virtual meeting platform www.virtualshareholdermeeting.com/TNGX2023. Our Annual Meeting will be governed by the Annual Meeting’s Rules of Conduct and Procedures, which will address the ability of stockholders to ask questions during the meeting and rules for how questions will be recognized and addressed. The Annual Meeting’s Rules of Conduct and Procedures will be available on the virtual meeting platform during the course of the Annual Meeting. Any questions or comments that are unrelated to the business of the Annual Meeting will not be addressed at the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How can I get help if I have trouble checking in or listening to the meeting online?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will have technicians ready to assist you with any technical difficulties you may have accessing the virtual meeting or submitting questions. If you encounter any difficulties accessing the virtual meeting or submitting a question, a technical support number will be posted on the virtual meeting platform (www.virtualshareholdermeeting.com/TNGX2023), which may be accessed beginning 15 minutes prior to the scheduled start time of the Annual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When are this proxy statement and the accompanying materials scheduled to be sent to stockholders?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are mailing to our stockholders a Notice instead of a paper copy of the accompanying proxy statement and our 2022 Annual Report on or about April 24, 2023, and it contains instructions on how to access those documents over the Internet. You will need the control number included on the Notice, proxy card or voting instruction form to access these materials. If you would like to receive a print version of the proxy materials, free of charge, please follow the instructions on the Notice.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Who is soliciting my vote?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Board of Directors is soliciting your vote for the Annual Meeting, including at any adjournments or postponements of the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When is the record date for the Annual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record date for determination of stockholders entitled to vote at the Annual Meeting is the close of business on April 10, 2023. Only stockholders of record at the close of business on April 10, 2023 are entitled to notice of and to vote at the Annual Meeting and any adjournment or postponement of the meeting.</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sz w:val="20"/>
        </w:rPr>
        <w:t>How many votes can be cast by all stockholders?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There were 88,209,964 shares of our voting common stock, par value $0.001 per share, outstanding on April 10, 2023, all of which are entitled to vote with respect to all matters to be acted upon at the Annual Meeting. Each stockholder of record is entitled to one vote for each share of our common stock held by such stockholder. As the stockholder of record, you have the right to grant your voting proxy directly to the individuals listed on the proxy card or vote on your own behalf at our virtual Annual Meeting. None of our authorized shares of preferred stock were outstanding as of April 10, 2023.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Who is entitled to vote?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Registered Stockholders</w:t>
      </w:r>
      <w:r>
        <w:rPr>
          <w:rFonts w:ascii="Times New Roman;serif" w:hAnsi="Times New Roman;serif"/>
          <w:b w:val="false"/>
          <w:sz w:val="20"/>
        </w:rPr>
        <w:t>. If shares of our common stock are registered directly in your name with our transfer agent, you are considered the stockholder of record with respect to those shares. As the stockholder of record, you have the right to grant your voting proxy directly to the individuals listed on the proxy card or vote on your own behalf at our virtual Annual Meeting. Throughout this proxy statement, we refer to these registered stockholders as “stockholders of record.”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Street Name Stockholders</w:t>
      </w:r>
      <w:r>
        <w:rPr>
          <w:rFonts w:ascii="Times New Roman;serif" w:hAnsi="Times New Roman;serif"/>
          <w:b w:val="false"/>
          <w:sz w:val="20"/>
        </w:rPr>
        <w:t>. If shares of our common stock are held on your behalf in a brokerage account or by a bank or other nominee, you are considered to be the beneficial owner of shares that are held in “street name,” and the proxy materials were forwarded to you by your broker or nominee, who is considered the stockholder of record with respect to those shares. As the beneficial owner, you have the right to direct your broker, bank or other nominee as to how to vote your shares. Beneficial owners are also invited to attend our virtual Annual Meeting. If your shares are held in "street name", you will receive instructions from your broker or other nominee explaining how to vote your shares, and you will have the option to cast your vote by telephone or over the Internet if your voting instruction form from your broker or nominee includes instructions and a toll-free telephone number or Internet website to do so. Note you should also be receiving a voting instruction form for you to use from your broker. Throughout this proxy statement, we refer to stockholders who hold their shares through a broker, bank or other nominee as “street name stockholders.”</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What matters are being voted on at the Annual Meeting?</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matters are being voted on at the Annual Meeting:</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Elect two members, Malte Peters, M.D. and Mace Rothenberg, M.D., as Class II Directors of the board of directors, each to serve until the 2026 Annual Meeting and until his successor has been duly elected and qualified.</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Ratify the appointment of PricewaterhouseCoopers LLP as Tango's independent registered public accounting firm for 2023.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do not know of any other matters that may come before the Annual Meeting. If any other matters are properly presented at the Annual Meeting, your form of proxy authorizes the individuals named as proxies to vote, or otherwise act, in accordance with their best judgment.</w:t>
      </w:r>
    </w:p>
    <w:p>
      <w:pPr>
        <w:pStyle w:val="TextBody"/>
        <w:spacing w:before="240" w:after="0"/>
        <w:jc w:val="left"/>
        <w:rPr>
          <w:rFonts w:ascii="Times New Roman" w:hAnsi="Times New Roman"/>
          <w:sz w:val="20"/>
        </w:rPr>
      </w:pPr>
      <w:r>
        <w:rPr>
          <w:rFonts w:ascii="Times New Roman;serif" w:hAnsi="Times New Roman;serif"/>
          <w:b/>
          <w:sz w:val="20"/>
        </w:rPr>
        <w:t>How do I vote?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you are a stockholder of record, there are four ways to vote: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 </w:t>
      </w:r>
      <w:r>
        <w:rPr>
          <w:rFonts w:ascii="Times New Roman;serif" w:hAnsi="Times New Roman;serif"/>
          <w:b/>
          <w:i/>
          <w:sz w:val="20"/>
        </w:rPr>
        <w:t xml:space="preserve">By Internet. </w:t>
      </w:r>
      <w:r>
        <w:rPr>
          <w:rFonts w:ascii="Times New Roman;serif" w:hAnsi="Times New Roman;serif"/>
          <w:b w:val="false"/>
          <w:sz w:val="20"/>
        </w:rPr>
        <w:t>You may vote at www.proxyvote.com, 24 hours a day, seven days a week. You will need the control number included on your Notice or proxy card in order to vote by Internet.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 </w:t>
      </w:r>
      <w:r>
        <w:rPr>
          <w:rFonts w:ascii="Times New Roman;serif" w:hAnsi="Times New Roman;serif"/>
          <w:b/>
          <w:i/>
          <w:sz w:val="20"/>
        </w:rPr>
        <w:t xml:space="preserve">During the Annual Meeting. </w:t>
      </w:r>
      <w:r>
        <w:rPr>
          <w:rFonts w:ascii="Times New Roman;serif" w:hAnsi="Times New Roman;serif"/>
          <w:b w:val="false"/>
          <w:sz w:val="20"/>
        </w:rPr>
        <w:t>You may vote in person virtually by attending the Annual Meeting through www.virtualshareholdermeeting.com/TNGX2023. To attend the Annual Meeting virtually and vote your shares, you must register for the Annual Meeting and provide the control number located on your Notice or proxy card.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 </w:t>
      </w:r>
      <w:r>
        <w:rPr>
          <w:rFonts w:ascii="Times New Roman;serif" w:hAnsi="Times New Roman;serif"/>
          <w:b/>
          <w:i/>
          <w:sz w:val="20"/>
        </w:rPr>
        <w:t xml:space="preserve">By Telephone. </w:t>
      </w:r>
      <w:r>
        <w:rPr>
          <w:rFonts w:ascii="Times New Roman;serif" w:hAnsi="Times New Roman;serif"/>
          <w:b w:val="false"/>
          <w:sz w:val="20"/>
        </w:rPr>
        <w:t>You may vote using a touch-tone telephone by calling 1-800-690-6903, 24 hours a day, seven days a week. You will need the control number included on your Notice or proxy card to vote by telephone.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 </w:t>
      </w:r>
      <w:r>
        <w:rPr>
          <w:rFonts w:ascii="Times New Roman;serif" w:hAnsi="Times New Roman;serif"/>
          <w:b/>
          <w:i/>
          <w:sz w:val="20"/>
        </w:rPr>
        <w:t>By Mail</w:t>
      </w:r>
      <w:r>
        <w:rPr>
          <w:rFonts w:ascii="Times New Roman;serif" w:hAnsi="Times New Roman;serif"/>
          <w:b w:val="false"/>
          <w:sz w:val="20"/>
        </w:rPr>
        <w:t>. You may vote by completing and mailing your proxy card.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Even if you plan to participate in our virtual Annual Meeting, we recommend that you vote by proxy in advance of the Annual Meeting date so that your vote will be counted if you later decide not to participate in the Annual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you are a street name stockholder, you will receive voting instructions from your broker, bank or other nominee. You must follow the voting instructions provided by your broker, bank or other nominee in order to instruct your broker, bank or other nominee on how to vote your shares. Street name stockholders should generally be able to vote by returning an instruction card, or by telephone or on the Internet. However, the availability of telephone and Internet voting will depend on the voting process of your broker, bank or other</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nominee. As discussed above, if you are a street name stockholder, you may not vote your shares on your own behalf at the Annual Meeting unless you obtain a legal proxy from your broker, bank or other nominee.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By Proxy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you will not be attending the Annual Meeting, you may vote by proxy. You can vote by proxy over the Internet by following the instructions provided in the enclosed proxy card. Proxies submitted by mail must be received by the deadline set forth on the proxy card.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you complete and submit your proxy before the Annual Meeting, the persons named as proxies will vote the shares represented by your proxy in accordance with your instructions. If you submit a signed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How do I change or revoke my vote or proxy?</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You may revoke your proxy by (1) entering a new vote by mail, over the Internet or via telephone that we receive before the start of the Annual Meeting, (2) attending and voting at the Annual Meeting online (although attendance at the Annual Meeting will not in and of itself revoke a proxy), (3) by filing an instrument in writing revoking the proxy or another duly executed proxy bearing a later date with our Corporate Secretary, or (4) voting in person at the virtual Annual Meeting. Any written notice of revocation or subsequent proxy card must be received by our Corporate Secretary prior to the taking of the vote at the Annual Meeting. Such written notice of revocation or subsequent proxy card should be hand delivered to our Corporate Secretary or sent to our principal executive offices at 201 Brookline Avenue, Suite 901, Boston, Massachusetts 02215, Attention: Corporate Secretary. Only your latest vote will be counted at the Annual Meeting.</w:t>
      </w:r>
    </w:p>
    <w:p>
      <w:pPr>
        <w:pStyle w:val="TextBody"/>
        <w:spacing w:before="240" w:after="0"/>
        <w:jc w:val="left"/>
        <w:rPr>
          <w:rFonts w:ascii="Times New Roman" w:hAnsi="Times New Roman"/>
          <w:sz w:val="20"/>
        </w:rPr>
      </w:pPr>
      <w:r>
        <w:rPr>
          <w:rFonts w:ascii="Times New Roman;serif" w:hAnsi="Times New Roman;serif"/>
          <w:b w:val="false"/>
          <w:sz w:val="20"/>
        </w:rPr>
        <w:t>If a broker, bank, or other nominee holds your shares, you must contact such broker, bank, or nominee in order to find out how to change your vote.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How is a quorum reached?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Amended and Restated Bylaws, or bylaws, provide that a majority of the shares entitled to vote, present or represented by proxy, will constitute a quorum for the transaction of business at the Annual Meeting.</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Under the General Corporation Law of the State of Delaware, shares that are voted “abstain” or “withheld” and broker “non-votes” are counted for purposes of determining whether a quorum is present at the Annual Meeting. If a quorum is not present, the meeting may be adjourned until a quorum is obtained. There were 88,209,964 shares of common stock outstanding and entitled to vote on April 10, 2023, our record date. Therefore, a quorum will be present if 44,104,983 shares of our common stock are present in person or represented by executed proxies timely received by us at the Annual Meeting.</w:t>
      </w:r>
    </w:p>
    <w:p>
      <w:pPr>
        <w:pStyle w:val="TextBody"/>
        <w:spacing w:before="240" w:after="0"/>
        <w:jc w:val="left"/>
        <w:rPr>
          <w:rFonts w:ascii="Times New Roman" w:hAnsi="Times New Roman"/>
          <w:sz w:val="20"/>
        </w:rPr>
      </w:pPr>
      <w:r>
        <w:rPr>
          <w:rFonts w:ascii="Times New Roman;serif" w:hAnsi="Times New Roman;serif"/>
          <w:b/>
          <w:sz w:val="20"/>
        </w:rPr>
        <w:t>What vote is required for each proposal?</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872"/>
        <w:gridCol w:w="1332"/>
        <w:gridCol w:w="2334"/>
        <w:gridCol w:w="1842"/>
        <w:gridCol w:w="2374"/>
        <w:gridCol w:w="1451"/>
      </w:tblGrid>
      <w:tr>
        <w:trPr/>
        <w:tc>
          <w:tcPr>
            <w:tcW w:w="872"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2334"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2374"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7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33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33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84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37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72" w:type="dxa"/>
            <w:tcBorders/>
            <w:shd w:fill="auto" w:val="clear"/>
            <w:vAlign w:val="center"/>
          </w:tcPr>
          <w:p>
            <w:pPr>
              <w:pStyle w:val="TableContents"/>
              <w:spacing w:before="0" w:after="0"/>
              <w:ind w:left="0" w:right="0" w:hanging="0"/>
              <w:jc w:val="left"/>
              <w:rPr/>
            </w:pPr>
            <w:r>
              <w:rPr/>
              <w:t> </w:t>
            </w:r>
          </w:p>
        </w:tc>
        <w:tc>
          <w:tcPr>
            <w:tcW w:w="1332" w:type="dxa"/>
            <w:tcBorders/>
            <w:shd w:fill="auto" w:val="clear"/>
            <w:vAlign w:val="center"/>
          </w:tcPr>
          <w:p>
            <w:pPr>
              <w:pStyle w:val="TableContents"/>
              <w:spacing w:before="0" w:after="0"/>
              <w:ind w:left="0" w:right="0" w:hanging="0"/>
              <w:jc w:val="left"/>
              <w:rPr/>
            </w:pPr>
            <w:r>
              <w:rPr/>
              <w:t> </w:t>
            </w:r>
          </w:p>
        </w:tc>
        <w:tc>
          <w:tcPr>
            <w:tcW w:w="2334"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Board's Recommendation</w:t>
            </w:r>
          </w:p>
        </w:tc>
        <w:tc>
          <w:tcPr>
            <w:tcW w:w="1842"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Broker Discretionary Voting Allowed</w:t>
            </w:r>
          </w:p>
        </w:tc>
        <w:tc>
          <w:tcPr>
            <w:tcW w:w="2374"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i/>
                <w:sz w:val="20"/>
              </w:rPr>
              <w:t>Treatment of Votes Withheld, Abstentions and Broker Non-Votes</w:t>
            </w:r>
            <w:r>
              <w:rPr>
                <w:rFonts w:ascii="Times New Roman" w:hAnsi="Times New Roman"/>
                <w:sz w:val="20"/>
              </w:rPr>
              <w:t xml:space="preserve"> </w:t>
            </w:r>
          </w:p>
        </w:tc>
        <w:tc>
          <w:tcPr>
            <w:tcW w:w="1451"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Required Vote</w:t>
            </w:r>
          </w:p>
        </w:tc>
      </w:tr>
      <w:tr>
        <w:trPr/>
        <w:tc>
          <w:tcPr>
            <w:tcW w:w="8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Proposal 1</w:t>
            </w:r>
          </w:p>
        </w:tc>
        <w:tc>
          <w:tcPr>
            <w:tcW w:w="13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Election of Class II Directors</w:t>
            </w:r>
          </w:p>
        </w:tc>
        <w:tc>
          <w:tcPr>
            <w:tcW w:w="2334"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FOR ALL Class II Director Nominees</w:t>
            </w:r>
            <w:r>
              <w:rPr>
                <w:rFonts w:ascii="Times New Roman" w:hAnsi="Times New Roman"/>
                <w:sz w:val="20"/>
              </w:rPr>
              <w:t xml:space="preserve">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(Malte Peters, M.D. and Mace Rothenberg, M.D.)</w:t>
            </w:r>
          </w:p>
        </w:tc>
        <w:tc>
          <w:tcPr>
            <w:tcW w:w="18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w:t>
            </w:r>
          </w:p>
        </w:tc>
        <w:tc>
          <w:tcPr>
            <w:tcW w:w="2374"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Votes withheld and broker non-votes will have no effect on the</w:t>
            </w:r>
            <w:r>
              <w:rPr>
                <w:rFonts w:ascii="Times New Roman" w:hAnsi="Times New Roman"/>
                <w:sz w:val="20"/>
              </w:rPr>
              <w:t xml:space="preserve"> </w:t>
            </w:r>
          </w:p>
        </w:tc>
        <w:tc>
          <w:tcPr>
            <w:tcW w:w="1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Plurality of votes properly cast</w:t>
            </w:r>
          </w:p>
        </w:tc>
      </w:tr>
    </w:tbl>
    <w:p>
      <w:pPr>
        <w:pStyle w:val="TextBody"/>
        <w:spacing w:before="12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880"/>
        <w:gridCol w:w="3684"/>
        <w:gridCol w:w="481"/>
        <w:gridCol w:w="406"/>
        <w:gridCol w:w="3229"/>
        <w:gridCol w:w="1525"/>
      </w:tblGrid>
      <w:tr>
        <w:trPr/>
        <w:tc>
          <w:tcPr>
            <w:tcW w:w="880" w:type="dxa"/>
            <w:tcBorders/>
            <w:shd w:fill="auto" w:val="clear"/>
            <w:vAlign w:val="center"/>
          </w:tcPr>
          <w:p>
            <w:pPr>
              <w:pStyle w:val="TableContents"/>
              <w:spacing w:before="0" w:after="283"/>
              <w:rPr>
                <w:sz w:val="4"/>
                <w:szCs w:val="4"/>
              </w:rPr>
            </w:pPr>
            <w:r>
              <w:rPr>
                <w:sz w:val="4"/>
                <w:szCs w:val="4"/>
              </w:rPr>
            </w:r>
          </w:p>
        </w:tc>
        <w:tc>
          <w:tcPr>
            <w:tcW w:w="3684"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229" w:type="dxa"/>
            <w:tcBorders/>
            <w:shd w:fill="auto" w:val="clear"/>
            <w:vAlign w:val="center"/>
          </w:tcPr>
          <w:p>
            <w:pPr>
              <w:pStyle w:val="TableContents"/>
              <w:spacing w:before="0" w:after="283"/>
              <w:rPr>
                <w:sz w:val="4"/>
                <w:szCs w:val="4"/>
              </w:rPr>
            </w:pPr>
            <w:r>
              <w:rPr>
                <w:sz w:val="4"/>
                <w:szCs w:val="4"/>
              </w:rPr>
            </w:r>
          </w:p>
        </w:tc>
        <w:tc>
          <w:tcPr>
            <w:tcW w:w="1525" w:type="dxa"/>
            <w:tcBorders/>
            <w:shd w:fill="auto" w:val="clear"/>
            <w:vAlign w:val="center"/>
          </w:tcPr>
          <w:p>
            <w:pPr>
              <w:pStyle w:val="TableContents"/>
              <w:spacing w:before="0" w:after="283"/>
              <w:rPr>
                <w:sz w:val="4"/>
                <w:szCs w:val="4"/>
              </w:rPr>
            </w:pPr>
            <w:r>
              <w:rPr>
                <w:sz w:val="4"/>
                <w:szCs w:val="4"/>
              </w:rPr>
            </w:r>
          </w:p>
        </w:tc>
      </w:tr>
      <w:tr>
        <w:trPr/>
        <w:tc>
          <w:tcPr>
            <w:tcW w:w="880" w:type="dxa"/>
            <w:tcBorders/>
            <w:shd w:fill="auto" w:val="clear"/>
            <w:vAlign w:val="center"/>
          </w:tcPr>
          <w:p>
            <w:pPr>
              <w:pStyle w:val="TableContents"/>
              <w:spacing w:before="0" w:after="0"/>
              <w:ind w:left="0" w:right="0" w:hanging="0"/>
              <w:jc w:val="left"/>
              <w:rPr/>
            </w:pPr>
            <w:r>
              <w:rPr/>
              <w:t> </w:t>
            </w:r>
          </w:p>
        </w:tc>
        <w:tc>
          <w:tcPr>
            <w:tcW w:w="3684"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outcome of the proposal</w:t>
            </w:r>
          </w:p>
        </w:tc>
        <w:tc>
          <w:tcPr>
            <w:tcW w:w="1525" w:type="dxa"/>
            <w:tcBorders/>
            <w:shd w:fill="auto" w:val="clear"/>
            <w:vAlign w:val="center"/>
          </w:tcPr>
          <w:p>
            <w:pPr>
              <w:pStyle w:val="TableContents"/>
              <w:spacing w:before="0" w:after="0"/>
              <w:ind w:left="0" w:right="0" w:hanging="0"/>
              <w:jc w:val="left"/>
              <w:rPr/>
            </w:pPr>
            <w:r>
              <w:rPr/>
              <w:t> </w:t>
            </w:r>
          </w:p>
        </w:tc>
      </w:tr>
      <w:tr>
        <w:trPr/>
        <w:tc>
          <w:tcPr>
            <w:tcW w:w="8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Proposal 2</w:t>
            </w:r>
          </w:p>
        </w:tc>
        <w:tc>
          <w:tcPr>
            <w:tcW w:w="36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Ratification of PricewaterhouseCoopers LLP as independent auditors for 2023</w:t>
            </w:r>
          </w:p>
        </w:tc>
        <w:tc>
          <w:tcPr>
            <w:tcW w:w="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Yes</w:t>
            </w:r>
          </w:p>
        </w:tc>
        <w:tc>
          <w:tcPr>
            <w:tcW w:w="3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Abstentions and broker non-votes will have no effect on the outcome of the proposal</w:t>
            </w:r>
          </w:p>
        </w:tc>
        <w:tc>
          <w:tcPr>
            <w:tcW w:w="15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Majority of votes properly cast</w:t>
            </w:r>
          </w:p>
        </w:tc>
      </w:tr>
    </w:tbl>
    <w:p>
      <w:pPr>
        <w:pStyle w:val="TextBody"/>
        <w:spacing w:before="240" w:after="0"/>
        <w:jc w:val="left"/>
        <w:rPr>
          <w:rFonts w:ascii="Times New Roman" w:hAnsi="Times New Roman"/>
          <w:sz w:val="20"/>
        </w:rPr>
      </w:pPr>
      <w:r>
        <w:rPr>
          <w:rFonts w:ascii="Times New Roman;serif" w:hAnsi="Times New Roman;serif"/>
          <w:b/>
          <w:sz w:val="20"/>
        </w:rPr>
        <w:t>How is the vote counted?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Under our bylaws, any proposal other than an election of directors is decided by a majority of the votes properly cast for and against such proposal, except where a larger vote is required by law or by our Amended and Restated Certificate of Incorporation, or certificate of incorporation, or bylaws. As noted above, abstentions and broker “non-votes” are not included in the tabulation of the voting results on any such proposal and, therefore,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Proposal No. 1 is a “non-discretionary” item. If you do not instruct your broker how to vote with respect to this proposal, your broker may not vote for this proposal, and those votes will be counted as broker “non-votes.” Proposal No. 2 is considered to be a discretionary item, and your brokerage firm will be able to vote on this proposal even if it does not receive instructions from you.</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To be elected, the director nominated via Proposal No. 1 must receive a plurality of the votes properly cast and entitled to vote on the proposal, meaning that the director nominee receiving the most votes will be elected (even if it is less than a majority of the votes cast). You may vote for each of the director nominees or withhold authority to vote your shares with respect to any one or more of the director nominees. Shares voting “withheld” have no effect on the election of directors. Broker non-votes will have no effect on the election of the nominees for Class II directors.</w:t>
      </w:r>
    </w:p>
    <w:p>
      <w:pPr>
        <w:pStyle w:val="TextBody"/>
        <w:spacing w:before="240" w:after="0"/>
        <w:jc w:val="left"/>
        <w:rPr>
          <w:rFonts w:ascii="Times New Roman" w:hAnsi="Times New Roman"/>
          <w:sz w:val="20"/>
        </w:rPr>
      </w:pPr>
      <w:r>
        <w:rPr>
          <w:rFonts w:ascii="Times New Roman;serif" w:hAnsi="Times New Roman;serif"/>
          <w:b/>
          <w:sz w:val="20"/>
        </w:rPr>
        <w:t>Who pays the cost for soliciting proxies?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are making this solicitation and will pay the entire cost of preparing and distributing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Proxy solicitation expenses that we will pay include those for preparation, mailing, returning, and tabulating the proxies.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How may stockholders submit matters for consideration at an Annual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or if no annual meeting were held in the preceding year,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any stockholder proposal intended to be included in the proxy statement for the next annual meeting of our stockholders in 2024 must also satisfy the requirements of SEC Rule 14a-8 under the Exchange Act, and be received not later than December 26, 2023. In addition, to comply with the SEC’s universal proxy rules, stockholders who intend to solicit proxies in support of director nominees other than our nominees must provide notice that sets forth the information required by Rule 14a-19 under the Exchange Act no later than April 7, 2024.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sz w:val="20"/>
        </w:rPr>
        <w:t>How can I find out the results of the voting at the Annual Meeting?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plan to announce preliminary voting results at the Annual Meeting. Final voting results will be published in a Current Report on Form 8-K, or Form 8-K, that we expect to file with the SEC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4" w:name="overview_of_proposals"/>
      <w:bookmarkEnd w:id="4"/>
      <w:r>
        <w:rPr>
          <w:rFonts w:ascii="Times New Roman;serif" w:hAnsi="Times New Roman;serif"/>
          <w:b/>
          <w:sz w:val="20"/>
        </w:rPr>
        <w:t>OVERVIEW OF PROPOSALS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summary below highlights information that is described in more detail elsewhere in this proxy statement. This summary does not contain all of the information you should consider, and we urge you to read the entire proxy statement carefully before voting.</w:t>
      </w:r>
    </w:p>
    <w:p>
      <w:pPr>
        <w:pStyle w:val="TextBody"/>
        <w:spacing w:before="240" w:after="0"/>
        <w:jc w:val="left"/>
        <w:rPr>
          <w:rFonts w:ascii="Times New Roman" w:hAnsi="Times New Roman"/>
          <w:sz w:val="20"/>
        </w:rPr>
      </w:pPr>
      <w:r>
        <w:rPr>
          <w:rFonts w:ascii="Times New Roman;serif" w:hAnsi="Times New Roman;serif"/>
          <w:b w:val="false"/>
          <w:sz w:val="20"/>
        </w:rPr>
        <w:t>This Proxy Statement contains two proposals requiring stockholder action.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Proposal No. 1 - Election of Class II Directors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You are being asked to vote on the election of two Class II directors, Malte Peters, M.D. and Mace Rothenberg, M.D. to our board of directors.</w:t>
      </w:r>
    </w:p>
    <w:p>
      <w:pPr>
        <w:pStyle w:val="TextBody"/>
        <w:spacing w:before="240" w:after="0"/>
        <w:jc w:val="left"/>
        <w:rPr>
          <w:rFonts w:ascii="Times New Roman;serif" w:hAnsi="Times New Roman;serif"/>
          <w:b/>
          <w:sz w:val="20"/>
        </w:rPr>
      </w:pPr>
      <w:r>
        <w:rPr>
          <w:rFonts w:ascii="Times New Roman;serif" w:hAnsi="Times New Roman;serif"/>
          <w:b/>
          <w:sz w:val="20"/>
        </w:rPr>
        <w:t>Proposal No. 2 - Ratification of PricewaterhouseCoopers LLP as our independent registered public accounting firm</w:t>
      </w:r>
    </w:p>
    <w:p>
      <w:pPr>
        <w:pStyle w:val="TextBody"/>
        <w:spacing w:before="240" w:after="0"/>
        <w:jc w:val="left"/>
        <w:rPr>
          <w:rFonts w:ascii="Times New Roman" w:hAnsi="Times New Roman"/>
          <w:sz w:val="20"/>
        </w:rPr>
      </w:pPr>
      <w:r>
        <w:rPr>
          <w:rFonts w:ascii="Times New Roman;serif" w:hAnsi="Times New Roman;serif"/>
          <w:b w:val="false"/>
          <w:sz w:val="20"/>
        </w:rPr>
        <w:t>You are being asked to vote to ratify the appointment of PricewaterhouseCoopers LLP as our independent registered public accounting firm for the fiscal year ending December 31, 2023.</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 xml:space="preserve">The Board of Directors recommends that you vote </w:t>
      </w:r>
      <w:r>
        <w:rPr>
          <w:rFonts w:ascii="Times New Roman;serif" w:hAnsi="Times New Roman;serif"/>
          <w:b/>
          <w:sz w:val="20"/>
        </w:rPr>
        <w:t>FOR</w:t>
      </w:r>
      <w:r>
        <w:rPr>
          <w:rFonts w:ascii="Times New Roman" w:hAnsi="Times New Roman"/>
          <w:sz w:val="20"/>
        </w:rPr>
        <w:t xml:space="preserve"> </w:t>
      </w:r>
      <w:r>
        <w:rPr>
          <w:rFonts w:ascii="Times New Roman;serif" w:hAnsi="Times New Roman;serif"/>
          <w:b w:val="false"/>
          <w:sz w:val="20"/>
        </w:rPr>
        <w:t>both Proposal No. 1 and Proposal No. 2.</w:t>
      </w:r>
    </w:p>
    <w:p>
      <w:pPr>
        <w:pStyle w:val="TextBody"/>
        <w:spacing w:before="240" w:after="0"/>
        <w:jc w:val="left"/>
        <w:rPr>
          <w:rFonts w:ascii="Times New Roman" w:hAnsi="Times New Roman"/>
          <w:sz w:val="20"/>
        </w:rPr>
      </w:pPr>
      <w:r>
        <w:rPr>
          <w:rFonts w:ascii="Times New Roman;serif" w:hAnsi="Times New Roman;serif"/>
          <w:b w:val="false"/>
          <w:sz w:val="20"/>
        </w:rPr>
        <w:t>Each of the proposals listed above is discussed in more detail in the pages that follow.</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5" w:name="proposal_1_election_of_directors"/>
      <w:bookmarkEnd w:id="5"/>
      <w:r>
        <w:rPr>
          <w:rFonts w:ascii="Times New Roman;serif" w:hAnsi="Times New Roman;serif"/>
          <w:b/>
          <w:caps/>
          <w:sz w:val="20"/>
        </w:rPr>
        <w:t>PROPOSAL NO. 1 – ELECTION OF CLASS II DIRECTORS</w:t>
      </w:r>
      <w:r>
        <w:rPr>
          <w:rFonts w:ascii="Times New Roman" w:hAnsi="Times New Roman"/>
          <w:caps/>
          <w:sz w:val="20"/>
        </w:rPr>
        <w:t xml:space="preserve"> </w:t>
      </w:r>
    </w:p>
    <w:p>
      <w:pPr>
        <w:pStyle w:val="TextBody"/>
        <w:spacing w:before="240" w:after="240"/>
        <w:jc w:val="left"/>
        <w:rPr>
          <w:rFonts w:ascii="Times New Roman" w:hAnsi="Times New Roman"/>
          <w:sz w:val="20"/>
        </w:rPr>
      </w:pPr>
      <w:r>
        <w:rPr>
          <w:rFonts w:ascii="Times New Roman;serif" w:hAnsi="Times New Roman;serif"/>
          <w:b w:val="false"/>
          <w:sz w:val="20"/>
        </w:rPr>
        <w:t>Our board of directors currently consists of seven members. In accordance with the terms of our certificate of incorporation and bylaws, our board of directors is divided into three classes, Class I, Class II and Class III, with members of each class serving staggered three-year terms.</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Two directors have been nominated for election at the Annual Meeting to serve until the 2026 annual meeting of stockholders and until their successors have been duly elected and qualified. In the event any of the nominees are unable to serve as a director, the shares represented by the proxy will be voted for such other candidate, if any, who is nominated by the Board to replace the nominee. All nominees have consented to be named in the proxy statement and have indicated their intent to serve if elected. The Board has no reason to believe that any of the nominees will be unable to serve. Pursuant to our by-laws, directors are elected by plurality vote in uncontested director elections, such as this one. The number of candidates for election as Class II directors at the Annual Meeting is the same as the number of Class II directors to be elected at the Annual Meeting. Therefore, this is an uncontested election and directors will be elected by the affirmative vote of a plurality of the votes properly cast by the shares present or represented and entitled to vote at the Annual Meeting, in person or by proxy. The nominees for election as director are those identified in this proxy statement.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following table presents our current directors, their respective term on the board of directors, ages and positions as of April 10, 2023. Director service dates in the table below and elsewhere in this proxy statement reflect the periods such director commenced director service with Tango prior to the completion of the Business Combination (as described below).</w:t>
      </w:r>
      <w:r>
        <w:rPr>
          <w:rFonts w:ascii="Times New Roman" w:hAnsi="Times New Roman"/>
          <w:sz w:val="20"/>
        </w:rPr>
        <w:t xml:space="preserve"> </w:t>
      </w:r>
    </w:p>
    <w:p>
      <w:pPr>
        <w:pStyle w:val="TextBody"/>
        <w:spacing w:before="0" w:after="0"/>
        <w:jc w:val="left"/>
        <w:rPr/>
      </w:pPr>
      <w:r>
        <w:rPr/>
        <w:t> </w:t>
      </w:r>
    </w:p>
    <w:tbl>
      <w:tblPr>
        <w:tblW w:w="8399" w:type="dxa"/>
        <w:jc w:val="left"/>
        <w:tblInd w:w="0" w:type="dxa"/>
        <w:tblCellMar>
          <w:top w:w="28" w:type="dxa"/>
          <w:left w:w="28" w:type="dxa"/>
          <w:bottom w:w="28" w:type="dxa"/>
          <w:right w:w="28" w:type="dxa"/>
        </w:tblCellMar>
      </w:tblPr>
      <w:tblGrid>
        <w:gridCol w:w="1861"/>
        <w:gridCol w:w="146"/>
        <w:gridCol w:w="146"/>
        <w:gridCol w:w="286"/>
        <w:gridCol w:w="146"/>
        <w:gridCol w:w="146"/>
        <w:gridCol w:w="3466"/>
        <w:gridCol w:w="146"/>
        <w:gridCol w:w="2056"/>
      </w:tblGrid>
      <w:tr>
        <w:trPr/>
        <w:tc>
          <w:tcPr>
            <w:tcW w:w="18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56" w:type="dxa"/>
            <w:tcBorders/>
            <w:shd w:fill="auto" w:val="clear"/>
            <w:vAlign w:val="center"/>
          </w:tcPr>
          <w:p>
            <w:pPr>
              <w:pStyle w:val="TableContents"/>
              <w:spacing w:before="0" w:after="283"/>
              <w:rPr>
                <w:sz w:val="4"/>
                <w:szCs w:val="4"/>
              </w:rPr>
            </w:pPr>
            <w:r>
              <w:rPr>
                <w:sz w:val="4"/>
                <w:szCs w:val="4"/>
              </w:rPr>
            </w:r>
          </w:p>
        </w:tc>
      </w:tr>
      <w:tr>
        <w:trPr/>
        <w:tc>
          <w:tcPr>
            <w:tcW w:w="1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Position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Served as a Director Since</w:t>
            </w:r>
          </w:p>
        </w:tc>
      </w:tr>
      <w:tr>
        <w:trPr/>
        <w:tc>
          <w:tcPr>
            <w:tcW w:w="6197" w:type="dxa"/>
            <w:gridSpan w:val="7"/>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Class I Directors with terms that will expire at the 2025 Annual Meeting</w:t>
            </w:r>
          </w:p>
        </w:tc>
        <w:tc>
          <w:tcPr>
            <w:tcW w:w="146" w:type="dxa"/>
            <w:tcBorders/>
            <w:shd w:fill="auto" w:val="clear"/>
            <w:vAlign w:val="center"/>
          </w:tcPr>
          <w:p>
            <w:pPr>
              <w:pStyle w:val="TableContents"/>
              <w:spacing w:before="0" w:after="0"/>
              <w:ind w:left="0" w:right="0" w:hanging="0"/>
              <w:jc w:val="left"/>
              <w:rPr/>
            </w:pPr>
            <w:r>
              <w:rPr/>
              <w:t> </w:t>
            </w:r>
          </w:p>
        </w:tc>
        <w:tc>
          <w:tcPr>
            <w:tcW w:w="2056" w:type="dxa"/>
            <w:tcBorders/>
            <w:shd w:fill="auto" w:val="clear"/>
            <w:vAlign w:val="center"/>
          </w:tcPr>
          <w:p>
            <w:pPr>
              <w:pStyle w:val="TableContents"/>
              <w:spacing w:before="0" w:after="0"/>
              <w:ind w:left="0" w:right="0" w:hanging="0"/>
              <w:jc w:val="left"/>
              <w:rPr/>
            </w:pPr>
            <w:r>
              <w:rPr/>
              <w:t> </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Lesley Ann Calhoun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Director</w:t>
            </w:r>
          </w:p>
        </w:tc>
        <w:tc>
          <w:tcPr>
            <w:tcW w:w="146" w:type="dxa"/>
            <w:tcBorders/>
            <w:shd w:fill="auto" w:val="clear"/>
            <w:vAlign w:val="center"/>
          </w:tcPr>
          <w:p>
            <w:pPr>
              <w:pStyle w:val="TableContents"/>
              <w:spacing w:before="0" w:after="0"/>
              <w:ind w:left="0" w:right="0" w:hanging="0"/>
              <w:jc w:val="left"/>
              <w:rPr/>
            </w:pPr>
            <w:r>
              <w:rPr/>
              <w:t> </w:t>
            </w:r>
          </w:p>
        </w:tc>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March 2021</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Reid Huber, Ph.D.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Director</w:t>
            </w:r>
          </w:p>
        </w:tc>
        <w:tc>
          <w:tcPr>
            <w:tcW w:w="146" w:type="dxa"/>
            <w:tcBorders/>
            <w:shd w:fill="auto" w:val="clear"/>
            <w:vAlign w:val="center"/>
          </w:tcPr>
          <w:p>
            <w:pPr>
              <w:pStyle w:val="TableContents"/>
              <w:spacing w:before="0" w:after="0"/>
              <w:ind w:left="0" w:right="0" w:hanging="0"/>
              <w:jc w:val="left"/>
              <w:rPr/>
            </w:pPr>
            <w:r>
              <w:rPr/>
              <w:t> </w:t>
            </w:r>
          </w:p>
        </w:tc>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July 2019</w:t>
            </w:r>
          </w:p>
        </w:tc>
      </w:tr>
      <w:tr>
        <w:trPr/>
        <w:tc>
          <w:tcPr>
            <w:tcW w:w="6197" w:type="dxa"/>
            <w:gridSpan w:val="7"/>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Class II Directors with terms that will expire at the Annual Meeting</w:t>
            </w:r>
          </w:p>
        </w:tc>
        <w:tc>
          <w:tcPr>
            <w:tcW w:w="146" w:type="dxa"/>
            <w:tcBorders/>
            <w:shd w:fill="auto" w:val="clear"/>
            <w:vAlign w:val="center"/>
          </w:tcPr>
          <w:p>
            <w:pPr>
              <w:pStyle w:val="TableContents"/>
              <w:spacing w:before="0" w:after="0"/>
              <w:ind w:left="0" w:right="0" w:hanging="0"/>
              <w:jc w:val="left"/>
              <w:rPr/>
            </w:pPr>
            <w:r>
              <w:rPr/>
              <w:t> </w:t>
            </w:r>
          </w:p>
        </w:tc>
        <w:tc>
          <w:tcPr>
            <w:tcW w:w="2056" w:type="dxa"/>
            <w:tcBorders/>
            <w:shd w:fill="auto" w:val="clear"/>
            <w:vAlign w:val="center"/>
          </w:tcPr>
          <w:p>
            <w:pPr>
              <w:pStyle w:val="TableContents"/>
              <w:spacing w:before="0" w:after="0"/>
              <w:ind w:left="0" w:right="0" w:hanging="0"/>
              <w:jc w:val="left"/>
              <w:rPr/>
            </w:pPr>
            <w:r>
              <w:rPr/>
              <w:t> </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Malte Peters, M.D.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Director</w:t>
            </w:r>
          </w:p>
        </w:tc>
        <w:tc>
          <w:tcPr>
            <w:tcW w:w="146" w:type="dxa"/>
            <w:tcBorders/>
            <w:shd w:fill="auto" w:val="clear"/>
            <w:vAlign w:val="center"/>
          </w:tcPr>
          <w:p>
            <w:pPr>
              <w:pStyle w:val="TableContents"/>
              <w:spacing w:before="0" w:after="0"/>
              <w:ind w:left="0" w:right="0" w:hanging="0"/>
              <w:jc w:val="left"/>
              <w:rPr/>
            </w:pPr>
            <w:r>
              <w:rPr/>
              <w:t> </w:t>
            </w:r>
          </w:p>
        </w:tc>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September 2018</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Mace Rothenberg, M.D.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Director</w:t>
            </w:r>
          </w:p>
        </w:tc>
        <w:tc>
          <w:tcPr>
            <w:tcW w:w="146" w:type="dxa"/>
            <w:tcBorders/>
            <w:shd w:fill="auto" w:val="clear"/>
            <w:vAlign w:val="center"/>
          </w:tcPr>
          <w:p>
            <w:pPr>
              <w:pStyle w:val="TableContents"/>
              <w:spacing w:before="0" w:after="0"/>
              <w:ind w:left="0" w:right="0" w:hanging="0"/>
              <w:jc w:val="left"/>
              <w:rPr/>
            </w:pPr>
            <w:r>
              <w:rPr/>
              <w:t> </w:t>
            </w:r>
          </w:p>
        </w:tc>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March 2021</w:t>
            </w:r>
          </w:p>
        </w:tc>
      </w:tr>
      <w:tr>
        <w:trPr/>
        <w:tc>
          <w:tcPr>
            <w:tcW w:w="6197" w:type="dxa"/>
            <w:gridSpan w:val="7"/>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Class III Directors with terms that will expire at the 2024 Annual Meeting</w:t>
            </w:r>
          </w:p>
        </w:tc>
        <w:tc>
          <w:tcPr>
            <w:tcW w:w="146" w:type="dxa"/>
            <w:tcBorders/>
            <w:shd w:fill="auto" w:val="clear"/>
            <w:vAlign w:val="center"/>
          </w:tcPr>
          <w:p>
            <w:pPr>
              <w:pStyle w:val="TableContents"/>
              <w:spacing w:before="0" w:after="0"/>
              <w:ind w:left="0" w:right="0" w:hanging="0"/>
              <w:jc w:val="left"/>
              <w:rPr/>
            </w:pPr>
            <w:r>
              <w:rPr/>
              <w:t> </w:t>
            </w:r>
          </w:p>
        </w:tc>
        <w:tc>
          <w:tcPr>
            <w:tcW w:w="2056" w:type="dxa"/>
            <w:tcBorders/>
            <w:shd w:fill="auto" w:val="clear"/>
            <w:vAlign w:val="center"/>
          </w:tcPr>
          <w:p>
            <w:pPr>
              <w:pStyle w:val="TableContents"/>
              <w:spacing w:before="0" w:after="0"/>
              <w:ind w:left="0" w:right="0" w:hanging="0"/>
              <w:jc w:val="left"/>
              <w:rPr/>
            </w:pPr>
            <w:r>
              <w:rPr/>
              <w:t> </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Alexis Borisy</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Director and Chairman of the Board</w:t>
            </w:r>
          </w:p>
        </w:tc>
        <w:tc>
          <w:tcPr>
            <w:tcW w:w="146" w:type="dxa"/>
            <w:tcBorders/>
            <w:shd w:fill="auto" w:val="clear"/>
            <w:vAlign w:val="center"/>
          </w:tcPr>
          <w:p>
            <w:pPr>
              <w:pStyle w:val="TableContents"/>
              <w:spacing w:before="0" w:after="0"/>
              <w:ind w:left="0" w:right="0" w:hanging="0"/>
              <w:jc w:val="left"/>
              <w:rPr/>
            </w:pPr>
            <w:r>
              <w:rPr/>
              <w:t> </w:t>
            </w:r>
          </w:p>
        </w:tc>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March 2017</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Aaron Davis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Director</w:t>
            </w:r>
          </w:p>
        </w:tc>
        <w:tc>
          <w:tcPr>
            <w:tcW w:w="146" w:type="dxa"/>
            <w:tcBorders/>
            <w:shd w:fill="auto" w:val="clear"/>
            <w:vAlign w:val="center"/>
          </w:tcPr>
          <w:p>
            <w:pPr>
              <w:pStyle w:val="TableContents"/>
              <w:spacing w:before="0" w:after="0"/>
              <w:ind w:left="0" w:right="0" w:hanging="0"/>
              <w:jc w:val="left"/>
              <w:rPr/>
            </w:pPr>
            <w:r>
              <w:rPr/>
              <w:t> </w:t>
            </w:r>
          </w:p>
        </w:tc>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April 2020</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Barbara Weber, M.D.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President, Chief Executive Officer and Director</w:t>
            </w:r>
          </w:p>
        </w:tc>
        <w:tc>
          <w:tcPr>
            <w:tcW w:w="146" w:type="dxa"/>
            <w:tcBorders/>
            <w:shd w:fill="auto" w:val="clear"/>
            <w:vAlign w:val="center"/>
          </w:tcPr>
          <w:p>
            <w:pPr>
              <w:pStyle w:val="TableContents"/>
              <w:spacing w:before="0" w:after="0"/>
              <w:ind w:left="0" w:right="0" w:hanging="0"/>
              <w:jc w:val="left"/>
              <w:rPr/>
            </w:pPr>
            <w:r>
              <w:rPr/>
              <w:t> </w:t>
            </w:r>
          </w:p>
        </w:tc>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March 2017</w:t>
            </w:r>
          </w:p>
        </w:tc>
      </w:tr>
    </w:tbl>
    <w:p>
      <w:pPr>
        <w:pStyle w:val="TextBody"/>
        <w:spacing w:before="240" w:after="0"/>
        <w:jc w:val="left"/>
        <w:rPr>
          <w:rFonts w:ascii="Times New Roman" w:hAnsi="Times New Roman"/>
          <w:sz w:val="20"/>
        </w:rPr>
      </w:pPr>
      <w:r>
        <w:rPr>
          <w:rFonts w:ascii="Times New Roman;serif" w:hAnsi="Times New Roman;serif"/>
          <w:b w:val="false"/>
          <w:sz w:val="20"/>
        </w:rPr>
        <w:t>Upon the expiration of the term of a class of directors, directors in that class will be eligible to be elected for a new three-year term at the annual meeting of stockholders in the year in which their term expires.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Nominees for Election as Class II</w:t>
      </w:r>
      <w:r>
        <w:rPr>
          <w:rFonts w:ascii="Times New Roman" w:hAnsi="Times New Roman"/>
          <w:sz w:val="20"/>
        </w:rPr>
        <w:t xml:space="preserve"> </w:t>
      </w:r>
      <w:r>
        <w:rPr>
          <w:rFonts w:ascii="Times New Roman;serif" w:hAnsi="Times New Roman;serif"/>
          <w:b/>
          <w:sz w:val="20"/>
        </w:rPr>
        <w:t>Directors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board of directors has nominated Malte Peters, M.D. and Mace Rothenberg, M.D. for election as Class II directors to serve for a three-year term ending at the 2026 annual meeting and until their successors are elected and qualified. Each of the nominees is a current member of our board of directors and has consented to serve if elected.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Vote Required and Board of Directors’ Recommendation</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Each stockholder has one vote per share. Stockholders do not have the right to vote cumulatively in electing directors.</w:t>
      </w:r>
    </w:p>
    <w:p>
      <w:pPr>
        <w:pStyle w:val="TextBody"/>
        <w:spacing w:before="240" w:after="0"/>
        <w:jc w:val="left"/>
        <w:rPr>
          <w:rFonts w:ascii="Times New Roman" w:hAnsi="Times New Roman"/>
          <w:sz w:val="20"/>
        </w:rPr>
      </w:pPr>
      <w:r>
        <w:rPr>
          <w:rFonts w:ascii="Times New Roman;serif" w:hAnsi="Times New Roman;serif"/>
          <w:b w:val="false"/>
          <w:sz w:val="20"/>
        </w:rPr>
        <w:t>The nominees for Class II director who receive the most votes (also known as a plurality) will be elected. You may vote either FOR all the nominees, WITHHOLD your vote from all the nominees or WITHHOLD your vote from any one or more of the nominees. Shares voting “withheld” will have no effect on the election of directors. If your shares are held in “street name” by a broker, bank or other nominee, your broker, bank or other nominee does not have authority to vote your unvoted shares held by the firm for the election of directors. As a result, any shares not voted by you will be treated as a broker non-vote. Such broker non-votes will have no effect on the results of this vote.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proxies will be voted in favor of the above nominees unless a contrary specification is made in the proxy. The nominees have consented to serve as our directors if elected. However, if a nominee is unable to serve or for good cause will not serve as a director, the proxies will be voted for the election of such substitute nominee as our board of directors may designate.</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sz w:val="20"/>
        </w:rPr>
        <w:t>The Board of Directors recommends voting “FOR” the election of Malte Peters, M.D. and Mace Rothenberg, M.D.</w:t>
      </w:r>
      <w:r>
        <w:rPr>
          <w:rFonts w:ascii="Times New Roman" w:hAnsi="Times New Roman"/>
          <w:sz w:val="20"/>
        </w:rPr>
        <w:t xml:space="preserve"> </w:t>
      </w:r>
      <w:r>
        <w:rPr>
          <w:rFonts w:ascii="Times New Roman;serif" w:hAnsi="Times New Roman;serif"/>
          <w:b/>
          <w:sz w:val="20"/>
        </w:rPr>
        <w:t>as Class II directors, to serve for a three-year term ending at the annual meeting of stockholders to be held in 2026.</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0" w:after="240"/>
        <w:jc w:val="center"/>
        <w:rPr>
          <w:rFonts w:ascii="Times New Roman;serif" w:hAnsi="Times New Roman;serif"/>
          <w:b/>
          <w:sz w:val="20"/>
        </w:rPr>
      </w:pPr>
      <w:bookmarkStart w:id="6" w:name="general_info_bod"/>
      <w:bookmarkEnd w:id="6"/>
      <w:r>
        <w:rPr>
          <w:rFonts w:ascii="Times New Roman;serif" w:hAnsi="Times New Roman;serif"/>
          <w:b/>
          <w:sz w:val="20"/>
        </w:rPr>
        <w:t>GENERAL INFORMATION ABOUT THE BOARD OF DIRECTORS</w:t>
      </w:r>
    </w:p>
    <w:p>
      <w:pPr>
        <w:pStyle w:val="TextBody"/>
        <w:spacing w:before="0" w:after="240"/>
        <w:jc w:val="left"/>
        <w:rPr>
          <w:rFonts w:ascii="Times New Roman;serif" w:hAnsi="Times New Roman;serif"/>
          <w:b/>
          <w:sz w:val="20"/>
        </w:rPr>
      </w:pPr>
      <w:r>
        <w:rPr>
          <w:rFonts w:ascii="Times New Roman;serif" w:hAnsi="Times New Roman;serif"/>
          <w:b/>
          <w:sz w:val="20"/>
        </w:rPr>
        <w:t>Our Board of Directors</w:t>
      </w:r>
    </w:p>
    <w:p>
      <w:pPr>
        <w:pStyle w:val="TextBody"/>
        <w:spacing w:before="0" w:after="0"/>
        <w:jc w:val="left"/>
        <w:rPr>
          <w:rFonts w:ascii="Times New Roman" w:hAnsi="Times New Roman"/>
          <w:sz w:val="20"/>
        </w:rPr>
      </w:pPr>
      <w:r>
        <w:rPr>
          <w:rFonts w:ascii="Times New Roman;serif" w:hAnsi="Times New Roman;serif"/>
          <w:b w:val="false"/>
          <w:sz w:val="20"/>
        </w:rPr>
        <w:t>On August 10, 2021, BCTG Acquisition Corp., a Delaware corporation, or BCTG, consummated a business combination, or Business Combination, pursuant to the terms of the Agreement and Plan of Merger, dated as of April 13, 2021, by and among BCTG, BCTG Merger Sub Inc., a Delaware corporation and Tango Therapeutics, Inc. (now known as Tango Therapeutics Sub, Inc., which we refer to as “Tango” in this proxy statement prior to the closing of the Business Commination). Upon the consummation of the Business Combination, our board of directors was divided into three staggered classes of directors, with each director assigned to one of the three classes. At each annual meeting of our stockholders, a class of directors will be elected for a three-year term to succeed the directors of the same class whose terms are then expiring. The terms of the directors will expire upon the election and qualification of successor directors at the Annual Meeting for Class II directors, at the annual meeting of stockholders to be held during the year 2024 for Class III directors and at the annual meeting of stockholders to be held during the year 2025 for Class I directors. Lesley Ann Calhoun and Reid Huber currently serve as our Class I directors, Malte Peters and Mace Rothenberg currently serve as our Class II directors and Alexis Borisy, Aaron Davis and Barbara Weber currently serve as our Class III directors.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certificate of incorporation and bylaws provide that the number of directors shall be fixed solely and exclusively by a resolution adopted from time to time by our board of directors.</w:t>
      </w:r>
    </w:p>
    <w:p>
      <w:pPr>
        <w:pStyle w:val="TextBody"/>
        <w:spacing w:before="240" w:after="0"/>
        <w:jc w:val="left"/>
        <w:rPr>
          <w:rFonts w:ascii="Times New Roman;serif" w:hAnsi="Times New Roman;serif"/>
          <w:b/>
          <w:sz w:val="20"/>
        </w:rPr>
      </w:pPr>
      <w:r>
        <w:rPr>
          <w:rFonts w:ascii="Times New Roman;serif" w:hAnsi="Times New Roman;serif"/>
          <w:b/>
          <w:sz w:val="20"/>
        </w:rPr>
        <w:t>Class II Director Nominees for Election for a Three-Year Term Ending at the 2026 Annual Meeting</w:t>
      </w:r>
    </w:p>
    <w:p>
      <w:pPr>
        <w:pStyle w:val="TextBody"/>
        <w:spacing w:before="240" w:after="240"/>
        <w:jc w:val="left"/>
        <w:rPr>
          <w:rFonts w:ascii="Times New Roman" w:hAnsi="Times New Roman"/>
          <w:sz w:val="20"/>
        </w:rPr>
      </w:pPr>
      <w:r>
        <w:rPr>
          <w:rFonts w:ascii="Times New Roman;serif" w:hAnsi="Times New Roman;serif"/>
          <w:b w:val="false"/>
          <w:i/>
          <w:sz w:val="20"/>
        </w:rPr>
        <w:t>Malte Peters, M.D.</w:t>
      </w:r>
      <w:r>
        <w:rPr>
          <w:rFonts w:ascii="Times New Roman;serif" w:hAnsi="Times New Roman;serif"/>
          <w:b w:val="false"/>
          <w:sz w:val="20"/>
        </w:rPr>
        <w:t>, has served on our board of directors since September 2018. From March 2020 to December 2022, Dr. Peters served as Chief Research and Development Officer of MorphoSys AG, a biopharmaceutical company, and prior to that served as its Chief Development Officer and member of its management board since March 2017. Prior to his time at MorphoSys, Dr. Peters served as the Global Head of Clinical Development of the Biopharmaceuticals Business Unit at Sandoz International. From 2004 to 2015, he served as Clinical Head and Site Head for Basel and East Hanover in the Department of Oncology Translational Medicine at Novartis. Dr. Peters has also held teaching appointments in Internal Medicine and Biochemistry at the University of Mainz, Germany, served as Research Scientist at the Amgen Research Institute in Toronto, Canada, as Director of Cancer Research at Merck KGaA and as Medical Director at Micromet AG. Dr. Peters received his Doctor of Medicine from the Freie Universität Berlin, Germany, and was trained at the Universities of Padova, Italy, and Bochum and Berlin, Germany. After scientific work at different universities he habilitated in Internal Medicine at the University of Mainz, Germany. We believe Dr. Peters’ extensive knowledge of the biotechnology industry makes him qualified to serve on our board of directors.</w:t>
      </w:r>
    </w:p>
    <w:p>
      <w:pPr>
        <w:pStyle w:val="TextBody"/>
        <w:spacing w:before="0" w:after="240"/>
        <w:jc w:val="left"/>
        <w:rPr>
          <w:rFonts w:ascii="Times New Roman" w:hAnsi="Times New Roman"/>
          <w:sz w:val="20"/>
        </w:rPr>
      </w:pPr>
      <w:r>
        <w:rPr>
          <w:rFonts w:ascii="Times New Roman;serif" w:hAnsi="Times New Roman;serif"/>
          <w:b w:val="false"/>
          <w:i/>
          <w:sz w:val="20"/>
        </w:rPr>
        <w:t xml:space="preserve">Mace Rothenberg, M.D., </w:t>
      </w:r>
      <w:r>
        <w:rPr>
          <w:rFonts w:ascii="Times New Roman;serif" w:hAnsi="Times New Roman;serif"/>
          <w:b w:val="false"/>
          <w:sz w:val="20"/>
        </w:rPr>
        <w:t>has served on our board of directors since March 2021. Dr. Rothenberg was previously at Pfizer, Inc., a pharmaceutical company, where he served as Chief Medical Officer and Head of Worldwide Medical and Safety from 2019 to 2021, Chief Development Officer for Oncology from 2016 to 2018, and Senior Vice President for Clinical Development and Medical Affairs for Pfizer Oncology from 2008 to 2016. Prior to joining Pfizer, Dr. Rothenberg spent 25 years in academia, serving on the faculties of the University of Texas Health Science Center — San Antonio and Vanderbilt University Medical Center. Dr. Rothenberg is a fellow of the American College of Physicians and the American Society of Clinical Oncology and is board-certified in Internal Medicine and Medical Oncology. Dr. Rothenberg has been a member of the board of directors of Surrozen, Inc., a biotechnology company discovering and developing drug candidates to selectively modulate the Wnt pathway, since May 2021 and Aulos Bioscience, a privately-held immuno-oncology company, since March 2021. Dr. Rothenberg received his B.A. from the University of Pennsylvania, his M.D. from the New York University School of Medicine, completed his residency in Internal Medicine at Vanderbilt University and his fellowship in Medical Oncology at the National Cancer Institute. We believe Dr. Rothenberg’s industry experience and life science expertise make him qualified to serve on our board of directors.</w:t>
      </w:r>
    </w:p>
    <w:p>
      <w:pPr>
        <w:pStyle w:val="TextBody"/>
        <w:spacing w:before="240" w:after="0"/>
        <w:jc w:val="left"/>
        <w:rPr>
          <w:rFonts w:ascii="Times New Roman;serif" w:hAnsi="Times New Roman;serif"/>
          <w:b/>
          <w:sz w:val="20"/>
        </w:rPr>
      </w:pPr>
      <w:r>
        <w:rPr>
          <w:rFonts w:ascii="Times New Roman;serif" w:hAnsi="Times New Roman;serif"/>
          <w:b/>
          <w:sz w:val="20"/>
        </w:rPr>
        <w:t>Class I Directors Continuing in Office Until the 2025 Annual Meeting</w:t>
      </w:r>
    </w:p>
    <w:p>
      <w:pPr>
        <w:pStyle w:val="TextBody"/>
        <w:spacing w:before="240" w:after="240"/>
        <w:jc w:val="left"/>
        <w:rPr>
          <w:rFonts w:ascii="Times New Roman" w:hAnsi="Times New Roman"/>
          <w:sz w:val="20"/>
        </w:rPr>
      </w:pPr>
      <w:r>
        <w:rPr>
          <w:rFonts w:ascii="Times New Roman;serif" w:hAnsi="Times New Roman;serif"/>
          <w:b w:val="false"/>
          <w:i/>
          <w:sz w:val="20"/>
        </w:rPr>
        <w:t>Lesley Ann Calhoun</w:t>
      </w:r>
      <w:r>
        <w:rPr>
          <w:rFonts w:ascii="Times New Roman" w:hAnsi="Times New Roman"/>
          <w:sz w:val="20"/>
        </w:rPr>
        <w:t xml:space="preserve"> </w:t>
      </w:r>
      <w:r>
        <w:rPr>
          <w:rFonts w:ascii="Times New Roman;serif" w:hAnsi="Times New Roman;serif"/>
          <w:b w:val="false"/>
          <w:sz w:val="20"/>
        </w:rPr>
        <w:t>has served as a member of our board of directors since March 2021. Since June 2020, Ms. Calhoun has served as Executive Vice President and Chief Financial Officer at Aligos Therapeutics, Inc., a clinical stage biopharmaceutical company. From August 2016 to June 2020, Ms. Calhoun served as Senior Vice President of Finance &amp; Administration and Chief Accounting Officer at Global Blood Therapeutics, Inc. From January 2013 to September 2015, Ms. Calhoun served as Vice President of Finance at Hyperion Therapeutics, Inc., a commercial pharmaceutical company, which was acquired by Horizon Pharma plc, a biopharmaceutical company, in May 2015. Prior to Horizon Pharma, Ms. Calhoun served as Senior Director of Finance and Corporate Controller at Theravance, Inc., a biopharmaceutical company, from August 2005 to January 2013. Prior to Theravance, Ms. Calhoun held various senior finance positions of increasing responsibility where she oversaw all aspects of finance and accounting operations for U.S. and multinational, publicly-traded and pre-IPO stage technology companies and in the biopharmaceutical industry. Earlier in her career, Ms. Calhoun was a member of the audit practice of Deloitte &amp; Touche LLP from 1989 to 2001. Ms. Calhoun holds a B.S. in business administration with a concentration in accounting from San Francisco State University and is a Certified Public Accountant (inactive).</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We believe that Ms. Calhoun’s financial and accounting expertise and her experience in the finance and life sciences industries qualify her to serve as a member of our board of directors.</w:t>
      </w:r>
    </w:p>
    <w:p>
      <w:pPr>
        <w:pStyle w:val="TextBody"/>
        <w:spacing w:before="0" w:after="240"/>
        <w:jc w:val="left"/>
        <w:rPr>
          <w:rFonts w:ascii="Times New Roman" w:hAnsi="Times New Roman"/>
          <w:sz w:val="20"/>
        </w:rPr>
      </w:pPr>
      <w:r>
        <w:rPr>
          <w:rFonts w:ascii="Times New Roman;serif" w:hAnsi="Times New Roman;serif"/>
          <w:b w:val="false"/>
          <w:i/>
          <w:sz w:val="20"/>
        </w:rPr>
        <w:t>Reid M. Huber, Ph.D.,</w:t>
      </w:r>
      <w:r>
        <w:rPr>
          <w:rFonts w:ascii="Times New Roman" w:hAnsi="Times New Roman"/>
          <w:sz w:val="20"/>
        </w:rPr>
        <w:t xml:space="preserve"> </w:t>
      </w:r>
      <w:r>
        <w:rPr>
          <w:rFonts w:ascii="Times New Roman;serif" w:hAnsi="Times New Roman;serif"/>
          <w:b w:val="false"/>
          <w:sz w:val="20"/>
        </w:rPr>
        <w:t>has served as a member of our board of directors since July 2019. Dr. Huber has served as a Partner at Third Rock Ventures since December 2018. From April 2014 to December 2018, Dr. Huber served as Executive Vice President and Chief Scientific Officer at Incyte Corporation, a pharmaceutical company. From 2002 to 2014, Dr. Huber held various roles of increasing responsibility at Incyte. Prior to joining Incyte, Dr. Huber held scientific research positions at DuPont Pharmaceuticals and Bristol-Myers Squibb from 1997 to 2002. Dr. Huber has served on the board of directors of Bellicum Pharmaceuticals, Inc. (NASDAQ: BLCM) since October 2014 and also currently serves on the board of MOMA Therapeutics, Asher Bio, Insitro and The American Cancer Society. Dr. Huber received his Ph.D. in molecular genetics from the Washington University School of Medicine and held pre- and post-doctoral fellowships at the National Institutes of Health. We believe that Dr. Huber’s extensive background in the pharmaceutical industry and senior management experience qualify him to serve on our board of directors.</w:t>
      </w:r>
    </w:p>
    <w:p>
      <w:pPr>
        <w:pStyle w:val="TextBody"/>
        <w:spacing w:before="240" w:after="0"/>
        <w:jc w:val="left"/>
        <w:rPr>
          <w:rFonts w:ascii="Times New Roman;serif" w:hAnsi="Times New Roman;serif"/>
          <w:b/>
          <w:sz w:val="20"/>
        </w:rPr>
      </w:pPr>
      <w:r>
        <w:rPr>
          <w:rFonts w:ascii="Times New Roman;serif" w:hAnsi="Times New Roman;serif"/>
          <w:b/>
          <w:sz w:val="20"/>
        </w:rPr>
        <w:t>Class III Directors Continuing in Office Until the 2024 Annual Meeting</w:t>
      </w:r>
    </w:p>
    <w:p>
      <w:pPr>
        <w:pStyle w:val="TextBody"/>
        <w:spacing w:before="240" w:after="240"/>
        <w:jc w:val="left"/>
        <w:rPr>
          <w:rFonts w:ascii="Times New Roman" w:hAnsi="Times New Roman"/>
          <w:sz w:val="20"/>
        </w:rPr>
      </w:pPr>
      <w:r>
        <w:rPr>
          <w:rFonts w:ascii="Times New Roman;serif" w:hAnsi="Times New Roman;serif"/>
          <w:b w:val="false"/>
          <w:i/>
          <w:sz w:val="20"/>
        </w:rPr>
        <w:t>Alexis Borisy</w:t>
      </w:r>
      <w:r>
        <w:rPr>
          <w:rFonts w:ascii="Times New Roman" w:hAnsi="Times New Roman"/>
          <w:sz w:val="20"/>
        </w:rPr>
        <w:t xml:space="preserve"> </w:t>
      </w:r>
      <w:r>
        <w:rPr>
          <w:rFonts w:ascii="Times New Roman;serif" w:hAnsi="Times New Roman;serif"/>
          <w:b w:val="false"/>
          <w:sz w:val="20"/>
        </w:rPr>
        <w:t>has served as a member of our board of directors since our founding in 2017 and as the chairman of the board of directors since August 2021. Mr. Borisy is the co-founder and operating chairman of Curie.Bio, a new model for venture in biotech. In 2022, Mr. Borisy co-founded IDRx, Inc., a biopharmaceutical company and did the initial build through Borisy Labs Production, LLC. Also In 2022, Mr. Borisy became a Director of Nextech Invest, a Swiss-based venture firm. Since June 2019, Mr. Borisy has served as Chief Executive Officer and Chairman of EQRx, Inc., (NASDAQ: EQRX), a biotechnology company. From 2010 to June 2019, Mr. Borisy was a partner at Third Rock Ventures, a series of venture capital funds investing in life science companies. Mr. Borisy co-founded Blueprint Medicines Corporation (NASDAQ: BPMC), a biopharmaceutical company, and served as its Interim Chief Executive Officer from 2013 to 2014 and has served as a member of its board of directors since 2011. Mr. Borisy co-founded Foundation Medicine, Inc. and served as its Interim Chief Executive Officer from 2009 to 2011 and served as a member of its board of directors from 2009 to July 2018, until its acquisition by Roche. In addition, during the past five years Mr. Borisy has served as a member of the board of directors of various public companies, including Relay Therapeutics, Inc. (NASDAQ: RLAY), Revolution Medicines, Inc. (NASDAQ: RVMD), Magenta Therapeutics, Inc. (NASDAQ: MGTA) and Editas Medicine, Inc. (NASDAQ: EDIT). Mr. Borisy received an A.B. in Chemistry from the University of Chicago and an A.M. in Chemistry and Chemical Biology from Harvard University. We believe Mr. Borisy’s extensive experience as an executive of, and working with and serving on the boards of directors of, multiple biopharmaceutical and life sciences companies, his educational background and his experience working in the venture capital industry provide him with the qualifications and skills necessary to serve as a member of our board of directors.</w:t>
      </w:r>
    </w:p>
    <w:p>
      <w:pPr>
        <w:pStyle w:val="TextBody"/>
        <w:spacing w:before="0" w:after="0"/>
        <w:jc w:val="left"/>
        <w:rPr>
          <w:rFonts w:ascii="Times New Roman" w:hAnsi="Times New Roman"/>
          <w:sz w:val="20"/>
        </w:rPr>
      </w:pPr>
      <w:r>
        <w:rPr>
          <w:rFonts w:ascii="Times New Roman;serif" w:hAnsi="Times New Roman;serif"/>
          <w:b w:val="false"/>
          <w:i/>
          <w:sz w:val="20"/>
        </w:rPr>
        <w:t>Aaron Davis</w:t>
      </w:r>
      <w:r>
        <w:rPr>
          <w:rFonts w:ascii="Times New Roman" w:hAnsi="Times New Roman"/>
          <w:sz w:val="20"/>
        </w:rPr>
        <w:t xml:space="preserve"> </w:t>
      </w:r>
      <w:r>
        <w:rPr>
          <w:rFonts w:ascii="Times New Roman;serif" w:hAnsi="Times New Roman;serif"/>
          <w:b w:val="false"/>
          <w:sz w:val="20"/>
        </w:rPr>
        <w:t>has served as a member of our board of directors since May 2020. Mr. Davis is Co-Founder and Chief Executive Officer of Boxer Capital, LLC. After joining Tavistock Group as Portfolio Manager in 2005, Mr. Davis scaled Tavistock Group’s public healthcare investing activities and founded Boxer Capital, LLC. Prior to the Business Combination, Mr. Davis was the Chairman and Chief Executive Officer of BCTG Acquisition Corp., our predecessor company. Mr. Davis is a member of the board of directors of iTeos Therapeutics, Inc. (NASDAQ: ITOS), Mirati Therapeutics Inc. (NASDAQ: MRTX), and Rain Oncology Inc. (NASDAQ: RAIN). From 2000 to 2004, Mr. Davis worked in the Global Healthcare Investment Banking and Private Equity Group at UBS Warburg, LLC. Mr. Davis received an M.A. degree in biotechnology from Columbia University and a B.B.A. degree in finance from Emory University. We believe that Mr. Davis’s experience serving as a director of multiple biotechnology companies and his knowledge of funds specializing in the area of life sciences makes him qualified to serve as a member of our board of directors.</w:t>
      </w:r>
    </w:p>
    <w:p>
      <w:pPr>
        <w:pStyle w:val="TextBody"/>
        <w:spacing w:before="240" w:after="240"/>
        <w:jc w:val="left"/>
        <w:rPr>
          <w:rFonts w:ascii="Times New Roman" w:hAnsi="Times New Roman"/>
          <w:sz w:val="20"/>
        </w:rPr>
      </w:pPr>
      <w:r>
        <w:rPr>
          <w:rFonts w:ascii="Times New Roman;serif" w:hAnsi="Times New Roman;serif"/>
          <w:b w:val="false"/>
          <w:i/>
          <w:sz w:val="20"/>
        </w:rPr>
        <w:t>Barbara Weber, M.D.</w:t>
      </w:r>
      <w:r>
        <w:rPr>
          <w:rFonts w:ascii="Times New Roman" w:hAnsi="Times New Roman"/>
          <w:sz w:val="20"/>
        </w:rPr>
        <w:t xml:space="preserve"> </w:t>
      </w:r>
      <w:r>
        <w:rPr>
          <w:rFonts w:ascii="Times New Roman;serif" w:hAnsi="Times New Roman;serif"/>
          <w:b w:val="false"/>
          <w:sz w:val="20"/>
        </w:rPr>
        <w:t>has served as our President and Chief Executive Officer since March 2017. Dr. Weber has been a Venture Partner at Third Rock Ventures since March 2015. Previously, Dr. Weber served as Senior Vice President, Oncology Translational Medicine, Novartis from 2009 to 2015, Vice President, Oncology, GSK from 2005 to 2009 and Professor, Medicine and Genetics, University of Pennsylvania from 1994 to 2005. Dr. Weber has served on the board of directors of Revolution Medicines, Inc. (NASDAQ: RVMD), a biotechnology company, since April 2018, Fog Pharma, a private biopharmaceutical company, since October 2018, and OPY Acquisition Corp. I (NASDAQ: OHAA), a special purpose acquisition company, since October 2021. Dr. Weber received a B.S. in Chemistry and an M.D. from the University of Washington, was a resident in internal medicine at Yale University and fellow in Medical Oncology at the Dana Farber Cancer Institute. We believe Dr. Weber qualifies to serve on our board based on her position as our President and Chief Executive Officer, her leadership experience and her extensive experience in the biopharmaceutical industry.</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sz w:val="20"/>
        </w:rPr>
        <w:t>Board Diversity Matrix</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val="false"/>
          <w:sz w:val="20"/>
        </w:rPr>
        <w:t>Our board possesses a deep set of skills and experiences that are critical to providing the necessary oversight and strategic direction for a clinical stage biopharmaceutical company. Each director is individually qualified to make unique and substantial contributions to our board based upon the experience, knowledge, background and skills that they have obtained in the course of their extensive careers. Our directors’ diverse viewpoints and independent mindedness enhance, we believe, the quality and effectiveness of the board of directors in carrying out its duties and responsibilities. Our board provides an appropriate balance of executive, financial, research and clinical development necessary for oversight of a biopharmaceutical company at our stage of development.</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composition of our board of directors currently includes two individuals who are diverse under the Nasdaq Stock Market LLC, or Nasdaq, listing rule regarding board diversity, representing gender diversity of 29% and ethnic diversity of 14%, as presented in the below Board Diversity Matrix. Under the Nasdaq listing rule, directors who self-identify as (i) female, (ii) an underrepresented minority or (iii) LGBTQ+ are defined as being diverse. The following table provides certain self-identified personal characteristics of our directors, in accordance with Rule 5605(f) of the Nasdaq listing standards:</w:t>
      </w:r>
    </w:p>
    <w:p>
      <w:pPr>
        <w:pStyle w:val="TextBody"/>
        <w:spacing w:before="0" w:after="0"/>
        <w:jc w:val="left"/>
        <w:rPr/>
      </w:pPr>
      <w:r>
        <w:rPr/>
        <w:t> </w:t>
      </w:r>
    </w:p>
    <w:tbl>
      <w:tblPr>
        <w:tblW w:w="8135" w:type="dxa"/>
        <w:jc w:val="left"/>
        <w:tblInd w:w="0" w:type="dxa"/>
        <w:tblCellMar>
          <w:top w:w="28" w:type="dxa"/>
          <w:left w:w="28" w:type="dxa"/>
          <w:bottom w:w="28" w:type="dxa"/>
          <w:right w:w="28" w:type="dxa"/>
        </w:tblCellMar>
      </w:tblPr>
      <w:tblGrid>
        <w:gridCol w:w="3691"/>
        <w:gridCol w:w="691"/>
        <w:gridCol w:w="526"/>
        <w:gridCol w:w="1066"/>
        <w:gridCol w:w="2161"/>
      </w:tblGrid>
      <w:tr>
        <w:trPr/>
        <w:tc>
          <w:tcPr>
            <w:tcW w:w="369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2161" w:type="dxa"/>
            <w:tcBorders/>
            <w:shd w:fill="auto" w:val="clear"/>
            <w:vAlign w:val="center"/>
          </w:tcPr>
          <w:p>
            <w:pPr>
              <w:pStyle w:val="TableContents"/>
              <w:spacing w:before="0" w:after="283"/>
              <w:rPr>
                <w:sz w:val="4"/>
                <w:szCs w:val="4"/>
              </w:rPr>
            </w:pPr>
            <w:r>
              <w:rPr>
                <w:sz w:val="4"/>
                <w:szCs w:val="4"/>
              </w:rPr>
            </w:r>
          </w:p>
        </w:tc>
      </w:tr>
      <w:tr>
        <w:trPr/>
        <w:tc>
          <w:tcPr>
            <w:tcW w:w="8135"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As of April 24, 2023</w:t>
            </w:r>
          </w:p>
        </w:tc>
      </w:tr>
      <w:tr>
        <w:trPr/>
        <w:tc>
          <w:tcPr>
            <w:tcW w:w="369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Number of Directors</w:t>
            </w:r>
          </w:p>
        </w:tc>
        <w:tc>
          <w:tcPr>
            <w:tcW w:w="4444" w:type="dxa"/>
            <w:gridSpan w:val="4"/>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w:t>
            </w:r>
          </w:p>
        </w:tc>
      </w:tr>
      <w:tr>
        <w:trPr/>
        <w:tc>
          <w:tcPr>
            <w:tcW w:w="369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center"/>
              <w:rPr/>
            </w:pPr>
            <w:r>
              <w:rPr/>
              <w:t> </w:t>
            </w:r>
          </w:p>
        </w:tc>
        <w:tc>
          <w:tcPr>
            <w:tcW w:w="691"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Female</w:t>
            </w:r>
          </w:p>
        </w:tc>
        <w:tc>
          <w:tcPr>
            <w:tcW w:w="52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Male</w:t>
            </w:r>
          </w:p>
        </w:tc>
        <w:tc>
          <w:tcPr>
            <w:tcW w:w="106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Non-Binary</w:t>
            </w:r>
          </w:p>
        </w:tc>
        <w:tc>
          <w:tcPr>
            <w:tcW w:w="2161"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Did Not Disclose Gender</w:t>
            </w:r>
          </w:p>
        </w:tc>
      </w:tr>
      <w:tr>
        <w:trPr/>
        <w:tc>
          <w:tcPr>
            <w:tcW w:w="8135" w:type="dxa"/>
            <w:gridSpan w:val="5"/>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 Gender Identity</w:t>
            </w:r>
          </w:p>
        </w:tc>
      </w:tr>
      <w:tr>
        <w:trPr/>
        <w:tc>
          <w:tcPr>
            <w:tcW w:w="369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Directors</w:t>
            </w:r>
          </w:p>
        </w:tc>
        <w:tc>
          <w:tcPr>
            <w:tcW w:w="691"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w:t>
            </w:r>
          </w:p>
        </w:tc>
        <w:tc>
          <w:tcPr>
            <w:tcW w:w="52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w:t>
            </w:r>
          </w:p>
        </w:tc>
        <w:tc>
          <w:tcPr>
            <w:tcW w:w="106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2161"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r>
      <w:tr>
        <w:trPr/>
        <w:tc>
          <w:tcPr>
            <w:tcW w:w="8135" w:type="dxa"/>
            <w:gridSpan w:val="5"/>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 Demographic Background</w:t>
            </w:r>
          </w:p>
        </w:tc>
      </w:tr>
      <w:tr>
        <w:trPr/>
        <w:tc>
          <w:tcPr>
            <w:tcW w:w="369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African American or Black</w:t>
            </w:r>
          </w:p>
        </w:tc>
        <w:tc>
          <w:tcPr>
            <w:tcW w:w="691"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c>
          <w:tcPr>
            <w:tcW w:w="52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106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2161"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r>
      <w:tr>
        <w:trPr/>
        <w:tc>
          <w:tcPr>
            <w:tcW w:w="369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Alaskan Native or Native American</w:t>
            </w:r>
          </w:p>
        </w:tc>
        <w:tc>
          <w:tcPr>
            <w:tcW w:w="691"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52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106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2161"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r>
      <w:tr>
        <w:trPr/>
        <w:tc>
          <w:tcPr>
            <w:tcW w:w="369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Asian</w:t>
            </w:r>
          </w:p>
        </w:tc>
        <w:tc>
          <w:tcPr>
            <w:tcW w:w="691"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52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106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2161"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r>
      <w:tr>
        <w:trPr/>
        <w:tc>
          <w:tcPr>
            <w:tcW w:w="369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Hispanic or Latinx</w:t>
            </w:r>
          </w:p>
        </w:tc>
        <w:tc>
          <w:tcPr>
            <w:tcW w:w="691"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52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106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2161"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r>
      <w:tr>
        <w:trPr/>
        <w:tc>
          <w:tcPr>
            <w:tcW w:w="369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Native Hawaiian or Pacific Islander</w:t>
            </w:r>
          </w:p>
        </w:tc>
        <w:tc>
          <w:tcPr>
            <w:tcW w:w="691"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52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106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2161"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r>
      <w:tr>
        <w:trPr/>
        <w:tc>
          <w:tcPr>
            <w:tcW w:w="369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White</w:t>
            </w:r>
          </w:p>
        </w:tc>
        <w:tc>
          <w:tcPr>
            <w:tcW w:w="691"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c>
          <w:tcPr>
            <w:tcW w:w="52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w:t>
            </w:r>
          </w:p>
        </w:tc>
        <w:tc>
          <w:tcPr>
            <w:tcW w:w="106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2161"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r>
      <w:tr>
        <w:trPr/>
        <w:tc>
          <w:tcPr>
            <w:tcW w:w="369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Two or More Races or Ethnicities</w:t>
            </w:r>
          </w:p>
        </w:tc>
        <w:tc>
          <w:tcPr>
            <w:tcW w:w="691"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52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106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c>
          <w:tcPr>
            <w:tcW w:w="2161"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r>
      <w:tr>
        <w:trPr/>
        <w:tc>
          <w:tcPr>
            <w:tcW w:w="369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LGBTQ+</w:t>
            </w:r>
          </w:p>
        </w:tc>
        <w:tc>
          <w:tcPr>
            <w:tcW w:w="4444" w:type="dxa"/>
            <w:gridSpan w:val="4"/>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r>
      <w:tr>
        <w:trPr/>
        <w:tc>
          <w:tcPr>
            <w:tcW w:w="369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Did Not Disclose Demographic Background</w:t>
            </w:r>
          </w:p>
        </w:tc>
        <w:tc>
          <w:tcPr>
            <w:tcW w:w="4444" w:type="dxa"/>
            <w:gridSpan w:val="4"/>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0"/>
              <w:ind w:left="0" w:right="0" w:hanging="0"/>
              <w:jc w:val="center"/>
              <w:rPr/>
            </w:pPr>
            <w:r>
              <w:rPr/>
              <w:t> </w:t>
            </w:r>
          </w:p>
        </w:tc>
      </w:tr>
    </w:tbl>
    <w:p>
      <w:pPr>
        <w:pStyle w:val="TextBody"/>
        <w:spacing w:before="0" w:after="0"/>
        <w:jc w:val="left"/>
        <w:rPr/>
      </w:pPr>
      <w:r>
        <w:rPr/>
        <w:t> </w:t>
      </w:r>
    </w:p>
    <w:p>
      <w:pPr>
        <w:pStyle w:val="TextBody"/>
        <w:spacing w:before="0" w:after="240"/>
        <w:jc w:val="left"/>
        <w:rPr>
          <w:rFonts w:ascii="Times New Roman;serif" w:hAnsi="Times New Roman;serif"/>
          <w:b/>
          <w:sz w:val="20"/>
        </w:rPr>
      </w:pPr>
      <w:r>
        <w:rPr>
          <w:rFonts w:ascii="Times New Roman;serif" w:hAnsi="Times New Roman;serif"/>
          <w:b/>
          <w:sz w:val="20"/>
        </w:rPr>
        <w:t>Director Independence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rules of the Nasdaq require that a majority of our board of directors be independent. An “independent director” is defined generally as a person other than an executive officer or employee of our company or any other individual having a relationship which, in the opinion of our board of directors, would interfere with the exercise of independent judgement in carrying out the responsibilities of a director. Our board of directors has determined that each individual who serves on our board, other than Dr. Weber, qualifies as an independent director under the rules of Nasdaq and the SEC.</w:t>
      </w:r>
    </w:p>
    <w:p>
      <w:pPr>
        <w:pStyle w:val="TextBody"/>
        <w:spacing w:before="240" w:after="240"/>
        <w:jc w:val="left"/>
        <w:rPr>
          <w:rFonts w:ascii="Times New Roman;serif" w:hAnsi="Times New Roman;serif"/>
          <w:b/>
          <w:sz w:val="20"/>
        </w:rPr>
      </w:pPr>
      <w:r>
        <w:rPr>
          <w:rFonts w:ascii="Times New Roman;serif" w:hAnsi="Times New Roman;serif"/>
          <w:b/>
          <w:sz w:val="20"/>
        </w:rPr>
        <w:t>Family Relationships</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There are no family relationships among any of our directors or executive officers.</w:t>
      </w:r>
    </w:p>
    <w:p>
      <w:pPr>
        <w:pStyle w:val="TextBody"/>
        <w:spacing w:before="0" w:after="240"/>
        <w:jc w:val="left"/>
        <w:rPr>
          <w:rFonts w:ascii="Times New Roman;serif" w:hAnsi="Times New Roman;serif"/>
          <w:b/>
          <w:sz w:val="20"/>
        </w:rPr>
      </w:pPr>
      <w:r>
        <w:rPr>
          <w:rFonts w:ascii="Times New Roman;serif" w:hAnsi="Times New Roman;serif"/>
          <w:b/>
          <w:sz w:val="20"/>
        </w:rPr>
        <w:t>Adverse Proceedings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Neither we nor any of our subsidiaries are party to any material proceedings to which any of our directors, officers, affiliates, 5% or more stockholders, or any of their respective associates are a party. We do not believe that any of our directors, officers, affiliates, 5% or more stockholders, or any of their respective associates are adverse to us or any of our subsidiaries or have a material interest that is adverse to us or any of our subsidiaries.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240" w:after="0"/>
        <w:jc w:val="center"/>
        <w:rPr>
          <w:rFonts w:ascii="Times New Roman" w:hAnsi="Times New Roman"/>
          <w:sz w:val="20"/>
        </w:rPr>
      </w:pPr>
      <w:bookmarkStart w:id="7" w:name="corporate_governance"/>
      <w:bookmarkEnd w:id="7"/>
      <w:r>
        <w:rPr>
          <w:rFonts w:ascii="Times New Roman;serif" w:hAnsi="Times New Roman;serif"/>
          <w:b/>
          <w:caps/>
          <w:sz w:val="20"/>
        </w:rPr>
        <w:t>CORPORATE GOVERNANCE</w:t>
      </w:r>
      <w:r>
        <w:rPr>
          <w:rFonts w:ascii="Times New Roman" w:hAnsi="Times New Roman"/>
          <w:caps/>
          <w:sz w:val="20"/>
        </w:rPr>
        <w:t xml:space="preserve"> </w:t>
      </w:r>
    </w:p>
    <w:p>
      <w:pPr>
        <w:pStyle w:val="TextBody"/>
        <w:spacing w:before="240" w:after="240"/>
        <w:jc w:val="left"/>
        <w:rPr>
          <w:rFonts w:ascii="Times New Roman;serif" w:hAnsi="Times New Roman;serif"/>
          <w:b/>
          <w:sz w:val="20"/>
        </w:rPr>
      </w:pPr>
      <w:r>
        <w:rPr>
          <w:rFonts w:ascii="Times New Roman;serif" w:hAnsi="Times New Roman;serif"/>
          <w:b/>
          <w:sz w:val="20"/>
        </w:rPr>
        <w:t>Committees of the Board of Directors</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Our board of directors has established three standing committees: an audit committee, a compensation committee and a nominating and corporate governance committee. Each committee operates pursuant to a charter that has been approved and adopted by our board of directors, each of which are reviewed on an annual basis by the applicable committee and the board of directors. Each committee charter is posted on our website, www.tangotx.com, under the “Governance” subsection of the “Investors” section. The current members of our audit committee are Lesley Ann Calhoun, Mace Rothenberg and Alexis Borisy, and Lesley Ann Calhoun serves as the chairperson of the audit committee. The current members of our compensation committee are Malte Peters, Mace Rothenberg and Alexis Borisy, and Malte Peters is the chairperson of the compensation committee. The current members of our nominating and corporate governance committee are Reid Huber, Aaron Davis, and Lesley Ann Calhoun, and Reid Huber is the chairperson of the nominating and corporate governance committee. Our board of directors reviews the membership of each committee on an annual basis in order to make sure that the legal and regulatory requirements related to committee composition are complied with and that the appropriate set of skills and viewpoints are being brought to the deliberations and decisions of each committee.</w:t>
      </w:r>
    </w:p>
    <w:p>
      <w:pPr>
        <w:pStyle w:val="TextBody"/>
        <w:spacing w:before="0" w:after="0"/>
        <w:jc w:val="left"/>
        <w:rPr>
          <w:rFonts w:ascii="Times New Roman" w:hAnsi="Times New Roman"/>
          <w:sz w:val="20"/>
        </w:rPr>
      </w:pPr>
      <w:r>
        <w:rPr>
          <w:rFonts w:ascii="Times New Roman;serif" w:hAnsi="Times New Roman;serif"/>
          <w:b w:val="false"/>
          <w:sz w:val="20"/>
        </w:rPr>
        <w:t>During 2022, our board of directors held four meetings. During 2022, all of the directors attended at least 75% of the total number of meetings of the board and committees on which they served. Directors are expected to attend our annual meetings of stockholders, all meetings of the board of directors and all meetings of the committees on which they serve. Five of seven members of the board of directors then in office attended the annual meeting of stockholders on June 8, 2022.</w:t>
      </w:r>
      <w:r>
        <w:rPr>
          <w:rFonts w:ascii="Times New Roman" w:hAnsi="Times New Roman"/>
          <w:sz w:val="20"/>
        </w:rPr>
        <w:t xml:space="preserve"> </w:t>
      </w:r>
    </w:p>
    <w:p>
      <w:pPr>
        <w:pStyle w:val="TextBody"/>
        <w:spacing w:before="240" w:after="240"/>
        <w:jc w:val="left"/>
        <w:rPr>
          <w:rFonts w:ascii="Times New Roman;serif" w:hAnsi="Times New Roman;serif"/>
          <w:b/>
          <w:i/>
          <w:sz w:val="20"/>
        </w:rPr>
      </w:pPr>
      <w:r>
        <w:rPr>
          <w:rFonts w:ascii="Times New Roman;serif" w:hAnsi="Times New Roman;serif"/>
          <w:b/>
          <w:i/>
          <w:sz w:val="20"/>
        </w:rPr>
        <w:t>Audit Committee</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The audit committee currently consists of Lesley Ann Calhoun, Mace Rothenberg and Alexis Borisy. Our board has determined that each member of our audit committee is independent under Nasdaq listing standards and Rule 10A-3(b)(1) under the Exchange Act. The chairperson of the audit committee is Lesley Ann Calhoun. Our board has determined that Lesley Ann Calhoun is an “audit committee financial expert” within the meaning of SEC regulations. Our board of directors has also determined that each member of the audit committee has the requisite financial expertise required under the applicable requirements of Nasdaq. In arriving at this determination, our board of directors has examined each audit committee member’s scope of experience, familiarity with financial statements and accounting matters through prior exposure at biopharmaceutical companies, and the nature of their employment in the corporate finance sector. The audit committee held four meetings during 2022.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primary purpose of our audit committee is to discharge the responsibilities of our board of directors with respect to our accounting, financial, and other reporting and internal control practices and to oversee the independent registered accounting firm. Specific responsibilities of our audit committee include:</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helping our board of directors oversee corporate accounting and financial reporting processes;</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managing the selection, engagement and qualifications of a qualified firm to serve as the independent registered public accounting firm to audit our financial statements;</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helping to ensure the independence and performance of the independent registered public accounting firm;</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discussing the scope and results of the audit with the independent registered public accounting firm, and reviewing, with management and the independent accountants, our interim and year-end operating results;</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developing procedures for employees to submit concerns anonymously about questionable accounting or audit matters;</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reviewing policies on financial risk assessment and financial risk management, as well as discussing with management the guidelines and policies that govern the process by which the Company's exposure to risk is assessed and managed by management;</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reviewing related party transactions;</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obtaining and reviewing a report by the independent registered public accounting firm at least annually, that describes our internal quality-control procedures, any material issues with such procedures, and any steps taken to deal with such issues when required by applicable law; and</w:t>
      </w:r>
    </w:p>
    <w:p>
      <w:pPr>
        <w:pStyle w:val="TextBody"/>
        <w:spacing w:before="40" w:after="0"/>
        <w:jc w:val="left"/>
        <w:rPr/>
      </w:pPr>
      <w:r>
        <w:rPr/>
        <w:t>•</w:t>
      </w:r>
    </w:p>
    <w:p>
      <w:pPr>
        <w:pStyle w:val="TextBody"/>
        <w:spacing w:before="40" w:after="283"/>
        <w:jc w:val="left"/>
        <w:rPr>
          <w:rFonts w:ascii="Times New Roman;serif" w:hAnsi="Times New Roman;serif"/>
          <w:b w:val="false"/>
          <w:sz w:val="20"/>
        </w:rPr>
      </w:pPr>
      <w:r>
        <w:rPr>
          <w:rFonts w:ascii="Times New Roman;serif" w:hAnsi="Times New Roman;serif"/>
          <w:b w:val="false"/>
          <w:sz w:val="20"/>
        </w:rPr>
        <w:t>approving (or, as permitted, pre-approving) all audit and all permissible non-audit service to be performed by the independent registered public accounting firm.</w:t>
      </w:r>
    </w:p>
    <w:p>
      <w:pPr>
        <w:pStyle w:val="TextBody"/>
        <w:spacing w:before="240" w:after="240"/>
        <w:jc w:val="left"/>
        <w:rPr>
          <w:rFonts w:ascii="Times New Roman;serif" w:hAnsi="Times New Roman;serif"/>
          <w:b/>
          <w:i/>
          <w:sz w:val="20"/>
        </w:rPr>
      </w:pPr>
      <w:r>
        <w:rPr>
          <w:rFonts w:ascii="Times New Roman;serif" w:hAnsi="Times New Roman;serif"/>
          <w:b/>
          <w:i/>
          <w:sz w:val="20"/>
        </w:rPr>
        <w:t>Compensation Committee</w:t>
      </w:r>
    </w:p>
    <w:p>
      <w:pPr>
        <w:pStyle w:val="TextBody"/>
        <w:spacing w:before="0" w:after="0"/>
        <w:jc w:val="left"/>
        <w:rPr>
          <w:rFonts w:ascii="Times New Roman" w:hAnsi="Times New Roman"/>
          <w:sz w:val="20"/>
        </w:rPr>
      </w:pPr>
      <w:r>
        <w:rPr>
          <w:rFonts w:ascii="Times New Roman;serif" w:hAnsi="Times New Roman;serif"/>
          <w:b w:val="false"/>
          <w:sz w:val="20"/>
        </w:rPr>
        <w:t>Our compensation committee currently consists of Malte Peters, Mace Rothenberg and Alexis Borisy. Our board has determined that each member of our compensation committee is independent under Nasdaq listing standards and is a “non-employee director” as defined in Rule 16b-3 promulgated under the Exchange Act. The chairperson of the compensation committee is Malte Peters. The</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primary purpose of our compensation committee is to discharge the responsibilities of our board of directors to oversee our compensation policies, plans and programs and to review and determine the compensation to be paid to our executive officers, directors and other senior management, as appropriate. The compensation committee held three meetings during 2022.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Specific responsibilities of our compensation committee include:</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reviewing and approving, or recommending that our board approve, the compensation of our executive officers and senior management;</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reviewing and recommending to our board the compensation of our directors;</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administering our stock and equity incentive plans;</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selecting independent compensation consultants and assessing whether there are any conflicts of interest with any of the committee’s compensation advisors;</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reviewing, approving, amending and terminating, or recommending that our board approve, amend or terminate, incentive compensation and equity plans, severance agreements, change in control protections and any other compensatory arrangements for our executive officers and other senior management, as appropriate; and</w:t>
      </w:r>
    </w:p>
    <w:p>
      <w:pPr>
        <w:pStyle w:val="TextBody"/>
        <w:spacing w:before="40" w:after="0"/>
        <w:jc w:val="left"/>
        <w:rPr/>
      </w:pPr>
      <w:r>
        <w:rPr/>
        <w:t>•</w:t>
      </w:r>
    </w:p>
    <w:p>
      <w:pPr>
        <w:pStyle w:val="TextBody"/>
        <w:spacing w:before="40" w:after="283"/>
        <w:jc w:val="left"/>
        <w:rPr>
          <w:rFonts w:ascii="Times New Roman;serif" w:hAnsi="Times New Roman;serif"/>
          <w:b w:val="false"/>
          <w:sz w:val="20"/>
        </w:rPr>
      </w:pPr>
      <w:r>
        <w:rPr>
          <w:rFonts w:ascii="Times New Roman;serif" w:hAnsi="Times New Roman;serif"/>
          <w:b w:val="false"/>
          <w:sz w:val="20"/>
        </w:rPr>
        <w:t>reviewing and establishing general policies relating to compensation and benefits of our employees.</w:t>
      </w:r>
    </w:p>
    <w:p>
      <w:pPr>
        <w:pStyle w:val="TextBody"/>
        <w:spacing w:before="240" w:after="0"/>
        <w:jc w:val="left"/>
        <w:rPr>
          <w:rFonts w:ascii="Times New Roman;serif" w:hAnsi="Times New Roman;serif"/>
          <w:b/>
          <w:i/>
          <w:sz w:val="20"/>
        </w:rPr>
      </w:pPr>
      <w:r>
        <w:rPr>
          <w:rFonts w:ascii="Times New Roman;serif" w:hAnsi="Times New Roman;serif"/>
          <w:b/>
          <w:i/>
          <w:sz w:val="20"/>
        </w:rPr>
        <w:t>Compensation Committee Interlocks and Insider Participation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Dr. Peters, Dr. Rothenberg and Mr. Borisy served on the compensation committee during the year ended December 31, 2022. None of the members of our compensation committee has at any time been one of our officers or employees or had any relationships with us requiring disclosure under Item 404 of Regulation S-K under the Exchange Act.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pStyle w:val="TextBody"/>
        <w:spacing w:before="240" w:after="0"/>
        <w:jc w:val="left"/>
        <w:rPr>
          <w:rFonts w:ascii="Times New Roman;serif" w:hAnsi="Times New Roman;serif"/>
          <w:b/>
          <w:i/>
          <w:sz w:val="20"/>
        </w:rPr>
      </w:pPr>
      <w:r>
        <w:rPr>
          <w:rFonts w:ascii="Times New Roman;serif" w:hAnsi="Times New Roman;serif"/>
          <w:b/>
          <w:i/>
          <w:sz w:val="20"/>
        </w:rPr>
        <w:t>Nominating and Corporate Governance Committee</w:t>
      </w:r>
    </w:p>
    <w:p>
      <w:pPr>
        <w:pStyle w:val="TextBody"/>
        <w:spacing w:before="240" w:after="240"/>
        <w:jc w:val="left"/>
        <w:rPr>
          <w:rFonts w:ascii="Times New Roman" w:hAnsi="Times New Roman"/>
          <w:sz w:val="20"/>
        </w:rPr>
      </w:pPr>
      <w:r>
        <w:rPr>
          <w:rFonts w:ascii="Times New Roman;serif" w:hAnsi="Times New Roman;serif"/>
          <w:b w:val="false"/>
          <w:sz w:val="20"/>
        </w:rPr>
        <w:t>Our nominating and corporate governance committee currently consists of Reid Huber, Aaron Davis, and Lesley Ann Calhoun. Our board has determined each member is independent under Nasdaq listing standards. The chairperson of the nominating and corporate governance committee is Reid Huber. The nominating and corporate governance committee held two meetings during 2022.</w:t>
      </w:r>
      <w:r>
        <w:rPr>
          <w:rFonts w:ascii="Times New Roman" w:hAnsi="Times New Roman"/>
          <w:sz w:val="20"/>
        </w:rPr>
        <w:t xml:space="preserve">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Specific responsibilities of our nominating and corporate governance committee include:</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identifying, evaluating and selecting, or recommending that our board approve, nominees for election to our board;</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evaluating the performance of our board and of individual directors;</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evaluating the adequacy of our corporate governance practices and reporting;</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overseeing the environmental, social and governance programs and policies, the scope of risk related to such matters, and the potential risks and liabilities related thereto;</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reviewing management succession plans; and</w:t>
      </w:r>
    </w:p>
    <w:p>
      <w:pPr>
        <w:pStyle w:val="TextBody"/>
        <w:spacing w:before="40" w:after="0"/>
        <w:jc w:val="left"/>
        <w:rPr/>
      </w:pPr>
      <w:r>
        <w:rPr/>
        <w:t>•</w:t>
      </w:r>
    </w:p>
    <w:p>
      <w:pPr>
        <w:pStyle w:val="TextBody"/>
        <w:spacing w:before="40" w:after="283"/>
        <w:jc w:val="left"/>
        <w:rPr>
          <w:rFonts w:ascii="Times New Roman;serif" w:hAnsi="Times New Roman;serif"/>
          <w:b w:val="false"/>
          <w:sz w:val="20"/>
        </w:rPr>
      </w:pPr>
      <w:r>
        <w:rPr>
          <w:rFonts w:ascii="Times New Roman;serif" w:hAnsi="Times New Roman;serif"/>
          <w:b w:val="false"/>
          <w:sz w:val="20"/>
        </w:rPr>
        <w:t>developing and making recommendations to our board regarding corporate governance guidelines and matters.</w:t>
      </w:r>
    </w:p>
    <w:p>
      <w:pPr>
        <w:pStyle w:val="TextBody"/>
        <w:spacing w:before="240" w:after="240"/>
        <w:jc w:val="left"/>
        <w:rPr>
          <w:rFonts w:ascii="Times New Roman;serif" w:hAnsi="Times New Roman;serif"/>
          <w:b/>
          <w:sz w:val="20"/>
        </w:rPr>
      </w:pPr>
      <w:r>
        <w:rPr>
          <w:rFonts w:ascii="Times New Roman;serif" w:hAnsi="Times New Roman;serif"/>
          <w:b/>
          <w:sz w:val="20"/>
        </w:rPr>
        <w:t>Role of Our Board of Directors in Risk Oversight</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One of the key functions of our board of directors is informed oversight of our risk management process. Our board does not have a standing risk management committee, but rather administers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is responsible for considering and discussing our major financial risk exposures and the steps our management will take to monitor and control such exposures, including guidelines and policies to govern the process by which risk assessment and management is undertaken. Our audit committee also monitors compliance with legal and regulatory requirements. Our compensation committee assesses and monitors whether our compensation plans, policies and programs comply with applicable legal and regulatory requirements and whether our compensation program may encourage excessive risk-taking.</w:t>
      </w:r>
    </w:p>
    <w:p>
      <w:pPr>
        <w:pStyle w:val="TextBody"/>
        <w:spacing w:before="0" w:after="240"/>
        <w:jc w:val="left"/>
        <w:rPr>
          <w:rFonts w:ascii="Times New Roman;serif" w:hAnsi="Times New Roman;serif"/>
          <w:b/>
          <w:sz w:val="20"/>
        </w:rPr>
      </w:pPr>
      <w:r>
        <w:rPr>
          <w:rFonts w:ascii="Times New Roman;serif" w:hAnsi="Times New Roman;serif"/>
          <w:b/>
          <w:sz w:val="20"/>
        </w:rPr>
        <w:t>Separation of the Roles of Chairman and CEO</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have chosen to separate the roles of Chairman of the board, held by Alexis Borisy, and Chief Executive Officer, held by Barbara Weber. The board believes that separating these roles is the most appropriate structure for Tango.</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240" w:after="240"/>
        <w:jc w:val="left"/>
        <w:rPr>
          <w:rFonts w:ascii="Times New Roman;serif" w:hAnsi="Times New Roman;serif"/>
          <w:b/>
          <w:sz w:val="20"/>
        </w:rPr>
      </w:pPr>
      <w:r>
        <w:rPr>
          <w:rFonts w:ascii="Times New Roman;serif" w:hAnsi="Times New Roman;serif"/>
          <w:b/>
          <w:sz w:val="20"/>
        </w:rPr>
        <w:t>Code of Ethics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have adopted a Code of Conduct that applies to all of our employees, officers and directors, including those officers responsible for financial reporting. The Code of Conduct is available on our website at https://www.tangotx.com under “Investors – Governance”. Information contained on or accessible through such website is not a part of this proxy statement, and the inclusion of the website address in this proxy statement is an inactive textual reference only.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intend to satisfy the disclosure requirement under Item 5.05 of Form 8-K regarding an amendment to, or waiver from, a provision of this Code of Conduct and disclose any amendments to the Code of Conduct by posting such information on our website, at the address and location specified above and, to the extent required by the listing standards of Nasdaq, by filing a Current Report on Form 8-K with the SEC, disclosing such information.</w:t>
      </w:r>
    </w:p>
    <w:p>
      <w:pPr>
        <w:pStyle w:val="TextBody"/>
        <w:spacing w:before="240" w:after="0"/>
        <w:jc w:val="left"/>
        <w:rPr>
          <w:rFonts w:ascii="Times New Roman;serif" w:hAnsi="Times New Roman;serif"/>
          <w:b/>
          <w:sz w:val="20"/>
        </w:rPr>
      </w:pPr>
      <w:r>
        <w:rPr>
          <w:rFonts w:ascii="Times New Roman;serif" w:hAnsi="Times New Roman;serif"/>
          <w:b/>
          <w:sz w:val="20"/>
        </w:rPr>
        <w:t>Policy on Trading, Pledging and Hedging of Company Stock</w:t>
      </w:r>
    </w:p>
    <w:p>
      <w:pPr>
        <w:pStyle w:val="TextBody"/>
        <w:spacing w:before="240" w:after="0"/>
        <w:jc w:val="left"/>
        <w:rPr>
          <w:rFonts w:ascii="Times New Roman" w:hAnsi="Times New Roman"/>
          <w:sz w:val="20"/>
        </w:rPr>
      </w:pPr>
      <w:r>
        <w:rPr>
          <w:rFonts w:ascii="Times New Roman;serif" w:hAnsi="Times New Roman;serif"/>
          <w:b w:val="false"/>
          <w:sz w:val="20"/>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short sales and derivative transactions of our stock by our executive officers, directors, employees and certain designated consultants and contractors, including short sales of our securities. Our insider trading policy expressly prohibits purchases or sales of puts, calls, or other derivative securities of the company or any derivative securities that provide the economic equivalent of ownership.</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Director Nomination Process</w:t>
      </w:r>
    </w:p>
    <w:p>
      <w:pPr>
        <w:pStyle w:val="TextBody"/>
        <w:spacing w:before="240" w:after="0"/>
        <w:jc w:val="left"/>
        <w:rPr>
          <w:rFonts w:ascii="Times New Roman" w:hAnsi="Times New Roman"/>
          <w:sz w:val="20"/>
        </w:rPr>
      </w:pPr>
      <w:r>
        <w:rPr>
          <w:rFonts w:ascii="Times New Roman;serif" w:hAnsi="Times New Roman;serif"/>
          <w:b w:val="false"/>
          <w:sz w:val="20"/>
        </w:rPr>
        <w:t>In considering candidates for board membership, the nominating and corporate governance committee considers recommendations by: the nominating and corporate governance committee members and other board members; management; our stockholders; third-party search firms; and any other appropriate sources. If a stockholder submits a nominee, the nominating and corporate governance committee will evaluate the qualifications of such stockholder nominee using the same selection criteria the committee uses to evaluate other potential nominees. Our by-laws contain provisions addressing the process by which a stockholder may recommend a person for consideration as a nominee for director at an annual meeting.</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by-laws provide that stockholders seeking to nominate candidates for election as directors at our annual meeting of stockholders must provide timely notice of their intent in writing. To be timely, a stockholder’s written notice will need to be delivered to our principal executive offices not later than the close of business on the 90th day nor earlier than the opening of business on the 120th day prior to the scheduled date of the annual meeting of stockholders. In the event that no annual meeting was held during the preceding year or the annual meeting is advanced more than 30 days before, or more than 60 days after such anniversary date, a timely notice must be received not later than the close of business on the later of the 90th day prior to the scheduled date of such annual meeting or the 10th day following the day on which public announcement of the date of such meeting is first made. Our bylaws also specify certain requirements as to the form and content of a stockholders’ notice. These provisions may preclude our stockholders from bringing matters before our annual meeting of stockholders or from making nominations for directors at our annual meeting of stockholders.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the terms of its charter, the nominating and corporate governance committee requires the following qualifications to be satisfied by any nominee for a position on the board:</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High standards of personal and professional ethics and integrity;</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Proven achievement and competence in the nominee’s field and the ability to exercise sound business judgment;</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Skills that are complementary to those of members of the existing board;</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The ability to assist and support management and make significant contributions to the Company’s success; and</w:t>
      </w:r>
    </w:p>
    <w:p>
      <w:pPr>
        <w:pStyle w:val="TextBody"/>
        <w:spacing w:before="40" w:after="0"/>
        <w:jc w:val="left"/>
        <w:rPr/>
      </w:pPr>
      <w:r>
        <w:rPr/>
        <w:t>•</w:t>
      </w:r>
    </w:p>
    <w:p>
      <w:pPr>
        <w:pStyle w:val="TextBody"/>
        <w:spacing w:before="40" w:after="283"/>
        <w:jc w:val="left"/>
        <w:rPr>
          <w:rFonts w:ascii="Times New Roman;serif" w:hAnsi="Times New Roman;serif"/>
          <w:b w:val="false"/>
          <w:sz w:val="20"/>
        </w:rPr>
      </w:pPr>
      <w:r>
        <w:rPr>
          <w:rFonts w:ascii="Times New Roman;serif" w:hAnsi="Times New Roman;serif"/>
          <w:b w:val="false"/>
          <w:sz w:val="20"/>
        </w:rPr>
        <w:t>An understanding of the fiduciary responsibilities required of a director and a commitment to devote the time and energy necessary to perform those responsibilities.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priority in selection of board members is identification of members who will further the interests of our stockholders through their established record of professional accomplishment, their ability to contribute positively to the collaborative culture among board members, and their knowledge of our business and understanding of the competitive landscape. When identifying and evaluating nominees for director, the nominating and corporate governance committee considers, among other factors, the character, integrity, judgment, diversity, independence, skills, education, expertise, business acumen, business judgment, length of service, understanding of Tango's business and industry, conflicts of interest and other requirements.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Stockholder Communications with the Board of Directors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Any interested party with concerns about our company may report such concerns to the board or the chair of our board, by submitting a written communication to the attention of such director at the following address: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Tango Therapeutics, Inc.</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201 Brookline Avenue, Suite 901</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Boston, MA 02215</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A copy of any such written communication may also be forwarded to Tango’s legal counsel and a copy of such communication may be retained for a reasonable period of time. The director may discuss the matter with Tango’s legal counsel, with independent advisors, with non-management directors, or with Tango’s management, or may take other action or no action as the director determines in good faith, using reasonable judgment and applying his or her own discretion.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pStyle w:val="TextBody"/>
        <w:spacing w:before="240" w:after="0"/>
        <w:jc w:val="left"/>
        <w:rPr>
          <w:rFonts w:ascii="Times New Roman" w:hAnsi="Times New Roman"/>
          <w:sz w:val="20"/>
        </w:rPr>
      </w:pPr>
      <w:r>
        <w:rPr>
          <w:rFonts w:ascii="Times New Roman;serif" w:hAnsi="Times New Roman;serif"/>
          <w:b w:val="false"/>
          <w:sz w:val="20"/>
        </w:rPr>
        <w:t>The audit committee oversees the procedures for the receipt, retention, and treatment of complaints received by Tango regarding accounting, internal accounting controls, or audit matters, and the confidential, anonymous submission by employees of concerns regarding questionable accounting or auditing matters or potential violations of the federal securities laws. Tango has also established a toll-free telephone number for the reporting of such activity, which is 1-855-495-2758.</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Environmental, Social and Governance Efforts</w:t>
      </w:r>
      <w:r>
        <w:rPr>
          <w:rFonts w:ascii="Times New Roman;serif" w:hAnsi="Times New Roman;serif"/>
          <w:b w:val="false"/>
          <w:sz w:val="20"/>
        </w:rPr>
        <w:br/>
      </w:r>
      <w:r>
        <w:rPr>
          <w:rFonts w:ascii="Times New Roman" w:hAnsi="Times New Roman"/>
          <w:sz w:val="20"/>
        </w:rPr>
        <w:t> </w:t>
      </w:r>
    </w:p>
    <w:p>
      <w:pPr>
        <w:pStyle w:val="TextBody"/>
        <w:spacing w:before="240" w:after="0"/>
        <w:jc w:val="left"/>
        <w:rPr>
          <w:rFonts w:ascii="Times New Roman" w:hAnsi="Times New Roman"/>
          <w:sz w:val="20"/>
        </w:rPr>
      </w:pPr>
      <w:r>
        <w:rPr>
          <w:rFonts w:ascii="Times New Roman;serif" w:hAnsi="Times New Roman;serif"/>
          <w:b w:val="false"/>
          <w:sz w:val="20"/>
        </w:rPr>
        <w:t>As we continue to grow and progress as a company, we are committed to increasing our impact on social and environmental issues that affect our stakeholders, which include our future patients, our stockholders, our community and our employees. An area of focus for our board and management is oversight of such environmental, social and governance, or ESG, efforts across our organization and as a part of our overall strategy as we grow as a company. Our nominating and corporate governance committee has primary oversight over our ESG efforts, as reflected in a recent amendment to the nominating and corporate governance committee charter.</w:t>
        <w:br/>
      </w:r>
      <w:r>
        <w:rPr>
          <w:rFonts w:ascii="Times New Roman" w:hAnsi="Times New Roman"/>
          <w:sz w:val="20"/>
        </w:rPr>
        <w:t> </w:t>
      </w:r>
    </w:p>
    <w:p>
      <w:pPr>
        <w:pStyle w:val="TextBody"/>
        <w:spacing w:before="240" w:after="0"/>
        <w:jc w:val="left"/>
        <w:rPr>
          <w:rFonts w:ascii="Times New Roman" w:hAnsi="Times New Roman"/>
          <w:sz w:val="20"/>
        </w:rPr>
      </w:pPr>
      <w:r>
        <w:rPr>
          <w:rFonts w:ascii="Times New Roman;serif" w:hAnsi="Times New Roman;serif"/>
          <w:b w:val="false"/>
          <w:sz w:val="20"/>
        </w:rPr>
        <w:t>Our goal is to make the world healthier and improve the lives of patients by developing solutions in drug discovery, cancer biology, functional genomics and translational medicine pursuing the bold goal of tackling the genetic complexity of cancer.</w:t>
        <w:br/>
      </w:r>
      <w:r>
        <w:rPr>
          <w:rFonts w:ascii="Times New Roman" w:hAnsi="Times New Roman"/>
          <w:sz w:val="20"/>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0" w:after="240"/>
        <w:jc w:val="center"/>
        <w:rPr>
          <w:rFonts w:ascii="Times New Roman;serif" w:hAnsi="Times New Roman;serif"/>
          <w:b/>
          <w:sz w:val="20"/>
        </w:rPr>
      </w:pPr>
      <w:bookmarkStart w:id="8" w:name="general_info_executives"/>
      <w:bookmarkEnd w:id="8"/>
      <w:r>
        <w:rPr>
          <w:rFonts w:ascii="Times New Roman;serif" w:hAnsi="Times New Roman;serif"/>
          <w:b/>
          <w:sz w:val="20"/>
        </w:rPr>
        <w:t>GENERAL INFORMATION ABOUT EXECUTIVE OFFICERS</w:t>
      </w:r>
    </w:p>
    <w:p>
      <w:pPr>
        <w:pStyle w:val="TextBody"/>
        <w:spacing w:before="240" w:after="0"/>
        <w:jc w:val="left"/>
        <w:rPr>
          <w:rFonts w:ascii="Times New Roman;serif" w:hAnsi="Times New Roman;serif"/>
          <w:b/>
          <w:sz w:val="20"/>
        </w:rPr>
      </w:pPr>
      <w:r>
        <w:rPr>
          <w:rFonts w:ascii="Times New Roman;serif" w:hAnsi="Times New Roman;serif"/>
          <w:b/>
          <w:sz w:val="20"/>
        </w:rPr>
        <w:t>Executive Officers</w:t>
      </w:r>
    </w:p>
    <w:p>
      <w:pPr>
        <w:pStyle w:val="TextBody"/>
        <w:spacing w:before="240" w:after="240"/>
        <w:jc w:val="left"/>
        <w:rPr>
          <w:rFonts w:ascii="Times New Roman" w:hAnsi="Times New Roman"/>
          <w:sz w:val="20"/>
        </w:rPr>
      </w:pPr>
      <w:r>
        <w:rPr>
          <w:rFonts w:ascii="Times New Roman;serif" w:hAnsi="Times New Roman;serif"/>
          <w:b w:val="false"/>
          <w:sz w:val="20"/>
        </w:rPr>
        <w:t>The table below identifies and sets forth certain information regarding our executive officers as of April 10, 2023. Officer service dates in the table below and elsewhere in this proxy statement reflect, where applicable, the periods such officer commenced employment with Tango prior to the completion of the Business Combination (as described above).</w:t>
      </w:r>
      <w:r>
        <w:rPr>
          <w:rFonts w:ascii="Times New Roman" w:hAnsi="Times New Roman"/>
          <w:sz w:val="20"/>
        </w:rPr>
        <w:t xml:space="preserve"> </w:t>
      </w:r>
    </w:p>
    <w:tbl>
      <w:tblPr>
        <w:tblW w:w="10064" w:type="dxa"/>
        <w:jc w:val="left"/>
        <w:tblInd w:w="0" w:type="dxa"/>
        <w:tblCellMar>
          <w:top w:w="28" w:type="dxa"/>
          <w:left w:w="28" w:type="dxa"/>
          <w:bottom w:w="28" w:type="dxa"/>
          <w:right w:w="28" w:type="dxa"/>
        </w:tblCellMar>
      </w:tblPr>
      <w:tblGrid>
        <w:gridCol w:w="2101"/>
        <w:gridCol w:w="146"/>
        <w:gridCol w:w="146"/>
        <w:gridCol w:w="286"/>
        <w:gridCol w:w="146"/>
        <w:gridCol w:w="146"/>
        <w:gridCol w:w="4966"/>
        <w:gridCol w:w="146"/>
        <w:gridCol w:w="1981"/>
      </w:tblGrid>
      <w:tr>
        <w:trPr/>
        <w:tc>
          <w:tcPr>
            <w:tcW w:w="21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81" w:type="dxa"/>
            <w:tcBorders/>
            <w:shd w:fill="auto" w:val="clear"/>
            <w:vAlign w:val="center"/>
          </w:tcPr>
          <w:p>
            <w:pPr>
              <w:pStyle w:val="TableContents"/>
              <w:spacing w:before="0" w:after="283"/>
              <w:rPr>
                <w:sz w:val="4"/>
                <w:szCs w:val="4"/>
              </w:rPr>
            </w:pPr>
            <w:r>
              <w:rPr>
                <w:sz w:val="4"/>
                <w:szCs w:val="4"/>
              </w:rPr>
            </w:r>
          </w:p>
        </w:tc>
      </w:tr>
      <w:tr>
        <w:trPr/>
        <w:tc>
          <w:tcPr>
            <w:tcW w:w="21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Position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Current Position Since</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Barbara Weber, M.D.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President, Chief Executive Officer and Director</w:t>
            </w:r>
          </w:p>
        </w:tc>
        <w:tc>
          <w:tcPr>
            <w:tcW w:w="146" w:type="dxa"/>
            <w:tcBorders/>
            <w:shd w:fill="auto" w:val="clear"/>
            <w:vAlign w:val="center"/>
          </w:tcPr>
          <w:p>
            <w:pPr>
              <w:pStyle w:val="TableContents"/>
              <w:spacing w:before="0" w:after="0"/>
              <w:ind w:left="0" w:right="0" w:hanging="0"/>
              <w:jc w:val="left"/>
              <w:rPr/>
            </w:pPr>
            <w:r>
              <w:rPr/>
              <w:t> </w:t>
            </w:r>
          </w:p>
        </w:tc>
        <w:tc>
          <w:tcPr>
            <w:tcW w:w="19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March 2017</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Daniella Beckman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Chief Financial Officer</w:t>
            </w:r>
          </w:p>
        </w:tc>
        <w:tc>
          <w:tcPr>
            <w:tcW w:w="146" w:type="dxa"/>
            <w:tcBorders/>
            <w:shd w:fill="auto" w:val="clear"/>
            <w:vAlign w:val="center"/>
          </w:tcPr>
          <w:p>
            <w:pPr>
              <w:pStyle w:val="TableContents"/>
              <w:spacing w:before="0" w:after="0"/>
              <w:ind w:left="0" w:right="0" w:hanging="0"/>
              <w:jc w:val="left"/>
              <w:rPr/>
            </w:pPr>
            <w:r>
              <w:rPr/>
              <w:t> </w:t>
            </w:r>
          </w:p>
        </w:tc>
        <w:tc>
          <w:tcPr>
            <w:tcW w:w="19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September 2019</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Alan Huang, Ph.D.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Chief Scientific Officer</w:t>
            </w:r>
          </w:p>
        </w:tc>
        <w:tc>
          <w:tcPr>
            <w:tcW w:w="146" w:type="dxa"/>
            <w:tcBorders/>
            <w:shd w:fill="auto" w:val="clear"/>
            <w:vAlign w:val="center"/>
          </w:tcPr>
          <w:p>
            <w:pPr>
              <w:pStyle w:val="TableContents"/>
              <w:spacing w:before="0" w:after="0"/>
              <w:ind w:left="0" w:right="0" w:hanging="0"/>
              <w:jc w:val="left"/>
              <w:rPr/>
            </w:pPr>
            <w:r>
              <w:rPr/>
              <w:t> </w:t>
            </w:r>
          </w:p>
        </w:tc>
        <w:tc>
          <w:tcPr>
            <w:tcW w:w="19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April 2018</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Adam Crystal, M.D., Ph.D.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President of 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19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February 2023</w:t>
            </w:r>
          </w:p>
        </w:tc>
      </w:tr>
      <w:tr>
        <w:trPr/>
        <w:tc>
          <w:tcPr>
            <w:tcW w:w="21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Douglas Barry</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General Counsel, Chief Compliance Officer and Corporate Secretary</w:t>
            </w:r>
          </w:p>
        </w:tc>
        <w:tc>
          <w:tcPr>
            <w:tcW w:w="146" w:type="dxa"/>
            <w:tcBorders/>
            <w:shd w:fill="auto" w:val="clear"/>
            <w:vAlign w:val="center"/>
          </w:tcPr>
          <w:p>
            <w:pPr>
              <w:pStyle w:val="TableContents"/>
              <w:spacing w:before="0" w:after="0"/>
              <w:ind w:left="0" w:right="0" w:hanging="0"/>
              <w:jc w:val="left"/>
              <w:rPr/>
            </w:pPr>
            <w:r>
              <w:rPr/>
              <w:t> </w:t>
            </w:r>
          </w:p>
        </w:tc>
        <w:tc>
          <w:tcPr>
            <w:tcW w:w="19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August 2021</w:t>
            </w:r>
          </w:p>
        </w:tc>
      </w:tr>
    </w:tbl>
    <w:p>
      <w:pPr>
        <w:pStyle w:val="TextBody"/>
        <w:spacing w:before="240" w:after="0"/>
        <w:jc w:val="left"/>
        <w:rPr>
          <w:rFonts w:ascii="Times New Roman;serif" w:hAnsi="Times New Roman;serif"/>
          <w:b w:val="false"/>
          <w:i/>
          <w:sz w:val="20"/>
        </w:rPr>
      </w:pPr>
      <w:r>
        <w:rPr>
          <w:rFonts w:ascii="Times New Roman;serif" w:hAnsi="Times New Roman;serif"/>
          <w:b w:val="false"/>
          <w:i/>
          <w:sz w:val="20"/>
        </w:rPr>
        <w:t>See the section of this Proxy Statement captioned "—Class III Directors Continuing in Office Until the 2024 Annual Meeting" for Dr. Weber's biography.</w:t>
      </w:r>
    </w:p>
    <w:p>
      <w:pPr>
        <w:pStyle w:val="TextBody"/>
        <w:spacing w:before="240" w:after="0"/>
        <w:jc w:val="left"/>
        <w:rPr>
          <w:rFonts w:ascii="Times New Roman" w:hAnsi="Times New Roman"/>
          <w:sz w:val="20"/>
        </w:rPr>
      </w:pPr>
      <w:r>
        <w:rPr>
          <w:rFonts w:ascii="Times New Roman;serif" w:hAnsi="Times New Roman;serif"/>
          <w:b w:val="false"/>
          <w:i/>
          <w:sz w:val="20"/>
        </w:rPr>
        <w:t>Daniella Beckman</w:t>
      </w:r>
      <w:r>
        <w:rPr>
          <w:rFonts w:ascii="Times New Roman" w:hAnsi="Times New Roman"/>
          <w:sz w:val="20"/>
        </w:rPr>
        <w:t xml:space="preserve"> </w:t>
      </w:r>
      <w:r>
        <w:rPr>
          <w:rFonts w:ascii="Times New Roman;serif" w:hAnsi="Times New Roman;serif"/>
          <w:b w:val="false"/>
          <w:sz w:val="20"/>
        </w:rPr>
        <w:t>has served as our Chief Financial Officer since September 2019 and served as our interim Chief Financial Officer from October 2016 to August 2019. Prior to joining Tango, she provided consulting and interim chief financial officer services for early-stage biotechnology companies since November 2015. Previously, Ms. Beckman was the Chief Financial Officer of Idenix Pharmaceuticals, Inc., a biopharmaceutical company, from June 2011 until it was acquired by Merck &amp; Co., Inc., a pharmaceutical company, in August 2014. Ms. Beckman currently serves on the board of directors of Vor Biopharma Inc. (NASDAQ: VOR), a cell therapies company, since July 2020, and on the board of directors of Blueprint Medicines Corporation (NASDAQ: BPMC), a global precision therapy company, since December 2021. Previously, Ms. Beckman served on the board of directors of Translate Bio, Inc., a clinical-stage mRNA therapeutics company, from October 2017 to September 2021, and on the board of 5:01 Acquisition Corp., a special purpose acquisition company, from October 2020 October 2022. Ms. Beckman holds a B.S. in business administration-accounting from Boston University.</w:t>
      </w:r>
    </w:p>
    <w:p>
      <w:pPr>
        <w:pStyle w:val="TextBody"/>
        <w:spacing w:before="240" w:after="240"/>
        <w:jc w:val="left"/>
        <w:rPr>
          <w:rFonts w:ascii="Times New Roman" w:hAnsi="Times New Roman"/>
          <w:sz w:val="20"/>
        </w:rPr>
      </w:pPr>
      <w:r>
        <w:rPr>
          <w:rFonts w:ascii="Times New Roman;serif" w:hAnsi="Times New Roman;serif"/>
          <w:b w:val="false"/>
          <w:i/>
          <w:sz w:val="20"/>
        </w:rPr>
        <w:t>Alan Huang, Ph.D</w:t>
      </w:r>
      <w:r>
        <w:rPr>
          <w:rFonts w:ascii="Times New Roman;serif" w:hAnsi="Times New Roman;serif"/>
          <w:b w:val="false"/>
          <w:sz w:val="20"/>
        </w:rPr>
        <w:t>., has served as our Chief Scientific Officer since April 2018. Before being appointed as Chief Scientific Officer, Dr. Huang served as Senior Vice President, Head of Biology. From 2016 to 2017, he served as a consultant at Third Rock Ventures. Previously, Dr. Huang was Senior Director and interim Global Head of Oncology Translational Research at Novartis Institute for Biomedical Research. Prior to joining Novartis, Dr. Huang was a senior scientist at Millennium Pharmaceuticals, Inc. Dr. Huang obtained his B.S. in biochemistry from Fudan University and his doctorate in biochemistry &amp; molecular biology from the University of South Alabama. He completed a postdoctoral fellowship at Schepen’s Eye Research Institute of Harvard Medical School.</w:t>
      </w:r>
    </w:p>
    <w:p>
      <w:pPr>
        <w:pStyle w:val="TextBody"/>
        <w:spacing w:before="0" w:after="0"/>
        <w:jc w:val="left"/>
        <w:rPr>
          <w:rFonts w:ascii="Times New Roman" w:hAnsi="Times New Roman"/>
          <w:sz w:val="20"/>
        </w:rPr>
      </w:pPr>
      <w:r>
        <w:rPr>
          <w:rFonts w:ascii="Times New Roman;serif" w:hAnsi="Times New Roman;serif"/>
          <w:b w:val="false"/>
          <w:i/>
          <w:sz w:val="20"/>
        </w:rPr>
        <w:t xml:space="preserve">Adam Crystal, M.D., Ph.D., </w:t>
      </w:r>
      <w:r>
        <w:rPr>
          <w:rFonts w:ascii="Times New Roman;serif" w:hAnsi="Times New Roman;serif"/>
          <w:b w:val="false"/>
          <w:sz w:val="20"/>
        </w:rPr>
        <w:t>has served as our President of Research and Development since February 2023. Prior to joining Tango, Dr. Crystal served as Chief Medical Officer of C4 Therapeutics, Inc., a clinical-stage biopharmaceutical company, from February 2019 to February 2023. From May 2014 to February 2019, Dr. Crystal was a Clinical Program Leader, Senior Director, at Novartis Institutes for BioMedical Research. Dr. Crystal has served as a medical oncologist at Massachusetts General Hospital where he studied resistance mechanisms to targeted therapies. Dr. Crystal trained at Massachusetts General Hospital in internal medicine and then completed fellowship training in medical oncology at the Massachusetts General Hospital Cancer Center and the Dana Farber Cancer Institute in 2013. Dr. Crystal holds an M.D. and a Ph.D. in Neuroscience from the University of Pennsylvania School of Medicine.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Douglas Barry</w:t>
      </w:r>
      <w:r>
        <w:rPr>
          <w:rFonts w:ascii="Times New Roman" w:hAnsi="Times New Roman"/>
          <w:sz w:val="20"/>
        </w:rPr>
        <w:t xml:space="preserve"> </w:t>
      </w:r>
      <w:r>
        <w:rPr>
          <w:rFonts w:ascii="Times New Roman;serif" w:hAnsi="Times New Roman;serif"/>
          <w:b w:val="false"/>
          <w:sz w:val="20"/>
        </w:rPr>
        <w:t>has served as our General Counsel, Chief Compliance Officer and Corporate Secretary since August 2021. Mr. Barry has been practicing law for over 20 years, and joined Tango from Alexion Pharmaceuticals, a biopharmaceutical company that develops and commercializes therapies that serve patients affected by certain rare diseases, where he served as Vice President of Corporate Law from May 2018 to July 2021. Prior to Alexion, he was Associate General Counsel at Alere Inc., a manufacturer and seller of point-of-care diagnostic equipment, from 2015 to 2018 (Alere was acquired by Abbott Laboratories in 2018). Earlier in his career, Mr. Barry spent 10 years as an attorney in the corporate department at Wilmer Cutler Pickering Hale and Dorr LLP. Mr. Barry has a B.A. degree in Political Science from Hobart College, a Master’s degree from University of Virginia in International Relations and a juris doctor from Northwestern University School of Law.</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0" w:after="240"/>
        <w:jc w:val="center"/>
        <w:rPr>
          <w:rFonts w:ascii="Times New Roman;serif" w:hAnsi="Times New Roman;serif"/>
          <w:b/>
          <w:sz w:val="20"/>
        </w:rPr>
      </w:pPr>
      <w:bookmarkStart w:id="9" w:name="executive_compensation"/>
      <w:bookmarkEnd w:id="9"/>
      <w:r>
        <w:rPr>
          <w:rFonts w:ascii="Times New Roman;serif" w:hAnsi="Times New Roman;serif"/>
          <w:b/>
          <w:sz w:val="20"/>
        </w:rPr>
        <w:t>EXECUTIVE COMPENSATION</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Historically, our executive compensation program has reflected our growth and development-oriented corporate culture. To date, the compensation of our Chief Executive Officer and President and our other executive officers identified in the Summary Compensation Table below, who we refer to as the named executive officers, has generally consisted of a combination of base salary, annual cash bonuses and long-term incentive compensation in the form of stock options to purchase shares of our common stock. Our named executive officers who are full-time employees, like all other full-time employees, are eligible to participate in our retirement and health and welfare benefit plans. We evaluate our compensation values and philosophy and compensation plans and arrangements as circumstances merit and review executive compensation annually with input from an independent compensation consultant. As part of this review process, the board of directors and the compensation committee apply our values and philosophy, while considering the compensation levels needed to ensure our executive compensation program remains competitive with our peers. In connection with our executive compensation program, we also review whether we are meeting our retention objectives and the potential cost of replacing a key employee.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Tango has assembled a team of highly experienced senior leaders and oncology drug developers who combine a flexible and adaptive approach to drug development that follows cutting-edge science with the proven expertise of large pharmaceutical company drug discovery and development. The management team and the employees at Tango are what, we believe, will be the ultimate differentiator that sets us apart from the competition as we move our products toward the market. This is based on our innovative approach to target drug-discovery using synthetic lethality and our innovative capabilities and expertise in drug discovery, research and drug development. Building a management team to provide structure and direction will require retaining talent with proven leadership and results, extensive technical expertise, broad experience in building and constructing a drug research and development and commercialization organization, all the while establishing the broader vision of improving care and therapeutic options for cancer patients. Attracting, recruiting and retaining talent who have the requisite skill set, background and track record to lead and manage a growing business in a competitive environment is one of the primary goals of our compensation program.</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Corporate Developments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have achieved the significant and aggressive milestones we set for itself when we became a public company:</w:t>
      </w:r>
    </w:p>
    <w:p>
      <w:pPr>
        <w:pStyle w:val="TextBody"/>
        <w:spacing w:before="120" w:after="0"/>
        <w:jc w:val="left"/>
        <w:rPr/>
      </w:pPr>
      <w:r>
        <w:rPr/>
        <w:t>•</w:t>
      </w:r>
    </w:p>
    <w:p>
      <w:pPr>
        <w:pStyle w:val="TextBody"/>
        <w:spacing w:before="120" w:after="0"/>
        <w:jc w:val="left"/>
        <w:rPr/>
      </w:pPr>
      <w:r>
        <w:rPr>
          <w:rFonts w:ascii="Times New Roman;serif" w:hAnsi="Times New Roman;serif"/>
          <w:b/>
          <w:sz w:val="20"/>
        </w:rPr>
        <w:t>TNG908 (PRMT5 inhibitor and lead program)</w:t>
      </w:r>
      <w:r>
        <w:rPr/>
        <w:t xml:space="preserve"> </w:t>
      </w:r>
      <w:r>
        <w:rPr>
          <w:rFonts w:ascii="Times New Roman;serif" w:hAnsi="Times New Roman;serif"/>
          <w:b w:val="false"/>
          <w:sz w:val="20"/>
        </w:rPr>
        <w:t>- The U.S. Food and Drug Administration, or FDA, cleared the investigational new drug application, or IND, for TNG908 in the first quarter of 2022, granted TNG908 Fast Track designation to TNG908 and additionally, granted Orphan Drug Designations to TNG908 for the treatment of malignant peripheral nerve sheath tumor and malignant glioma, including glioblastoma. We are actively dosing patients in the Phase 1/2 clinical trial.</w:t>
      </w:r>
    </w:p>
    <w:p>
      <w:pPr>
        <w:pStyle w:val="TextBody"/>
        <w:spacing w:before="120" w:after="0"/>
        <w:jc w:val="left"/>
        <w:rPr/>
      </w:pPr>
      <w:r>
        <w:rPr/>
        <w:t>•</w:t>
      </w:r>
    </w:p>
    <w:p>
      <w:pPr>
        <w:pStyle w:val="TextBody"/>
        <w:spacing w:before="120" w:after="0"/>
        <w:jc w:val="left"/>
        <w:rPr/>
      </w:pPr>
      <w:r>
        <w:rPr>
          <w:rFonts w:ascii="Times New Roman;serif" w:hAnsi="Times New Roman;serif"/>
          <w:b/>
          <w:sz w:val="20"/>
        </w:rPr>
        <w:t>TNG462 (next generation PRMT5 inhibitor)</w:t>
      </w:r>
      <w:r>
        <w:rPr/>
        <w:t xml:space="preserve"> </w:t>
      </w:r>
      <w:r>
        <w:rPr>
          <w:rFonts w:ascii="Times New Roman;serif" w:hAnsi="Times New Roman;serif"/>
          <w:b w:val="false"/>
          <w:sz w:val="20"/>
        </w:rPr>
        <w:t>- In the first quarter of 2023, the FDA cleared the IND for the Phase 1/2 trial and granted Fast Track designation to TNG462. We expect to initiate a Phase 1/2 clinical trial in mid-2023.</w:t>
      </w:r>
    </w:p>
    <w:p>
      <w:pPr>
        <w:pStyle w:val="TextBody"/>
        <w:spacing w:before="120" w:after="0"/>
        <w:jc w:val="left"/>
        <w:rPr/>
      </w:pPr>
      <w:r>
        <w:rPr/>
        <w:t>•</w:t>
      </w:r>
    </w:p>
    <w:p>
      <w:pPr>
        <w:pStyle w:val="TextBody"/>
        <w:spacing w:before="120" w:after="0"/>
        <w:jc w:val="left"/>
        <w:rPr/>
      </w:pPr>
      <w:r>
        <w:rPr>
          <w:rFonts w:ascii="Times New Roman;serif" w:hAnsi="Times New Roman;serif"/>
          <w:b/>
          <w:sz w:val="20"/>
        </w:rPr>
        <w:t>TNG260 (inhibitor of the CoREST complex)</w:t>
      </w:r>
      <w:r>
        <w:rPr/>
        <w:t xml:space="preserve"> </w:t>
      </w:r>
      <w:r>
        <w:rPr>
          <w:rFonts w:ascii="Times New Roman;serif" w:hAnsi="Times New Roman;serif"/>
          <w:b w:val="false"/>
          <w:sz w:val="20"/>
        </w:rPr>
        <w:t>- The FDA cleared the IND for TNG260 in first quarter of 2023. We expect to initiate a Phase 1/2 clinical trial in second half of 2023.</w:t>
      </w:r>
    </w:p>
    <w:p>
      <w:pPr>
        <w:pStyle w:val="TextBody"/>
        <w:spacing w:before="120" w:after="0"/>
        <w:jc w:val="left"/>
        <w:rPr/>
      </w:pPr>
      <w:r>
        <w:rPr/>
        <w:t>•</w:t>
      </w:r>
    </w:p>
    <w:p>
      <w:pPr>
        <w:pStyle w:val="TextBody"/>
        <w:spacing w:before="120" w:after="0"/>
        <w:jc w:val="left"/>
        <w:rPr/>
      </w:pPr>
      <w:r>
        <w:rPr>
          <w:rFonts w:ascii="Times New Roman;serif" w:hAnsi="Times New Roman;serif"/>
          <w:b/>
          <w:sz w:val="20"/>
        </w:rPr>
        <w:t>TNG348 (allosteric inhibitor of USP1)</w:t>
      </w:r>
      <w:r>
        <w:rPr/>
        <w:t xml:space="preserve"> </w:t>
      </w:r>
      <w:r>
        <w:rPr>
          <w:rFonts w:ascii="Times New Roman;serif" w:hAnsi="Times New Roman;serif"/>
          <w:b w:val="false"/>
          <w:sz w:val="20"/>
        </w:rPr>
        <w:t>- We have continued to advance our TNG348 program and continue to expect we will file an IND in mid-2023.</w:t>
      </w:r>
    </w:p>
    <w:p>
      <w:pPr>
        <w:pStyle w:val="TextBody"/>
        <w:spacing w:before="120" w:after="0"/>
        <w:jc w:val="left"/>
        <w:rPr/>
      </w:pPr>
      <w:r>
        <w:rPr/>
        <w:t>•</w:t>
      </w:r>
    </w:p>
    <w:p>
      <w:pPr>
        <w:pStyle w:val="TextBody"/>
        <w:spacing w:before="120" w:after="0"/>
        <w:jc w:val="left"/>
        <w:rPr/>
      </w:pPr>
      <w:r>
        <w:rPr>
          <w:rFonts w:ascii="Times New Roman;serif" w:hAnsi="Times New Roman;serif"/>
          <w:b/>
          <w:sz w:val="20"/>
        </w:rPr>
        <w:t>Addition of Dr. Crystal</w:t>
      </w:r>
      <w:r>
        <w:rPr/>
        <w:t xml:space="preserve"> </w:t>
      </w:r>
      <w:r>
        <w:rPr>
          <w:rFonts w:ascii="Times New Roman;serif" w:hAnsi="Times New Roman;serif"/>
          <w:b w:val="false"/>
          <w:sz w:val="20"/>
        </w:rPr>
        <w:t>- We were able to strengthen its management team with the addition of experienced pharmaceutical company executive in Dr. Crystal. Dr. Crystal brings expertise in pharmaceutical development that will further our efforts to efficiently and effectively manage its current and future clinical trial programs.</w:t>
      </w:r>
    </w:p>
    <w:p>
      <w:pPr>
        <w:pStyle w:val="TextBody"/>
        <w:spacing w:before="120" w:after="0"/>
        <w:jc w:val="left"/>
        <w:rPr/>
      </w:pPr>
      <w:r>
        <w:rPr/>
        <w:t>•</w:t>
      </w:r>
    </w:p>
    <w:p>
      <w:pPr>
        <w:pStyle w:val="TextBody"/>
        <w:spacing w:before="120" w:after="283"/>
        <w:jc w:val="left"/>
        <w:rPr/>
      </w:pPr>
      <w:r>
        <w:rPr>
          <w:rFonts w:ascii="Times New Roman;serif" w:hAnsi="Times New Roman;serif"/>
          <w:b/>
          <w:sz w:val="20"/>
        </w:rPr>
        <w:t>Cash Position -</w:t>
      </w:r>
      <w:r>
        <w:rPr/>
        <w:t xml:space="preserve"> </w:t>
      </w:r>
      <w:r>
        <w:rPr>
          <w:rFonts w:ascii="Times New Roman;serif" w:hAnsi="Times New Roman;serif"/>
          <w:b w:val="false"/>
          <w:sz w:val="20"/>
        </w:rPr>
        <w:t xml:space="preserve">We have been able to make the foregoing advancements while exercising strict fiscal discipline, as we expect that our existing cash, cash equivalents and marketable securities will fund our operating expenses and capital expenditure requirements at least into 2025. This positions us to continue to advance our development programs. </w:t>
      </w:r>
    </w:p>
    <w:p>
      <w:pPr>
        <w:pStyle w:val="TextBody"/>
        <w:spacing w:before="240" w:after="240"/>
        <w:jc w:val="left"/>
        <w:rPr>
          <w:rFonts w:ascii="Times New Roman;serif" w:hAnsi="Times New Roman;serif"/>
          <w:b/>
          <w:sz w:val="20"/>
        </w:rPr>
      </w:pPr>
      <w:r>
        <w:rPr>
          <w:rFonts w:ascii="Times New Roman;serif" w:hAnsi="Times New Roman;serif"/>
          <w:b/>
          <w:sz w:val="20"/>
        </w:rPr>
        <w:t>Compensation Philosophy</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compensation philosophy is designed to support our goal of building a world-class research and development organization with deep experience and understanding in synthetic lethality in order to identify novel targets and develop new drugs directed at tumor suppressor gene loss in defined patient populations with high unmet medical need. Attracting and retaining executives and employees that position Tango to meet these objectives, particularly as we continue dose escalation in the Phase 1/2 clinical trial for TNG908 and move two new compounds (TNG462 and TNG260) into clinical trials in 2023, is a paramount goal of the Company's compensation program. By building a talented and motivated organization around extraordinary leaders, we believe we can advance our product candidates, grow our pipeline and, ultimately, drive long-term and sustainable stockholder value creation.</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Tango's compensation programs are designed by our compensation committee and our board of directors around the following imperatives:</w:t>
      </w:r>
    </w:p>
    <w:p>
      <w:pPr>
        <w:pStyle w:val="TextBody"/>
        <w:spacing w:before="60" w:after="0"/>
        <w:jc w:val="left"/>
        <w:rPr/>
      </w:pPr>
      <w:r>
        <w:rPr/>
        <w:t>•</w:t>
      </w:r>
    </w:p>
    <w:p>
      <w:pPr>
        <w:pStyle w:val="TextBody"/>
        <w:spacing w:before="60" w:after="0"/>
        <w:jc w:val="left"/>
        <w:rPr/>
      </w:pPr>
      <w:r>
        <w:rPr>
          <w:rFonts w:ascii="Times New Roman;serif" w:hAnsi="Times New Roman;serif"/>
          <w:b/>
          <w:sz w:val="20"/>
        </w:rPr>
        <w:t>Attract, Retain and Incentivize</w:t>
      </w:r>
      <w:r>
        <w:rPr>
          <w:rFonts w:ascii="Times New Roman;serif" w:hAnsi="Times New Roman;serif"/>
          <w:b w:val="false"/>
          <w:sz w:val="20"/>
        </w:rPr>
        <w:t>: We are committed to attracting and retaining industry-leading talented individuals and designing our compensation programs to incentivize our employees to achieve rigorous corporate and individual objectives that are important to our long-term business and success.</w:t>
      </w:r>
    </w:p>
    <w:p>
      <w:pPr>
        <w:pStyle w:val="TextBody"/>
        <w:spacing w:before="60" w:after="0"/>
        <w:jc w:val="left"/>
        <w:rPr/>
      </w:pPr>
      <w:r>
        <w:rPr/>
        <w:t>•</w:t>
      </w:r>
    </w:p>
    <w:p>
      <w:pPr>
        <w:pStyle w:val="TextBody"/>
        <w:spacing w:before="60" w:after="0"/>
        <w:jc w:val="left"/>
        <w:rPr/>
      </w:pPr>
      <w:r>
        <w:rPr>
          <w:rFonts w:ascii="Times New Roman;serif" w:hAnsi="Times New Roman;serif"/>
          <w:b/>
          <w:sz w:val="20"/>
        </w:rPr>
        <w:t>Performance-based compensation pay-outs</w:t>
      </w:r>
      <w:r>
        <w:rPr>
          <w:rFonts w:ascii="Times New Roman;serif" w:hAnsi="Times New Roman;serif"/>
          <w:b w:val="false"/>
          <w:sz w:val="20"/>
        </w:rPr>
        <w:t>: Rewarding performance is the keystone of our total compensation program. In our annual bonus program, performance is measured by research and development advances, operating and strategic and individual contributions. The amount actually earned is scaled with the achievement of these performance metrics.</w:t>
      </w:r>
    </w:p>
    <w:p>
      <w:pPr>
        <w:pStyle w:val="TextBody"/>
        <w:spacing w:before="60" w:after="0"/>
        <w:jc w:val="left"/>
        <w:rPr/>
      </w:pPr>
      <w:r>
        <w:rPr/>
        <w:t>•</w:t>
      </w:r>
    </w:p>
    <w:p>
      <w:pPr>
        <w:pStyle w:val="TextBody"/>
        <w:spacing w:before="60" w:after="0"/>
        <w:jc w:val="left"/>
        <w:rPr/>
      </w:pPr>
      <w:r>
        <w:rPr>
          <w:rFonts w:ascii="Times New Roman;serif" w:hAnsi="Times New Roman;serif"/>
          <w:b/>
          <w:sz w:val="20"/>
        </w:rPr>
        <w:t>Compensation structure competitive with peers</w:t>
      </w:r>
      <w:r>
        <w:rPr>
          <w:rFonts w:ascii="Times New Roman;serif" w:hAnsi="Times New Roman;serif"/>
          <w:b w:val="false"/>
          <w:sz w:val="20"/>
        </w:rPr>
        <w:t>: We believe that compensation paid by our peer companies matters when we determine overall compensation. We evaluate the practices of our peers to validate that we are competitive with other companies with whom we compete for talent.</w:t>
      </w:r>
    </w:p>
    <w:p>
      <w:pPr>
        <w:pStyle w:val="TextBody"/>
        <w:spacing w:before="60" w:after="0"/>
        <w:jc w:val="left"/>
        <w:rPr/>
      </w:pPr>
      <w:r>
        <w:rPr/>
        <w:t>•</w:t>
      </w:r>
    </w:p>
    <w:p>
      <w:pPr>
        <w:pStyle w:val="TextBody"/>
        <w:spacing w:before="60" w:after="283"/>
        <w:jc w:val="left"/>
        <w:rPr/>
      </w:pPr>
      <w:r>
        <w:rPr>
          <w:rFonts w:ascii="Times New Roman;serif" w:hAnsi="Times New Roman;serif"/>
          <w:b/>
          <w:sz w:val="20"/>
        </w:rPr>
        <w:t>Balanced combination of compensation components</w:t>
      </w:r>
      <w:r>
        <w:rPr>
          <w:rFonts w:ascii="Times New Roman;serif" w:hAnsi="Times New Roman;serif"/>
          <w:b w:val="false"/>
          <w:sz w:val="20"/>
        </w:rPr>
        <w:t>: We strive for an appropriate balance between cash and equity incentives. The rationale being that annual cash incentive motivates individuals to successfully execute on short-term financial and strategic objectives and equity incentives focus executives on the long-term success of the organization and align the interests of our executives with those of our stockholders.</w:t>
      </w:r>
    </w:p>
    <w:p>
      <w:pPr>
        <w:pStyle w:val="TextBody"/>
        <w:spacing w:before="240" w:after="240"/>
        <w:jc w:val="left"/>
        <w:rPr>
          <w:rFonts w:ascii="Times New Roman;serif" w:hAnsi="Times New Roman;serif"/>
          <w:b/>
          <w:sz w:val="20"/>
        </w:rPr>
      </w:pPr>
      <w:r>
        <w:rPr>
          <w:rFonts w:ascii="Times New Roman;serif" w:hAnsi="Times New Roman;serif"/>
          <w:b/>
          <w:sz w:val="20"/>
        </w:rPr>
        <w:t>Compensation Practices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board of directors and compensation committee recognize that implementing best practices with respect to compensation is important to achieving the goals of operating ethically, transparently and with the aim of achieving long-term stockholder value. Therefore, the following are important aspects of our compensation processes, decisions and programs:</w:t>
      </w:r>
    </w:p>
    <w:p>
      <w:pPr>
        <w:pStyle w:val="TextBody"/>
        <w:spacing w:before="120" w:after="0"/>
        <w:jc w:val="left"/>
        <w:rPr/>
      </w:pPr>
      <w:r>
        <w:rPr/>
        <w:t>•</w:t>
      </w:r>
    </w:p>
    <w:p>
      <w:pPr>
        <w:pStyle w:val="TextBody"/>
        <w:spacing w:before="120" w:after="0"/>
        <w:jc w:val="left"/>
        <w:rPr/>
      </w:pPr>
      <w:r>
        <w:rPr>
          <w:rFonts w:ascii="Times New Roman;serif" w:hAnsi="Times New Roman;serif"/>
          <w:b/>
          <w:sz w:val="20"/>
        </w:rPr>
        <w:t>Independent Compensation Committee</w:t>
      </w:r>
      <w:r>
        <w:rPr>
          <w:rFonts w:ascii="Times New Roman;serif" w:hAnsi="Times New Roman;serif"/>
          <w:b/>
          <w:i/>
          <w:sz w:val="20"/>
        </w:rPr>
        <w:t>.</w:t>
      </w:r>
      <w:r>
        <w:rPr/>
        <w:t xml:space="preserve"> </w:t>
      </w:r>
      <w:r>
        <w:rPr>
          <w:rFonts w:ascii="Times New Roman;serif" w:hAnsi="Times New Roman;serif"/>
          <w:b w:val="false"/>
          <w:sz w:val="20"/>
        </w:rPr>
        <w:t>Our compensation committee consists solely of independent directors and they meet in executive session as needed.</w:t>
      </w:r>
    </w:p>
    <w:p>
      <w:pPr>
        <w:pStyle w:val="TextBody"/>
        <w:spacing w:before="120" w:after="0"/>
        <w:jc w:val="left"/>
        <w:rPr/>
      </w:pPr>
      <w:r>
        <w:rPr/>
        <w:t>•</w:t>
      </w:r>
    </w:p>
    <w:p>
      <w:pPr>
        <w:pStyle w:val="TextBody"/>
        <w:spacing w:before="120" w:after="0"/>
        <w:jc w:val="left"/>
        <w:rPr/>
      </w:pPr>
      <w:r>
        <w:rPr>
          <w:rFonts w:ascii="Times New Roman;serif" w:hAnsi="Times New Roman;serif"/>
          <w:b/>
          <w:sz w:val="20"/>
        </w:rPr>
        <w:t>Independent Compensation Advisor</w:t>
      </w:r>
      <w:r>
        <w:rPr>
          <w:rFonts w:ascii="Times New Roman;serif" w:hAnsi="Times New Roman;serif"/>
          <w:b/>
          <w:i/>
          <w:sz w:val="20"/>
        </w:rPr>
        <w:t>.</w:t>
      </w:r>
      <w:r>
        <w:rPr/>
        <w:t xml:space="preserve"> </w:t>
      </w:r>
      <w:r>
        <w:rPr>
          <w:rFonts w:ascii="Times New Roman;serif" w:hAnsi="Times New Roman;serif"/>
          <w:b w:val="false"/>
          <w:sz w:val="20"/>
        </w:rPr>
        <w:t>Our compensation committee engages Pearl Meyer &amp; Partners, LLC, or Pearl Meyers, its own independent compensation advisor, to provide information and peer group analysis related to annual executive compensation decisions and other advice on executive compensation.</w:t>
      </w:r>
    </w:p>
    <w:p>
      <w:pPr>
        <w:pStyle w:val="TextBody"/>
        <w:spacing w:before="120" w:after="0"/>
        <w:jc w:val="left"/>
        <w:rPr/>
      </w:pPr>
      <w:r>
        <w:rPr/>
        <w:t>•</w:t>
      </w:r>
    </w:p>
    <w:p>
      <w:pPr>
        <w:pStyle w:val="TextBody"/>
        <w:spacing w:before="120" w:after="0"/>
        <w:jc w:val="left"/>
        <w:rPr/>
      </w:pPr>
      <w:r>
        <w:rPr>
          <w:rFonts w:ascii="Times New Roman;serif" w:hAnsi="Times New Roman;serif"/>
          <w:b/>
          <w:sz w:val="20"/>
        </w:rPr>
        <w:t>Pay-for-Performance Guides the Compensation Philosophy</w:t>
      </w:r>
      <w:r>
        <w:rPr>
          <w:rFonts w:ascii="Times New Roman;serif" w:hAnsi="Times New Roman;serif"/>
          <w:b/>
          <w:i/>
          <w:sz w:val="20"/>
        </w:rPr>
        <w:t>.</w:t>
      </w:r>
      <w:r>
        <w:rPr/>
        <w:t xml:space="preserve"> </w:t>
      </w:r>
      <w:r>
        <w:rPr>
          <w:rFonts w:ascii="Times New Roman;serif" w:hAnsi="Times New Roman;serif"/>
          <w:b w:val="false"/>
          <w:sz w:val="20"/>
        </w:rPr>
        <w:t>The majority of our executive officer compensation is directly linked to corporate performance and includes a significant long-term equity component, thereby making a substantial portion of each executive officer’s total compensation at risk and dependent upon our performance and stock price.</w:t>
      </w:r>
    </w:p>
    <w:p>
      <w:pPr>
        <w:pStyle w:val="TextBody"/>
        <w:spacing w:before="120" w:after="0"/>
        <w:jc w:val="left"/>
        <w:rPr/>
      </w:pPr>
      <w:r>
        <w:rPr/>
        <w:t>•</w:t>
      </w:r>
    </w:p>
    <w:p>
      <w:pPr>
        <w:pStyle w:val="TextBody"/>
        <w:spacing w:before="120" w:after="0"/>
        <w:jc w:val="left"/>
        <w:rPr/>
      </w:pPr>
      <w:r>
        <w:rPr>
          <w:rFonts w:ascii="Times New Roman;serif" w:hAnsi="Times New Roman;serif"/>
          <w:b/>
          <w:sz w:val="20"/>
        </w:rPr>
        <w:t>No Single Trigger Payments on Change in Control</w:t>
      </w:r>
      <w:r>
        <w:rPr>
          <w:rFonts w:ascii="Times New Roman;serif" w:hAnsi="Times New Roman;serif"/>
          <w:b w:val="false"/>
          <w:sz w:val="20"/>
        </w:rPr>
        <w:t>. Change in control payments to our executive officers occur only upon a qualifying termination of employment within a set period of time, not automatically upon a change in control.</w:t>
      </w:r>
    </w:p>
    <w:p>
      <w:pPr>
        <w:pStyle w:val="TextBody"/>
        <w:spacing w:before="120" w:after="0"/>
        <w:jc w:val="left"/>
        <w:rPr/>
      </w:pPr>
      <w:r>
        <w:rPr/>
        <w:t>•</w:t>
      </w:r>
    </w:p>
    <w:p>
      <w:pPr>
        <w:pStyle w:val="TextBody"/>
        <w:spacing w:before="120" w:after="283"/>
        <w:jc w:val="left"/>
        <w:rPr/>
      </w:pPr>
      <w:r>
        <w:rPr>
          <w:rFonts w:ascii="Times New Roman;serif" w:hAnsi="Times New Roman;serif"/>
          <w:b/>
          <w:sz w:val="20"/>
        </w:rPr>
        <w:t>No Tax Gross-Ups</w:t>
      </w:r>
      <w:r>
        <w:rPr>
          <w:rFonts w:ascii="Times New Roman;serif" w:hAnsi="Times New Roman;serif"/>
          <w:b w:val="false"/>
          <w:sz w:val="20"/>
        </w:rPr>
        <w:t>. We do not provide for tax gross-ups on equity awards or "golden parachute" payments.</w:t>
      </w:r>
    </w:p>
    <w:p>
      <w:pPr>
        <w:pStyle w:val="TextBody"/>
        <w:spacing w:before="240" w:after="240"/>
        <w:jc w:val="left"/>
        <w:rPr>
          <w:rFonts w:ascii="Times New Roman;serif" w:hAnsi="Times New Roman;serif"/>
          <w:b/>
          <w:sz w:val="20"/>
        </w:rPr>
      </w:pPr>
      <w:r>
        <w:rPr>
          <w:rFonts w:ascii="Times New Roman;serif" w:hAnsi="Times New Roman;serif"/>
          <w:b/>
          <w:sz w:val="20"/>
        </w:rPr>
        <w:t>Named Executive Officer Compensation</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The following table shows the total compensation awarded to, earned by, or paid to (1) our principal executive officer, (2) our two next most highly compensated executive officers who earned more than $100,000 during the fiscal year ended December 31, 2022 and were serving as executive officers as of such date during the years indicated.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named executive officers, or the NEOs, for 2022 are:</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Barbara Weber, M.D., our President and Chief Executive Officer</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Daniella Beckman, our Chief Financial Officer; and</w:t>
      </w:r>
    </w:p>
    <w:p>
      <w:pPr>
        <w:pStyle w:val="TextBody"/>
        <w:spacing w:before="40" w:after="0"/>
        <w:jc w:val="left"/>
        <w:rPr/>
      </w:pPr>
      <w:r>
        <w:rPr/>
        <w:t>•</w:t>
      </w:r>
    </w:p>
    <w:p>
      <w:pPr>
        <w:pStyle w:val="TextBody"/>
        <w:spacing w:before="40" w:after="283"/>
        <w:jc w:val="left"/>
        <w:rPr>
          <w:rFonts w:ascii="Times New Roman;serif" w:hAnsi="Times New Roman;serif"/>
          <w:b w:val="false"/>
          <w:sz w:val="20"/>
        </w:rPr>
      </w:pPr>
      <w:r>
        <w:rPr>
          <w:rFonts w:ascii="Times New Roman;serif" w:hAnsi="Times New Roman;serif"/>
          <w:b w:val="false"/>
          <w:sz w:val="20"/>
        </w:rPr>
        <w:t>Alan Huang, Ph.D., our Chief Scientific Officer</w:t>
      </w:r>
    </w:p>
    <w:p>
      <w:pPr>
        <w:pStyle w:val="TextBody"/>
        <w:spacing w:before="240" w:after="240"/>
        <w:jc w:val="left"/>
        <w:rPr>
          <w:rFonts w:ascii="Times New Roman;serif" w:hAnsi="Times New Roman;serif"/>
          <w:b/>
          <w:sz w:val="20"/>
        </w:rPr>
      </w:pPr>
      <w:r>
        <w:rPr>
          <w:rFonts w:ascii="Times New Roman;serif" w:hAnsi="Times New Roman;serif"/>
          <w:b/>
          <w:sz w:val="20"/>
        </w:rPr>
        <w:t>2022 Summary Compensation Table</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177"/>
        <w:gridCol w:w="146"/>
        <w:gridCol w:w="146"/>
        <w:gridCol w:w="406"/>
        <w:gridCol w:w="146"/>
        <w:gridCol w:w="146"/>
        <w:gridCol w:w="181"/>
        <w:gridCol w:w="146"/>
        <w:gridCol w:w="586"/>
        <w:gridCol w:w="146"/>
        <w:gridCol w:w="235"/>
        <w:gridCol w:w="146"/>
        <w:gridCol w:w="192"/>
        <w:gridCol w:w="367"/>
        <w:gridCol w:w="146"/>
        <w:gridCol w:w="190"/>
        <w:gridCol w:w="153"/>
        <w:gridCol w:w="808"/>
        <w:gridCol w:w="146"/>
        <w:gridCol w:w="146"/>
        <w:gridCol w:w="275"/>
        <w:gridCol w:w="222"/>
        <w:gridCol w:w="897"/>
        <w:gridCol w:w="146"/>
        <w:gridCol w:w="146"/>
        <w:gridCol w:w="196"/>
        <w:gridCol w:w="158"/>
        <w:gridCol w:w="473"/>
        <w:gridCol w:w="158"/>
        <w:gridCol w:w="340"/>
        <w:gridCol w:w="146"/>
        <w:gridCol w:w="181"/>
        <w:gridCol w:w="146"/>
        <w:gridCol w:w="766"/>
        <w:gridCol w:w="200"/>
      </w:tblGrid>
      <w:tr>
        <w:trPr/>
        <w:tc>
          <w:tcPr>
            <w:tcW w:w="117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r>
      <w:tr>
        <w:trPr/>
        <w:tc>
          <w:tcPr>
            <w:tcW w:w="1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Name and Principal Position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4"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Salary(1)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Bonus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1"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Option Awards(6)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4"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Non-Equity Incentive Plan Compensation (7)($)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5"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All Other Compensation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Total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7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Barbara Weber, M.D.(5)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575,000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53" w:type="dxa"/>
            <w:tcBorders/>
            <w:shd w:fill="auto" w:val="clear"/>
            <w:vAlign w:val="center"/>
          </w:tcPr>
          <w:p>
            <w:pPr>
              <w:pStyle w:val="TableContents"/>
              <w:spacing w:before="0" w:after="0"/>
              <w:ind w:left="0" w:right="0" w:hanging="0"/>
              <w:jc w:val="left"/>
              <w:rPr/>
            </w:pPr>
            <w:r>
              <w:rPr/>
              <w:t> </w:t>
            </w:r>
          </w:p>
        </w:tc>
        <w:tc>
          <w:tcPr>
            <w:tcW w:w="80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3,740,625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222"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363,688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58"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2,474</w:t>
            </w:r>
          </w:p>
        </w:tc>
        <w:tc>
          <w:tcPr>
            <w:tcW w:w="158"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(8)</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4,681,787</w:t>
            </w:r>
          </w:p>
        </w:tc>
        <w:tc>
          <w:tcPr>
            <w:tcW w:w="200" w:type="dxa"/>
            <w:tcBorders/>
            <w:shd w:fill="auto" w:val="clear"/>
            <w:vAlign w:val="center"/>
          </w:tcPr>
          <w:p>
            <w:pPr>
              <w:pStyle w:val="TableContents"/>
              <w:spacing w:before="0" w:after="0"/>
              <w:ind w:left="0" w:right="0" w:hanging="0"/>
              <w:jc w:val="left"/>
              <w:rPr/>
            </w:pPr>
            <w:r>
              <w:rPr/>
              <w:t> </w:t>
            </w:r>
          </w:p>
        </w:tc>
      </w:tr>
      <w:tr>
        <w:trPr/>
        <w:tc>
          <w:tcPr>
            <w:tcW w:w="1177" w:type="dxa"/>
            <w:tcBorders/>
            <w:shd w:fill="auto" w:val="clear"/>
            <w:vAlign w:val="center"/>
          </w:tcPr>
          <w:p>
            <w:pPr>
              <w:pStyle w:val="TableContents"/>
              <w:spacing w:before="0" w:after="0"/>
              <w:ind w:left="0" w:right="0" w:hanging="0"/>
              <w:jc w:val="left"/>
              <w:rPr>
                <w:rFonts w:ascii="Times New Roman;serif" w:hAnsi="Times New Roman;serif"/>
                <w:b w:val="false"/>
                <w:i/>
                <w:sz w:val="14"/>
              </w:rPr>
            </w:pPr>
            <w:r>
              <w:rPr>
                <w:rFonts w:ascii="Times New Roman;serif" w:hAnsi="Times New Roman;serif"/>
                <w:b w:val="false"/>
                <w:i/>
                <w:sz w:val="14"/>
              </w:rPr>
              <w:t>President, Chief Executive Officer and Director</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513,685</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(2)</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53" w:type="dxa"/>
            <w:tcBorders/>
            <w:shd w:fill="auto" w:val="clear"/>
            <w:vAlign w:val="center"/>
          </w:tcPr>
          <w:p>
            <w:pPr>
              <w:pStyle w:val="TableContents"/>
              <w:spacing w:before="0" w:after="0"/>
              <w:ind w:left="0" w:right="0" w:hanging="0"/>
              <w:jc w:val="left"/>
              <w:rPr/>
            </w:pPr>
            <w:r>
              <w:rPr/>
              <w:t> </w:t>
            </w:r>
          </w:p>
        </w:tc>
        <w:tc>
          <w:tcPr>
            <w:tcW w:w="80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10,719,769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222"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277,910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58"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4,609</w:t>
            </w:r>
          </w:p>
        </w:tc>
        <w:tc>
          <w:tcPr>
            <w:tcW w:w="158"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11,515,974</w:t>
            </w:r>
          </w:p>
        </w:tc>
        <w:tc>
          <w:tcPr>
            <w:tcW w:w="200" w:type="dxa"/>
            <w:tcBorders/>
            <w:shd w:fill="auto" w:val="clear"/>
            <w:vAlign w:val="center"/>
          </w:tcPr>
          <w:p>
            <w:pPr>
              <w:pStyle w:val="TableContents"/>
              <w:spacing w:before="0" w:after="0"/>
              <w:ind w:left="0" w:right="0" w:hanging="0"/>
              <w:jc w:val="left"/>
              <w:rPr/>
            </w:pPr>
            <w:r>
              <w:rPr/>
              <w:t> </w:t>
            </w:r>
          </w:p>
        </w:tc>
      </w:tr>
      <w:tr>
        <w:trPr/>
        <w:tc>
          <w:tcPr>
            <w:tcW w:w="117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Daniella Beckman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425,100</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53" w:type="dxa"/>
            <w:tcBorders/>
            <w:shd w:fill="auto" w:val="clear"/>
            <w:vAlign w:val="center"/>
          </w:tcPr>
          <w:p>
            <w:pPr>
              <w:pStyle w:val="TableContents"/>
              <w:spacing w:before="0" w:after="0"/>
              <w:ind w:left="0" w:right="0" w:hanging="0"/>
              <w:jc w:val="left"/>
              <w:rPr/>
            </w:pPr>
            <w:r>
              <w:rPr/>
              <w:t> </w:t>
            </w:r>
          </w:p>
        </w:tc>
        <w:tc>
          <w:tcPr>
            <w:tcW w:w="80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897,750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222"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191,614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58"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2,415</w:t>
            </w:r>
          </w:p>
        </w:tc>
        <w:tc>
          <w:tcPr>
            <w:tcW w:w="158"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(9)</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1,516,879</w:t>
            </w:r>
          </w:p>
        </w:tc>
        <w:tc>
          <w:tcPr>
            <w:tcW w:w="200" w:type="dxa"/>
            <w:tcBorders/>
            <w:shd w:fill="auto" w:val="clear"/>
            <w:vAlign w:val="center"/>
          </w:tcPr>
          <w:p>
            <w:pPr>
              <w:pStyle w:val="TableContents"/>
              <w:spacing w:before="0" w:after="0"/>
              <w:ind w:left="0" w:right="0" w:hanging="0"/>
              <w:jc w:val="left"/>
              <w:rPr/>
            </w:pPr>
            <w:r>
              <w:rPr/>
              <w:t> </w:t>
            </w:r>
          </w:p>
        </w:tc>
      </w:tr>
      <w:tr>
        <w:trPr/>
        <w:tc>
          <w:tcPr>
            <w:tcW w:w="1177" w:type="dxa"/>
            <w:tcBorders/>
            <w:shd w:fill="auto" w:val="clear"/>
            <w:vAlign w:val="center"/>
          </w:tcPr>
          <w:p>
            <w:pPr>
              <w:pStyle w:val="TableContents"/>
              <w:spacing w:before="0" w:after="0"/>
              <w:ind w:left="0" w:right="0" w:hanging="0"/>
              <w:jc w:val="left"/>
              <w:rPr>
                <w:rFonts w:ascii="Times New Roman;serif" w:hAnsi="Times New Roman;serif"/>
                <w:b w:val="false"/>
                <w:i/>
                <w:sz w:val="14"/>
              </w:rPr>
            </w:pPr>
            <w:r>
              <w:rPr>
                <w:rFonts w:ascii="Times New Roman;serif" w:hAnsi="Times New Roman;serif"/>
                <w:b w:val="false"/>
                <w:i/>
                <w:sz w:val="14"/>
              </w:rPr>
              <w:t>Chief Financial Officer</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377,945</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(3)</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53" w:type="dxa"/>
            <w:tcBorders/>
            <w:shd w:fill="auto" w:val="clear"/>
            <w:vAlign w:val="center"/>
          </w:tcPr>
          <w:p>
            <w:pPr>
              <w:pStyle w:val="TableContents"/>
              <w:spacing w:before="0" w:after="0"/>
              <w:ind w:left="0" w:right="0" w:hanging="0"/>
              <w:jc w:val="left"/>
              <w:rPr/>
            </w:pPr>
            <w:r>
              <w:rPr/>
              <w:t> </w:t>
            </w:r>
          </w:p>
        </w:tc>
        <w:tc>
          <w:tcPr>
            <w:tcW w:w="80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2,630,841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222"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164,562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58"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3,317</w:t>
            </w:r>
          </w:p>
        </w:tc>
        <w:tc>
          <w:tcPr>
            <w:tcW w:w="158"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3,176,664</w:t>
            </w:r>
          </w:p>
        </w:tc>
        <w:tc>
          <w:tcPr>
            <w:tcW w:w="200" w:type="dxa"/>
            <w:tcBorders/>
            <w:shd w:fill="auto" w:val="clear"/>
            <w:vAlign w:val="center"/>
          </w:tcPr>
          <w:p>
            <w:pPr>
              <w:pStyle w:val="TableContents"/>
              <w:spacing w:before="0" w:after="0"/>
              <w:ind w:left="0" w:right="0" w:hanging="0"/>
              <w:jc w:val="left"/>
              <w:rPr/>
            </w:pPr>
            <w:r>
              <w:rPr/>
              <w:t> </w:t>
            </w:r>
          </w:p>
        </w:tc>
      </w:tr>
      <w:tr>
        <w:trPr/>
        <w:tc>
          <w:tcPr>
            <w:tcW w:w="117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Alan Huang, Ph.D.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425,385</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53" w:type="dxa"/>
            <w:tcBorders/>
            <w:shd w:fill="auto" w:val="clear"/>
            <w:vAlign w:val="center"/>
          </w:tcPr>
          <w:p>
            <w:pPr>
              <w:pStyle w:val="TableContents"/>
              <w:spacing w:before="0" w:after="0"/>
              <w:ind w:left="0" w:right="0" w:hanging="0"/>
              <w:jc w:val="left"/>
              <w:rPr/>
            </w:pPr>
            <w:r>
              <w:rPr/>
              <w:t> </w:t>
            </w:r>
          </w:p>
        </w:tc>
        <w:tc>
          <w:tcPr>
            <w:tcW w:w="80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1,197,000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222"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193,550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58"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2,966</w:t>
            </w:r>
          </w:p>
        </w:tc>
        <w:tc>
          <w:tcPr>
            <w:tcW w:w="158"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(10)</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1,818,901</w:t>
            </w:r>
          </w:p>
        </w:tc>
        <w:tc>
          <w:tcPr>
            <w:tcW w:w="200" w:type="dxa"/>
            <w:tcBorders/>
            <w:shd w:fill="auto" w:val="clear"/>
            <w:vAlign w:val="center"/>
          </w:tcPr>
          <w:p>
            <w:pPr>
              <w:pStyle w:val="TableContents"/>
              <w:spacing w:before="0" w:after="0"/>
              <w:ind w:left="0" w:right="0" w:hanging="0"/>
              <w:jc w:val="left"/>
              <w:rPr/>
            </w:pPr>
            <w:r>
              <w:rPr/>
              <w:t> </w:t>
            </w:r>
          </w:p>
        </w:tc>
      </w:tr>
      <w:tr>
        <w:trPr/>
        <w:tc>
          <w:tcPr>
            <w:tcW w:w="1177" w:type="dxa"/>
            <w:tcBorders/>
            <w:shd w:fill="auto" w:val="clear"/>
            <w:vAlign w:val="center"/>
          </w:tcPr>
          <w:p>
            <w:pPr>
              <w:pStyle w:val="TableContents"/>
              <w:spacing w:before="0" w:after="0"/>
              <w:ind w:left="0" w:right="0" w:hanging="0"/>
              <w:jc w:val="left"/>
              <w:rPr>
                <w:rFonts w:ascii="Times New Roman;serif" w:hAnsi="Times New Roman;serif"/>
                <w:b w:val="false"/>
                <w:i/>
                <w:sz w:val="14"/>
              </w:rPr>
            </w:pPr>
            <w:r>
              <w:rPr>
                <w:rFonts w:ascii="Times New Roman;serif" w:hAnsi="Times New Roman;serif"/>
                <w:b w:val="false"/>
                <w:i/>
                <w:sz w:val="14"/>
              </w:rPr>
              <w:t>Chief Scientific Officer</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394,793</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(4)</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53" w:type="dxa"/>
            <w:tcBorders/>
            <w:shd w:fill="auto" w:val="clear"/>
            <w:vAlign w:val="center"/>
          </w:tcPr>
          <w:p>
            <w:pPr>
              <w:pStyle w:val="TableContents"/>
              <w:spacing w:before="0" w:after="0"/>
              <w:ind w:left="0" w:right="0" w:hanging="0"/>
              <w:jc w:val="left"/>
              <w:rPr/>
            </w:pPr>
            <w:r>
              <w:rPr/>
              <w:t> </w:t>
            </w:r>
          </w:p>
        </w:tc>
        <w:tc>
          <w:tcPr>
            <w:tcW w:w="80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1,649,121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222"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168,347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58" w:type="dxa"/>
            <w:tcBorders/>
            <w:shd w:fill="auto" w:val="clear"/>
            <w:vAlign w:val="center"/>
          </w:tcPr>
          <w:p>
            <w:pPr>
              <w:pStyle w:val="TableContents"/>
              <w:spacing w:before="0" w:after="0"/>
              <w:ind w:left="0" w:right="0" w:hanging="0"/>
              <w:jc w:val="left"/>
              <w:rPr/>
            </w:pPr>
            <w:r>
              <w:rPr/>
              <w:t> </w:t>
            </w:r>
          </w:p>
        </w:tc>
        <w:tc>
          <w:tcPr>
            <w:tcW w:w="47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3,396</w:t>
            </w:r>
          </w:p>
        </w:tc>
        <w:tc>
          <w:tcPr>
            <w:tcW w:w="158"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2,215,657</w:t>
            </w:r>
          </w:p>
        </w:tc>
        <w:tc>
          <w:tcPr>
            <w:tcW w:w="200"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(1) Salary amount represents actual amounts paid during years noted. See “— Narrative to the Summary Compensation Table —Base Salaries” below for additional information.</w:t>
      </w:r>
    </w:p>
    <w:p>
      <w:pPr>
        <w:pStyle w:val="TextBody"/>
        <w:spacing w:before="0" w:after="0"/>
        <w:jc w:val="left"/>
        <w:rPr>
          <w:rFonts w:ascii="Times New Roman;serif" w:hAnsi="Times New Roman;serif"/>
          <w:b w:val="false"/>
          <w:sz w:val="20"/>
        </w:rPr>
      </w:pPr>
      <w:r>
        <w:rPr>
          <w:rFonts w:ascii="Times New Roman;serif" w:hAnsi="Times New Roman;serif"/>
          <w:b w:val="false"/>
          <w:sz w:val="20"/>
        </w:rPr>
        <w:t>(2) Dr. Weber earned a base salary of $506,479 for the period between January 1, 2021 and August 10, 2021. Upon the closing of Business Combination (as such term is defined above in this proxy statement) on August 10, 2021, her salary was increased to $526,000.</w:t>
      </w:r>
    </w:p>
    <w:p>
      <w:pPr>
        <w:pStyle w:val="TextBody"/>
        <w:spacing w:before="0" w:after="0"/>
        <w:jc w:val="left"/>
        <w:rPr>
          <w:rFonts w:ascii="Times New Roman;serif" w:hAnsi="Times New Roman;serif"/>
          <w:b w:val="false"/>
          <w:sz w:val="20"/>
        </w:rPr>
      </w:pPr>
      <w:r>
        <w:rPr>
          <w:rFonts w:ascii="Times New Roman;serif" w:hAnsi="Times New Roman;serif"/>
          <w:b w:val="false"/>
          <w:sz w:val="20"/>
        </w:rPr>
        <w:t>(3) Ms. Beckman earned a base salary of $370,800 for the period between January 1, 2021 and August 10, 2021. Upon the closing of Business Combination on August 10, 2021, her salary was increased to $390,000.</w:t>
      </w:r>
    </w:p>
    <w:p>
      <w:pPr>
        <w:pStyle w:val="TextBody"/>
        <w:spacing w:before="0" w:after="0"/>
        <w:jc w:val="left"/>
        <w:rPr>
          <w:rFonts w:ascii="Times New Roman;serif" w:hAnsi="Times New Roman;serif"/>
          <w:b w:val="false"/>
          <w:sz w:val="20"/>
        </w:rPr>
      </w:pPr>
      <w:r>
        <w:rPr>
          <w:rFonts w:ascii="Times New Roman;serif" w:hAnsi="Times New Roman;serif"/>
          <w:b w:val="false"/>
          <w:sz w:val="20"/>
        </w:rPr>
        <w:t>(4) Mr. Huang earned a base salary of $385,107 for the period between January 1, 2021 and August 10, 2021. Upon the closing of Business Combination on August 10, 2021, his salary was increased to $411,000.</w:t>
      </w:r>
    </w:p>
    <w:p>
      <w:pPr>
        <w:pStyle w:val="TextBody"/>
        <w:spacing w:before="0" w:after="0"/>
        <w:jc w:val="left"/>
        <w:rPr>
          <w:rFonts w:ascii="Times New Roman;serif" w:hAnsi="Times New Roman;serif"/>
          <w:b w:val="false"/>
          <w:sz w:val="20"/>
        </w:rPr>
      </w:pPr>
      <w:r>
        <w:rPr>
          <w:rFonts w:ascii="Times New Roman;serif" w:hAnsi="Times New Roman;serif"/>
          <w:b w:val="false"/>
          <w:sz w:val="20"/>
        </w:rPr>
        <w:t>(5) Dr. Weber also serves as a member of our board of directors but does not receive any additional compensation for her service as a director.</w:t>
      </w:r>
    </w:p>
    <w:p>
      <w:pPr>
        <w:pStyle w:val="TextBody"/>
        <w:spacing w:before="0" w:after="0"/>
        <w:jc w:val="left"/>
        <w:rPr>
          <w:rFonts w:ascii="Times New Roman;serif" w:hAnsi="Times New Roman;serif"/>
          <w:b w:val="false"/>
          <w:sz w:val="20"/>
        </w:rPr>
      </w:pPr>
      <w:r>
        <w:rPr>
          <w:rFonts w:ascii="Times New Roman;serif" w:hAnsi="Times New Roman;serif"/>
          <w:b w:val="false"/>
          <w:sz w:val="20"/>
        </w:rPr>
        <w:t>(6) In accordance with SEC rules, this column reflects the aggregate grant date fair value of the option awards granted during fiscal years 2022 and 2021 computed in accordance with Financial Accounting Standards Board Accounting Standards Codification Topic 718, or ASC Topic 718, for share-based compensation transactions. See Note 2 and Note 12 to our audited financial statements contained in our Annual Report on Form 10-K filed with the SEC on March 27, 2023 for a discussion of assumptions made in determining the aggregate grant date fair value of stock option awards. These amounts do not reflect the actual economic value that may be realized by the named executive officer upon the vesting or exercise of the stock options or the sale of the common stock underlying such stock options.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(7) Reflects performance-based cash bonuses awarded to our named executive officers. See “— Non-Equity Incentive Plan Compensation” below for a description of the material terms of the program pursuant to which this compensation was earned.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(8) The amounts reported reflect $1,660 of commuter benefits and $814 of expenses for phone services that the company paid for on behalf of Dr. Weber.</w:t>
      </w:r>
    </w:p>
    <w:p>
      <w:pPr>
        <w:pStyle w:val="TextBody"/>
        <w:spacing w:before="0" w:after="0"/>
        <w:jc w:val="left"/>
        <w:rPr>
          <w:rFonts w:ascii="Times New Roman;serif" w:hAnsi="Times New Roman;serif"/>
          <w:b w:val="false"/>
          <w:sz w:val="20"/>
        </w:rPr>
      </w:pPr>
      <w:r>
        <w:rPr>
          <w:rFonts w:ascii="Times New Roman;serif" w:hAnsi="Times New Roman;serif"/>
          <w:b w:val="false"/>
          <w:sz w:val="20"/>
        </w:rPr>
        <w:t>(9) The amounts reported reflect $1,660 of commuter benefits and $755 of expenses for phone services that the company paid for on behalf of Ms. Beckman.</w:t>
      </w:r>
    </w:p>
    <w:p>
      <w:pPr>
        <w:pStyle w:val="TextBody"/>
        <w:spacing w:before="0" w:after="0"/>
        <w:jc w:val="left"/>
        <w:rPr>
          <w:rFonts w:ascii="Times New Roman;serif" w:hAnsi="Times New Roman;serif"/>
          <w:b w:val="false"/>
          <w:sz w:val="20"/>
        </w:rPr>
      </w:pPr>
      <w:r>
        <w:rPr>
          <w:rFonts w:ascii="Times New Roman;serif" w:hAnsi="Times New Roman;serif"/>
          <w:b w:val="false"/>
          <w:sz w:val="20"/>
        </w:rPr>
        <w:t>(10) The amounts reported reflect $1,660 of commuter benefits and $1,306 of expenses for phone services that the company paid for on behalf of Mr. Huang.</w:t>
      </w:r>
    </w:p>
    <w:p>
      <w:pPr>
        <w:pStyle w:val="TextBody"/>
        <w:spacing w:before="240" w:after="240"/>
        <w:jc w:val="left"/>
        <w:rPr>
          <w:rFonts w:ascii="Times New Roman;serif" w:hAnsi="Times New Roman;serif"/>
          <w:b/>
          <w:sz w:val="20"/>
        </w:rPr>
      </w:pPr>
      <w:r>
        <w:rPr>
          <w:rFonts w:ascii="Times New Roman;serif" w:hAnsi="Times New Roman;serif"/>
          <w:b/>
          <w:sz w:val="20"/>
        </w:rPr>
        <w:t>Narrative to the Summary Compensation Table</w:t>
      </w:r>
    </w:p>
    <w:p>
      <w:pPr>
        <w:pStyle w:val="TextBody"/>
        <w:spacing w:before="0" w:after="240"/>
        <w:jc w:val="left"/>
        <w:rPr>
          <w:rFonts w:ascii="Times New Roman" w:hAnsi="Times New Roman"/>
          <w:sz w:val="20"/>
        </w:rPr>
      </w:pPr>
      <w:r>
        <w:rPr>
          <w:rFonts w:ascii="Times New Roman;serif" w:hAnsi="Times New Roman;serif"/>
          <w:b w:val="false"/>
          <w:sz w:val="20"/>
        </w:rPr>
        <w:t>With respect to our 2022 compensation program, our compensation committee and our board of directors reviewed compensation for all employees, including our named executive officers. In setting executive base salaries and bonuses and granting equity incentive awards, the compensation committee considered compensation for comparable positions in the market, historical compensation level of our executives, individual performance as compared to our expectations and objectives, our desire to motivate employees to achieve short- and long-term results that are in the best interests of our stockholders and a long-term commitment to value creation for our company.</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When setting named executive officer compensation, the compensation committee targets a general competitive position, based on independent third-party benchmark analytics to inform the mix of compensation of base salary, bonus and long-term incentives.</w:t>
      </w:r>
    </w:p>
    <w:p>
      <w:pPr>
        <w:pStyle w:val="TextBody"/>
        <w:spacing w:before="240" w:after="0"/>
        <w:jc w:val="left"/>
        <w:rPr>
          <w:rFonts w:ascii="Times New Roman" w:hAnsi="Times New Roman"/>
          <w:sz w:val="20"/>
        </w:rPr>
      </w:pPr>
      <w:r>
        <w:rPr>
          <w:rFonts w:ascii="Times New Roman;serif" w:hAnsi="Times New Roman;serif"/>
          <w:b w:val="false"/>
          <w:sz w:val="20"/>
        </w:rPr>
        <w:t>Our compensation committee is primarily responsible for determining the compensation for all of our executive officers. Our compensation committee reviews and discusses management’s proposed compensation with our Chief Executive Officer for all executives other than the Chief Executive Officer. Based on those discussions and its discretion, taking into account the factors noted above, the compensation committee then sets the compensation for each executive officer other than the Chief Executive Officer and recommends the compensation for the Chief Executive Officer to our board of directors for approval. Our board of directors discusses the compensation committee’s recommendation and ultimately approves the compensation of our Chief Executive Officer without the Chief Executive Officer present. Our compensation committee has the authority to engage the services of a consulting firm or other outside advisors to assist it in designing our executive compensation programs and in making compensation decisions. During 2022, the compensation committee continued to retain the services of Pearl Meyer as external compensation consultant to advise on executive compensation matters including our overall compensation program design and collection of market data to inform our compensation programs for our executive officers and members of our board of directors. Pearl Meyer reports directly to our</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compensation committee. Prior to engaging Pearl Meyer, our compensation committee assessed its independence consistent with Nasdaq listing standards (and continues to do so on an annual basis) and concluded that the engagement of such consultant did not raise any conflicts of interest.</w:t>
      </w:r>
    </w:p>
    <w:p>
      <w:pPr>
        <w:pStyle w:val="TextBody"/>
        <w:spacing w:before="240" w:after="0"/>
        <w:jc w:val="left"/>
        <w:rPr>
          <w:rFonts w:ascii="Times New Roman;serif" w:hAnsi="Times New Roman;serif"/>
          <w:b/>
          <w:i/>
          <w:sz w:val="20"/>
        </w:rPr>
      </w:pPr>
      <w:r>
        <w:rPr>
          <w:rFonts w:ascii="Times New Roman;serif" w:hAnsi="Times New Roman;serif"/>
          <w:b/>
          <w:i/>
          <w:sz w:val="20"/>
        </w:rPr>
        <w:t>Base Salaries</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annual base salaries of our named executive officers are generally determined, approved and reviewed periodically by our compensation committee (and our board of directors with respect to the Chief Executive Officer) in order to compensate our named executive officers for their performance of duties to our Company. Annual base salaries are intended to provide a fixed component of compensation to our named executive officers, reflecting their skill sets, experience, roles and responsibilities. Base salaries for our named executive officers have generally been set at levels deemed necessary to attract and retain individuals with superior talent.</w:t>
      </w:r>
    </w:p>
    <w:tbl>
      <w:tblPr>
        <w:tblW w:w="5893" w:type="dxa"/>
        <w:jc w:val="left"/>
        <w:tblInd w:w="0" w:type="dxa"/>
        <w:tblCellMar>
          <w:top w:w="28" w:type="dxa"/>
          <w:left w:w="28" w:type="dxa"/>
          <w:bottom w:w="28" w:type="dxa"/>
          <w:right w:w="28" w:type="dxa"/>
        </w:tblCellMar>
      </w:tblPr>
      <w:tblGrid>
        <w:gridCol w:w="1816"/>
        <w:gridCol w:w="146"/>
        <w:gridCol w:w="339"/>
        <w:gridCol w:w="234"/>
        <w:gridCol w:w="1256"/>
        <w:gridCol w:w="146"/>
        <w:gridCol w:w="146"/>
        <w:gridCol w:w="300"/>
        <w:gridCol w:w="207"/>
        <w:gridCol w:w="1112"/>
        <w:gridCol w:w="191"/>
      </w:tblGrid>
      <w:tr>
        <w:trPr/>
        <w:tc>
          <w:tcPr>
            <w:tcW w:w="18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29"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 Base Salary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9"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 Base Salary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Barbara Weber, M.D.</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4" w:type="dxa"/>
            <w:tcBorders/>
            <w:shd w:fill="auto" w:val="clear"/>
            <w:vAlign w:val="center"/>
          </w:tcPr>
          <w:p>
            <w:pPr>
              <w:pStyle w:val="TableContents"/>
              <w:spacing w:before="0" w:after="0"/>
              <w:ind w:left="0" w:right="0" w:hanging="0"/>
              <w:jc w:val="left"/>
              <w:rPr/>
            </w:pPr>
            <w:r>
              <w:rPr/>
              <w:t> </w:t>
            </w:r>
          </w:p>
        </w:tc>
        <w:tc>
          <w:tcPr>
            <w:tcW w:w="12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526,000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7" w:type="dxa"/>
            <w:tcBorders/>
            <w:shd w:fill="auto" w:val="clear"/>
            <w:vAlign w:val="center"/>
          </w:tcPr>
          <w:p>
            <w:pPr>
              <w:pStyle w:val="TableContents"/>
              <w:spacing w:before="0" w:after="0"/>
              <w:ind w:left="0" w:right="0" w:hanging="0"/>
              <w:jc w:val="left"/>
              <w:rPr/>
            </w:pPr>
            <w:r>
              <w:rPr/>
              <w:t> </w:t>
            </w:r>
          </w:p>
        </w:tc>
        <w:tc>
          <w:tcPr>
            <w:tcW w:w="11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575,000</w:t>
            </w:r>
          </w:p>
        </w:tc>
        <w:tc>
          <w:tcPr>
            <w:tcW w:w="191" w:type="dxa"/>
            <w:tcBorders/>
            <w:shd w:fill="auto" w:val="clear"/>
            <w:vAlign w:val="center"/>
          </w:tcPr>
          <w:p>
            <w:pPr>
              <w:pStyle w:val="TableContents"/>
              <w:spacing w:before="0" w:after="0"/>
              <w:ind w:left="0" w:right="0" w:hanging="0"/>
              <w:jc w:val="left"/>
              <w:rPr/>
            </w:pPr>
            <w:r>
              <w:rPr/>
              <w:t> </w:t>
            </w:r>
          </w:p>
        </w:tc>
      </w:tr>
      <w:tr>
        <w:trPr/>
        <w:tc>
          <w:tcPr>
            <w:tcW w:w="18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Daniella Beckman</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4" w:type="dxa"/>
            <w:tcBorders/>
            <w:shd w:fill="auto" w:val="clear"/>
            <w:vAlign w:val="center"/>
          </w:tcPr>
          <w:p>
            <w:pPr>
              <w:pStyle w:val="TableContents"/>
              <w:spacing w:before="0" w:after="0"/>
              <w:ind w:left="0" w:right="0" w:hanging="0"/>
              <w:jc w:val="left"/>
              <w:rPr/>
            </w:pPr>
            <w:r>
              <w:rPr/>
              <w:t> </w:t>
            </w:r>
          </w:p>
        </w:tc>
        <w:tc>
          <w:tcPr>
            <w:tcW w:w="12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7" w:type="dxa"/>
            <w:tcBorders/>
            <w:shd w:fill="auto" w:val="clear"/>
            <w:vAlign w:val="center"/>
          </w:tcPr>
          <w:p>
            <w:pPr>
              <w:pStyle w:val="TableContents"/>
              <w:spacing w:before="0" w:after="0"/>
              <w:ind w:left="0" w:right="0" w:hanging="0"/>
              <w:jc w:val="left"/>
              <w:rPr/>
            </w:pPr>
            <w:r>
              <w:rPr/>
              <w:t> </w:t>
            </w:r>
          </w:p>
        </w:tc>
        <w:tc>
          <w:tcPr>
            <w:tcW w:w="11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425,100</w:t>
            </w:r>
          </w:p>
        </w:tc>
        <w:tc>
          <w:tcPr>
            <w:tcW w:w="191" w:type="dxa"/>
            <w:tcBorders/>
            <w:shd w:fill="auto" w:val="clear"/>
            <w:vAlign w:val="center"/>
          </w:tcPr>
          <w:p>
            <w:pPr>
              <w:pStyle w:val="TableContents"/>
              <w:spacing w:before="0" w:after="0"/>
              <w:ind w:left="0" w:right="0" w:hanging="0"/>
              <w:jc w:val="left"/>
              <w:rPr/>
            </w:pPr>
            <w:r>
              <w:rPr/>
              <w:t> </w:t>
            </w:r>
          </w:p>
        </w:tc>
      </w:tr>
      <w:tr>
        <w:trPr/>
        <w:tc>
          <w:tcPr>
            <w:tcW w:w="18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Alan Huang, Ph.D.</w:t>
            </w:r>
          </w:p>
        </w:tc>
        <w:tc>
          <w:tcPr>
            <w:tcW w:w="146" w:type="dxa"/>
            <w:tcBorders/>
            <w:shd w:fill="auto" w:val="clear"/>
            <w:vAlign w:val="center"/>
          </w:tcPr>
          <w:p>
            <w:pPr>
              <w:pStyle w:val="TableContents"/>
              <w:spacing w:before="0" w:after="0"/>
              <w:ind w:left="0" w:right="0" w:hanging="0"/>
              <w:jc w:val="left"/>
              <w:rPr/>
            </w:pPr>
            <w:r>
              <w:rPr/>
              <w:t> </w:t>
            </w:r>
          </w:p>
        </w:tc>
        <w:tc>
          <w:tcPr>
            <w:tcW w:w="3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4" w:type="dxa"/>
            <w:tcBorders/>
            <w:shd w:fill="auto" w:val="clear"/>
            <w:vAlign w:val="center"/>
          </w:tcPr>
          <w:p>
            <w:pPr>
              <w:pStyle w:val="TableContents"/>
              <w:spacing w:before="0" w:after="0"/>
              <w:ind w:left="0" w:right="0" w:hanging="0"/>
              <w:jc w:val="left"/>
              <w:rPr/>
            </w:pPr>
            <w:r>
              <w:rPr/>
              <w:t> </w:t>
            </w:r>
          </w:p>
        </w:tc>
        <w:tc>
          <w:tcPr>
            <w:tcW w:w="12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7" w:type="dxa"/>
            <w:tcBorders/>
            <w:shd w:fill="auto" w:val="clear"/>
            <w:vAlign w:val="center"/>
          </w:tcPr>
          <w:p>
            <w:pPr>
              <w:pStyle w:val="TableContents"/>
              <w:spacing w:before="0" w:after="0"/>
              <w:ind w:left="0" w:right="0" w:hanging="0"/>
              <w:jc w:val="left"/>
              <w:rPr/>
            </w:pPr>
            <w:r>
              <w:rPr/>
              <w:t> </w:t>
            </w:r>
          </w:p>
        </w:tc>
        <w:tc>
          <w:tcPr>
            <w:tcW w:w="11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425,385</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240"/>
        <w:jc w:val="left"/>
        <w:rPr>
          <w:rFonts w:ascii="Times New Roman;serif" w:hAnsi="Times New Roman;serif"/>
          <w:b w:val="false"/>
          <w:sz w:val="20"/>
        </w:rPr>
      </w:pPr>
      <w:r>
        <w:rPr>
          <w:rFonts w:ascii="Times New Roman;serif" w:hAnsi="Times New Roman;serif"/>
          <w:b w:val="false"/>
          <w:sz w:val="20"/>
        </w:rPr>
        <w:t>(1) 2021 Base Salary became effective upon the closing of the Business Combination on August 10, 2021.</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The compensation committee, in setting base salary compensation for the named executive officers (and all Company employees), implemented a minimum increase to base salaries of 3.5% which, based on regional market data, reflect an increase in the cost-of-living. This was done to ensure that employees had salaries that allowed them to maintain their purchasing power and to remain competitive with the companies with which we compete for talent.</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Dr. Weber's base salary was increased in 2022 by an additional 5.5% to recognize the significant advancements that the Company had achieved in connection with the Business Combination, the Company becoming a publicly-traded company in August 2021, and the additional responsibilities that belong to the chief executive officer of a public company. In addition, the compensation committee and the board of directors recognized that 2022 was going to be a year of significant transition of the Company from being a drug discovery entity to one that would need to successfully maintain the drug discovery focus (so that that pipeline is robust) but also build a drug development organization that would be a new and important area of focus for the Company. The Chief Executive Officer was responsible for leading this effort that required significant effort to build a new function within the organization.</w:t>
      </w:r>
    </w:p>
    <w:p>
      <w:pPr>
        <w:pStyle w:val="TextBody"/>
        <w:spacing w:before="0" w:after="240"/>
        <w:jc w:val="left"/>
        <w:rPr>
          <w:rFonts w:ascii="Times New Roman" w:hAnsi="Times New Roman"/>
          <w:sz w:val="20"/>
        </w:rPr>
      </w:pPr>
      <w:r>
        <w:rPr>
          <w:rFonts w:ascii="Times New Roman;serif" w:hAnsi="Times New Roman;serif"/>
          <w:b w:val="false"/>
          <w:sz w:val="20"/>
        </w:rPr>
        <w:t>Ms. Beckman's base salary was increased in 2022 by an additional 5.5% to reflect her increased roles as the executive responsible for financial reporting at a public company. The compensation committee recognized that Ms. Beckman was responsible for implementing financial reporting controls and processes to allow the Company to report timely and accurately the financial results of the Company, as well as overseeing the investor relations function for the organization.</w:t>
      </w:r>
      <w:r>
        <w:rPr>
          <w:rFonts w:ascii="Times New Roman" w:hAnsi="Times New Roman"/>
          <w:sz w:val="20"/>
        </w:rPr>
        <w:t xml:space="preserve"> </w:t>
      </w:r>
    </w:p>
    <w:p>
      <w:pPr>
        <w:pStyle w:val="TextBody"/>
        <w:spacing w:before="0" w:after="240"/>
        <w:jc w:val="left"/>
        <w:rPr>
          <w:rFonts w:ascii="Times New Roman" w:hAnsi="Times New Roman"/>
          <w:sz w:val="20"/>
        </w:rPr>
      </w:pPr>
      <w:r>
        <w:rPr>
          <w:rFonts w:ascii="Times New Roman;serif" w:hAnsi="Times New Roman;serif"/>
          <w:b w:val="false"/>
          <w:sz w:val="20"/>
        </w:rPr>
        <w:t>Mr. Huang's base salary was increased by the 3.5% to reflect the increase in the cost-of-living.</w:t>
      </w:r>
      <w:r>
        <w:rPr>
          <w:rFonts w:ascii="Times New Roman" w:hAnsi="Times New Roman"/>
          <w:sz w:val="20"/>
        </w:rPr>
        <w:t xml:space="preserve"> </w:t>
      </w:r>
    </w:p>
    <w:p>
      <w:pPr>
        <w:pStyle w:val="TextBody"/>
        <w:spacing w:before="0" w:after="240"/>
        <w:jc w:val="left"/>
        <w:rPr>
          <w:rFonts w:ascii="Times New Roman;serif" w:hAnsi="Times New Roman;serif"/>
          <w:b/>
          <w:i/>
          <w:sz w:val="20"/>
        </w:rPr>
      </w:pPr>
      <w:r>
        <w:rPr>
          <w:rFonts w:ascii="Times New Roman;serif" w:hAnsi="Times New Roman;serif"/>
          <w:b/>
          <w:i/>
          <w:sz w:val="20"/>
        </w:rPr>
        <w:t>Non-Equity Incentive Plan Compensation</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annual cash bonus program is intended to recognize and reward employees for achieving established objectives that are linked to the Company’s growth and success, with the goal of incentivizing our executives to take steps to meet our short-term financial and strategic objectives, thereby establishing the foundation for increasing the Company's intrinsic long-term value. The program rewards performance based on corporate and individual accomplishments. The compensation committee and the board endeavor to deliver a meaningful portion of total cash compensation in the form of performance-based annual cash incentives. The board and the compensation committee believe that doing so is critical because the opportunity for a meaningful cash award will, together with strong management and accountability, drive executives to individually and collectively achieve and exceed our annual objectives. This approach supports the compensation committee's goal of linking a substantial portion of overall compensation to the Company and the individual.</w:t>
      </w:r>
    </w:p>
    <w:p>
      <w:pPr>
        <w:pStyle w:val="TextBody"/>
        <w:spacing w:before="240" w:after="0"/>
        <w:jc w:val="left"/>
        <w:rPr>
          <w:rFonts w:ascii="Times New Roman" w:hAnsi="Times New Roman"/>
          <w:sz w:val="20"/>
        </w:rPr>
      </w:pPr>
      <w:r>
        <w:rPr>
          <w:rFonts w:ascii="Times New Roman;serif" w:hAnsi="Times New Roman;serif"/>
          <w:b w:val="false"/>
          <w:sz w:val="20"/>
        </w:rPr>
        <w:t>The compensation committee and the board of directors established bonus metrics in connection with the 2022 annual cash bonus program. The board of directors sets goals at the start of each performance year, in consultation with the compensation committee, and then the board tracks actual performance against these goals at each board meeting with a final assessment at the end of the annual performance year. Our Company performance goals are consistent throughout the organization to ensure there is full alignment and clarity on the critical goals for Tango.</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val="false"/>
          <w:sz w:val="20"/>
        </w:rPr>
        <w:t>The 2022 annual cash bonus program provides for formula-based incentive payments based upon the achievement of certain corporate and individual performance goals and objectives approved by our compensation committee and board of directors. These targets were established early in 2022 and communicated to the executives (and remained unchanged during the year). Bonuses are targeted at a</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240" w:after="240"/>
        <w:jc w:val="left"/>
        <w:rPr>
          <w:rFonts w:ascii="Times New Roman" w:hAnsi="Times New Roman"/>
          <w:sz w:val="20"/>
        </w:rPr>
      </w:pPr>
      <w:r>
        <w:rPr>
          <w:rFonts w:ascii="Times New Roman;serif" w:hAnsi="Times New Roman;serif"/>
          <w:b w:val="false"/>
          <w:sz w:val="20"/>
        </w:rPr>
        <w:t>percentage of the executive officer’s base salary, and are paid out in the first quarter of the following year. In 2022, the board of directors determined that it would increase the bonus target for Dr. Weber, as compared to 2021, in order to make a greater percentage of her total cash compensation tied to corporate performance. The compensation committee determined, after reviewing peer group and other data, that the bonus percentage for the other two named executive officers, Ms. Beckman and Mr. Huang, would remain unchanged from 2021. The table below sets forth the named executive officers’ target annual cash bonus percentages for the fiscal years indicated:</w:t>
      </w:r>
      <w:r>
        <w:rPr>
          <w:rFonts w:ascii="Times New Roman" w:hAnsi="Times New Roman"/>
          <w:sz w:val="20"/>
        </w:rPr>
        <w:t xml:space="preserve"> </w:t>
      </w:r>
    </w:p>
    <w:tbl>
      <w:tblPr>
        <w:tblW w:w="5781" w:type="dxa"/>
        <w:jc w:val="left"/>
        <w:tblInd w:w="0" w:type="dxa"/>
        <w:tblCellMar>
          <w:top w:w="28" w:type="dxa"/>
          <w:left w:w="28" w:type="dxa"/>
          <w:bottom w:w="28" w:type="dxa"/>
          <w:right w:w="28" w:type="dxa"/>
        </w:tblCellMar>
      </w:tblPr>
      <w:tblGrid>
        <w:gridCol w:w="1816"/>
        <w:gridCol w:w="146"/>
        <w:gridCol w:w="361"/>
        <w:gridCol w:w="782"/>
        <w:gridCol w:w="671"/>
        <w:gridCol w:w="146"/>
        <w:gridCol w:w="349"/>
        <w:gridCol w:w="755"/>
        <w:gridCol w:w="755"/>
      </w:tblGrid>
      <w:tr>
        <w:trPr/>
        <w:tc>
          <w:tcPr>
            <w:tcW w:w="18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r>
      <w:tr>
        <w:trPr/>
        <w:tc>
          <w:tcPr>
            <w:tcW w:w="1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4"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 Bonus Target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9"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 Bonus Target (%)</w:t>
            </w:r>
          </w:p>
        </w:tc>
      </w:tr>
      <w:tr>
        <w:trPr/>
        <w:tc>
          <w:tcPr>
            <w:tcW w:w="18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Barbara Weber, M.D.</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7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75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Daniella Beckman</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7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75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Alan Huang, Ph.D.</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7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6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75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120"/>
        <w:jc w:val="left"/>
        <w:rPr>
          <w:rFonts w:ascii="Times New Roman;serif" w:hAnsi="Times New Roman;serif"/>
          <w:b w:val="false"/>
          <w:sz w:val="20"/>
        </w:rPr>
      </w:pPr>
      <w:r>
        <w:rPr>
          <w:rFonts w:ascii="Times New Roman;serif" w:hAnsi="Times New Roman;serif"/>
          <w:b w:val="false"/>
          <w:sz w:val="20"/>
        </w:rPr>
        <w:t>The corporate component of the 2022 annual cash bonus program consisted of five separate metrics that were weighted as follows:</w:t>
      </w:r>
    </w:p>
    <w:p>
      <w:pPr>
        <w:pStyle w:val="TextBody"/>
        <w:spacing w:before="60" w:after="0"/>
        <w:jc w:val="left"/>
        <w:rPr/>
      </w:pPr>
      <w:r>
        <w:rPr/>
        <w:t>•</w:t>
      </w:r>
    </w:p>
    <w:p>
      <w:pPr>
        <w:pStyle w:val="TextBody"/>
        <w:spacing w:before="60" w:after="0"/>
        <w:jc w:val="left"/>
        <w:rPr/>
      </w:pPr>
      <w:r>
        <w:rPr>
          <w:rFonts w:ascii="Times New Roman;serif" w:hAnsi="Times New Roman;serif"/>
          <w:b/>
          <w:sz w:val="20"/>
        </w:rPr>
        <w:t>Target Discovery</w:t>
      </w:r>
      <w:r>
        <w:rPr/>
        <w:t xml:space="preserve"> </w:t>
      </w:r>
      <w:r>
        <w:rPr>
          <w:rFonts w:ascii="Times New Roman;serif" w:hAnsi="Times New Roman;serif"/>
          <w:b w:val="false"/>
          <w:sz w:val="20"/>
        </w:rPr>
        <w:t>- weighted 10%. This target was designed to encourage our employees to identify validated targets to meet our goal of filing INDs in the future to establish an enhanced and sustainable product pipeline.</w:t>
      </w:r>
    </w:p>
    <w:p>
      <w:pPr>
        <w:pStyle w:val="TextBody"/>
        <w:spacing w:before="60" w:after="0"/>
        <w:jc w:val="left"/>
        <w:rPr/>
      </w:pPr>
      <w:r>
        <w:rPr/>
        <w:t>•</w:t>
      </w:r>
    </w:p>
    <w:p>
      <w:pPr>
        <w:pStyle w:val="TextBody"/>
        <w:spacing w:before="60" w:after="0"/>
        <w:jc w:val="left"/>
        <w:rPr/>
      </w:pPr>
      <w:r>
        <w:rPr>
          <w:rFonts w:ascii="Times New Roman;serif" w:hAnsi="Times New Roman;serif"/>
          <w:b/>
          <w:sz w:val="20"/>
        </w:rPr>
        <w:t>Drug Discovery</w:t>
      </w:r>
      <w:r>
        <w:rPr/>
        <w:t xml:space="preserve"> </w:t>
      </w:r>
      <w:r>
        <w:rPr>
          <w:rFonts w:ascii="Times New Roman;serif" w:hAnsi="Times New Roman;serif"/>
          <w:b w:val="false"/>
          <w:sz w:val="20"/>
        </w:rPr>
        <w:t>- weighted 30%. This target was established to incentivize our employees to continue to advance our identified programs into advanced drug discovery phases.</w:t>
      </w:r>
    </w:p>
    <w:p>
      <w:pPr>
        <w:pStyle w:val="TextBody"/>
        <w:spacing w:before="60" w:after="0"/>
        <w:jc w:val="left"/>
        <w:rPr/>
      </w:pPr>
      <w:r>
        <w:rPr/>
        <w:t>•</w:t>
      </w:r>
    </w:p>
    <w:p>
      <w:pPr>
        <w:pStyle w:val="TextBody"/>
        <w:spacing w:before="60" w:after="0"/>
        <w:jc w:val="left"/>
        <w:rPr/>
      </w:pPr>
      <w:r>
        <w:rPr>
          <w:rFonts w:ascii="Times New Roman;serif" w:hAnsi="Times New Roman;serif"/>
          <w:b/>
          <w:sz w:val="20"/>
        </w:rPr>
        <w:t xml:space="preserve">Drug Development </w:t>
      </w:r>
      <w:r>
        <w:rPr>
          <w:rFonts w:ascii="Times New Roman;serif" w:hAnsi="Times New Roman;serif"/>
          <w:b w:val="false"/>
          <w:sz w:val="20"/>
        </w:rPr>
        <w:t xml:space="preserve">- weighted 40%. Given the importance of the clinical trial program to the Company's overall success and its long-term intrinsic value, drug development was the factor with the highest weighting as determined by the board of directors. This target was designed to meet our goal of opening multiple clinical trial sites and dosing patients in our Phase 1/2 TNG908 clinical trial, progressing our future IND filings in order to meet our projected timelines and continuing to prepare other compounds for the clinic. </w:t>
      </w:r>
    </w:p>
    <w:p>
      <w:pPr>
        <w:pStyle w:val="TextBody"/>
        <w:spacing w:before="60" w:after="0"/>
        <w:jc w:val="left"/>
        <w:rPr/>
      </w:pPr>
      <w:r>
        <w:rPr/>
        <w:t>•</w:t>
      </w:r>
    </w:p>
    <w:p>
      <w:pPr>
        <w:pStyle w:val="TextBody"/>
        <w:spacing w:before="60" w:after="0"/>
        <w:jc w:val="left"/>
        <w:rPr/>
      </w:pPr>
      <w:r>
        <w:rPr>
          <w:rFonts w:ascii="Times New Roman;serif" w:hAnsi="Times New Roman;serif"/>
          <w:b/>
          <w:sz w:val="20"/>
        </w:rPr>
        <w:t>Corporate Strategy</w:t>
      </w:r>
      <w:r>
        <w:rPr/>
        <w:t xml:space="preserve"> </w:t>
      </w:r>
      <w:r>
        <w:rPr>
          <w:rFonts w:ascii="Times New Roman;serif" w:hAnsi="Times New Roman;serif"/>
          <w:b w:val="false"/>
          <w:sz w:val="20"/>
        </w:rPr>
        <w:t>- weighted 10%. This target was established to incentivize our employees to continue to generate scientific publications and disclosures that highlight the strength of our science, our discovery platform and our programs, as well as to meet budgetary and other important cash-based goals that are designed to allow for continued development of our product pipeline in the future.</w:t>
      </w:r>
    </w:p>
    <w:p>
      <w:pPr>
        <w:pStyle w:val="TextBody"/>
        <w:spacing w:before="60" w:after="0"/>
        <w:jc w:val="left"/>
        <w:rPr/>
      </w:pPr>
      <w:r>
        <w:rPr/>
        <w:t>•</w:t>
      </w:r>
    </w:p>
    <w:p>
      <w:pPr>
        <w:pStyle w:val="TextBody"/>
        <w:spacing w:before="60" w:after="283"/>
        <w:jc w:val="left"/>
        <w:rPr/>
      </w:pPr>
      <w:r>
        <w:rPr>
          <w:rFonts w:ascii="Times New Roman;serif" w:hAnsi="Times New Roman;serif"/>
          <w:b/>
          <w:sz w:val="20"/>
        </w:rPr>
        <w:t>People</w:t>
      </w:r>
      <w:r>
        <w:rPr/>
        <w:t xml:space="preserve"> </w:t>
      </w:r>
      <w:r>
        <w:rPr>
          <w:rFonts w:ascii="Times New Roman;serif" w:hAnsi="Times New Roman;serif"/>
          <w:b w:val="false"/>
          <w:sz w:val="20"/>
        </w:rPr>
        <w:t>- weighted 10%. This target was designed to reward results with respect to: (i) engagement survey results conducted with our associates, (ii) building out critical functions of our organization as we advanced our clinical trials and (iii) limiting employee turnover in a competitive environment for talent.</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In early 2023, in consultation with the board of directors, the compensation committee determined that the overall achievement of the corporate performance metrics for the 2022 annual cash bonus program was 115% of target. The following provides an analysis of the components that were utilized in determining the 115% of target payout:</w:t>
      </w:r>
    </w:p>
    <w:p>
      <w:pPr>
        <w:pStyle w:val="TextBody"/>
        <w:spacing w:before="240" w:after="240"/>
        <w:jc w:val="left"/>
        <w:rPr>
          <w:rFonts w:ascii="Times New Roman" w:hAnsi="Times New Roman"/>
          <w:sz w:val="20"/>
        </w:rPr>
      </w:pPr>
      <w:r>
        <w:rPr>
          <w:rFonts w:ascii="Times New Roman;serif" w:hAnsi="Times New Roman;serif"/>
          <w:b/>
          <w:sz w:val="20"/>
        </w:rPr>
        <w:t>Target Discovery</w:t>
      </w:r>
      <w:r>
        <w:rPr>
          <w:rFonts w:ascii="Times New Roman" w:hAnsi="Times New Roman"/>
          <w:sz w:val="20"/>
        </w:rPr>
        <w:t xml:space="preserve"> </w:t>
      </w:r>
      <w:r>
        <w:rPr>
          <w:rFonts w:ascii="Times New Roman;serif" w:hAnsi="Times New Roman;serif"/>
          <w:b w:val="false"/>
          <w:sz w:val="20"/>
        </w:rPr>
        <w:t xml:space="preserve">- the goal was achieved at </w:t>
      </w:r>
      <w:r>
        <w:rPr>
          <w:rFonts w:ascii="Times New Roman;serif" w:hAnsi="Times New Roman;serif"/>
          <w:b/>
          <w:sz w:val="20"/>
        </w:rPr>
        <w:t>110%</w:t>
      </w:r>
      <w:r>
        <w:rPr>
          <w:rFonts w:ascii="Times New Roman" w:hAnsi="Times New Roman"/>
          <w:sz w:val="20"/>
        </w:rPr>
        <w:t xml:space="preserve"> </w:t>
      </w:r>
      <w:r>
        <w:rPr>
          <w:rFonts w:ascii="Times New Roman;serif" w:hAnsi="Times New Roman;serif"/>
          <w:b w:val="false"/>
          <w:sz w:val="20"/>
        </w:rPr>
        <w:t>of the target, largely due to the number and timing of target screens being performed by the target discovery team.</w:t>
      </w:r>
    </w:p>
    <w:p>
      <w:pPr>
        <w:pStyle w:val="TextBody"/>
        <w:spacing w:before="240" w:after="240"/>
        <w:jc w:val="left"/>
        <w:rPr>
          <w:rFonts w:ascii="Times New Roman" w:hAnsi="Times New Roman"/>
          <w:sz w:val="20"/>
        </w:rPr>
      </w:pPr>
      <w:r>
        <w:rPr>
          <w:rFonts w:ascii="Times New Roman;serif" w:hAnsi="Times New Roman;serif"/>
          <w:b/>
          <w:sz w:val="20"/>
        </w:rPr>
        <w:t>Drug Discovery</w:t>
      </w:r>
      <w:r>
        <w:rPr>
          <w:rFonts w:ascii="Times New Roman" w:hAnsi="Times New Roman"/>
          <w:sz w:val="20"/>
        </w:rPr>
        <w:t xml:space="preserve"> </w:t>
      </w:r>
      <w:r>
        <w:rPr>
          <w:rFonts w:ascii="Times New Roman;serif" w:hAnsi="Times New Roman;serif"/>
          <w:b w:val="false"/>
          <w:sz w:val="20"/>
        </w:rPr>
        <w:t xml:space="preserve">- the goal was achieved at </w:t>
      </w:r>
      <w:r>
        <w:rPr>
          <w:rFonts w:ascii="Times New Roman;serif" w:hAnsi="Times New Roman;serif"/>
          <w:b/>
          <w:sz w:val="20"/>
        </w:rPr>
        <w:t>115%</w:t>
      </w:r>
      <w:r>
        <w:rPr>
          <w:rFonts w:ascii="Times New Roman" w:hAnsi="Times New Roman"/>
          <w:sz w:val="20"/>
        </w:rPr>
        <w:t xml:space="preserve"> </w:t>
      </w:r>
      <w:r>
        <w:rPr>
          <w:rFonts w:ascii="Times New Roman;serif" w:hAnsi="Times New Roman;serif"/>
          <w:b w:val="false"/>
          <w:sz w:val="20"/>
        </w:rPr>
        <w:t>of the target as a result of the selection of a development candidate for one of our programs during 2022 and the transition of a number of targets through the discovery process at an accelerated pace.</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sz w:val="20"/>
        </w:rPr>
        <w:t>Drug Development</w:t>
      </w:r>
      <w:r>
        <w:rPr>
          <w:rFonts w:ascii="Times New Roman" w:hAnsi="Times New Roman"/>
          <w:sz w:val="20"/>
        </w:rPr>
        <w:t xml:space="preserve"> </w:t>
      </w:r>
      <w:r>
        <w:rPr>
          <w:rFonts w:ascii="Times New Roman;serif" w:hAnsi="Times New Roman;serif"/>
          <w:b w:val="false"/>
          <w:sz w:val="20"/>
        </w:rPr>
        <w:t xml:space="preserve">- the goal was achieved at </w:t>
      </w:r>
      <w:r>
        <w:rPr>
          <w:rFonts w:ascii="Times New Roman;serif" w:hAnsi="Times New Roman;serif"/>
          <w:b/>
          <w:sz w:val="20"/>
        </w:rPr>
        <w:t>113%</w:t>
      </w:r>
      <w:r>
        <w:rPr>
          <w:rFonts w:ascii="Times New Roman" w:hAnsi="Times New Roman"/>
          <w:sz w:val="20"/>
        </w:rPr>
        <w:t xml:space="preserve"> </w:t>
      </w:r>
      <w:r>
        <w:rPr>
          <w:rFonts w:ascii="Times New Roman;serif" w:hAnsi="Times New Roman;serif"/>
          <w:b w:val="false"/>
          <w:sz w:val="20"/>
        </w:rPr>
        <w:t>of the target due to the initiation and advancement of the TNG908 clinical trial in the U.S. and abroad, as well as the preparation of INDs and submission of the IND for TNG462 during the fourth quarter of 2022.</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sz w:val="20"/>
        </w:rPr>
        <w:t>Corporate Strategy</w:t>
      </w:r>
      <w:r>
        <w:rPr>
          <w:rFonts w:ascii="Times New Roman;serif" w:hAnsi="Times New Roman;serif"/>
          <w:b w:val="false"/>
          <w:sz w:val="20"/>
        </w:rPr>
        <w:t xml:space="preserve">- the goal was achieved at </w:t>
      </w:r>
      <w:r>
        <w:rPr>
          <w:rFonts w:ascii="Times New Roman;serif" w:hAnsi="Times New Roman;serif"/>
          <w:b/>
          <w:sz w:val="20"/>
        </w:rPr>
        <w:t>115%</w:t>
      </w:r>
      <w:r>
        <w:rPr>
          <w:rFonts w:ascii="Times New Roman" w:hAnsi="Times New Roman"/>
          <w:sz w:val="20"/>
        </w:rPr>
        <w:t xml:space="preserve"> </w:t>
      </w:r>
      <w:r>
        <w:rPr>
          <w:rFonts w:ascii="Times New Roman;serif" w:hAnsi="Times New Roman;serif"/>
          <w:b w:val="false"/>
          <w:sz w:val="20"/>
        </w:rPr>
        <w:t>of the target primarily because the Company significantly exceeded its scientific publication goals and the budget oversight allowed for cash management in accordance with overall goals.</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sz w:val="20"/>
        </w:rPr>
        <w:t>People</w:t>
      </w:r>
      <w:r>
        <w:rPr>
          <w:rFonts w:ascii="Times New Roman" w:hAnsi="Times New Roman"/>
          <w:sz w:val="20"/>
        </w:rPr>
        <w:t xml:space="preserve"> </w:t>
      </w:r>
      <w:r>
        <w:rPr>
          <w:rFonts w:ascii="Times New Roman;serif" w:hAnsi="Times New Roman;serif"/>
          <w:b w:val="false"/>
          <w:sz w:val="20"/>
        </w:rPr>
        <w:t xml:space="preserve">- the goal was achieved at </w:t>
      </w:r>
      <w:r>
        <w:rPr>
          <w:rFonts w:ascii="Times New Roman;serif" w:hAnsi="Times New Roman;serif"/>
          <w:b/>
          <w:sz w:val="20"/>
        </w:rPr>
        <w:t>125%</w:t>
      </w:r>
      <w:r>
        <w:rPr>
          <w:rFonts w:ascii="Times New Roman" w:hAnsi="Times New Roman"/>
          <w:sz w:val="20"/>
        </w:rPr>
        <w:t xml:space="preserve"> </w:t>
      </w:r>
      <w:r>
        <w:rPr>
          <w:rFonts w:ascii="Times New Roman;serif" w:hAnsi="Times New Roman;serif"/>
          <w:b w:val="false"/>
          <w:sz w:val="20"/>
        </w:rPr>
        <w:t>of the target due to the growth in the Company's headcount in certain important functional areas and the results of the engagement survey, with 97% of associated participating in the survey and due to demonstrated improvement in areas of importance (based on the 2021 engagement survey).</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As a result of this performance, which exceeded each of the objective goals set for 2022, the bonus payout was approved at 115% of target. The following table reflects the target bonus as a percentage of base salary, the cash bonus payment at target and the actual bonus payout based on the success Tango achieved in 2022.</w:t>
      </w:r>
    </w:p>
    <w:tbl>
      <w:tblPr>
        <w:tblW w:w="8050" w:type="dxa"/>
        <w:jc w:val="left"/>
        <w:tblInd w:w="0" w:type="dxa"/>
        <w:tblCellMar>
          <w:top w:w="28" w:type="dxa"/>
          <w:left w:w="28" w:type="dxa"/>
          <w:bottom w:w="28" w:type="dxa"/>
          <w:right w:w="28" w:type="dxa"/>
        </w:tblCellMar>
      </w:tblPr>
      <w:tblGrid>
        <w:gridCol w:w="1816"/>
        <w:gridCol w:w="146"/>
        <w:gridCol w:w="975"/>
        <w:gridCol w:w="840"/>
        <w:gridCol w:w="146"/>
        <w:gridCol w:w="322"/>
        <w:gridCol w:w="223"/>
        <w:gridCol w:w="1194"/>
        <w:gridCol w:w="146"/>
        <w:gridCol w:w="146"/>
        <w:gridCol w:w="353"/>
        <w:gridCol w:w="244"/>
        <w:gridCol w:w="1308"/>
        <w:gridCol w:w="191"/>
      </w:tblGrid>
      <w:tr>
        <w:trPr/>
        <w:tc>
          <w:tcPr>
            <w:tcW w:w="18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 Bonus Target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39"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 Bonus Target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5"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 Bonus Achieved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Barbara Weber, M.D.</w:t>
            </w:r>
          </w:p>
        </w:tc>
        <w:tc>
          <w:tcPr>
            <w:tcW w:w="146" w:type="dxa"/>
            <w:tcBorders/>
            <w:shd w:fill="auto" w:val="clear"/>
            <w:vAlign w:val="center"/>
          </w:tcPr>
          <w:p>
            <w:pPr>
              <w:pStyle w:val="TableContents"/>
              <w:spacing w:before="0" w:after="0"/>
              <w:ind w:left="0" w:right="0" w:hanging="0"/>
              <w:jc w:val="left"/>
              <w:rPr/>
            </w:pPr>
            <w:r>
              <w:rPr/>
              <w:t> </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8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23" w:type="dxa"/>
            <w:tcBorders/>
            <w:shd w:fill="auto" w:val="clear"/>
            <w:vAlign w:val="center"/>
          </w:tcPr>
          <w:p>
            <w:pPr>
              <w:pStyle w:val="TableContents"/>
              <w:spacing w:before="0" w:after="0"/>
              <w:ind w:left="0" w:right="0" w:hanging="0"/>
              <w:jc w:val="left"/>
              <w:rPr/>
            </w:pPr>
            <w:r>
              <w:rPr/>
              <w:t> </w:t>
            </w:r>
          </w:p>
        </w:tc>
        <w:tc>
          <w:tcPr>
            <w:tcW w:w="11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44" w:type="dxa"/>
            <w:tcBorders/>
            <w:shd w:fill="auto" w:val="clear"/>
            <w:vAlign w:val="center"/>
          </w:tcPr>
          <w:p>
            <w:pPr>
              <w:pStyle w:val="TableContents"/>
              <w:spacing w:before="0" w:after="0"/>
              <w:ind w:left="0" w:right="0" w:hanging="0"/>
              <w:jc w:val="left"/>
              <w:rPr/>
            </w:pPr>
            <w:r>
              <w:rPr/>
              <w:t> </w:t>
            </w:r>
          </w:p>
        </w:tc>
        <w:tc>
          <w:tcPr>
            <w:tcW w:w="13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363,688</w:t>
            </w:r>
          </w:p>
        </w:tc>
        <w:tc>
          <w:tcPr>
            <w:tcW w:w="191" w:type="dxa"/>
            <w:tcBorders/>
            <w:shd w:fill="auto" w:val="clear"/>
            <w:vAlign w:val="center"/>
          </w:tcPr>
          <w:p>
            <w:pPr>
              <w:pStyle w:val="TableContents"/>
              <w:spacing w:before="0" w:after="0"/>
              <w:ind w:left="0" w:right="0" w:hanging="0"/>
              <w:jc w:val="left"/>
              <w:rPr/>
            </w:pPr>
            <w:r>
              <w:rPr/>
              <w:t> </w:t>
            </w:r>
          </w:p>
        </w:tc>
      </w:tr>
      <w:tr>
        <w:trPr/>
        <w:tc>
          <w:tcPr>
            <w:tcW w:w="18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Daniella Beckman</w:t>
            </w:r>
          </w:p>
        </w:tc>
        <w:tc>
          <w:tcPr>
            <w:tcW w:w="146" w:type="dxa"/>
            <w:tcBorders/>
            <w:shd w:fill="auto" w:val="clear"/>
            <w:vAlign w:val="center"/>
          </w:tcPr>
          <w:p>
            <w:pPr>
              <w:pStyle w:val="TableContents"/>
              <w:spacing w:before="0" w:after="0"/>
              <w:ind w:left="0" w:right="0" w:hanging="0"/>
              <w:jc w:val="left"/>
              <w:rPr/>
            </w:pPr>
            <w:r>
              <w:rPr/>
              <w:t> </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8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23" w:type="dxa"/>
            <w:tcBorders/>
            <w:shd w:fill="auto" w:val="clear"/>
            <w:vAlign w:val="center"/>
          </w:tcPr>
          <w:p>
            <w:pPr>
              <w:pStyle w:val="TableContents"/>
              <w:spacing w:before="0" w:after="0"/>
              <w:ind w:left="0" w:right="0" w:hanging="0"/>
              <w:jc w:val="left"/>
              <w:rPr/>
            </w:pPr>
            <w:r>
              <w:rPr/>
              <w:t> </w:t>
            </w:r>
          </w:p>
        </w:tc>
        <w:tc>
          <w:tcPr>
            <w:tcW w:w="11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170,040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44" w:type="dxa"/>
            <w:tcBorders/>
            <w:shd w:fill="auto" w:val="clear"/>
            <w:vAlign w:val="center"/>
          </w:tcPr>
          <w:p>
            <w:pPr>
              <w:pStyle w:val="TableContents"/>
              <w:spacing w:before="0" w:after="0"/>
              <w:ind w:left="0" w:right="0" w:hanging="0"/>
              <w:jc w:val="left"/>
              <w:rPr/>
            </w:pPr>
            <w:r>
              <w:rPr/>
              <w:t> </w:t>
            </w:r>
          </w:p>
        </w:tc>
        <w:tc>
          <w:tcPr>
            <w:tcW w:w="13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191,614</w:t>
            </w:r>
          </w:p>
        </w:tc>
        <w:tc>
          <w:tcPr>
            <w:tcW w:w="191" w:type="dxa"/>
            <w:tcBorders/>
            <w:shd w:fill="auto" w:val="clear"/>
            <w:vAlign w:val="center"/>
          </w:tcPr>
          <w:p>
            <w:pPr>
              <w:pStyle w:val="TableContents"/>
              <w:spacing w:before="0" w:after="0"/>
              <w:ind w:left="0" w:right="0" w:hanging="0"/>
              <w:jc w:val="left"/>
              <w:rPr/>
            </w:pPr>
            <w:r>
              <w:rPr/>
              <w:t> </w:t>
            </w:r>
          </w:p>
        </w:tc>
      </w:tr>
      <w:tr>
        <w:trPr/>
        <w:tc>
          <w:tcPr>
            <w:tcW w:w="18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Alan Huang, Ph.D.</w:t>
            </w:r>
          </w:p>
        </w:tc>
        <w:tc>
          <w:tcPr>
            <w:tcW w:w="146" w:type="dxa"/>
            <w:tcBorders/>
            <w:shd w:fill="auto" w:val="clear"/>
            <w:vAlign w:val="center"/>
          </w:tcPr>
          <w:p>
            <w:pPr>
              <w:pStyle w:val="TableContents"/>
              <w:spacing w:before="0" w:after="0"/>
              <w:ind w:left="0" w:right="0" w:hanging="0"/>
              <w:jc w:val="left"/>
              <w:rPr/>
            </w:pPr>
            <w:r>
              <w:rPr/>
              <w:t> </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8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23" w:type="dxa"/>
            <w:tcBorders/>
            <w:shd w:fill="auto" w:val="clear"/>
            <w:vAlign w:val="center"/>
          </w:tcPr>
          <w:p>
            <w:pPr>
              <w:pStyle w:val="TableContents"/>
              <w:spacing w:before="0" w:after="0"/>
              <w:ind w:left="0" w:right="0" w:hanging="0"/>
              <w:jc w:val="left"/>
              <w:rPr/>
            </w:pPr>
            <w:r>
              <w:rPr/>
              <w:t> </w:t>
            </w:r>
          </w:p>
        </w:tc>
        <w:tc>
          <w:tcPr>
            <w:tcW w:w="11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170,154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44" w:type="dxa"/>
            <w:tcBorders/>
            <w:shd w:fill="auto" w:val="clear"/>
            <w:vAlign w:val="center"/>
          </w:tcPr>
          <w:p>
            <w:pPr>
              <w:pStyle w:val="TableContents"/>
              <w:spacing w:before="0" w:after="0"/>
              <w:ind w:left="0" w:right="0" w:hanging="0"/>
              <w:jc w:val="left"/>
              <w:rPr/>
            </w:pPr>
            <w:r>
              <w:rPr/>
              <w:t> </w:t>
            </w:r>
          </w:p>
        </w:tc>
        <w:tc>
          <w:tcPr>
            <w:tcW w:w="13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193,550</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All final bonus payments to our named executive officers are determined by our compensation committee (with the exception of the Chief Executive Officer, whose final bonus payment is determined by the board of directors), which, in each case, retains full discretion to adjust individual actual bonus awards based on the achievement of corporate and individual performance objectives, and may also adjust bonus awards based on other factors in their discretion. The compensation committee allocated 75% of the aggregate 2022 bonus payment to the corporate performance metrics and 25% to individual performance (with the exception of the Chief Executive Officer, whose final bonus payment is 100% allocated to corporate performance and does not have an individual performance allocation). Individual performance objectives are generally related to each named executive officer’s performance in his or her area of responsibility and his or her contributions to Tango. Following the review of the 2022 individual performance by Ms. Beckman and Dr. Huang, the compensation committee determined that these named executive officers met their combined performance metrics (i.e. - corporate and individual metrics together) at 113% and 114%, respectively.</w:t>
      </w:r>
    </w:p>
    <w:p>
      <w:pPr>
        <w:pStyle w:val="TextBody"/>
        <w:spacing w:before="240" w:after="0"/>
        <w:jc w:val="left"/>
        <w:rPr>
          <w:rFonts w:ascii="Times New Roman;serif" w:hAnsi="Times New Roman;serif"/>
          <w:b/>
          <w:i/>
          <w:sz w:val="20"/>
        </w:rPr>
      </w:pPr>
      <w:r>
        <w:rPr>
          <w:rFonts w:ascii="Times New Roman;serif" w:hAnsi="Times New Roman;serif"/>
          <w:b/>
          <w:i/>
          <w:sz w:val="20"/>
        </w:rPr>
        <w:t>Equity Incentive Compensation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equity incentive awards granted to our named executive officers are designed to align their interests with those of our stockholders.</w:t>
      </w:r>
    </w:p>
    <w:p>
      <w:pPr>
        <w:pStyle w:val="TextBody"/>
        <w:spacing w:before="240" w:after="240"/>
        <w:jc w:val="left"/>
        <w:rPr>
          <w:rFonts w:ascii="Times New Roman" w:hAnsi="Times New Roman"/>
          <w:sz w:val="20"/>
        </w:rPr>
      </w:pPr>
      <w:r>
        <w:rPr>
          <w:rFonts w:ascii="Times New Roman;serif" w:hAnsi="Times New Roman;serif"/>
          <w:b w:val="false"/>
          <w:sz w:val="20"/>
        </w:rPr>
        <w:t>We have historically used stock options as our primary form of long-term incentive compensation awards to our executive officers because the stock options allow our executive officers to profit from this form of equity compensation only if our stock price increases relative to the stock option’s exercise price, which exercise price is set at the fair market value of our common shares on the date of grant. We may grant equity awards at such times as our board of directors or compensation committee determines appropriate.</w:t>
      </w:r>
      <w:r>
        <w:rPr>
          <w:rFonts w:ascii="Times New Roman" w:hAnsi="Times New Roman"/>
          <w:sz w:val="20"/>
        </w:rPr>
        <w:t xml:space="preserve"> </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Along with the 2022 cash bonus program, stock options are a critical component of the variable portion of overall compensation that is designed to reward executive officer performance. Stock options align the interests of executives with those of our stockholders since the executive officers can only recognize increased compensation from these equity awards to the extent that our stock price increases above the exercise price. These awards encourage our executives to focus on those corporate actions that drive increases in long-term value as reflected in our stock price. Further, the four-year vesting schedule encourages executives to remain employed by the Company for an extended period.</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Company's equity incentive program is reviewed on an annual basis by our compensation committee (usually in November or December of the year preceding the year in which grants are made) to analyze and confirm that the equity component of the compensation program is achieving its objectives to motivate and reward long-term performance. Our compensation committee reviews and determines the appropriate equity awards to be used that align with our business needs, our pay-for-performance philosophy and the practices of our peer group. The actual award or awards granted to each executive officer differ based on criticality and impact of the job on the Company, individual performance results, potential future expected contributions, skills, market competitiveness and other factors that the compensation committee determines necessary in order to advance the goals of our compensation philosophy.</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Our executives generally are awarded an initial grant in the form of a stock option in connection with their commencement of employment with us. Additional grants may be made periodically in order to specifically incentivize executives with respect to achieving corporate goals or to reward certain performance. Our stock options typically vest as to 25% of the underlying shares on the first anniversary of the vesting commencement date and in 36 equal monthly installments over the following three years, subject to the holder’s continued employment with us. From time to time, the board of directors or compensation committee may also use alternative vesting schedules as it determines are appropriate to motivate particular employees. All options are granted with an exercise price that is no less than the fair market value of our common stock on the date of such grant of such award.</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table below sets forth the equity awards granted to our named executive officers in 2022:</w:t>
      </w:r>
    </w:p>
    <w:tbl>
      <w:tblPr>
        <w:tblW w:w="6577" w:type="dxa"/>
        <w:jc w:val="left"/>
        <w:tblInd w:w="0" w:type="dxa"/>
        <w:tblCellMar>
          <w:top w:w="28" w:type="dxa"/>
          <w:left w:w="28" w:type="dxa"/>
          <w:bottom w:w="28" w:type="dxa"/>
          <w:right w:w="28" w:type="dxa"/>
        </w:tblCellMar>
      </w:tblPr>
      <w:tblGrid>
        <w:gridCol w:w="1666"/>
        <w:gridCol w:w="146"/>
        <w:gridCol w:w="679"/>
        <w:gridCol w:w="679"/>
        <w:gridCol w:w="3216"/>
        <w:gridCol w:w="191"/>
      </w:tblGrid>
      <w:tr>
        <w:trPr/>
        <w:tc>
          <w:tcPr>
            <w:tcW w:w="1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3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74"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Shares Underlying Stock Options Granted in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66" w:type="dxa"/>
            <w:tcBorders/>
            <w:shd w:fill="auto" w:val="clear"/>
            <w:vAlign w:val="center"/>
          </w:tcPr>
          <w:p>
            <w:pPr>
              <w:pStyle w:val="TableContents"/>
              <w:spacing w:before="0" w:after="0"/>
              <w:ind w:left="0" w:right="0" w:hanging="0"/>
              <w:jc w:val="both"/>
              <w:rPr>
                <w:rFonts w:ascii="Times New Roman;serif" w:hAnsi="Times New Roman;serif"/>
                <w:b w:val="false"/>
                <w:sz w:val="18"/>
              </w:rPr>
            </w:pPr>
            <w:r>
              <w:rPr>
                <w:rFonts w:ascii="Times New Roman;serif" w:hAnsi="Times New Roman;serif"/>
                <w:b w:val="false"/>
                <w:sz w:val="18"/>
              </w:rPr>
              <w:t>Barbara Weber, M.D.</w:t>
            </w:r>
          </w:p>
        </w:tc>
        <w:tc>
          <w:tcPr>
            <w:tcW w:w="146" w:type="dxa"/>
            <w:tcBorders/>
            <w:shd w:fill="auto" w:val="clear"/>
            <w:vAlign w:val="center"/>
          </w:tcPr>
          <w:p>
            <w:pPr>
              <w:pStyle w:val="TableContents"/>
              <w:spacing w:before="0" w:after="0"/>
              <w:ind w:left="0" w:right="0" w:hanging="0"/>
              <w:jc w:val="both"/>
              <w:rPr/>
            </w:pPr>
            <w:r>
              <w:rPr/>
              <w:t> </w:t>
            </w:r>
          </w:p>
        </w:tc>
        <w:tc>
          <w:tcPr>
            <w:tcW w:w="679" w:type="dxa"/>
            <w:tcBorders/>
            <w:shd w:fill="auto" w:val="clear"/>
            <w:vAlign w:val="center"/>
          </w:tcPr>
          <w:p>
            <w:pPr>
              <w:pStyle w:val="TableContents"/>
              <w:spacing w:before="0" w:after="0"/>
              <w:ind w:left="0" w:right="0" w:hanging="0"/>
              <w:jc w:val="left"/>
              <w:rPr/>
            </w:pPr>
            <w:r>
              <w:rPr/>
              <w:t> </w:t>
            </w:r>
          </w:p>
        </w:tc>
        <w:tc>
          <w:tcPr>
            <w:tcW w:w="679" w:type="dxa"/>
            <w:tcBorders/>
            <w:shd w:fill="auto" w:val="clear"/>
            <w:vAlign w:val="center"/>
          </w:tcPr>
          <w:p>
            <w:pPr>
              <w:pStyle w:val="TableContents"/>
              <w:spacing w:before="0" w:after="0"/>
              <w:ind w:left="0" w:right="0" w:hanging="0"/>
              <w:jc w:val="left"/>
              <w:rPr/>
            </w:pPr>
            <w:r>
              <w:rPr/>
              <w:t> </w:t>
            </w:r>
          </w:p>
        </w:tc>
        <w:tc>
          <w:tcPr>
            <w:tcW w:w="32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625,000</w:t>
            </w:r>
          </w:p>
        </w:tc>
        <w:tc>
          <w:tcPr>
            <w:tcW w:w="191" w:type="dxa"/>
            <w:tcBorders/>
            <w:shd w:fill="auto" w:val="clear"/>
            <w:vAlign w:val="center"/>
          </w:tcPr>
          <w:p>
            <w:pPr>
              <w:pStyle w:val="TableContents"/>
              <w:spacing w:before="0" w:after="0"/>
              <w:ind w:left="0" w:right="0" w:hanging="0"/>
              <w:jc w:val="left"/>
              <w:rPr/>
            </w:pPr>
            <w:r>
              <w:rPr/>
              <w:t> </w:t>
            </w:r>
          </w:p>
        </w:tc>
      </w:tr>
      <w:tr>
        <w:trPr/>
        <w:tc>
          <w:tcPr>
            <w:tcW w:w="1666" w:type="dxa"/>
            <w:tcBorders/>
            <w:shd w:fill="auto" w:val="clear"/>
            <w:vAlign w:val="center"/>
          </w:tcPr>
          <w:p>
            <w:pPr>
              <w:pStyle w:val="TableContents"/>
              <w:spacing w:before="0" w:after="0"/>
              <w:ind w:left="0" w:right="0" w:hanging="0"/>
              <w:jc w:val="both"/>
              <w:rPr>
                <w:rFonts w:ascii="Times New Roman;serif" w:hAnsi="Times New Roman;serif"/>
                <w:b w:val="false"/>
                <w:sz w:val="18"/>
              </w:rPr>
            </w:pPr>
            <w:r>
              <w:rPr>
                <w:rFonts w:ascii="Times New Roman;serif" w:hAnsi="Times New Roman;serif"/>
                <w:b w:val="false"/>
                <w:sz w:val="18"/>
              </w:rPr>
              <w:t>Daniella Beckman</w:t>
            </w:r>
          </w:p>
        </w:tc>
        <w:tc>
          <w:tcPr>
            <w:tcW w:w="146" w:type="dxa"/>
            <w:tcBorders/>
            <w:shd w:fill="auto" w:val="clear"/>
            <w:vAlign w:val="center"/>
          </w:tcPr>
          <w:p>
            <w:pPr>
              <w:pStyle w:val="TableContents"/>
              <w:spacing w:before="0" w:after="0"/>
              <w:ind w:left="0" w:right="0" w:hanging="0"/>
              <w:jc w:val="both"/>
              <w:rPr/>
            </w:pPr>
            <w:r>
              <w:rPr/>
              <w:t> </w:t>
            </w:r>
          </w:p>
        </w:tc>
        <w:tc>
          <w:tcPr>
            <w:tcW w:w="679" w:type="dxa"/>
            <w:tcBorders/>
            <w:shd w:fill="auto" w:val="clear"/>
            <w:vAlign w:val="center"/>
          </w:tcPr>
          <w:p>
            <w:pPr>
              <w:pStyle w:val="TableContents"/>
              <w:spacing w:before="0" w:after="0"/>
              <w:ind w:left="0" w:right="0" w:hanging="0"/>
              <w:jc w:val="left"/>
              <w:rPr/>
            </w:pPr>
            <w:r>
              <w:rPr/>
              <w:t> </w:t>
            </w:r>
          </w:p>
        </w:tc>
        <w:tc>
          <w:tcPr>
            <w:tcW w:w="679" w:type="dxa"/>
            <w:tcBorders/>
            <w:shd w:fill="auto" w:val="clear"/>
            <w:vAlign w:val="center"/>
          </w:tcPr>
          <w:p>
            <w:pPr>
              <w:pStyle w:val="TableContents"/>
              <w:spacing w:before="0" w:after="0"/>
              <w:ind w:left="0" w:right="0" w:hanging="0"/>
              <w:jc w:val="left"/>
              <w:rPr/>
            </w:pPr>
            <w:r>
              <w:rPr/>
              <w:t> </w:t>
            </w:r>
          </w:p>
        </w:tc>
        <w:tc>
          <w:tcPr>
            <w:tcW w:w="32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150,000</w:t>
            </w:r>
          </w:p>
        </w:tc>
        <w:tc>
          <w:tcPr>
            <w:tcW w:w="191" w:type="dxa"/>
            <w:tcBorders/>
            <w:shd w:fill="auto" w:val="clear"/>
            <w:vAlign w:val="center"/>
          </w:tcPr>
          <w:p>
            <w:pPr>
              <w:pStyle w:val="TableContents"/>
              <w:spacing w:before="0" w:after="0"/>
              <w:ind w:left="0" w:right="0" w:hanging="0"/>
              <w:jc w:val="left"/>
              <w:rPr/>
            </w:pPr>
            <w:r>
              <w:rPr/>
              <w:t> </w:t>
            </w:r>
          </w:p>
        </w:tc>
      </w:tr>
      <w:tr>
        <w:trPr/>
        <w:tc>
          <w:tcPr>
            <w:tcW w:w="1666" w:type="dxa"/>
            <w:tcBorders/>
            <w:shd w:fill="auto" w:val="clear"/>
            <w:vAlign w:val="center"/>
          </w:tcPr>
          <w:p>
            <w:pPr>
              <w:pStyle w:val="TableContents"/>
              <w:spacing w:before="0" w:after="0"/>
              <w:ind w:left="0" w:right="0" w:hanging="0"/>
              <w:jc w:val="both"/>
              <w:rPr>
                <w:rFonts w:ascii="Times New Roman;serif" w:hAnsi="Times New Roman;serif"/>
                <w:b w:val="false"/>
                <w:sz w:val="18"/>
              </w:rPr>
            </w:pPr>
            <w:r>
              <w:rPr>
                <w:rFonts w:ascii="Times New Roman;serif" w:hAnsi="Times New Roman;serif"/>
                <w:b w:val="false"/>
                <w:sz w:val="18"/>
              </w:rPr>
              <w:t>Alan Huang, Ph.D.</w:t>
            </w:r>
          </w:p>
        </w:tc>
        <w:tc>
          <w:tcPr>
            <w:tcW w:w="146" w:type="dxa"/>
            <w:tcBorders/>
            <w:shd w:fill="auto" w:val="clear"/>
            <w:vAlign w:val="center"/>
          </w:tcPr>
          <w:p>
            <w:pPr>
              <w:pStyle w:val="TableContents"/>
              <w:spacing w:before="0" w:after="0"/>
              <w:ind w:left="0" w:right="0" w:hanging="0"/>
              <w:jc w:val="both"/>
              <w:rPr/>
            </w:pPr>
            <w:r>
              <w:rPr/>
              <w:t> </w:t>
            </w:r>
          </w:p>
        </w:tc>
        <w:tc>
          <w:tcPr>
            <w:tcW w:w="679" w:type="dxa"/>
            <w:tcBorders/>
            <w:shd w:fill="auto" w:val="clear"/>
            <w:vAlign w:val="center"/>
          </w:tcPr>
          <w:p>
            <w:pPr>
              <w:pStyle w:val="TableContents"/>
              <w:spacing w:before="0" w:after="0"/>
              <w:ind w:left="0" w:right="0" w:hanging="0"/>
              <w:jc w:val="left"/>
              <w:rPr/>
            </w:pPr>
            <w:r>
              <w:rPr/>
              <w:t> </w:t>
            </w:r>
          </w:p>
        </w:tc>
        <w:tc>
          <w:tcPr>
            <w:tcW w:w="679" w:type="dxa"/>
            <w:tcBorders/>
            <w:shd w:fill="auto" w:val="clear"/>
            <w:vAlign w:val="center"/>
          </w:tcPr>
          <w:p>
            <w:pPr>
              <w:pStyle w:val="TableContents"/>
              <w:spacing w:before="0" w:after="0"/>
              <w:ind w:left="0" w:right="0" w:hanging="0"/>
              <w:jc w:val="left"/>
              <w:rPr/>
            </w:pPr>
            <w:r>
              <w:rPr/>
              <w:t> </w:t>
            </w:r>
          </w:p>
        </w:tc>
        <w:tc>
          <w:tcPr>
            <w:tcW w:w="321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200,000</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240" w:after="240"/>
        <w:jc w:val="left"/>
        <w:rPr>
          <w:rFonts w:ascii="Times New Roman;serif" w:hAnsi="Times New Roman;serif"/>
          <w:b/>
          <w:sz w:val="20"/>
        </w:rPr>
      </w:pPr>
      <w:r>
        <w:rPr>
          <w:rFonts w:ascii="Times New Roman;serif" w:hAnsi="Times New Roman;serif"/>
          <w:b/>
          <w:sz w:val="20"/>
        </w:rPr>
        <w:t>Outstanding Equity Awards at 2022 Fiscal Year-End</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The following table presents information regarding all outstanding equity awards held by each of our named executive officers as of December 31, 2022.</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985"/>
        <w:gridCol w:w="146"/>
        <w:gridCol w:w="146"/>
        <w:gridCol w:w="583"/>
        <w:gridCol w:w="146"/>
        <w:gridCol w:w="286"/>
        <w:gridCol w:w="938"/>
        <w:gridCol w:w="146"/>
        <w:gridCol w:w="281"/>
        <w:gridCol w:w="281"/>
        <w:gridCol w:w="1336"/>
        <w:gridCol w:w="146"/>
        <w:gridCol w:w="146"/>
        <w:gridCol w:w="228"/>
        <w:gridCol w:w="228"/>
        <w:gridCol w:w="1080"/>
        <w:gridCol w:w="228"/>
        <w:gridCol w:w="449"/>
        <w:gridCol w:w="146"/>
        <w:gridCol w:w="251"/>
        <w:gridCol w:w="187"/>
        <w:gridCol w:w="540"/>
        <w:gridCol w:w="146"/>
        <w:gridCol w:w="146"/>
        <w:gridCol w:w="161"/>
        <w:gridCol w:w="849"/>
      </w:tblGrid>
      <w:tr>
        <w:trPr/>
        <w:tc>
          <w:tcPr>
            <w:tcW w:w="98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r>
      <w:tr>
        <w:trPr/>
        <w:tc>
          <w:tcPr>
            <w:tcW w:w="9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Grant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Vesting Commencement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9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Number of Securities Underlying Unexercised Options (#) Exercisable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3"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Number of Securities Underlying Unexercised Options (#) Unexercisable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Option Exercise Price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Option Expiration Date</w:t>
            </w:r>
          </w:p>
        </w:tc>
      </w:tr>
      <w:tr>
        <w:trPr/>
        <w:tc>
          <w:tcPr>
            <w:tcW w:w="985"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Barbara Weber, M.D.</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1/24/2019</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1/1/2019</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33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214,585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8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4,566</w:t>
            </w:r>
          </w:p>
        </w:tc>
        <w:tc>
          <w:tcPr>
            <w:tcW w:w="228"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87" w:type="dxa"/>
            <w:tcBorders/>
            <w:shd w:fill="auto" w:val="cle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8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1/23/2029</w:t>
            </w:r>
          </w:p>
        </w:tc>
      </w:tr>
      <w:tr>
        <w:trPr/>
        <w:tc>
          <w:tcPr>
            <w:tcW w:w="985"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1/30/2020</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1/1/2020</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33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159,794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8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59,356</w:t>
            </w:r>
          </w:p>
        </w:tc>
        <w:tc>
          <w:tcPr>
            <w:tcW w:w="228"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8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1/29/2030</w:t>
            </w:r>
          </w:p>
        </w:tc>
      </w:tr>
      <w:tr>
        <w:trPr/>
        <w:tc>
          <w:tcPr>
            <w:tcW w:w="985"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1/28/2021</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1/1/2021</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33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615,277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8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668,788</w:t>
            </w:r>
          </w:p>
        </w:tc>
        <w:tc>
          <w:tcPr>
            <w:tcW w:w="228"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87" w:type="dxa"/>
            <w:tcBorders/>
            <w:shd w:fill="auto" w:val="cle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8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1/27/2031</w:t>
            </w:r>
          </w:p>
        </w:tc>
      </w:tr>
      <w:tr>
        <w:trPr/>
        <w:tc>
          <w:tcPr>
            <w:tcW w:w="985"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8/12/2021</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8/12/2021</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33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320,468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8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640,936</w:t>
            </w:r>
          </w:p>
        </w:tc>
        <w:tc>
          <w:tcPr>
            <w:tcW w:w="228"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9.56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8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8/11/2031</w:t>
            </w:r>
          </w:p>
        </w:tc>
      </w:tr>
      <w:tr>
        <w:trPr/>
        <w:tc>
          <w:tcPr>
            <w:tcW w:w="985"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2/1/2022</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1/1/2022</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617"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8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625,000</w:t>
            </w:r>
          </w:p>
        </w:tc>
        <w:tc>
          <w:tcPr>
            <w:tcW w:w="228"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9.22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8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1/31/2032</w:t>
            </w:r>
          </w:p>
        </w:tc>
      </w:tr>
      <w:tr>
        <w:trPr/>
        <w:tc>
          <w:tcPr>
            <w:tcW w:w="985"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Daniella Beckman</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10/18/2019</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9/10/2019</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61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134414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8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31,019</w:t>
            </w:r>
          </w:p>
        </w:tc>
        <w:tc>
          <w:tcPr>
            <w:tcW w:w="228"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8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10/17/2029</w:t>
            </w:r>
          </w:p>
        </w:tc>
      </w:tr>
      <w:tr>
        <w:trPr/>
        <w:tc>
          <w:tcPr>
            <w:tcW w:w="985"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1/30/2020</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11/1/2019</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33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42,550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8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12,651</w:t>
            </w:r>
          </w:p>
        </w:tc>
        <w:tc>
          <w:tcPr>
            <w:tcW w:w="228"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8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1/29/2030</w:t>
            </w:r>
          </w:p>
        </w:tc>
      </w:tr>
      <w:tr>
        <w:trPr/>
        <w:tc>
          <w:tcPr>
            <w:tcW w:w="98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10/1/2020</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7/1/2020</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33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41,144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8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26,964</w:t>
            </w:r>
          </w:p>
        </w:tc>
        <w:tc>
          <w:tcPr>
            <w:tcW w:w="228"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8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9/30/2030</w:t>
            </w:r>
          </w:p>
        </w:tc>
      </w:tr>
      <w:tr>
        <w:trPr/>
        <w:tc>
          <w:tcPr>
            <w:tcW w:w="98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1/28/2021</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1/1/2021</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33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42,233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8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45,918</w:t>
            </w:r>
          </w:p>
        </w:tc>
        <w:tc>
          <w:tcPr>
            <w:tcW w:w="228"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87" w:type="dxa"/>
            <w:tcBorders/>
            <w:shd w:fill="auto" w:val="cle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8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1/27/2031</w:t>
            </w:r>
          </w:p>
        </w:tc>
      </w:tr>
      <w:tr>
        <w:trPr/>
        <w:tc>
          <w:tcPr>
            <w:tcW w:w="98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8/12/2021</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8/12/2021</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33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126,828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8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253,657</w:t>
            </w:r>
          </w:p>
        </w:tc>
        <w:tc>
          <w:tcPr>
            <w:tcW w:w="228"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9.56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8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8/11/2031</w:t>
            </w:r>
          </w:p>
        </w:tc>
      </w:tr>
      <w:tr>
        <w:trPr/>
        <w:tc>
          <w:tcPr>
            <w:tcW w:w="98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2/1/2022</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1/1/2022</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617"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8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150,000</w:t>
            </w:r>
          </w:p>
        </w:tc>
        <w:tc>
          <w:tcPr>
            <w:tcW w:w="228"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9.22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8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1/31/2032</w:t>
            </w:r>
          </w:p>
        </w:tc>
      </w:tr>
      <w:tr>
        <w:trPr/>
        <w:tc>
          <w:tcPr>
            <w:tcW w:w="985"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Alan Huang, Ph.D.</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4/12/2018</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1/1/2018</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33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84,925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308" w:type="dxa"/>
            <w:gridSpan w:val="2"/>
            <w:tcBorders/>
            <w:shd w:fill="auto" w:val="clear"/>
            <w:vAlign w:val="center"/>
          </w:tcPr>
          <w:p>
            <w:pPr>
              <w:pStyle w:val="TableContents"/>
              <w:spacing w:before="0" w:after="0"/>
              <w:ind w:left="0" w:right="0" w:hanging="0"/>
              <w:jc w:val="right"/>
              <w:rPr/>
            </w:pPr>
            <w:r>
              <w:rPr/>
              <w:t>—</w:t>
            </w:r>
          </w:p>
        </w:tc>
        <w:tc>
          <w:tcPr>
            <w:tcW w:w="228" w:type="dxa"/>
            <w:tcBorders/>
            <w:shd w:fill="auto" w:val="clear"/>
            <w:vAlign w:val="center"/>
          </w:tcPr>
          <w:p>
            <w:pPr>
              <w:pStyle w:val="TableContents"/>
              <w:spacing w:before="0" w:after="0"/>
              <w:ind w:left="0" w:right="0" w:hanging="0"/>
              <w:jc w:val="right"/>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8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4/11/2028</w:t>
            </w:r>
          </w:p>
        </w:tc>
      </w:tr>
      <w:tr>
        <w:trPr/>
        <w:tc>
          <w:tcPr>
            <w:tcW w:w="985"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4/12/2018</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4/1/2018</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33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110,402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308" w:type="dxa"/>
            <w:gridSpan w:val="2"/>
            <w:tcBorders/>
            <w:shd w:fill="auto" w:val="clear"/>
            <w:vAlign w:val="center"/>
          </w:tcPr>
          <w:p>
            <w:pPr>
              <w:pStyle w:val="TableContents"/>
              <w:spacing w:before="0" w:after="0"/>
              <w:ind w:left="0" w:right="0" w:hanging="0"/>
              <w:jc w:val="right"/>
              <w:rPr/>
            </w:pPr>
            <w:r>
              <w:rPr/>
              <w:t>—</w:t>
            </w:r>
          </w:p>
        </w:tc>
        <w:tc>
          <w:tcPr>
            <w:tcW w:w="228" w:type="dxa"/>
            <w:tcBorders/>
            <w:shd w:fill="auto" w:val="clear"/>
            <w:vAlign w:val="center"/>
          </w:tcPr>
          <w:p>
            <w:pPr>
              <w:pStyle w:val="TableContents"/>
              <w:spacing w:before="0" w:after="0"/>
              <w:ind w:left="0" w:right="0" w:hanging="0"/>
              <w:jc w:val="right"/>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8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4/11/2028</w:t>
            </w:r>
          </w:p>
        </w:tc>
      </w:tr>
      <w:tr>
        <w:trPr/>
        <w:tc>
          <w:tcPr>
            <w:tcW w:w="98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1/24/2019</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1/1/2019</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33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66,523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8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1,416</w:t>
            </w:r>
          </w:p>
        </w:tc>
        <w:tc>
          <w:tcPr>
            <w:tcW w:w="228"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8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1/23/2029</w:t>
            </w:r>
          </w:p>
        </w:tc>
      </w:tr>
      <w:tr>
        <w:trPr/>
        <w:tc>
          <w:tcPr>
            <w:tcW w:w="98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1/30/2020</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1/1/2020</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33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49,533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8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18,406</w:t>
            </w:r>
          </w:p>
        </w:tc>
        <w:tc>
          <w:tcPr>
            <w:tcW w:w="228"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8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1/29/2030</w:t>
            </w:r>
          </w:p>
        </w:tc>
      </w:tr>
      <w:tr>
        <w:trPr/>
        <w:tc>
          <w:tcPr>
            <w:tcW w:w="98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1/28/2021</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1/1/2021</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33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78,124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8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84,930</w:t>
            </w:r>
          </w:p>
        </w:tc>
        <w:tc>
          <w:tcPr>
            <w:tcW w:w="228"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87" w:type="dxa"/>
            <w:tcBorders/>
            <w:shd w:fill="auto" w:val="cle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8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1/27/2031</w:t>
            </w:r>
          </w:p>
        </w:tc>
      </w:tr>
      <w:tr>
        <w:trPr/>
        <w:tc>
          <w:tcPr>
            <w:tcW w:w="98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8/12/2021</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8/12/2021</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33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56,619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8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113,240</w:t>
            </w:r>
          </w:p>
        </w:tc>
        <w:tc>
          <w:tcPr>
            <w:tcW w:w="228"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9.56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8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8/11/2031</w:t>
            </w:r>
          </w:p>
        </w:tc>
      </w:tr>
      <w:tr>
        <w:trPr/>
        <w:tc>
          <w:tcPr>
            <w:tcW w:w="98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2/1/2022</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1/1/2022</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617"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108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200,000</w:t>
            </w:r>
          </w:p>
        </w:tc>
        <w:tc>
          <w:tcPr>
            <w:tcW w:w="228" w:type="dxa"/>
            <w:tcBorders/>
            <w:shd w:fill="auto" w:val="clear"/>
            <w:vAlign w:val="center"/>
          </w:tcPr>
          <w:p>
            <w:pPr>
              <w:pStyle w:val="TableContents"/>
              <w:spacing w:before="0" w:after="0"/>
              <w:ind w:left="0" w:right="0" w:hanging="0"/>
              <w:jc w:val="left"/>
              <w:rPr/>
            </w:pPr>
            <w:r>
              <w:rPr/>
              <w:t> </w:t>
            </w:r>
          </w:p>
        </w:tc>
        <w:tc>
          <w:tcPr>
            <w:tcW w:w="4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9.22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left"/>
              <w:rPr/>
            </w:pPr>
            <w:r>
              <w:rPr/>
              <w:t> </w:t>
            </w:r>
          </w:p>
        </w:tc>
        <w:tc>
          <w:tcPr>
            <w:tcW w:w="84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1/31/2032</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(1) Each stock option granted prior to the closing of the Business Combination in August 2021 was granted under our 2017 Stock Option and Grant Plan. Each stock option granted after the closing of the Business Combination was granted pursuant to our 2021 Stock Option and Incentive Plan, or 2021 Plan.</w:t>
      </w:r>
    </w:p>
    <w:p>
      <w:pPr>
        <w:pStyle w:val="TextBody"/>
        <w:spacing w:before="0" w:after="0"/>
        <w:jc w:val="left"/>
        <w:rPr>
          <w:rFonts w:ascii="Times New Roman;serif" w:hAnsi="Times New Roman;serif"/>
          <w:b w:val="false"/>
          <w:sz w:val="20"/>
        </w:rPr>
      </w:pPr>
      <w:r>
        <w:rPr>
          <w:rFonts w:ascii="Times New Roman;serif" w:hAnsi="Times New Roman;serif"/>
          <w:b w:val="false"/>
          <w:sz w:val="20"/>
        </w:rPr>
        <w:t>(2) All of the option awards listed in the table were granted with an exercise price per share that is no less than the fair market value of our common stock on the date of grant of such award. For information regarding the valuation of equity awards, see Note 2 and Note 12 to our audited financial statements contained in our Annual Report on Form 10-K for the year ended December 31, 2022.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(3) These stock options vest as follows: 25% of the shares vest on the first anniversary of the vesting commencement date and the remaining 75% of the shares vest in 36 equal monthly installments thereafter, subject to continued employment with the Company through the applicable vesting date.</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(4) These stock options vest in equal monthly installments over 48 months following the vesting commencement date, subject to continued employment with the Company through the applicable vesting date.</w:t>
      </w:r>
    </w:p>
    <w:p>
      <w:pPr>
        <w:pStyle w:val="TextBody"/>
        <w:spacing w:before="240" w:after="240"/>
        <w:jc w:val="left"/>
        <w:rPr>
          <w:rFonts w:ascii="Times New Roman;serif" w:hAnsi="Times New Roman;serif"/>
          <w:b/>
          <w:sz w:val="20"/>
        </w:rPr>
      </w:pPr>
      <w:r>
        <w:rPr>
          <w:rFonts w:ascii="Times New Roman;serif" w:hAnsi="Times New Roman;serif"/>
          <w:b/>
          <w:sz w:val="20"/>
        </w:rPr>
        <w:t>Equity Compensation Plan Information</w:t>
      </w:r>
    </w:p>
    <w:p>
      <w:pPr>
        <w:pStyle w:val="TextBody"/>
        <w:spacing w:before="0" w:after="0"/>
        <w:jc w:val="left"/>
        <w:rPr>
          <w:rFonts w:ascii="Times New Roman" w:hAnsi="Times New Roman"/>
          <w:sz w:val="20"/>
        </w:rPr>
      </w:pPr>
      <w:r>
        <w:rPr>
          <w:rFonts w:ascii="Times New Roman;serif" w:hAnsi="Times New Roman;serif"/>
          <w:b w:val="false"/>
          <w:sz w:val="20"/>
        </w:rPr>
        <w:t>The following table sets forth information as of December 31, 2022 regarding shares of common stock that may be issued under our equity compensation plans, consisting of our 2021 Plan, our 2021 Employee Stock Purchase Plan, or the ESPP, and our 2017 Stock Option and Grant Plan, or the 2017 Plan. As of December 31, 2022, we did not have any non-stockholder approved equity compensation plans. The compensation committee adopted the Tango Therapeutics 2023 Inducement Plan in March 2023, under which we reserved an aggregate of 3,000,000 shares of common stock, to be used exclusively for the grant of equity awards to individuals as an inducement material to such individual's entering into employment with the Company pursuant to Rule 5635(c)(4) of the Nasdaq Listing Rules. The following table does not reflect the 2023 Inducement Plan shares since the plan was adopted after December 31, 2022.</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912"/>
        <w:gridCol w:w="146"/>
        <w:gridCol w:w="263"/>
        <w:gridCol w:w="1872"/>
        <w:gridCol w:w="146"/>
        <w:gridCol w:w="146"/>
        <w:gridCol w:w="512"/>
        <w:gridCol w:w="353"/>
        <w:gridCol w:w="1133"/>
        <w:gridCol w:w="146"/>
        <w:gridCol w:w="146"/>
        <w:gridCol w:w="398"/>
        <w:gridCol w:w="2556"/>
        <w:gridCol w:w="146"/>
        <w:gridCol w:w="330"/>
      </w:tblGrid>
      <w:tr>
        <w:trPr/>
        <w:tc>
          <w:tcPr>
            <w:tcW w:w="19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8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5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r>
      <w:tr>
        <w:trPr/>
        <w:tc>
          <w:tcPr>
            <w:tcW w:w="19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Plan Category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Shares of Common Stock to be Issued Upon Exercise of Outstanding Options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Weighted-Average Exercise Price of Outstanding Options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Shares of Common Stock Remaining Available for Future Issuance Under Equity Compensation Plans (Excluding Securities Reflected in Column)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0" w:type="dxa"/>
            <w:tcBorders/>
            <w:shd w:fill="auto" w:val="clear"/>
            <w:vAlign w:val="center"/>
          </w:tcPr>
          <w:p>
            <w:pPr>
              <w:pStyle w:val="TableContents"/>
              <w:spacing w:before="0" w:after="0"/>
              <w:ind w:left="0" w:right="0" w:hanging="0"/>
              <w:jc w:val="left"/>
              <w:rPr/>
            </w:pPr>
            <w:r>
              <w:rPr/>
              <w:t> </w:t>
            </w:r>
          </w:p>
        </w:tc>
      </w:tr>
      <w:tr>
        <w:trPr/>
        <w:tc>
          <w:tcPr>
            <w:tcW w:w="19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compensation plans approved by stockholders(1)</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1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12,924,086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rFonts w:cs="Times New Roman;serif"/>
                <w:bCs w:val="false"/>
                <w:szCs w:val="20"/>
              </w:rPr>
            </w:pPr>
            <w:r>
              <w:rPr>
                <w:rFonts w:cs="Times New Roman;serif"/>
                <w:bCs w:val="false"/>
                <w:szCs w:val="20"/>
              </w:rPr>
              <w:t>﻿</w:t>
            </w:r>
          </w:p>
        </w:tc>
        <w:tc>
          <w:tcPr>
            <w:tcW w:w="5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3" w:type="dxa"/>
            <w:tcBorders/>
            <w:shd w:fill="auto" w:val="clear"/>
            <w:vAlign w:val="center"/>
          </w:tcPr>
          <w:p>
            <w:pPr>
              <w:pStyle w:val="TableContents"/>
              <w:spacing w:before="0" w:after="0"/>
              <w:ind w:left="0" w:right="0" w:hanging="0"/>
              <w:jc w:val="left"/>
              <w:rPr/>
            </w:pPr>
            <w:r>
              <w:rPr/>
              <w:t> </w:t>
            </w:r>
          </w:p>
        </w:tc>
        <w:tc>
          <w:tcPr>
            <w:tcW w:w="11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rFonts w:cs="Times New Roman;serif"/>
                <w:bCs w:val="false"/>
                <w:szCs w:val="20"/>
              </w:rPr>
            </w:pPr>
            <w:r>
              <w:rPr>
                <w:rFonts w:cs="Times New Roman;serif"/>
                <w:bCs w:val="false"/>
                <w:szCs w:val="20"/>
              </w:rPr>
              <w:t>﻿</w:t>
            </w:r>
          </w:p>
        </w:tc>
        <w:tc>
          <w:tcPr>
            <w:tcW w:w="398" w:type="dxa"/>
            <w:tcBorders/>
            <w:shd w:fill="auto" w:val="clear"/>
            <w:vAlign w:val="center"/>
          </w:tcPr>
          <w:p>
            <w:pPr>
              <w:pStyle w:val="TableContents"/>
              <w:spacing w:before="0" w:after="0"/>
              <w:ind w:left="0" w:right="0" w:hanging="0"/>
              <w:jc w:val="left"/>
              <w:rPr/>
            </w:pPr>
            <w:r>
              <w:rPr/>
              <w:t> </w:t>
            </w:r>
          </w:p>
        </w:tc>
        <w:tc>
          <w:tcPr>
            <w:tcW w:w="25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8,045,797</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r>
      <w:tr>
        <w:trPr/>
        <w:tc>
          <w:tcPr>
            <w:tcW w:w="19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compensation plans not approved by security holders</w:t>
            </w:r>
          </w:p>
        </w:tc>
        <w:tc>
          <w:tcPr>
            <w:tcW w:w="146" w:type="dxa"/>
            <w:tcBorders/>
            <w:shd w:fill="auto" w:val="clear"/>
            <w:vAlign w:val="center"/>
          </w:tcPr>
          <w:p>
            <w:pPr>
              <w:pStyle w:val="TableContents"/>
              <w:spacing w:before="0" w:after="0"/>
              <w:ind w:left="0" w:right="0" w:hanging="0"/>
              <w:jc w:val="left"/>
              <w:rPr/>
            </w:pPr>
            <w:r>
              <w:rPr/>
              <w:t> </w:t>
            </w:r>
          </w:p>
        </w:tc>
        <w:tc>
          <w:tcPr>
            <w:tcW w:w="21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9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30" w:type="dxa"/>
            <w:tcBorders/>
            <w:shd w:fill="auto" w:val="clear"/>
            <w:vAlign w:val="center"/>
          </w:tcPr>
          <w:p>
            <w:pPr>
              <w:pStyle w:val="TableContents"/>
              <w:spacing w:before="0" w:after="0"/>
              <w:ind w:left="0" w:right="0" w:hanging="0"/>
              <w:jc w:val="left"/>
              <w:rPr/>
            </w:pPr>
            <w:r>
              <w:rPr/>
              <w:t> </w:t>
            </w:r>
          </w:p>
        </w:tc>
      </w:tr>
      <w:tr>
        <w:trPr/>
        <w:tc>
          <w:tcPr>
            <w:tcW w:w="19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187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12,924,086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3" w:type="dxa"/>
            <w:tcBorders/>
            <w:shd w:fill="auto" w:val="clear"/>
            <w:vAlign w:val="center"/>
          </w:tcPr>
          <w:p>
            <w:pPr>
              <w:pStyle w:val="TableContents"/>
              <w:spacing w:before="0" w:after="0"/>
              <w:ind w:left="0" w:right="0" w:hanging="0"/>
              <w:jc w:val="left"/>
              <w:rPr/>
            </w:pPr>
            <w:r>
              <w:rPr/>
              <w:t> </w:t>
            </w:r>
          </w:p>
        </w:tc>
        <w:tc>
          <w:tcPr>
            <w:tcW w:w="11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shd w:fill="auto" w:val="clear"/>
            <w:vAlign w:val="center"/>
          </w:tcPr>
          <w:p>
            <w:pPr>
              <w:pStyle w:val="TableContents"/>
              <w:spacing w:before="0" w:after="0"/>
              <w:ind w:left="0" w:right="0" w:hanging="0"/>
              <w:jc w:val="left"/>
              <w:rPr/>
            </w:pPr>
            <w:r>
              <w:rPr/>
              <w:t> </w:t>
            </w:r>
          </w:p>
        </w:tc>
        <w:tc>
          <w:tcPr>
            <w:tcW w:w="255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8,045,797</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(1) This number includes 7,527,619 shares of our common stock subject to outstanding options granted under our 2021 Plan and 5,396,467 shares of our common stock subject to outstanding options granted under our 2017 Plan. The 2021 Plan provides that</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number of shares reserved and available for issuance under the 2021 Plan will automatically increase each January 1, beginning on January 1, 2022, by 5% of the outstanding number of shares of common stock on the immediately preceding December 31, or such lesser amount as determined by the administrator of the 2021 Plan. This limit is subject to adjustment in the event of a reorganization, recapitalization, reclassification, stock split, stock dividend, reverse stock split or other similar change in the Company's capitalization. The ESPP provides that the number of shares reserved and available for issuance under the ESPP will automatically increase each January 1, beginning on January 1, 2022, by the least of (i) 1% of the outstanding number of shares of common stock on the immediately preceding December 31, (ii) 949,873 shares of common stock or (iii) such lesser amount as determined by the administrator of the ESPP. This limit is subject to adjustment in the event of a reorganization, recapitalization, reclassification, stock split, stock dividend, reverse stock split or other similar change in the Company's capitalization.</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(2) Includes 6,336,537 shares available for grant under the 2021 Plan, 1,709,260 shares available under the 2021 ESPP and zero shares available for grant under the 2017 Plan.</w:t>
      </w:r>
    </w:p>
    <w:p>
      <w:pPr>
        <w:pStyle w:val="TextBody"/>
        <w:spacing w:before="0" w:after="240"/>
        <w:jc w:val="left"/>
        <w:rPr>
          <w:rFonts w:ascii="Times New Roman;serif" w:hAnsi="Times New Roman;serif"/>
          <w:b/>
          <w:sz w:val="20"/>
        </w:rPr>
      </w:pPr>
      <w:r>
        <w:rPr>
          <w:rFonts w:ascii="Times New Roman;serif" w:hAnsi="Times New Roman;serif"/>
          <w:b/>
          <w:sz w:val="20"/>
        </w:rPr>
        <w:t>Executive Compensation Arrangements</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We initially entered into an offer letter with each of the named executive officers in connection with such officer’s employment with us, which set forth the terms and conditions of this officer’s employment, including base salary, target annual bonus opportunity, initial equity awards and standard employee benefit plan participation. Effective upon the closing of the Business Combination in 2021, we entered into an employment agreement with each of Dr. Weber, Ms. Beckman and Dr. Huang that replaced the offer letters and provide for specified payments and benefits in connection with a termination of employment in certain circumstances. Our goal in providing these severance and change in control payments and benefits is to offer sufficient cash continuity protection such that the named executive officers will focus their full time and attention on the requirements of the business rather than the potential implications for their respective positions. We prefer to have certainty regarding the potential severance amounts payable to the named executive officers, rather than negotiating severance at the time that a named executive officer’s employment terminates. We have also determined that accelerated vesting provisions with respect to outstanding equity awards in connection with a qualifying termination of employment in certain circumstances are appropriate because they encourage our named executive officers to stay focused on the business in those circumstances, rather than focusing on the potential implications for them personally. The employment agreements with our named executive officers require the named executive officers to execute a separation agreement containing a general release of claims in favor of us to receive any severance payments and benefits. The material terms of the employment agreements with Dr. Weber, Ms. Beckman and Dr. Huang are summarized below.</w:t>
      </w:r>
    </w:p>
    <w:p>
      <w:pPr>
        <w:pStyle w:val="TextBody"/>
        <w:spacing w:before="0" w:after="240"/>
        <w:jc w:val="left"/>
        <w:rPr>
          <w:rFonts w:ascii="Times New Roman;serif" w:hAnsi="Times New Roman;serif"/>
          <w:b/>
          <w:i/>
          <w:sz w:val="20"/>
        </w:rPr>
      </w:pPr>
      <w:r>
        <w:rPr>
          <w:rFonts w:ascii="Times New Roman;serif" w:hAnsi="Times New Roman;serif"/>
          <w:b/>
          <w:i/>
          <w:sz w:val="20"/>
        </w:rPr>
        <w:t>Barbara Weber, M.D.</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Under Dr. Weber’s employment agreement, or the Weber Employment Agreement, Dr. Weber serves as our Chief Executive Officer on an at-will basis. Dr. Weber’s 2023 annual base salary is $627,000, which is subject to periodic review and adjustment, and she is eligible to earn an annual bonus with a target amount equal to 55% of her base salary. Dr. Weber is eligible to participate in the employee benefit plans available to our employees, subject to the terms of those plans.</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Pursuant to the Weber Employment Agreement, in the event that her employment is terminated by us without “cause” or Dr. Weber resigns for “good reason” (as each term is defined in the Weber Employment Agreement), subject to the execution and effectiveness of a separation agreement, including a general release of claims in our favor, (i) she will be entitled to receive base salary continuation for 12 months following termination, (ii) she will be entitled to receive a prorated portion of her target annual cash incentive compensation for the year of termination, payable over the 12 months following termination, (iii) she will be entitled to receive any earned but unpaid bonus for the prior year, (iv)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12 months following termination, (B) Dr. Weber’s eligibility for group medical plan benefits under any other employer’s group medical plan or (C) the end of Dr. Weber’s COBRA health continuation period, and (v) acceleration by 12 months of the unvested portion of all stock options and other stock-based awards subject solely to time-based vesting held by Dr. Weber.</w:t>
      </w:r>
    </w:p>
    <w:p>
      <w:pPr>
        <w:pStyle w:val="TextBody"/>
        <w:spacing w:before="0" w:after="240"/>
        <w:jc w:val="left"/>
        <w:rPr>
          <w:rFonts w:ascii="Times New Roman" w:hAnsi="Times New Roman"/>
          <w:sz w:val="20"/>
        </w:rPr>
      </w:pPr>
      <w:r>
        <w:rPr>
          <w:rFonts w:ascii="Times New Roman;serif" w:hAnsi="Times New Roman;serif"/>
          <w:b w:val="false"/>
          <w:sz w:val="20"/>
        </w:rPr>
        <w:t>In lieu of the payments and benefits described in the preceding sentence, in the event that Dr. Weber’s employment is terminated by us without cause or Dr. Weber resigns for good reason on or within 12 months following a “change in control” (as defined in the Weber Employment Agreement), subject to the execution and effectiveness of a separation agreement, including a general release of claims in our favor, (i) she will be entitled to receive a lump sum in cash equal to 18 months of her then-current annual base salary (or Dr. Weber’s annual base salary in effect immediately prior to the change in control, if higher), (ii) she will be entitled to receive a lump sum in cash equal to Dr. Weber’s target annual cash incentive compensation for the year of termination, (iii) she will be entitled to receive a lump sum in cash equal to a prorated portion of her target annual cash incentive compensation for the year of termination, (iv) she will be entitled to receive any earned but unpaid bonus for the prior year, (v) subject to Dr. Weber’s copayment of premium amounts at the applicable active employees’ rate and proper election to continue COBRA health coverage, we will cover the portion</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of the premium amount equal to the amount that we would have paid to provide health insurance to Dr. Weber had she remained employed with us until the earliest of (A) 18 months following termination, (B) Dr. Weber’s eligibility for group medical plan benefits under any other employer’s group medical plan or (C) the end of Dr. Weber’s COBRA health continuation period, and (vi) she will be entitled to acceleration of 100% of all stock options and other stock-based awards subject solely to time-based vesting held by her.</w:t>
      </w:r>
    </w:p>
    <w:p>
      <w:pPr>
        <w:pStyle w:val="TextBody"/>
        <w:spacing w:before="0" w:after="240"/>
        <w:jc w:val="left"/>
        <w:rPr>
          <w:rFonts w:ascii="Times New Roman;serif" w:hAnsi="Times New Roman;serif"/>
          <w:b/>
          <w:i/>
          <w:sz w:val="20"/>
        </w:rPr>
      </w:pPr>
      <w:r>
        <w:rPr>
          <w:rFonts w:ascii="Times New Roman;serif" w:hAnsi="Times New Roman;serif"/>
          <w:b/>
          <w:i/>
          <w:sz w:val="20"/>
        </w:rPr>
        <w:t>Daniella Beckman</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Under Ms. Beckman’s employment agreement, or the Beckman Employment Agreement, Ms. Beckman serves as our Chief Financial Officer on an at-will basis. Ms. Beckman’s 2023 annual base salary is $442,104, which is subject to periodic review and adjustment, and she is eligible to earn an annual bonus with a target amount equal to 40% of her base salary. Ms. Beckman is eligible to participate in the employee benefit plans available to our employees, subject to the terms of those plans.</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Pursuant to the Beckman Employment Agreement, in the event that her employment is terminated by us without “cause” or Ms. Beckman resigns for “good reason” (as each term is defined in the Beckman Employment Agreement), subject to the execution and effectiveness of a separation agreement, including a general release of claims in our favor, (i) she will be entitled to receive base salary continuation for 12 months following termination, and (ii) subject to Ms. Beckman’s copayment of premium amounts at the applicable active employees’ rate and proper election to continue COBRA health coverage, we will cover the portion of the premium amount equal to the amount that we would have paid to provide health insurance to Ms. Beckman had she remained employed with us until the earliest of (A) 12 months following termination, (B) Ms. Beckman’s eligibility for group medical plan benefits under any other employer’s group medical plan or (C) the end of Ms. Beckman’s COBRA health continuation period.</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In lieu of the payments and benefits described in the preceding sentence, in the event that Ms. Beckman’s employment is terminated by us without cause or Ms. Beckman resigns for good reason on or within 12 months following a “change in control” (as defined in the Beckman Employment Agreement), subject to the execution and effectiveness of a separation agreement, including a general release of claims in our favor, (i) she will be entitled to receive a lump sum in cash equal to 12 months of her then-current annual base salary (or Ms. Beckman’s annual base salary in effect immediately prior to the change in control, if higher), (ii) she will be entitled to receive a lump sum in cash equal to her target annual cash incentive compensation for the year of termination, (iii) subject to Ms. Beckman’s copayment of premium amounts at the applicable active employees’ rate and proper election to continue COBRA health coverage, we will cover the portion of the premium amount equal to the amount that we would have paid to provide health insurance to Ms. Beckman had she remained employed with us until the earliest of (A) 12 months following termination, (B) Ms. Beckman’s eligibility for group medical plan benefits under any other employer’s group medical plan or (C) the end of Ms. Beckman’s COBRA health continuation period, and (iv) she will be entitled to acceleration of 100% of all stock options and other stock-based awards subject solely to time-based vesting held by her.</w:t>
      </w:r>
    </w:p>
    <w:p>
      <w:pPr>
        <w:pStyle w:val="TextBody"/>
        <w:spacing w:before="0" w:after="240"/>
        <w:jc w:val="left"/>
        <w:rPr>
          <w:rFonts w:ascii="Times New Roman;serif" w:hAnsi="Times New Roman;serif"/>
          <w:b/>
          <w:i/>
          <w:sz w:val="20"/>
        </w:rPr>
      </w:pPr>
      <w:r>
        <w:rPr>
          <w:rFonts w:ascii="Times New Roman;serif" w:hAnsi="Times New Roman;serif"/>
          <w:b/>
          <w:i/>
          <w:sz w:val="20"/>
        </w:rPr>
        <w:t>Alan Huang, Ph.D.</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Under Dr. Huang’s employment agreement, or the Huang Employment Agreement, Dr. Huang will serve as our Chief Scientific Officer on an at-will basis. Dr. Huang’s 2023 annual base salary is $489,193, which is subject to periodic review and adjustment, and he is eligible to earn an annual bonus with a target amount equal to 40% of his base salary. Dr. Huang is eligible to participate in the employee benefit plans available to our employees, subject to the terms of those plans.</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Pursuant to the Huang Employment Agreement, in the event that his employment is terminated by us without “cause” or Dr. Huang resigns for “good reason” (as each term is defined in the Huang Employment Agreement), subject to the execution and effectiveness of a separation agreement, including a general release of claims in our favor, (i) he will be entitled to receive base salary continuation for 12 months following termination, and (ii) subject to Dr. Huang’s copayment of premium amounts at the applicable active employees’ rate and proper election to continue COBRA health coverage, we will cover the portion of the premium amount equal to the amount that we would have paid to provide health insurance to Dr. Huang had he remained employed with us until the earliest of (A) 12 months following termination, (B) Dr. Huang’s eligibility for group medical plan benefits under any other employer’s group medical plan or (C) the end of Dr. Huang’s COBRA health continuation period.</w:t>
      </w:r>
    </w:p>
    <w:p>
      <w:pPr>
        <w:pStyle w:val="TextBody"/>
        <w:spacing w:before="0" w:after="240"/>
        <w:jc w:val="left"/>
        <w:rPr>
          <w:rFonts w:ascii="Times New Roman" w:hAnsi="Times New Roman"/>
          <w:sz w:val="20"/>
        </w:rPr>
      </w:pPr>
      <w:r>
        <w:rPr>
          <w:rFonts w:ascii="Times New Roman;serif" w:hAnsi="Times New Roman;serif"/>
          <w:b w:val="false"/>
          <w:sz w:val="20"/>
        </w:rPr>
        <w:t>In lieu of the payments and benefits described in the preceding sentence, in the event that Dr. Huang’s employment is terminated by us without cause or Dr. Huang resigns for good reason on or within 12 months following a “change in control” (as defined in the Huang Employment Agreement), subject to the execution and effectiveness of a separation agreement, including a general release of claims in our favor, (i) he will be entitled to receive a lump sum in cash equal to 12 months of his then-current annual base salary (or Dr. Huang’s annual base salary in effect immediately prior to the change in control, if higher), (ii) he will be entitled to receive a lump sum in cash equal to his target annual cash incentive compensation for the year of termination, (iii) subject to Dr. Huang’s copayment of premium amounts at the applicable active employees’ rate and proper election to continue COBRA health coverage, we will cover the portion of the premium amount equal to the amount that we would have paid to provide health insurance to Dr. Huang had he remained employed with us until the earliest of (A) 12 months following termination, (B) Dr. Huang’s eligibility for group medical</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plan benefits under any other employer’s group medical plan or (C) the end of Dr. Huang’s COBRA health continuation period, and (iv) he will be entitled to acceleration of 100% of all stock options and other stock-based awards subject solely to time-based vesting held by him.</w:t>
      </w:r>
    </w:p>
    <w:p>
      <w:pPr>
        <w:pStyle w:val="TextBody"/>
        <w:spacing w:before="0" w:after="240"/>
        <w:jc w:val="left"/>
        <w:rPr>
          <w:rFonts w:ascii="Times New Roman;serif" w:hAnsi="Times New Roman;serif"/>
          <w:b/>
          <w:sz w:val="20"/>
        </w:rPr>
      </w:pPr>
      <w:r>
        <w:rPr>
          <w:rFonts w:ascii="Times New Roman;serif" w:hAnsi="Times New Roman;serif"/>
          <w:b/>
          <w:sz w:val="20"/>
        </w:rPr>
        <w:t>Other Elements of Compensation; Perquisites</w:t>
      </w:r>
    </w:p>
    <w:p>
      <w:pPr>
        <w:pStyle w:val="TextBody"/>
        <w:spacing w:before="0" w:after="240"/>
        <w:jc w:val="left"/>
        <w:rPr>
          <w:rFonts w:ascii="Times New Roman;serif" w:hAnsi="Times New Roman;serif"/>
          <w:b/>
          <w:i/>
          <w:sz w:val="20"/>
        </w:rPr>
      </w:pPr>
      <w:r>
        <w:rPr>
          <w:rFonts w:ascii="Times New Roman;serif" w:hAnsi="Times New Roman;serif"/>
          <w:b/>
          <w:i/>
          <w:sz w:val="20"/>
        </w:rPr>
        <w:t>Health and Welfare Plans</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During their employment, our named executive officers are eligible to participate in our employee benefit plans and programs, including medical and dental benefits, life insurance and disability benefits, to the same extent as our other full-time employees, subject to the terms and eligibility requirements of those plans.</w:t>
      </w:r>
    </w:p>
    <w:p>
      <w:pPr>
        <w:pStyle w:val="TextBody"/>
        <w:spacing w:before="0" w:after="240"/>
        <w:jc w:val="left"/>
        <w:rPr>
          <w:rFonts w:ascii="Times New Roman;serif" w:hAnsi="Times New Roman;serif"/>
          <w:b/>
          <w:i/>
          <w:sz w:val="20"/>
        </w:rPr>
      </w:pPr>
      <w:r>
        <w:rPr>
          <w:rFonts w:ascii="Times New Roman;serif" w:hAnsi="Times New Roman;serif"/>
          <w:b/>
          <w:i/>
          <w:sz w:val="20"/>
        </w:rPr>
        <w:t>Retirement Plan</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We maintain a 401(k) retirement savings plan for our employees, including our named executive officers, who satisfy certain eligibility requirements. The savings plan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In 2022, our compensation committee authorized the Company to begin matching employee contributions up to a maximum of 100% of the first 2% of eligible compensation and 50% of the next 4% of eligible compensation during each pay period, subject to statutory limits.Our named executive officers are eligible to participate in the 401(k) plan on the same terms as other full-time employees.</w:t>
      </w:r>
    </w:p>
    <w:p>
      <w:pPr>
        <w:pStyle w:val="TextBody"/>
        <w:spacing w:before="0" w:after="240"/>
        <w:jc w:val="left"/>
        <w:rPr>
          <w:rFonts w:ascii="Times New Roman;serif" w:hAnsi="Times New Roman;serif"/>
          <w:b/>
          <w:sz w:val="20"/>
        </w:rPr>
      </w:pPr>
      <w:r>
        <w:rPr>
          <w:rFonts w:ascii="Times New Roman;serif" w:hAnsi="Times New Roman;serif"/>
          <w:b/>
          <w:sz w:val="20"/>
        </w:rPr>
        <w:t>Compensation Risk Assessment</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We believe that although a portion of the compensation provided to our executive officers and other employees is performance-based, our executive compensation program does not encourage excessive or unnecessary risk taking. Our compensation programs are designed to encourage our executive officers and other employees to remain focused on both short-term and long-term strategic goals. As a result, we do not believe that our compensation programs are reasonably likely to have a material adverse effect on the Company.</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0" w:after="240"/>
        <w:jc w:val="center"/>
        <w:rPr>
          <w:rFonts w:ascii="Times New Roman;serif" w:hAnsi="Times New Roman;serif"/>
          <w:b/>
          <w:sz w:val="20"/>
        </w:rPr>
      </w:pPr>
      <w:bookmarkStart w:id="10" w:name="director_compensation"/>
      <w:bookmarkEnd w:id="10"/>
      <w:r>
        <w:rPr>
          <w:rFonts w:ascii="Times New Roman;serif" w:hAnsi="Times New Roman;serif"/>
          <w:b/>
          <w:sz w:val="20"/>
        </w:rPr>
        <w:t>NON-EMPLOYEE DIRECTOR COMPENSATION</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We have adopted a non-employee director compensation policy under which each non-employee director receives the following amounts for his or her services on our board of directors.</w:t>
      </w:r>
    </w:p>
    <w:p>
      <w:pPr>
        <w:pStyle w:val="TextBody"/>
        <w:spacing w:before="60" w:after="0"/>
        <w:jc w:val="left"/>
        <w:rPr/>
      </w:pPr>
      <w:r>
        <w:rPr/>
        <w:t>•</w:t>
      </w:r>
    </w:p>
    <w:p>
      <w:pPr>
        <w:pStyle w:val="TextBody"/>
        <w:spacing w:before="60" w:after="0"/>
        <w:jc w:val="left"/>
        <w:rPr>
          <w:rFonts w:ascii="Times New Roman;serif" w:hAnsi="Times New Roman;serif"/>
          <w:b w:val="false"/>
          <w:sz w:val="20"/>
        </w:rPr>
      </w:pPr>
      <w:r>
        <w:rPr>
          <w:rFonts w:ascii="Times New Roman;serif" w:hAnsi="Times New Roman;serif"/>
          <w:b w:val="false"/>
          <w:sz w:val="20"/>
        </w:rPr>
        <w:t>An option to purchase 80,000 shares of our common stock upon the director’s initial election or appointment to our board of directors, which vests in 36 substantially equal monthly installments over three years from the date of grant, subject to continued service as a director through the applicable vesting date.</w:t>
      </w:r>
    </w:p>
    <w:p>
      <w:pPr>
        <w:pStyle w:val="TextBody"/>
        <w:spacing w:before="60" w:after="0"/>
        <w:jc w:val="left"/>
        <w:rPr/>
      </w:pPr>
      <w:r>
        <w:rPr/>
        <w:t>•</w:t>
      </w:r>
    </w:p>
    <w:p>
      <w:pPr>
        <w:pStyle w:val="TextBody"/>
        <w:spacing w:before="60" w:after="0"/>
        <w:jc w:val="left"/>
        <w:rPr>
          <w:rFonts w:ascii="Times New Roman;serif" w:hAnsi="Times New Roman;serif"/>
          <w:b w:val="false"/>
          <w:sz w:val="20"/>
        </w:rPr>
      </w:pPr>
      <w:r>
        <w:rPr>
          <w:rFonts w:ascii="Times New Roman;serif" w:hAnsi="Times New Roman;serif"/>
          <w:b w:val="false"/>
          <w:sz w:val="20"/>
        </w:rPr>
        <w:t>An annual option to purchase 40,000 shares of our common stock on the date of the annual meeting for such year, which shall vest in 12 substantially equal monthly installments over one year from the date of grant, subject to continued service as a director through the applicable vesting date. Directors who were elected in the 12 months preceding the annual grant receive a pro-rated portion of the annual grant based on the number of months of time in service on the board.</w:t>
      </w:r>
    </w:p>
    <w:p>
      <w:pPr>
        <w:pStyle w:val="TextBody"/>
        <w:spacing w:before="60" w:after="0"/>
        <w:jc w:val="left"/>
        <w:rPr/>
      </w:pPr>
      <w:r>
        <w:rPr/>
        <w:t>•</w:t>
      </w:r>
    </w:p>
    <w:p>
      <w:pPr>
        <w:pStyle w:val="TextBody"/>
        <w:spacing w:before="60" w:after="0"/>
        <w:jc w:val="left"/>
        <w:rPr>
          <w:rFonts w:ascii="Times New Roman;serif" w:hAnsi="Times New Roman;serif"/>
          <w:b w:val="false"/>
          <w:sz w:val="20"/>
        </w:rPr>
      </w:pPr>
      <w:r>
        <w:rPr>
          <w:rFonts w:ascii="Times New Roman;serif" w:hAnsi="Times New Roman;serif"/>
          <w:b w:val="false"/>
          <w:sz w:val="20"/>
        </w:rPr>
        <w:t>An annual director fee of $40,000.</w:t>
      </w:r>
    </w:p>
    <w:p>
      <w:pPr>
        <w:pStyle w:val="TextBody"/>
        <w:spacing w:before="60" w:after="0"/>
        <w:jc w:val="left"/>
        <w:rPr/>
      </w:pPr>
      <w:r>
        <w:rPr/>
        <w:t>•</w:t>
      </w:r>
    </w:p>
    <w:p>
      <w:pPr>
        <w:pStyle w:val="TextBody"/>
        <w:spacing w:before="60" w:after="0"/>
        <w:jc w:val="left"/>
        <w:rPr>
          <w:rFonts w:ascii="Times New Roman;serif" w:hAnsi="Times New Roman;serif"/>
          <w:b w:val="false"/>
          <w:sz w:val="20"/>
        </w:rPr>
      </w:pPr>
      <w:r>
        <w:rPr>
          <w:rFonts w:ascii="Times New Roman;serif" w:hAnsi="Times New Roman;serif"/>
          <w:b w:val="false"/>
          <w:sz w:val="20"/>
        </w:rPr>
        <w:t>If the director serves on a committee of our board of directors or in the other capacities stated below, an additional annual fee as follows:</w:t>
      </w:r>
    </w:p>
    <w:p>
      <w:pPr>
        <w:pStyle w:val="TextBody"/>
        <w:spacing w:before="60" w:after="0"/>
        <w:jc w:val="left"/>
        <w:rPr/>
      </w:pPr>
      <w:r>
        <w:rPr/>
        <w:t>•</w:t>
      </w:r>
    </w:p>
    <w:p>
      <w:pPr>
        <w:pStyle w:val="TextBody"/>
        <w:spacing w:before="60" w:after="0"/>
        <w:jc w:val="left"/>
        <w:rPr>
          <w:rFonts w:ascii="Times New Roman;serif" w:hAnsi="Times New Roman;serif"/>
          <w:b w:val="false"/>
          <w:sz w:val="20"/>
        </w:rPr>
      </w:pPr>
      <w:r>
        <w:rPr>
          <w:rFonts w:ascii="Times New Roman;serif" w:hAnsi="Times New Roman;serif"/>
          <w:b w:val="false"/>
          <w:sz w:val="20"/>
        </w:rPr>
        <w:t>Non-executive chairperson, $30,000</w:t>
      </w:r>
    </w:p>
    <w:p>
      <w:pPr>
        <w:pStyle w:val="TextBody"/>
        <w:spacing w:before="60" w:after="0"/>
        <w:jc w:val="left"/>
        <w:rPr/>
      </w:pPr>
      <w:r>
        <w:rPr/>
        <w:t>•</w:t>
      </w:r>
    </w:p>
    <w:p>
      <w:pPr>
        <w:pStyle w:val="TextBody"/>
        <w:spacing w:before="60" w:after="0"/>
        <w:jc w:val="left"/>
        <w:rPr>
          <w:rFonts w:ascii="Times New Roman;serif" w:hAnsi="Times New Roman;serif"/>
          <w:b w:val="false"/>
          <w:sz w:val="20"/>
        </w:rPr>
      </w:pPr>
      <w:r>
        <w:rPr>
          <w:rFonts w:ascii="Times New Roman;serif" w:hAnsi="Times New Roman;serif"/>
          <w:b w:val="false"/>
          <w:sz w:val="20"/>
        </w:rPr>
        <w:t>Lead independent director, $15,000</w:t>
      </w:r>
    </w:p>
    <w:p>
      <w:pPr>
        <w:pStyle w:val="TextBody"/>
        <w:spacing w:before="60" w:after="0"/>
        <w:jc w:val="left"/>
        <w:rPr/>
      </w:pPr>
      <w:r>
        <w:rPr/>
        <w:t>•</w:t>
      </w:r>
    </w:p>
    <w:p>
      <w:pPr>
        <w:pStyle w:val="TextBody"/>
        <w:spacing w:before="60" w:after="0"/>
        <w:jc w:val="left"/>
        <w:rPr>
          <w:rFonts w:ascii="Times New Roman;serif" w:hAnsi="Times New Roman;serif"/>
          <w:b w:val="false"/>
          <w:sz w:val="20"/>
        </w:rPr>
      </w:pPr>
      <w:r>
        <w:rPr>
          <w:rFonts w:ascii="Times New Roman;serif" w:hAnsi="Times New Roman;serif"/>
          <w:b w:val="false"/>
          <w:sz w:val="20"/>
        </w:rPr>
        <w:t>Audit committee chairperson, $15,000</w:t>
      </w:r>
    </w:p>
    <w:p>
      <w:pPr>
        <w:pStyle w:val="TextBody"/>
        <w:spacing w:before="60" w:after="0"/>
        <w:jc w:val="left"/>
        <w:rPr/>
      </w:pPr>
      <w:r>
        <w:rPr/>
        <w:t>•</w:t>
      </w:r>
    </w:p>
    <w:p>
      <w:pPr>
        <w:pStyle w:val="TextBody"/>
        <w:spacing w:before="60" w:after="0"/>
        <w:jc w:val="left"/>
        <w:rPr>
          <w:rFonts w:ascii="Times New Roman;serif" w:hAnsi="Times New Roman;serif"/>
          <w:b w:val="false"/>
          <w:sz w:val="20"/>
        </w:rPr>
      </w:pPr>
      <w:r>
        <w:rPr>
          <w:rFonts w:ascii="Times New Roman;serif" w:hAnsi="Times New Roman;serif"/>
          <w:b w:val="false"/>
          <w:sz w:val="20"/>
        </w:rPr>
        <w:t>Audit committee member, $7,500</w:t>
      </w:r>
    </w:p>
    <w:p>
      <w:pPr>
        <w:pStyle w:val="TextBody"/>
        <w:spacing w:before="60" w:after="0"/>
        <w:jc w:val="left"/>
        <w:rPr/>
      </w:pPr>
      <w:r>
        <w:rPr/>
        <w:t>•</w:t>
      </w:r>
    </w:p>
    <w:p>
      <w:pPr>
        <w:pStyle w:val="TextBody"/>
        <w:spacing w:before="60" w:after="0"/>
        <w:jc w:val="left"/>
        <w:rPr>
          <w:rFonts w:ascii="Times New Roman;serif" w:hAnsi="Times New Roman;serif"/>
          <w:b w:val="false"/>
          <w:sz w:val="20"/>
        </w:rPr>
      </w:pPr>
      <w:r>
        <w:rPr>
          <w:rFonts w:ascii="Times New Roman;serif" w:hAnsi="Times New Roman;serif"/>
          <w:b w:val="false"/>
          <w:sz w:val="20"/>
        </w:rPr>
        <w:t>Compensation committee chairperson, $10,000</w:t>
      </w:r>
    </w:p>
    <w:p>
      <w:pPr>
        <w:pStyle w:val="TextBody"/>
        <w:spacing w:before="60" w:after="0"/>
        <w:jc w:val="left"/>
        <w:rPr/>
      </w:pPr>
      <w:r>
        <w:rPr/>
        <w:t>•</w:t>
      </w:r>
    </w:p>
    <w:p>
      <w:pPr>
        <w:pStyle w:val="TextBody"/>
        <w:spacing w:before="60" w:after="0"/>
        <w:jc w:val="left"/>
        <w:rPr>
          <w:rFonts w:ascii="Times New Roman;serif" w:hAnsi="Times New Roman;serif"/>
          <w:b w:val="false"/>
          <w:sz w:val="20"/>
        </w:rPr>
      </w:pPr>
      <w:r>
        <w:rPr>
          <w:rFonts w:ascii="Times New Roman;serif" w:hAnsi="Times New Roman;serif"/>
          <w:b w:val="false"/>
          <w:sz w:val="20"/>
        </w:rPr>
        <w:t>Compensation committee member, $5,000</w:t>
      </w:r>
    </w:p>
    <w:p>
      <w:pPr>
        <w:pStyle w:val="TextBody"/>
        <w:spacing w:before="60" w:after="0"/>
        <w:jc w:val="left"/>
        <w:rPr/>
      </w:pPr>
      <w:r>
        <w:rPr/>
        <w:t>•</w:t>
      </w:r>
    </w:p>
    <w:p>
      <w:pPr>
        <w:pStyle w:val="TextBody"/>
        <w:spacing w:before="60" w:after="0"/>
        <w:jc w:val="left"/>
        <w:rPr>
          <w:rFonts w:ascii="Times New Roman;serif" w:hAnsi="Times New Roman;serif"/>
          <w:b w:val="false"/>
          <w:sz w:val="20"/>
        </w:rPr>
      </w:pPr>
      <w:r>
        <w:rPr>
          <w:rFonts w:ascii="Times New Roman;serif" w:hAnsi="Times New Roman;serif"/>
          <w:b w:val="false"/>
          <w:sz w:val="20"/>
        </w:rPr>
        <w:t>Nomination and governance committee chairperson, $8,000</w:t>
      </w:r>
    </w:p>
    <w:p>
      <w:pPr>
        <w:pStyle w:val="TextBody"/>
        <w:spacing w:before="60" w:after="0"/>
        <w:jc w:val="left"/>
        <w:rPr/>
      </w:pPr>
      <w:r>
        <w:rPr/>
        <w:t>•</w:t>
      </w:r>
    </w:p>
    <w:p>
      <w:pPr>
        <w:pStyle w:val="TextBody"/>
        <w:spacing w:before="60" w:after="283"/>
        <w:jc w:val="left"/>
        <w:rPr>
          <w:rFonts w:ascii="Times New Roman;serif" w:hAnsi="Times New Roman;serif"/>
          <w:b w:val="false"/>
          <w:sz w:val="20"/>
        </w:rPr>
      </w:pPr>
      <w:r>
        <w:rPr>
          <w:rFonts w:ascii="Times New Roman;serif" w:hAnsi="Times New Roman;serif"/>
          <w:b w:val="false"/>
          <w:sz w:val="20"/>
        </w:rPr>
        <w:t>Nomination and governance committee member, $4,000</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Options granted to our non-employee directors under the non-employee director compensation policy have an exercise price equal to the fair market value of our common stock on the date of grant and will expire not later than ten years after the date of grant. All unvested options held by non-employee members of the board of directors vest in full upon the occurrence of a change in control.</w:t>
      </w:r>
    </w:p>
    <w:p>
      <w:pPr>
        <w:pStyle w:val="TextBody"/>
        <w:spacing w:before="240" w:after="240"/>
        <w:jc w:val="left"/>
        <w:rPr>
          <w:rFonts w:ascii="Times New Roman;serif" w:hAnsi="Times New Roman;serif"/>
          <w:b/>
          <w:i/>
          <w:sz w:val="20"/>
        </w:rPr>
      </w:pPr>
      <w:r>
        <w:rPr>
          <w:rFonts w:ascii="Times New Roman;serif" w:hAnsi="Times New Roman;serif"/>
          <w:b/>
          <w:i/>
          <w:sz w:val="20"/>
        </w:rPr>
        <w:t>2022 Non-Employee Director Compensation Table</w:t>
      </w:r>
    </w:p>
    <w:p>
      <w:pPr>
        <w:pStyle w:val="TextBody"/>
        <w:spacing w:before="0" w:after="240"/>
        <w:jc w:val="left"/>
        <w:rPr>
          <w:rFonts w:ascii="Times New Roman" w:hAnsi="Times New Roman"/>
          <w:sz w:val="20"/>
        </w:rPr>
      </w:pPr>
      <w:r>
        <w:rPr>
          <w:rFonts w:ascii="Times New Roman;serif" w:hAnsi="Times New Roman;serif"/>
          <w:b w:val="false"/>
          <w:sz w:val="20"/>
        </w:rPr>
        <w:t>The table below shows the cash fees paid to our directors in connection with their service on our board of directors, and the stock option awards granted, during the fiscal year ended December 31, 2022.</w:t>
      </w:r>
      <w:r>
        <w:rPr>
          <w:rFonts w:ascii="Times New Roman" w:hAnsi="Times New Roman"/>
          <w:sz w:val="20"/>
        </w:rPr>
        <w:t xml:space="preserve"> </w:t>
      </w:r>
    </w:p>
    <w:tbl>
      <w:tblPr>
        <w:tblW w:w="7026" w:type="dxa"/>
        <w:jc w:val="left"/>
        <w:tblInd w:w="0" w:type="dxa"/>
        <w:tblCellMar>
          <w:top w:w="28" w:type="dxa"/>
          <w:left w:w="28" w:type="dxa"/>
          <w:bottom w:w="28" w:type="dxa"/>
          <w:right w:w="28" w:type="dxa"/>
        </w:tblCellMar>
      </w:tblPr>
      <w:tblGrid>
        <w:gridCol w:w="2071"/>
        <w:gridCol w:w="146"/>
        <w:gridCol w:w="237"/>
        <w:gridCol w:w="237"/>
        <w:gridCol w:w="1100"/>
        <w:gridCol w:w="146"/>
        <w:gridCol w:w="146"/>
        <w:gridCol w:w="201"/>
        <w:gridCol w:w="1076"/>
        <w:gridCol w:w="201"/>
        <w:gridCol w:w="201"/>
        <w:gridCol w:w="146"/>
        <w:gridCol w:w="146"/>
        <w:gridCol w:w="781"/>
        <w:gridCol w:w="191"/>
      </w:tblGrid>
      <w:tr>
        <w:trPr/>
        <w:tc>
          <w:tcPr>
            <w:tcW w:w="20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0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74"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Fees Earned or Paid</w:t>
              <w:br/>
              <w:t>In Cash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9" w:type="dxa"/>
            <w:gridSpan w:val="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Option Awards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Aaron Davis</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cs="Times New Roman;serif"/>
                <w:bCs w:val="false"/>
                <w:szCs w:val="20"/>
              </w:rPr>
            </w:pPr>
            <w:r>
              <w:rPr>
                <w:rFonts w:cs="Times New Roman;serif"/>
                <w:bCs w:val="false"/>
                <w:szCs w:val="20"/>
              </w:rPr>
              <w:t>﻿</w:t>
            </w:r>
          </w:p>
        </w:tc>
        <w:tc>
          <w:tcPr>
            <w:tcW w:w="237" w:type="dxa"/>
            <w:tcBorders/>
            <w:shd w:fill="auto" w:val="clear"/>
            <w:vAlign w:val="center"/>
          </w:tcPr>
          <w:p>
            <w:pPr>
              <w:pStyle w:val="TableContents"/>
              <w:spacing w:before="0" w:after="0"/>
              <w:ind w:left="0" w:right="0" w:hanging="0"/>
              <w:jc w:val="left"/>
              <w:rPr/>
            </w:pPr>
            <w:r>
              <w:rPr/>
              <w:t> </w:t>
            </w:r>
          </w:p>
        </w:tc>
        <w:tc>
          <w:tcPr>
            <w:tcW w:w="11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156,776</w:t>
            </w:r>
          </w:p>
        </w:tc>
        <w:tc>
          <w:tcPr>
            <w:tcW w:w="201"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200,776</w:t>
            </w:r>
          </w:p>
        </w:tc>
        <w:tc>
          <w:tcPr>
            <w:tcW w:w="191" w:type="dxa"/>
            <w:tcBorders/>
            <w:shd w:fill="auto" w:val="clear"/>
            <w:vAlign w:val="center"/>
          </w:tcPr>
          <w:p>
            <w:pPr>
              <w:pStyle w:val="TableContents"/>
              <w:spacing w:before="0" w:after="0"/>
              <w:ind w:left="0" w:right="0" w:hanging="0"/>
              <w:jc w:val="left"/>
              <w:rPr/>
            </w:pPr>
            <w:r>
              <w:rPr/>
              <w:t> </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Alexis Borisy</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cs="Times New Roman;serif"/>
                <w:bCs w:val="false"/>
                <w:szCs w:val="20"/>
              </w:rPr>
            </w:pPr>
            <w:r>
              <w:rPr>
                <w:rFonts w:cs="Times New Roman;serif"/>
                <w:bCs w:val="false"/>
                <w:szCs w:val="20"/>
              </w:rPr>
              <w:t>﻿</w:t>
            </w:r>
          </w:p>
        </w:tc>
        <w:tc>
          <w:tcPr>
            <w:tcW w:w="237" w:type="dxa"/>
            <w:tcBorders/>
            <w:shd w:fill="auto" w:val="clear"/>
            <w:vAlign w:val="center"/>
          </w:tcPr>
          <w:p>
            <w:pPr>
              <w:pStyle w:val="TableContents"/>
              <w:spacing w:before="0" w:after="0"/>
              <w:ind w:left="0" w:right="0" w:hanging="0"/>
              <w:jc w:val="left"/>
              <w:rPr/>
            </w:pPr>
            <w:r>
              <w:rPr/>
              <w:t> </w:t>
            </w:r>
          </w:p>
        </w:tc>
        <w:tc>
          <w:tcPr>
            <w:tcW w:w="11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156,776</w:t>
            </w:r>
          </w:p>
        </w:tc>
        <w:tc>
          <w:tcPr>
            <w:tcW w:w="201"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239,276</w:t>
            </w:r>
          </w:p>
        </w:tc>
        <w:tc>
          <w:tcPr>
            <w:tcW w:w="191" w:type="dxa"/>
            <w:tcBorders/>
            <w:shd w:fill="auto" w:val="clear"/>
            <w:vAlign w:val="center"/>
          </w:tcPr>
          <w:p>
            <w:pPr>
              <w:pStyle w:val="TableContents"/>
              <w:spacing w:before="0" w:after="0"/>
              <w:ind w:left="0" w:right="0" w:hanging="0"/>
              <w:jc w:val="left"/>
              <w:rPr/>
            </w:pPr>
            <w:r>
              <w:rPr/>
              <w:t> </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Lesley Ann Calhoun</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cs="Times New Roman;serif"/>
                <w:bCs w:val="false"/>
                <w:szCs w:val="20"/>
              </w:rPr>
            </w:pPr>
            <w:r>
              <w:rPr>
                <w:rFonts w:cs="Times New Roman;serif"/>
                <w:bCs w:val="false"/>
                <w:szCs w:val="20"/>
              </w:rPr>
              <w:t>﻿</w:t>
            </w:r>
          </w:p>
        </w:tc>
        <w:tc>
          <w:tcPr>
            <w:tcW w:w="237" w:type="dxa"/>
            <w:tcBorders/>
            <w:shd w:fill="auto" w:val="clear"/>
            <w:vAlign w:val="center"/>
          </w:tcPr>
          <w:p>
            <w:pPr>
              <w:pStyle w:val="TableContents"/>
              <w:spacing w:before="0" w:after="0"/>
              <w:ind w:left="0" w:right="0" w:hanging="0"/>
              <w:jc w:val="left"/>
              <w:rPr/>
            </w:pPr>
            <w:r>
              <w:rPr/>
              <w:t> </w:t>
            </w:r>
          </w:p>
        </w:tc>
        <w:tc>
          <w:tcPr>
            <w:tcW w:w="11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156,776</w:t>
            </w:r>
          </w:p>
        </w:tc>
        <w:tc>
          <w:tcPr>
            <w:tcW w:w="201"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215,776</w:t>
            </w:r>
          </w:p>
        </w:tc>
        <w:tc>
          <w:tcPr>
            <w:tcW w:w="191" w:type="dxa"/>
            <w:tcBorders/>
            <w:shd w:fill="auto" w:val="clear"/>
            <w:vAlign w:val="center"/>
          </w:tcPr>
          <w:p>
            <w:pPr>
              <w:pStyle w:val="TableContents"/>
              <w:spacing w:before="0" w:after="0"/>
              <w:ind w:left="0" w:right="0" w:hanging="0"/>
              <w:jc w:val="left"/>
              <w:rPr/>
            </w:pPr>
            <w:r>
              <w:rPr/>
              <w:t> </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Mace Rothenberg, M.D.</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11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156,776</w:t>
            </w:r>
          </w:p>
        </w:tc>
        <w:tc>
          <w:tcPr>
            <w:tcW w:w="201"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209,276</w:t>
            </w:r>
          </w:p>
        </w:tc>
        <w:tc>
          <w:tcPr>
            <w:tcW w:w="191" w:type="dxa"/>
            <w:tcBorders/>
            <w:shd w:fill="auto" w:val="clear"/>
            <w:vAlign w:val="center"/>
          </w:tcPr>
          <w:p>
            <w:pPr>
              <w:pStyle w:val="TableContents"/>
              <w:spacing w:before="0" w:after="0"/>
              <w:ind w:left="0" w:right="0" w:hanging="0"/>
              <w:jc w:val="left"/>
              <w:rPr/>
            </w:pPr>
            <w:r>
              <w:rPr/>
              <w:t> </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Malte Peters, M.D.</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cs="Times New Roman;serif"/>
                <w:bCs w:val="false"/>
                <w:szCs w:val="20"/>
              </w:rPr>
            </w:pPr>
            <w:r>
              <w:rPr>
                <w:rFonts w:cs="Times New Roman;serif"/>
                <w:bCs w:val="false"/>
                <w:szCs w:val="20"/>
              </w:rPr>
              <w:t>﻿</w:t>
            </w:r>
          </w:p>
        </w:tc>
        <w:tc>
          <w:tcPr>
            <w:tcW w:w="237" w:type="dxa"/>
            <w:tcBorders/>
            <w:shd w:fill="auto" w:val="clear"/>
            <w:vAlign w:val="center"/>
          </w:tcPr>
          <w:p>
            <w:pPr>
              <w:pStyle w:val="TableContents"/>
              <w:spacing w:before="0" w:after="0"/>
              <w:ind w:left="0" w:right="0" w:hanging="0"/>
              <w:jc w:val="left"/>
              <w:rPr/>
            </w:pPr>
            <w:r>
              <w:rPr/>
              <w:t> </w:t>
            </w:r>
          </w:p>
        </w:tc>
        <w:tc>
          <w:tcPr>
            <w:tcW w:w="11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156,776</w:t>
            </w:r>
          </w:p>
        </w:tc>
        <w:tc>
          <w:tcPr>
            <w:tcW w:w="201"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206,776</w:t>
            </w:r>
          </w:p>
        </w:tc>
        <w:tc>
          <w:tcPr>
            <w:tcW w:w="191" w:type="dxa"/>
            <w:tcBorders/>
            <w:shd w:fill="auto" w:val="clear"/>
            <w:vAlign w:val="center"/>
          </w:tcPr>
          <w:p>
            <w:pPr>
              <w:pStyle w:val="TableContents"/>
              <w:spacing w:before="0" w:after="0"/>
              <w:ind w:left="0" w:right="0" w:hanging="0"/>
              <w:jc w:val="left"/>
              <w:rPr/>
            </w:pPr>
            <w:r>
              <w:rPr/>
              <w:t> </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Reid Huber, Ph.D.</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cs="Times New Roman;serif"/>
                <w:bCs w:val="false"/>
                <w:szCs w:val="20"/>
              </w:rPr>
            </w:pPr>
            <w:r>
              <w:rPr>
                <w:rFonts w:cs="Times New Roman;serif"/>
                <w:bCs w:val="false"/>
                <w:szCs w:val="20"/>
              </w:rPr>
              <w:t>﻿</w:t>
            </w:r>
          </w:p>
        </w:tc>
        <w:tc>
          <w:tcPr>
            <w:tcW w:w="237" w:type="dxa"/>
            <w:tcBorders/>
            <w:shd w:fill="auto" w:val="clear"/>
            <w:vAlign w:val="center"/>
          </w:tcPr>
          <w:p>
            <w:pPr>
              <w:pStyle w:val="TableContents"/>
              <w:spacing w:before="0" w:after="0"/>
              <w:ind w:left="0" w:right="0" w:hanging="0"/>
              <w:jc w:val="left"/>
              <w:rPr/>
            </w:pPr>
            <w:r>
              <w:rPr/>
              <w:t> </w:t>
            </w:r>
          </w:p>
        </w:tc>
        <w:tc>
          <w:tcPr>
            <w:tcW w:w="110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0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156,776</w:t>
            </w:r>
          </w:p>
        </w:tc>
        <w:tc>
          <w:tcPr>
            <w:tcW w:w="201"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204,776</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(1) Amounts represent cash compensation earned and paid pursuant to our non-employee director compensation policy.</w:t>
      </w:r>
    </w:p>
    <w:p>
      <w:pPr>
        <w:pStyle w:val="TextBody"/>
        <w:spacing w:before="0" w:after="0"/>
        <w:jc w:val="left"/>
        <w:rPr>
          <w:rFonts w:ascii="Times New Roman" w:hAnsi="Times New Roman"/>
          <w:sz w:val="20"/>
        </w:rPr>
      </w:pPr>
      <w:r>
        <w:rPr>
          <w:rFonts w:ascii="Times New Roman;serif" w:hAnsi="Times New Roman;serif"/>
          <w:b w:val="false"/>
          <w:sz w:val="20"/>
        </w:rPr>
        <w:t>(2) The amounts reported represent the aggregate grant-date fair value of stock options awarded to our non-employee directors in 2022, calculated in accordance with ASC Topic 718. See Note 2 and Note 12 to our audited financial statements contained in our Annual Report on Form 10-K filed with the SEC on March 27, 2023 for a discussion of assumptions made in determining the aggregate grant date fair value of stock option awards. The amounts presented do not correspond to the actual value that may be recognized by the named director upon vesting or exercise of the stock options or the sale of the shares of common stock underlying such stock options.</w:t>
        <w:br/>
      </w:r>
      <w:r>
        <w:rPr>
          <w:rFonts w:ascii="Times New Roman" w:hAnsi="Times New Roman"/>
          <w:sz w:val="20"/>
        </w:rPr>
        <w:t> </w:t>
      </w:r>
    </w:p>
    <w:p>
      <w:pPr>
        <w:pStyle w:val="TextBody"/>
        <w:spacing w:before="240" w:after="240"/>
        <w:jc w:val="left"/>
        <w:rPr>
          <w:rFonts w:ascii="Times New Roman" w:hAnsi="Times New Roman"/>
          <w:sz w:val="20"/>
        </w:rPr>
      </w:pPr>
      <w:r>
        <w:rPr>
          <w:rFonts w:ascii="Times New Roman;serif" w:hAnsi="Times New Roman;serif"/>
          <w:b w:val="false"/>
          <w:sz w:val="20"/>
        </w:rPr>
        <w:t>The table below shows the aggregate number of shares underlying stock option awards (exercisable and unexercisable) held as of December 31, 2022 by each non-employee director who served as a non-employee director during the year ended December 31, 2022</w:t>
        <w:br/>
        <w:t>.</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tbl>
      <w:tblPr>
        <w:tblW w:w="4027" w:type="dxa"/>
        <w:jc w:val="left"/>
        <w:tblInd w:w="0" w:type="dxa"/>
        <w:tblCellMar>
          <w:top w:w="28" w:type="dxa"/>
          <w:left w:w="28" w:type="dxa"/>
          <w:bottom w:w="28" w:type="dxa"/>
          <w:right w:w="28" w:type="dxa"/>
        </w:tblCellMar>
      </w:tblPr>
      <w:tblGrid>
        <w:gridCol w:w="2071"/>
        <w:gridCol w:w="146"/>
        <w:gridCol w:w="220"/>
        <w:gridCol w:w="220"/>
        <w:gridCol w:w="1179"/>
        <w:gridCol w:w="191"/>
      </w:tblGrid>
      <w:tr>
        <w:trPr/>
        <w:tc>
          <w:tcPr>
            <w:tcW w:w="20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0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1399"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0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9"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Shares Subject to </w:t>
              <w:br/>
              <w:t>Outstanding Options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Aaron Davis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11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40,000</w:t>
            </w:r>
          </w:p>
        </w:tc>
        <w:tc>
          <w:tcPr>
            <w:tcW w:w="191" w:type="dxa"/>
            <w:tcBorders/>
            <w:shd w:fill="auto" w:val="clear"/>
            <w:vAlign w:val="center"/>
          </w:tcPr>
          <w:p>
            <w:pPr>
              <w:pStyle w:val="TableContents"/>
              <w:spacing w:before="0" w:after="0"/>
              <w:ind w:left="0" w:right="0" w:hanging="0"/>
              <w:jc w:val="left"/>
              <w:rPr/>
            </w:pPr>
            <w:r>
              <w:rPr/>
              <w:t> </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Alexis Borisy</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11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171,463</w:t>
            </w:r>
          </w:p>
        </w:tc>
        <w:tc>
          <w:tcPr>
            <w:tcW w:w="191" w:type="dxa"/>
            <w:tcBorders/>
            <w:shd w:fill="auto" w:val="clear"/>
            <w:vAlign w:val="center"/>
          </w:tcPr>
          <w:p>
            <w:pPr>
              <w:pStyle w:val="TableContents"/>
              <w:spacing w:before="0" w:after="0"/>
              <w:ind w:left="0" w:right="0" w:hanging="0"/>
              <w:jc w:val="left"/>
              <w:rPr/>
            </w:pPr>
            <w:r>
              <w:rPr/>
              <w:t> </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Lesley Ann Calhoun</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11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124,925</w:t>
            </w:r>
          </w:p>
        </w:tc>
        <w:tc>
          <w:tcPr>
            <w:tcW w:w="191" w:type="dxa"/>
            <w:tcBorders/>
            <w:shd w:fill="auto" w:val="clear"/>
            <w:vAlign w:val="center"/>
          </w:tcPr>
          <w:p>
            <w:pPr>
              <w:pStyle w:val="TableContents"/>
              <w:spacing w:before="0" w:after="0"/>
              <w:ind w:left="0" w:right="0" w:hanging="0"/>
              <w:jc w:val="left"/>
              <w:rPr/>
            </w:pPr>
            <w:r>
              <w:rPr/>
              <w:t> </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Mace Rothenberg, M.D.</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11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124,925</w:t>
            </w:r>
          </w:p>
        </w:tc>
        <w:tc>
          <w:tcPr>
            <w:tcW w:w="191" w:type="dxa"/>
            <w:tcBorders/>
            <w:shd w:fill="auto" w:val="clear"/>
            <w:vAlign w:val="center"/>
          </w:tcPr>
          <w:p>
            <w:pPr>
              <w:pStyle w:val="TableContents"/>
              <w:spacing w:before="0" w:after="0"/>
              <w:ind w:left="0" w:right="0" w:hanging="0"/>
              <w:jc w:val="left"/>
              <w:rPr/>
            </w:pPr>
            <w:r>
              <w:rPr/>
              <w:t> </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Malte Peters, M.D.</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11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158,895</w:t>
            </w:r>
          </w:p>
        </w:tc>
        <w:tc>
          <w:tcPr>
            <w:tcW w:w="191" w:type="dxa"/>
            <w:tcBorders/>
            <w:shd w:fill="auto" w:val="clear"/>
            <w:vAlign w:val="center"/>
          </w:tcPr>
          <w:p>
            <w:pPr>
              <w:pStyle w:val="TableContents"/>
              <w:spacing w:before="0" w:after="0"/>
              <w:ind w:left="0" w:right="0" w:hanging="0"/>
              <w:jc w:val="left"/>
              <w:rPr/>
            </w:pPr>
            <w:r>
              <w:rPr/>
              <w:t> </w:t>
            </w:r>
          </w:p>
        </w:tc>
      </w:tr>
      <w:tr>
        <w:trPr/>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Reid Huber, Ph.D.</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11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40,000</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11" w:name="proposal_2_accountants"/>
      <w:bookmarkEnd w:id="11"/>
      <w:r>
        <w:rPr>
          <w:rFonts w:ascii="Times New Roman;serif" w:hAnsi="Times New Roman;serif"/>
          <w:b/>
          <w:caps/>
          <w:sz w:val="20"/>
        </w:rPr>
        <w:t>PROPOSAL NO. 2 – RATIFICATION OF THE APPOINTMENT OF INDEPENDENT REGISTERED PUBLIC ACCOUNTING FIRM FOR THE FISCAL YEAR ENDING DECEMBER 31, 2023</w:t>
      </w:r>
      <w:r>
        <w:rPr>
          <w:rFonts w:ascii="Times New Roman" w:hAnsi="Times New Roman"/>
          <w:caps/>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have selected PricewaterhouseCoopers LLP as the independent registered public accounting firm to perform the audit of our consolidated financial statements for the fiscal year ending December 31, 2023, and we are asking you and other stockholders to ratify this selection. PricewaterhouseCoopers LLP has audited our financial statements since 2017 (serving as Tango's independent registered public accounting firm prior to the Business Combination).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As a matter of good corporate governance, the Audit Committee and the Board of Directors determined to submit to stockholders for ratification the appointment of PricewaterhouseCoopers LLP. The majority of the votes properly cast is required in order to ratify the appointment of PricewaterhouseCoopers LLP. In the event that a majority of the votes properly cast do not ratify this appointment of PricewaterhouseCoopers LLP, the Audit Committee will consider this fact when it appoints the independent registered public accounting firm for the fiscal year ending December 31, 2023. Even if the appointment of PricewaterhouseCoopers LLP is ratified, the audit committee retains the discretion to appoint a different independent registered public accounting firm at any time if it determines that such a change is in the interests of the Company.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expect that a representative of PricewaterhouseCoopers LLP will attend the Annual Meeting and the representative will have an opportunity to make a statement if he or she so chooses. The representative will also be available to respond to appropriate questions from stockholders.</w:t>
      </w:r>
    </w:p>
    <w:p>
      <w:pPr>
        <w:pStyle w:val="TextBody"/>
        <w:spacing w:before="240" w:after="0"/>
        <w:jc w:val="left"/>
        <w:rPr>
          <w:rFonts w:ascii="Times New Roman" w:hAnsi="Times New Roman"/>
          <w:sz w:val="20"/>
        </w:rPr>
      </w:pPr>
      <w:r>
        <w:rPr>
          <w:rFonts w:ascii="Times New Roman;serif" w:hAnsi="Times New Roman;serif"/>
          <w:b/>
          <w:sz w:val="20"/>
        </w:rPr>
        <w:t>Vote Required and Board of Directors’ Recommendation</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Approval of this proposal requires the affirmative vote of a majority of the votes properly cast for and against such matter. You may vote “FOR,” “AGAINST” or “ABSTAIN” from voting on this proposal. Abstentions and broker “non-votes” will have no effect on the outcome of this proposal.</w:t>
      </w:r>
    </w:p>
    <w:p>
      <w:pPr>
        <w:pStyle w:val="TextBody"/>
        <w:spacing w:before="240" w:after="0"/>
        <w:jc w:val="left"/>
        <w:rPr>
          <w:rFonts w:ascii="Times New Roman" w:hAnsi="Times New Roman"/>
          <w:sz w:val="20"/>
        </w:rPr>
      </w:pPr>
      <w:r>
        <w:rPr>
          <w:rFonts w:ascii="Times New Roman;serif" w:hAnsi="Times New Roman;serif"/>
          <w:b/>
          <w:sz w:val="20"/>
        </w:rPr>
        <w:t>The Board of Directors recommends voting “FOR” Proposal No. 2 to ratify the appointment of PricewaterhouseCoopers as the independent registered public accounting firm for the fiscal year ending December 31, 2023.</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0" w:after="240"/>
        <w:jc w:val="center"/>
        <w:rPr>
          <w:rFonts w:ascii="Times New Roman;serif" w:hAnsi="Times New Roman;serif"/>
          <w:b/>
          <w:caps/>
          <w:sz w:val="20"/>
        </w:rPr>
      </w:pPr>
      <w:bookmarkStart w:id="12" w:name="accountant_fees_services"/>
      <w:bookmarkEnd w:id="12"/>
      <w:r>
        <w:rPr>
          <w:rFonts w:ascii="Times New Roman;serif" w:hAnsi="Times New Roman;serif"/>
          <w:b/>
          <w:caps/>
          <w:sz w:val="20"/>
        </w:rPr>
        <w:t>Principal Accountant Fees and Services</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The following table sets forth the fees of PricewaterhouseCoopers LLP billed to us for each of the last two fiscal years for audit services and billed to us in each of the last two fiscal years for other services. The audit committee approved 100% of the services set forth below.</w:t>
      </w:r>
    </w:p>
    <w:tbl>
      <w:tblPr>
        <w:tblW w:w="4736" w:type="dxa"/>
        <w:jc w:val="left"/>
        <w:tblInd w:w="0" w:type="dxa"/>
        <w:tblCellMar>
          <w:top w:w="28" w:type="dxa"/>
          <w:left w:w="28" w:type="dxa"/>
          <w:bottom w:w="28" w:type="dxa"/>
          <w:right w:w="28" w:type="dxa"/>
        </w:tblCellMar>
      </w:tblPr>
      <w:tblGrid>
        <w:gridCol w:w="1681"/>
        <w:gridCol w:w="146"/>
        <w:gridCol w:w="211"/>
        <w:gridCol w:w="146"/>
        <w:gridCol w:w="781"/>
        <w:gridCol w:w="146"/>
        <w:gridCol w:w="146"/>
        <w:gridCol w:w="211"/>
        <w:gridCol w:w="146"/>
        <w:gridCol w:w="931"/>
        <w:gridCol w:w="191"/>
      </w:tblGrid>
      <w:tr>
        <w:trPr/>
        <w:tc>
          <w:tcPr>
            <w:tcW w:w="16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Fee Category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3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8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Audit Fees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1,775,000</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Audit-Related Fees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927"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077" w:type="dxa"/>
            <w:gridSpan w:val="2"/>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righ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Tax Fees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927"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170,000</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 Other Fees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4,409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4,409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Fees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797,409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1,949,409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left"/>
        <w:rPr>
          <w:rFonts w:ascii="Times New Roman" w:hAnsi="Times New Roman"/>
          <w:sz w:val="20"/>
        </w:rPr>
      </w:pPr>
      <w:r>
        <w:rPr>
          <w:rFonts w:ascii="Times New Roman;serif" w:hAnsi="Times New Roman;serif"/>
          <w:b w:val="false"/>
          <w:i/>
          <w:sz w:val="20"/>
        </w:rPr>
        <w:t>Audit Fees.</w:t>
      </w:r>
      <w:r>
        <w:rPr>
          <w:rFonts w:ascii="Times New Roman" w:hAnsi="Times New Roman"/>
          <w:sz w:val="20"/>
        </w:rPr>
        <w:t xml:space="preserve"> </w:t>
      </w:r>
      <w:r>
        <w:rPr>
          <w:rFonts w:ascii="Times New Roman;serif" w:hAnsi="Times New Roman;serif"/>
          <w:b w:val="false"/>
          <w:sz w:val="20"/>
        </w:rPr>
        <w:t>Audit fees consist of fees billed for the audit of our annual consolidated financial statements, review of the interim consolidated financial statements, and the review of registration statements.</w:t>
      </w:r>
    </w:p>
    <w:p>
      <w:pPr>
        <w:pStyle w:val="TextBody"/>
        <w:spacing w:before="60" w:after="120"/>
        <w:jc w:val="left"/>
        <w:rPr>
          <w:rFonts w:ascii="Times New Roman" w:hAnsi="Times New Roman"/>
          <w:sz w:val="20"/>
        </w:rPr>
      </w:pPr>
      <w:r>
        <w:rPr>
          <w:rFonts w:ascii="Times New Roman;serif" w:hAnsi="Times New Roman;serif"/>
          <w:b w:val="false"/>
          <w:i/>
          <w:sz w:val="20"/>
        </w:rPr>
        <w:t>Tax Fees.</w:t>
      </w:r>
      <w:r>
        <w:rPr>
          <w:rFonts w:ascii="Times New Roman" w:hAnsi="Times New Roman"/>
          <w:sz w:val="20"/>
        </w:rPr>
        <w:t xml:space="preserve"> </w:t>
      </w:r>
      <w:r>
        <w:rPr>
          <w:rFonts w:ascii="Times New Roman;serif" w:hAnsi="Times New Roman;serif"/>
          <w:b w:val="false"/>
          <w:sz w:val="20"/>
        </w:rPr>
        <w:t>Tax fees consist of aggregate fees for tax compliance and tax analysis related services.</w:t>
      </w:r>
    </w:p>
    <w:p>
      <w:pPr>
        <w:pStyle w:val="TextBody"/>
        <w:spacing w:before="60" w:after="240"/>
        <w:jc w:val="left"/>
        <w:rPr>
          <w:rFonts w:ascii="Times New Roman" w:hAnsi="Times New Roman"/>
          <w:sz w:val="20"/>
        </w:rPr>
      </w:pPr>
      <w:r>
        <w:rPr>
          <w:rFonts w:ascii="Times New Roman;serif" w:hAnsi="Times New Roman;serif"/>
          <w:b w:val="false"/>
          <w:i/>
          <w:sz w:val="20"/>
        </w:rPr>
        <w:t>All Other Fees.</w:t>
      </w:r>
      <w:r>
        <w:rPr>
          <w:rFonts w:ascii="Times New Roman" w:hAnsi="Times New Roman"/>
          <w:sz w:val="20"/>
        </w:rPr>
        <w:t xml:space="preserve"> </w:t>
      </w:r>
      <w:r>
        <w:rPr>
          <w:rFonts w:ascii="Times New Roman;serif" w:hAnsi="Times New Roman;serif"/>
          <w:b w:val="false"/>
          <w:sz w:val="20"/>
        </w:rPr>
        <w:t>All other fees consist of fees for accounting research tools.</w:t>
      </w:r>
    </w:p>
    <w:p>
      <w:pPr>
        <w:pStyle w:val="TextBody"/>
        <w:spacing w:before="0" w:after="240"/>
        <w:jc w:val="left"/>
        <w:rPr>
          <w:rFonts w:ascii="Times New Roman;serif" w:hAnsi="Times New Roman;serif"/>
          <w:b/>
          <w:sz w:val="20"/>
        </w:rPr>
      </w:pPr>
      <w:r>
        <w:rPr>
          <w:rFonts w:ascii="Times New Roman;serif" w:hAnsi="Times New Roman;serif"/>
          <w:b/>
          <w:sz w:val="20"/>
        </w:rPr>
        <w:t>Audit Committee Pre-Approval Policy and Procedures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13" w:name="report_of_audit_committee"/>
      <w:bookmarkEnd w:id="13"/>
      <w:r>
        <w:rPr>
          <w:rFonts w:ascii="Times New Roman;serif" w:hAnsi="Times New Roman;serif"/>
          <w:b/>
          <w:caps/>
          <w:sz w:val="20"/>
        </w:rPr>
        <w:t>REPORT OF THE AUDIT COMMITTEE</w:t>
      </w:r>
      <w:r>
        <w:rPr>
          <w:rFonts w:ascii="Times New Roman" w:hAnsi="Times New Roman"/>
          <w:caps/>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This report is submitted by the audit committee of the board of directors (the "Board") of Tango Therapeutics, Inc. (the "Company"). The audit committee consists of the three directors whose names appear below. None of the members of the audit committee is an officer or employee of the Company, and the board has determined that each member of the audit committee is "independent" for audit committee purposes as that term is defined under Rule 10A-3 of the Exchange Act, and the applicable rules of the Nasdaq Stock Market LLC ("Nasdaq"). Each member of the audit committee meets the requirements for financial literacy under the applicable rules and regulations of the SEC and Nasdaq. The board has designated Ms. Calhoun as an "audit committee financial expert," as defined under the applicable rules of the SEC. The audit committee operates under a written charter adopted by the board.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audit committee's general role is to assist the Board in monitoring our financial reporting process and related matters. Its specific responsibilities are set forth in its charter.</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audit committee has reviewed the Company's consolidated financial statements for 2022 and met with management, as well as with representatives of PricewaterhouseCoopers LLP, the Company's independent registered public accounting firm, to discuss the consolidated financial statements. The audit committee also discussed with members of PricewaterhouseCoopers LLP the matters required to be discussed by the applicable requirements of the Public Company Accounting Oversight Board and the U.S. Securities and Exchange Commission.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the audit committee received the written disclosures and the letter from PricewaterhouseCoopers LLP required by applicable requirements of the Public Company Accounting Oversight Board regarding the independent accountant's communications with the audit committee concerning independence, and discussed with members of PricewaterhouseCoopers LLP its independence from the Company.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these discussions, the financial statement review and other matters it deemed relevant, the audit committee recommended to the Board that the Company's audited consolidated financial statements for 2022 be included in its Annual Report on Form 10-K for the fiscal year ended December 31, 2022.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information contained in this audit committee report shall not be deemed to be "soliciting material," "filed" or incorporated by reference into any past or future filing under the Securities Exchange Act of 1934 or the Securities Act of 1933 unless and only to the extent that the Company specifically incorporates it by reference.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Audit Committee of the Board of Directors of Tango Therapeutics, Inc.</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Lesley Ann Calhoun (Chairperson)</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Mace Rothenberg, M.D.</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Alexis Borisy</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14" w:name="security_owners_beneficial_owners"/>
      <w:bookmarkEnd w:id="14"/>
      <w:r>
        <w:rPr>
          <w:rFonts w:ascii="Times New Roman;serif" w:hAnsi="Times New Roman;serif"/>
          <w:b/>
          <w:caps/>
          <w:sz w:val="20"/>
        </w:rPr>
        <w:t>SECURITY OWNERSHIP OF CERTAIN BENEFICIAL OWNERS AND MANAGEMENT</w:t>
      </w:r>
      <w:r>
        <w:rPr>
          <w:rFonts w:ascii="Times New Roman" w:hAnsi="Times New Roman"/>
          <w:caps/>
          <w:sz w:val="20"/>
        </w:rPr>
        <w:t xml:space="preserve"> </w:t>
      </w:r>
    </w:p>
    <w:p>
      <w:pPr>
        <w:pStyle w:val="TextBody"/>
        <w:spacing w:before="240" w:after="240"/>
        <w:jc w:val="left"/>
        <w:rPr>
          <w:rFonts w:ascii="Times New Roman;serif" w:hAnsi="Times New Roman;serif"/>
          <w:b/>
          <w:sz w:val="20"/>
        </w:rPr>
      </w:pPr>
      <w:r>
        <w:rPr>
          <w:rFonts w:ascii="Times New Roman;serif" w:hAnsi="Times New Roman;serif"/>
          <w:b/>
          <w:sz w:val="20"/>
        </w:rPr>
        <w:t>Security Ownership of Certain Beneficial Owners and Management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table sets forth information, to the extent known by us or ascertainable from public filings, with respect to the beneficial ownership of our common stock as of April 1, 2023 by:</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each person, or group of affiliated persons, known by us to be the beneficial owner of more than 5% of Tango’s outstanding common stock;</w:t>
      </w:r>
    </w:p>
    <w:p>
      <w:pPr>
        <w:pStyle w:val="TextBody"/>
        <w:spacing w:before="40" w:after="0"/>
        <w:jc w:val="left"/>
        <w:rPr/>
      </w:pPr>
      <w:r>
        <w:rPr/>
        <w:t>•</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each of Tango’s named executive officers and directors; and</w:t>
      </w:r>
    </w:p>
    <w:p>
      <w:pPr>
        <w:pStyle w:val="TextBody"/>
        <w:spacing w:before="40" w:after="0"/>
        <w:jc w:val="left"/>
        <w:rPr/>
      </w:pPr>
      <w:r>
        <w:rPr/>
        <w:t>•</w:t>
      </w:r>
    </w:p>
    <w:p>
      <w:pPr>
        <w:pStyle w:val="TextBody"/>
        <w:spacing w:before="40" w:after="283"/>
        <w:jc w:val="left"/>
        <w:rPr>
          <w:rFonts w:ascii="Times New Roman;serif" w:hAnsi="Times New Roman;serif"/>
          <w:b w:val="false"/>
          <w:sz w:val="20"/>
        </w:rPr>
      </w:pPr>
      <w:r>
        <w:rPr>
          <w:rFonts w:ascii="Times New Roman;serif" w:hAnsi="Times New Roman;serif"/>
          <w:b w:val="false"/>
          <w:sz w:val="20"/>
        </w:rPr>
        <w:t>all of Tango’s executive officers and directors as a group.</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or the vesting of restricted stock or restricted stock unit awards, within 60 days of April 1, 2023. Shares subject to options that are currently exercisable or exercisable within 60 days of April 1, 2023, or subject to restricted stock or restricted stock unit awards that vest within 60 days of April 1, 2023, are considered outstanding and beneficially owned by the person holding such options or restricted stock or restricted stock unit awards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us, we believe that the persons and entities named in the table below have sole voting and investment power with respect to all shares shown as beneficially owned by them. Unless otherwise noted, the business address of each of our directors and executive officers is 201 Brookline Avenue, Suite 901, Boston, MA 02215. The percentage of beneficial ownership is calculated based on 88,209,964 shares of common stock outstanding as of April 1, 2023.</w:t>
      </w:r>
    </w:p>
    <w:tbl>
      <w:tblPr>
        <w:tblW w:w="8303" w:type="dxa"/>
        <w:jc w:val="left"/>
        <w:tblInd w:w="0" w:type="dxa"/>
        <w:tblCellMar>
          <w:top w:w="28" w:type="dxa"/>
          <w:left w:w="28" w:type="dxa"/>
          <w:bottom w:w="28" w:type="dxa"/>
          <w:right w:w="28" w:type="dxa"/>
        </w:tblCellMar>
      </w:tblPr>
      <w:tblGrid>
        <w:gridCol w:w="5296"/>
        <w:gridCol w:w="146"/>
        <w:gridCol w:w="178"/>
        <w:gridCol w:w="178"/>
        <w:gridCol w:w="1264"/>
        <w:gridCol w:w="146"/>
        <w:gridCol w:w="146"/>
        <w:gridCol w:w="146"/>
        <w:gridCol w:w="146"/>
        <w:gridCol w:w="466"/>
        <w:gridCol w:w="191"/>
      </w:tblGrid>
      <w:tr>
        <w:trPr/>
        <w:tc>
          <w:tcPr>
            <w:tcW w:w="52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Name and Address of Beneficial Owner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0"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8"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Named Executive Officers and Directors:</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4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2"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Barbara Weber, M.D.(1)</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2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3,191,681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91" w:type="dxa"/>
            <w:tcBorders/>
            <w:shd w:fill="auto" w:val="clear"/>
            <w:vAlign w:val="center"/>
          </w:tcPr>
          <w:p>
            <w:pPr>
              <w:pStyle w:val="TableContents"/>
              <w:spacing w:before="0" w:after="0"/>
              <w:ind w:left="0" w:right="0" w:hanging="0"/>
              <w:jc w:val="righ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Daniella Beckman(2)</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2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587,462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righ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Alexis Borisy(3)</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2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165,390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righ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Lesley Ann Calhoun(4)</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2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82,667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righ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Aaron Davis(5)(11)</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2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305,190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righ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Alan Huang, Ph.D.(6)</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2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700,825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righ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Reid Huber Ph.D. (7)</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2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righ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Malte Peters, M.D.(8)</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2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155,561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righ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Mace Rothenberg, M.D.(9)</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82,667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Executive Officers and Directors as a group (eleven individuals)</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5,440,477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5% Stockholders:</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rFonts w:cs="Times New Roman;serif"/>
                <w:bCs w:val="false"/>
                <w:szCs w:val="20"/>
              </w:rPr>
            </w:pPr>
            <w:r>
              <w:rPr>
                <w:rFonts w:cs="Times New Roman;serif"/>
                <w:bCs w:val="false"/>
                <w:szCs w:val="20"/>
              </w:rPr>
              <w:t>﻿</w:t>
            </w:r>
          </w:p>
        </w:tc>
        <w:tc>
          <w:tcPr>
            <w:tcW w:w="1442" w:type="dxa"/>
            <w:gridSpan w:val="2"/>
            <w:tcBorders/>
            <w:shd w:fill="auto" w:val="clear"/>
            <w:vAlign w:val="center"/>
          </w:tcPr>
          <w:p>
            <w:pPr>
              <w:pStyle w:val="TableContents"/>
              <w:spacing w:before="0" w:after="0"/>
              <w:ind w:left="0" w:right="0" w:hanging="0"/>
              <w:jc w:val="left"/>
              <w:rPr>
                <w:rFonts w:cs="Times New Roman;serif"/>
                <w:bCs w:val="false"/>
                <w:szCs w:val="20"/>
              </w:rPr>
            </w:pPr>
            <w:r>
              <w:rPr>
                <w:rFonts w:cs="Times New Roman;serif"/>
                <w:bCs w:val="false"/>
                <w:szCs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rFonts w:cs="Times New Roman;serif"/>
                <w:bCs w:val="false"/>
                <w:szCs w:val="20"/>
              </w:rPr>
            </w:pPr>
            <w:r>
              <w:rPr>
                <w:rFonts w:cs="Times New Roman;serif"/>
                <w:bCs w:val="false"/>
                <w:szCs w:val="20"/>
              </w:rPr>
              <w:t>﻿</w:t>
            </w:r>
          </w:p>
        </w:tc>
        <w:tc>
          <w:tcPr>
            <w:tcW w:w="146" w:type="dxa"/>
            <w:tcBorders/>
            <w:shd w:fill="auto" w:val="clear"/>
            <w:vAlign w:val="center"/>
          </w:tcPr>
          <w:p>
            <w:pPr>
              <w:pStyle w:val="TableContents"/>
              <w:spacing w:before="0" w:after="0"/>
              <w:ind w:left="0" w:right="0" w:hanging="0"/>
              <w:jc w:val="left"/>
              <w:rPr>
                <w:rFonts w:cs="Times New Roman;serif"/>
                <w:bCs w:val="false"/>
                <w:szCs w:val="20"/>
              </w:rPr>
            </w:pPr>
            <w:r>
              <w:rPr>
                <w:rFonts w:cs="Times New Roman;serif"/>
                <w:bCs w:val="false"/>
                <w:szCs w:val="20"/>
              </w:rPr>
              <w:t>﻿</w:t>
            </w:r>
          </w:p>
        </w:tc>
        <w:tc>
          <w:tcPr>
            <w:tcW w:w="612" w:type="dxa"/>
            <w:gridSpan w:val="2"/>
            <w:tcBorders/>
            <w:shd w:fill="auto" w:val="clear"/>
            <w:vAlign w:val="center"/>
          </w:tcPr>
          <w:p>
            <w:pPr>
              <w:pStyle w:val="TableContents"/>
              <w:spacing w:before="0" w:after="0"/>
              <w:ind w:left="0" w:right="0" w:hanging="0"/>
              <w:jc w:val="left"/>
              <w:rPr>
                <w:rFonts w:cs="Times New Roman;serif"/>
                <w:bCs w:val="false"/>
                <w:szCs w:val="20"/>
              </w:rPr>
            </w:pPr>
            <w:r>
              <w:rPr>
                <w:rFonts w:cs="Times New Roman;serif"/>
                <w:bCs w:val="false"/>
                <w:szCs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Third Rock Ventures IV, L.P.(1o)</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2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19,363,975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w:t>
            </w:r>
          </w:p>
        </w:tc>
        <w:tc>
          <w:tcPr>
            <w:tcW w:w="191" w:type="dxa"/>
            <w:tcBorders/>
            <w:shd w:fill="auto" w:val="clear"/>
            <w:vAlign w:val="center"/>
          </w:tcPr>
          <w:p>
            <w:pPr>
              <w:pStyle w:val="TableContents"/>
              <w:spacing w:before="0" w:after="0"/>
              <w:ind w:left="0" w:right="0" w:hanging="0"/>
              <w:jc w:val="lef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Entities affiliated with Boxer Capital, LLC(11)</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2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14,407,307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191" w:type="dxa"/>
            <w:tcBorders/>
            <w:shd w:fill="auto" w:val="clear"/>
            <w:vAlign w:val="center"/>
          </w:tcPr>
          <w:p>
            <w:pPr>
              <w:pStyle w:val="TableContents"/>
              <w:spacing w:before="0" w:after="0"/>
              <w:ind w:left="0" w:right="0" w:hanging="0"/>
              <w:jc w:val="righ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FMR LLC(12)</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2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9,083,679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91" w:type="dxa"/>
            <w:tcBorders/>
            <w:shd w:fill="auto" w:val="clear"/>
            <w:vAlign w:val="center"/>
          </w:tcPr>
          <w:p>
            <w:pPr>
              <w:pStyle w:val="TableContents"/>
              <w:spacing w:before="0" w:after="0"/>
              <w:ind w:left="0" w:right="0" w:hanging="0"/>
              <w:jc w:val="righ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Gilead Sciences, Inc.(13)</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2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4,854,443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91" w:type="dxa"/>
            <w:tcBorders/>
            <w:shd w:fill="auto" w:val="clear"/>
            <w:vAlign w:val="center"/>
          </w:tcPr>
          <w:p>
            <w:pPr>
              <w:pStyle w:val="TableContents"/>
              <w:spacing w:before="0" w:after="0"/>
              <w:ind w:left="0" w:right="0" w:hanging="0"/>
              <w:jc w:val="right"/>
              <w:rPr/>
            </w:pPr>
            <w:r>
              <w:rPr/>
              <w:t> </w:t>
            </w:r>
          </w:p>
        </w:tc>
      </w:tr>
      <w:tr>
        <w:trPr/>
        <w:tc>
          <w:tcPr>
            <w:tcW w:w="5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Southpoint Capital Advisors LP(14)</w:t>
            </w:r>
          </w:p>
        </w:tc>
        <w:tc>
          <w:tcPr>
            <w:tcW w:w="146"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12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91" w:type="dxa"/>
            <w:tcBorders/>
            <w:shd w:fill="auto" w:val="clear"/>
            <w:vAlign w:val="center"/>
          </w:tcPr>
          <w:p>
            <w:pPr>
              <w:pStyle w:val="TableContents"/>
              <w:spacing w:before="0" w:after="0"/>
              <w:ind w:left="0" w:right="0" w:hanging="0"/>
              <w:jc w:val="right"/>
              <w:rPr/>
            </w:pPr>
            <w:r>
              <w:rPr/>
              <w:t> </w:t>
            </w:r>
          </w:p>
        </w:tc>
      </w:tr>
    </w:tbl>
    <w:p>
      <w:pPr>
        <w:pStyle w:val="TextBody"/>
        <w:spacing w:before="160" w:after="0"/>
        <w:jc w:val="left"/>
        <w:rPr>
          <w:rFonts w:ascii="Times New Roman;serif" w:hAnsi="Times New Roman;serif"/>
          <w:b w:val="false"/>
          <w:sz w:val="20"/>
        </w:rPr>
      </w:pPr>
      <w:r>
        <w:rPr>
          <w:rFonts w:ascii="Times New Roman;serif" w:hAnsi="Times New Roman;serif"/>
          <w:b w:val="false"/>
          <w:sz w:val="20"/>
        </w:rPr>
        <w:t>* Less than one percent.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(1) Consists of 1,367,592 shares of common stock and options to purchase 1,824,089 shares of common stock exercisable within 60 days of April 1, 2023.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(2) Consists of 63,867 shares of common stock and options to purchase 523,595 shares of common stock exercisable within 60 days of April 1, 2023.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(3) Consists of options to purchase 165,390 shares of common stock exercisable within 60 days of April 1, 2023.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(4) Consists of options to purchase 82,667 shares of common stock exercisable within 60 days of April 1, 2023.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(5) Consists of options to purchase 36,666 shares of common stock exercisable within 60 days of April 1, 2023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(6) Consists of 135,887 shares of common stock and options to purchase 564,938 shares of common stock exercisable within 60 days of April 1, 2023.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(7) Consists of options to purchase 36,666 shares of common stock exercisable within 60 days of April 1, 2023.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(8) Consists of options to purchase 155,561 shares of common stock exercisable within 60 days of April 1, 2023.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(9) Consists of options to purchase 82,667 shares of common stock exercisable within 60 days of April 1, 2023.</w:t>
      </w:r>
    </w:p>
    <w:p>
      <w:pPr>
        <w:pStyle w:val="TextBody"/>
        <w:spacing w:before="0" w:after="0"/>
        <w:jc w:val="left"/>
        <w:rPr>
          <w:rFonts w:ascii="Times New Roman" w:hAnsi="Times New Roman"/>
          <w:sz w:val="20"/>
        </w:rPr>
      </w:pPr>
      <w:r>
        <w:rPr>
          <w:rFonts w:ascii="Times New Roman;serif" w:hAnsi="Times New Roman;serif"/>
          <w:b w:val="false"/>
          <w:sz w:val="20"/>
        </w:rPr>
        <w:t>(10) This information is solely based on a Schedule 13G filed by Third Rock Ventures IV, L.P. (“TRV IV”), Third Rock Ventures GP IV, L.P. (“TRV GP IV”) and TRV GP IV, LLC (“TRV GP IV LLC”, and collectively with TRV IV and TRV GP IV, the “Reporting Persons”) with the SEC on August 19, 2021. The general partner of TRV IV is TRV GP IV. The general partner of</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TRV GP IV is TRV GP IV, LLC. Abbie Celniker, Ph.D., Robert Tepper, M.D., Craig Muir and Cary Pfeffer, M.D. are the managing members of TRV GP IV, LLC who collectively make voting and investment decisions with respect to shares held by TRV IV L.P. Dr. Huber is a partner at Third Rock Ventures, LLC, and a member of our board of directors. The address for each of the Reporting Persons is 29 Newbury Street, Suite 401, Boston, MA 02116.</w:t>
      </w:r>
    </w:p>
    <w:p>
      <w:pPr>
        <w:pStyle w:val="TextBody"/>
        <w:spacing w:before="0" w:after="0"/>
        <w:jc w:val="left"/>
        <w:rPr>
          <w:rFonts w:ascii="Times New Roman;serif" w:hAnsi="Times New Roman;serif"/>
          <w:b w:val="false"/>
          <w:sz w:val="20"/>
        </w:rPr>
      </w:pPr>
      <w:r>
        <w:rPr>
          <w:rFonts w:ascii="Times New Roman;serif" w:hAnsi="Times New Roman;serif"/>
          <w:b w:val="false"/>
          <w:sz w:val="20"/>
        </w:rPr>
        <w:t>(11) This information is solely based on Form 4 filed October 13, 2022 and a Schedule 13D/A filed by Boxer Capital, LLC (“Boxer Capital”), Boxer Asset Management Inc. (“Boxer Management”), Joe Lewis, Aaron Davis, BCTG Holdings, LLC (“BCTG Holdings”), MVA Investors, LLC (“MVA Investors”), Braslyn Ltd. (“Braslyn”, together with Boxer Capital, Boxer Management, Joe Lewis, BCTG Holdings, MVA Investors and Aaron Davis, the “Reporting Persons”) with the SEC on January 4, 2022. Consists of 6,988,450 shares beneficially owned by BCTG Holdings, 7,123,642 shares beneficially owned by Boxer Capital and Boxer Management, 26,961 shares beneficially owned by Braslyn and 268,524 shares beneficially owned by MVA Investors. Boxer Capital, Boxer Management, and Joseph Lewis share voting and dispositive power over the shares held by Boxer Capital, and Aaron Davis has shared voting and dispositive power over the shares owned by MVA. Each of the individuals and entities listed above expressly disclaims beneficial interest of the shares listed above except to the extent of any pecuniary interest therein. The principal business address of the Reporting Persons is: 12860 El Camino Real, Suite 300, San Diego, CA 92130. The principal business address of Boxer Management, Braslyn and Joe Lewis is: c/o Cay House P.O. Box N-7776 E.P. Taylor Drive Lyford Cay, New Providence, Bahamas. Aaron Davis serves as the Chief Executive Officer of MVA Investors. A board consisting of Aaron Davis, Christopher Fuglesang and Andrew Ellis makes voting and dispositive decisions with respect to securities owned by BCTG Holdings. Each of Aaron Davis, Christopher Fuglesang and Andrew Ellis disclaims any pecuniary interest in BCTG Holdings except to the extent of his beneficial interest in the securities owned by BCTG Holdings.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(12) This information is solely based on a Schedule 13G filed by Gilead Sciences, Inc. with the SEC on September 10, 2021. The address of Gilead Science, Inc. is 333 Lakeside Drive, Foster City, California 94404.</w:t>
      </w:r>
    </w:p>
    <w:p>
      <w:pPr>
        <w:pStyle w:val="TextBody"/>
        <w:spacing w:before="0" w:after="0"/>
        <w:jc w:val="left"/>
        <w:rPr>
          <w:rFonts w:ascii="Times New Roman;serif" w:hAnsi="Times New Roman;serif"/>
          <w:b w:val="false"/>
          <w:sz w:val="20"/>
        </w:rPr>
      </w:pPr>
      <w:r>
        <w:rPr>
          <w:rFonts w:ascii="Times New Roman;serif" w:hAnsi="Times New Roman;serif"/>
          <w:b w:val="false"/>
          <w:sz w:val="20"/>
        </w:rPr>
        <w:t>(13) This information is solely based on a Schedule 13G/A filed by FMR LLC and its affiliates with the SEC on February 9, 2023, which reported ownership as of December 31, 2022. The address for FMR LLC is 245 Summer Street, Boston, MA 02210.</w:t>
      </w:r>
    </w:p>
    <w:p>
      <w:pPr>
        <w:pStyle w:val="TextBody"/>
        <w:spacing w:before="0" w:after="0"/>
        <w:jc w:val="left"/>
        <w:rPr>
          <w:rFonts w:ascii="Times New Roman;serif" w:hAnsi="Times New Roman;serif"/>
          <w:b w:val="false"/>
          <w:sz w:val="20"/>
        </w:rPr>
      </w:pPr>
      <w:r>
        <w:rPr>
          <w:rFonts w:ascii="Times New Roman;serif" w:hAnsi="Times New Roman;serif"/>
          <w:b w:val="false"/>
          <w:sz w:val="20"/>
        </w:rPr>
        <w:t>(14) This information is solely based on a Schedule 13G filed by Southpoint Master Fund, LP, Southpoint Capital Advisors LP, Southpoint Capital Advisors LLC, Southpoint GP, LP, Southpoint GP, LLC and John S. Clark II (collectively, Southpoint”) with the SEC on July 11, 2022. The general partners of Southpoint Master Fund, LP are Southpoint GP, LP and Southpoint GP, LLC. The general partner of Southpoint Capital Advisors LP is Southpoint Capital Advisors LLC. John S. Clark II is the managing member of Southpoint GP, LP, Southpoint Capital Advisors LLC and Southpoint GP, LLC. The address for Southpoint is 1114 Avenue of the Americas, 22nd Floor, New York, NY 10036.</w:t>
      </w:r>
    </w:p>
    <w:p>
      <w:pPr>
        <w:pStyle w:val="TextBody"/>
        <w:spacing w:before="240" w:after="0"/>
        <w:jc w:val="left"/>
        <w:rPr>
          <w:rFonts w:ascii="Times New Roman;serif" w:hAnsi="Times New Roman;serif"/>
          <w:b/>
          <w:i/>
          <w:sz w:val="20"/>
        </w:rPr>
      </w:pPr>
      <w:r>
        <w:rPr>
          <w:rFonts w:ascii="Times New Roman;serif" w:hAnsi="Times New Roman;serif"/>
          <w:b/>
          <w:i/>
          <w:sz w:val="20"/>
        </w:rPr>
        <w:t>Delinquent Section 16(a) Reports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Section 16(a) of the Exchange Act requires our directors and executive officers and persons who own more than 10% of our common stock, to file with the SEC initial reports of beneficial ownership and reports of changes in beneficial ownership. Officers, directors and greater than 10% stockholders are required by SEC regulations to furnish us with copies of all such reports.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To our knowledge, based solely on a review of the copies of such reports furnished to us and written representations that no other reports were required, we believe that during the year ended December 31, 2022, all required reports were filed on a timely basis under Section 16(a), except that late Forms 4 were filed for each of Mr. Borisy, Mr. Davis, Dr. Peters, Ms. Calhoun., Dr. Rothenberg and Mr. Huber with respect to their annual grants on June 8, 2022 pursuant to the non-employee director compensation policy in connection with last year’s annual meeting. These reports have been subsequently filed on June 28, 2022.</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15" w:name="additional_info"/>
      <w:bookmarkStart w:id="16" w:name="certain_relationships_and_rps"/>
      <w:bookmarkEnd w:id="15"/>
      <w:bookmarkEnd w:id="16"/>
      <w:r>
        <w:rPr>
          <w:rFonts w:ascii="Times New Roman;serif" w:hAnsi="Times New Roman;serif"/>
          <w:b/>
          <w:caps/>
          <w:sz w:val="20"/>
        </w:rPr>
        <w:t>CERTAIN RELATIONSHIPS AND RELATED PARTY TRANSACTIONS</w:t>
      </w:r>
      <w:r>
        <w:rPr>
          <w:rFonts w:ascii="Times New Roman" w:hAnsi="Times New Roman"/>
          <w:caps/>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Other than the compensation agreements and other arrangements described under the sections entitled “Executive Compensation” and “Director Compensation” in this proxy statement and the transactions described below, since January 1, 2022, there has not been and there is not currently proposed, any transaction or series of similar transactions to which:</w:t>
      </w:r>
    </w:p>
    <w:p>
      <w:pPr>
        <w:pStyle w:val="TextBody"/>
        <w:spacing w:before="60" w:after="0"/>
        <w:jc w:val="left"/>
        <w:rPr/>
      </w:pPr>
      <w:r>
        <w:rPr/>
        <w:t>•</w:t>
      </w:r>
    </w:p>
    <w:p>
      <w:pPr>
        <w:pStyle w:val="TextBody"/>
        <w:spacing w:before="60" w:after="0"/>
        <w:jc w:val="left"/>
        <w:rPr>
          <w:rFonts w:ascii="Times New Roman;serif" w:hAnsi="Times New Roman;serif"/>
          <w:b w:val="false"/>
          <w:sz w:val="20"/>
        </w:rPr>
      </w:pPr>
      <w:r>
        <w:rPr>
          <w:rFonts w:ascii="Times New Roman;serif" w:hAnsi="Times New Roman;serif"/>
          <w:b w:val="false"/>
          <w:sz w:val="20"/>
        </w:rPr>
        <w:t>we were, or will be, a participant;</w:t>
      </w:r>
    </w:p>
    <w:p>
      <w:pPr>
        <w:pStyle w:val="TextBody"/>
        <w:spacing w:before="60" w:after="0"/>
        <w:jc w:val="left"/>
        <w:rPr/>
      </w:pPr>
      <w:r>
        <w:rPr/>
        <w:t>•</w:t>
      </w:r>
    </w:p>
    <w:p>
      <w:pPr>
        <w:pStyle w:val="TextBody"/>
        <w:spacing w:before="60" w:after="0"/>
        <w:jc w:val="left"/>
        <w:rPr>
          <w:rFonts w:ascii="Times New Roman;serif" w:hAnsi="Times New Roman;serif"/>
          <w:b w:val="false"/>
          <w:sz w:val="20"/>
        </w:rPr>
      </w:pPr>
      <w:r>
        <w:rPr>
          <w:rFonts w:ascii="Times New Roman;serif" w:hAnsi="Times New Roman;serif"/>
          <w:b w:val="false"/>
          <w:sz w:val="20"/>
        </w:rPr>
        <w:t>the amount involved exceeded, or will exceed, $120,000; and</w:t>
      </w:r>
    </w:p>
    <w:p>
      <w:pPr>
        <w:pStyle w:val="TextBody"/>
        <w:spacing w:before="60" w:after="0"/>
        <w:jc w:val="left"/>
        <w:rPr/>
      </w:pPr>
      <w:r>
        <w:rPr/>
        <w:t>•</w:t>
      </w:r>
    </w:p>
    <w:p>
      <w:pPr>
        <w:pStyle w:val="TextBody"/>
        <w:spacing w:before="60" w:after="283"/>
        <w:jc w:val="left"/>
        <w:rPr>
          <w:rFonts w:ascii="Times New Roman;serif" w:hAnsi="Times New Roman;serif"/>
          <w:b w:val="false"/>
          <w:sz w:val="20"/>
        </w:rPr>
      </w:pPr>
      <w:r>
        <w:rPr>
          <w:rFonts w:ascii="Times New Roman;serif" w:hAnsi="Times New Roman;serif"/>
          <w:b w:val="false"/>
          <w:sz w:val="20"/>
        </w:rPr>
        <w:t>in which any director, executive officer, holder of 5% or more of any class of our capital stock or any member of the immediate family of, or entities affiliated with, any of the foregoing persons, had, or will have, a direct or indirect material interest.</w:t>
      </w:r>
    </w:p>
    <w:p>
      <w:pPr>
        <w:pStyle w:val="TextBody"/>
        <w:spacing w:before="240" w:after="240"/>
        <w:jc w:val="left"/>
        <w:rPr>
          <w:rFonts w:ascii="Times New Roman;serif" w:hAnsi="Times New Roman;serif"/>
          <w:b/>
          <w:sz w:val="20"/>
        </w:rPr>
      </w:pPr>
      <w:r>
        <w:rPr>
          <w:rFonts w:ascii="Times New Roman;serif" w:hAnsi="Times New Roman;serif"/>
          <w:b/>
          <w:sz w:val="20"/>
        </w:rPr>
        <w:t>Indemnification Agreements</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We are party to indemnity agreements with our directors and executive officers. These agreements, among other things, require us to indemnify these individuals for certain expenses (including attorneys’ fees), judgments, fines and settlement amounts reasonably incurred by such persons in any action or proceeding, including any action by or in our right, on account of any services undertaken by such person on behalf of our company or that person’s status as a member of our board of directors to the maximum extent allowed under Delaware law.</w:t>
      </w:r>
    </w:p>
    <w:p>
      <w:pPr>
        <w:pStyle w:val="TextBody"/>
        <w:spacing w:before="0" w:after="240"/>
        <w:jc w:val="left"/>
        <w:rPr>
          <w:rFonts w:ascii="Times New Roman;serif" w:hAnsi="Times New Roman;serif"/>
          <w:b w:val="false"/>
          <w:i/>
          <w:sz w:val="20"/>
        </w:rPr>
      </w:pPr>
      <w:r>
        <w:rPr>
          <w:rFonts w:ascii="Times New Roman;serif" w:hAnsi="Times New Roman;serif"/>
          <w:b w:val="false"/>
          <w:i/>
          <w:sz w:val="20"/>
        </w:rPr>
        <w:t>Policies for Approval of Related Party Transactions</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Our audit committee reviews and approves transactions with directors, officers and holders of 5% or more our capital stock and their affiliates, or each, related party. Prior to the transaction, the material facts as to the related party’s relationship or interest in the transaction are disclosed to our audit committee prior to their consideration of such transaction, and the transaction is not considered approved unless approved by the audit committee. Further, when stockholders are entitled to vote on a transaction with a related party, the material facts of the related party’s relationship or interest in the transaction are disclosed to the stockholders, who must approve the transaction in good faith.</w:t>
      </w:r>
    </w:p>
    <w:p>
      <w:pPr>
        <w:pStyle w:val="TextBody"/>
        <w:spacing w:before="0" w:after="240"/>
        <w:jc w:val="left"/>
        <w:rPr>
          <w:rFonts w:ascii="Times New Roman;serif" w:hAnsi="Times New Roman;serif"/>
          <w:b w:val="false"/>
          <w:i/>
          <w:sz w:val="20"/>
        </w:rPr>
      </w:pPr>
      <w:r>
        <w:rPr>
          <w:rFonts w:ascii="Times New Roman;serif" w:hAnsi="Times New Roman;serif"/>
          <w:b w:val="false"/>
          <w:i/>
          <w:sz w:val="20"/>
        </w:rPr>
        <w:t>Policies and Procedures for Related Party Transactions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have adopted a written related person transaction policy that sets forth the following policies and procedures for the review and approval or ratification of related person transactions.</w:t>
      </w:r>
    </w:p>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A “Related Person Transaction” is a transaction, arrangement or relationship in which we or any our subsidiaries was, is or will be a participant, the amount of which involved exceeds $120,000, and in which any related person had, has or will have a direct or indirect material interest. A “Related Person” means:</w:t>
      </w:r>
    </w:p>
    <w:p>
      <w:pPr>
        <w:pStyle w:val="TextBody"/>
        <w:spacing w:before="80" w:after="0"/>
        <w:jc w:val="left"/>
        <w:rPr/>
      </w:pPr>
      <w:r>
        <w:rPr/>
        <w:t>•</w:t>
      </w:r>
    </w:p>
    <w:p>
      <w:pPr>
        <w:pStyle w:val="TextBody"/>
        <w:spacing w:before="80" w:after="0"/>
        <w:jc w:val="left"/>
        <w:rPr>
          <w:rFonts w:ascii="Times New Roman;serif" w:hAnsi="Times New Roman;serif"/>
          <w:b w:val="false"/>
          <w:sz w:val="20"/>
        </w:rPr>
      </w:pPr>
      <w:r>
        <w:rPr>
          <w:rFonts w:ascii="Times New Roman;serif" w:hAnsi="Times New Roman;serif"/>
          <w:b w:val="false"/>
          <w:sz w:val="20"/>
        </w:rPr>
        <w:t>any person who is, or at any time during the applicable period was, one of our officers, directors or director nominee;</w:t>
      </w:r>
    </w:p>
    <w:p>
      <w:pPr>
        <w:pStyle w:val="TextBody"/>
        <w:spacing w:before="80" w:after="0"/>
        <w:jc w:val="left"/>
        <w:rPr/>
      </w:pPr>
      <w:r>
        <w:rPr/>
        <w:t>•</w:t>
      </w:r>
    </w:p>
    <w:p>
      <w:pPr>
        <w:pStyle w:val="TextBody"/>
        <w:spacing w:before="80" w:after="0"/>
        <w:jc w:val="left"/>
        <w:rPr>
          <w:rFonts w:ascii="Times New Roman;serif" w:hAnsi="Times New Roman;serif"/>
          <w:b w:val="false"/>
          <w:sz w:val="20"/>
        </w:rPr>
      </w:pPr>
      <w:r>
        <w:rPr>
          <w:rFonts w:ascii="Times New Roman;serif" w:hAnsi="Times New Roman;serif"/>
          <w:b w:val="false"/>
          <w:sz w:val="20"/>
        </w:rPr>
        <w:t>any person who is known by us to be the beneficial owner of more than 5% of our voting stock;</w:t>
      </w:r>
    </w:p>
    <w:p>
      <w:pPr>
        <w:pStyle w:val="TextBody"/>
        <w:spacing w:before="80" w:after="0"/>
        <w:jc w:val="left"/>
        <w:rPr/>
      </w:pPr>
      <w:r>
        <w:rPr/>
        <w:t>•</w:t>
      </w:r>
    </w:p>
    <w:p>
      <w:pPr>
        <w:pStyle w:val="TextBody"/>
        <w:spacing w:before="80" w:after="0"/>
        <w:jc w:val="left"/>
        <w:rPr>
          <w:rFonts w:ascii="Times New Roman;serif" w:hAnsi="Times New Roman;serif"/>
          <w:b w:val="false"/>
          <w:sz w:val="20"/>
        </w:rPr>
      </w:pPr>
      <w:r>
        <w:rPr>
          <w:rFonts w:ascii="Times New Roman;serif" w:hAnsi="Times New Roman;serif"/>
          <w:b w:val="false"/>
          <w:sz w:val="20"/>
        </w:rPr>
        <w:t>any immediate family member of any of the foregoing persons, which means any child, stepchild, parent, stepparent, spouse, sibling, mother-in-law, father-in-law, daughter-in-law, brother-in-law or sister-in-law of a director, officer or a beneficial owner of more than 5% of its voting stock, and any person (other than a tenant or employee) sharing the household of such director, officer or beneficial owner of more than five percent 5% of our voting stock; and</w:t>
      </w:r>
    </w:p>
    <w:p>
      <w:pPr>
        <w:pStyle w:val="TextBody"/>
        <w:spacing w:before="80" w:after="0"/>
        <w:jc w:val="left"/>
        <w:rPr/>
      </w:pPr>
      <w:r>
        <w:rPr/>
        <w:t>•</w:t>
      </w:r>
    </w:p>
    <w:p>
      <w:pPr>
        <w:pStyle w:val="TextBody"/>
        <w:spacing w:before="80" w:after="283"/>
        <w:jc w:val="left"/>
        <w:rPr>
          <w:rFonts w:ascii="Times New Roman;serif" w:hAnsi="Times New Roman;serif"/>
          <w:b w:val="false"/>
          <w:sz w:val="20"/>
        </w:rPr>
      </w:pPr>
      <w:r>
        <w:rPr>
          <w:rFonts w:ascii="Times New Roman;serif" w:hAnsi="Times New Roman;serif"/>
          <w:b w:val="false"/>
          <w:sz w:val="20"/>
        </w:rPr>
        <w:t>any firm, corporation or other entity in which any of the foregoing persons is a partner or principal or in a similar position or in which such person has a ten percent 10% or greater beneficial ownership interest.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have policies and procedures designed to minimize potential conflicts of interest arising from any dealings we may have with our affiliates and to provide appropriate procedures for the disclosure of any real or potential conflicts of interest that may exist from time to time. The audit committee has the responsibility to review related party transactions.</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caps/>
          <w:sz w:val="20"/>
        </w:rPr>
      </w:pPr>
      <w:bookmarkStart w:id="17" w:name="additional_information_and_other"/>
      <w:bookmarkEnd w:id="17"/>
      <w:r>
        <w:rPr>
          <w:rFonts w:ascii="Times New Roman;serif" w:hAnsi="Times New Roman;serif"/>
          <w:b/>
          <w:caps/>
          <w:sz w:val="20"/>
        </w:rPr>
        <w:t>ADDITIONAL INFORMATION AND OTHER BUSINESS</w:t>
      </w:r>
    </w:p>
    <w:p>
      <w:pPr>
        <w:pStyle w:val="TextBody"/>
        <w:spacing w:before="240" w:after="0"/>
        <w:jc w:val="left"/>
        <w:rPr>
          <w:rFonts w:ascii="Times New Roman;serif" w:hAnsi="Times New Roman;serif"/>
          <w:b/>
          <w:sz w:val="20"/>
        </w:rPr>
      </w:pPr>
      <w:r>
        <w:rPr>
          <w:rFonts w:ascii="Times New Roman;serif" w:hAnsi="Times New Roman;serif"/>
          <w:b/>
          <w:sz w:val="20"/>
        </w:rPr>
        <w:t>Householding</w:t>
      </w:r>
    </w:p>
    <w:p>
      <w:pPr>
        <w:pStyle w:val="TextBody"/>
        <w:spacing w:before="240" w:after="0"/>
        <w:jc w:val="left"/>
        <w:rPr>
          <w:rFonts w:ascii="Times New Roman" w:hAnsi="Times New Roman"/>
          <w:sz w:val="20"/>
        </w:rPr>
      </w:pPr>
      <w:r>
        <w:rPr>
          <w:rFonts w:ascii="Times New Roman;serif" w:hAnsi="Times New Roman;serif"/>
          <w:b w:val="false"/>
          <w:sz w:val="20"/>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Tango Therapeutics, Inc., 201 Brookline Avenue, Suite 901, Boston, Massachusetts 02215, Attention: Corporate Secretary, telephone: (857) 320-4900.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Stockholder Proposals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 stockholder who would like to have a proposal considered for inclusion in our 2024 proxy statement must submit the proposal in accordance with the procedures outlined in Rule 14a-8 of the Exchange Act so that it is received by us no later than December 26, 2023. However, if the date of the 2024 Annual Meeting of Stockholders is changed by more than 30 days from the date of the previous year’s meeting, then the deadline is a reasonable time before we begin to print and send our proxy statement for the 2024 Annual Meeting of Stockholders. SEC rules set standards for eligibility and specify the types of stockholder proposals that may be excluded from a proxy statement. Stockholder proposals should be addressed to Tango Therapeutics, Inc., 201 Brookline Avenue, Suite 901, Boston, Massachusetts 02215, Attention: Corporate Secretary.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2024 Annual Meeting of Stockholders, the required notice must be received by our corporate secretary at our principal executive offices no earlier than February 8, 2024 and no later than March 9, 2024. Stockholder proposals and the required notice should be addressed to Tango Therapeutics, Inc., 201 Brookline Avenue, Suite 901, Boston, Massachusetts 02215, Attention: Corporate Secretary.</w:t>
      </w:r>
    </w:p>
    <w:p>
      <w:pPr>
        <w:pStyle w:val="TextBody"/>
        <w:spacing w:before="240" w:after="0"/>
        <w:jc w:val="left"/>
        <w:rPr>
          <w:rFonts w:ascii="Times New Roman" w:hAnsi="Times New Roman"/>
          <w:sz w:val="20"/>
        </w:rPr>
      </w:pPr>
      <w:r>
        <w:rPr>
          <w:rFonts w:ascii="Times New Roman;serif" w:hAnsi="Times New Roman;serif"/>
          <w:b/>
          <w:sz w:val="20"/>
        </w:rPr>
        <w:t>Other Matters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r>
        <w:rPr>
          <w:rFonts w:ascii="Times New Roman" w:hAnsi="Times New Roman"/>
          <w:sz w:val="20"/>
        </w:rPr>
        <w:t xml:space="preserve"> </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410325" cy="8286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410325" cy="8286750"/>
                    </a:xfrm>
                    <a:prstGeom prst="rect">
                      <a:avLst/>
                    </a:prstGeom>
                  </pic:spPr>
                </pic:pic>
              </a:graphicData>
            </a:graphic>
          </wp:inline>
        </w:drawing>
      </w: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
        </w:rPr>
        <w:t>VOTE BY INTERNET Before The Meeting - Go to www.proxyvote.com or scan the QR Barcode above Use the Internet to transmit your voting instructions and for electronic delivery of information. Vote by 11:59 p.m. Eastern Time on June 7, 2022. Have your proxy card in hand when you access the web site and follow the instructions to obtain your records and to create an electronic voting instruction form. During The Meeting - Go to www.virtualshareholdermeeting.com/TNGX2022 You may attend the meeting via the Internet and vote during the meeting. Have the information that is printed in the box marked by the arrow available and follow the instructions. VOTE BY PHONE - 1-800-690-6903 Use any touch-tone telephone to transmit your voting instructions. Vote by 11:59 p.m. Eastern Time on June 7, 2022. Have your proxy card in hand when you call and then follow the instructions. VOTE BY MAIL Mark, sign and date your proxy card and return it in the postage-paid envelope we have provided or return it to Vote Processing, c/o Broadridge, 51 Mercedes Way, Edgewood, NY 11717. TANGO THERAPEUTICS, INC. 100 BINNEY ST., SUITE 700 CAMBRIDGE, MA 02142 D84970-P73381 For All Withhold All For All Except TANGO THERAPEUTICS, INC. To withhold authority to vote for any individual nominee(s), mark "For All Except" and write the number(s) of the nominee(s) on the line below. The Board of Directors recommends you vote FOR the following: 1. Election of Class I Directors Nominees: 01) Lesley Ann Calhoun 02) Reid Huber For Against Abstain The Board of Directors recommends you vote FOR the following proposal: 2. To ratify the selection of PricewaterhouseCoopers LLP as our independent registered public accounting firm for the fiscal year ending December 31, 2022. NOTE: The Board of Directors will consider and act upon such other business as may properly come before the meeting or any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6372225" cy="8239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372225" cy="8239125"/>
                    </a:xfrm>
                    <a:prstGeom prst="rect">
                      <a:avLst/>
                    </a:prstGeom>
                  </pic:spPr>
                </pic:pic>
              </a:graphicData>
            </a:graphic>
          </wp:inline>
        </w:drawing>
      </w: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
        </w:rPr>
        <w:t>Important Notice Regarding the Availability of Proxy Materials for the Annual Meeting: The Notice and Proxy Statement and Annual Report are available at www.proxyvote.com. D84971-P73381 TANGO THERAPEUTICS, INC. Annual Meeting of Shareholders June 8, 2022 10:00 AM EDT This proxy is solicited by the Board of Directors The shareholder(s) hereby appoint(s) Barbara Weber, M.D., Daniella Beckman and Douglas Barry, or any of them, as proxies, each with the power to appoint his or her substitute, and hereby authorize(s) them to represent and to vote, as designated on the reverse side of this ballot, all of the shares of Common Stock of TANGO THERAPEUTICS, INC. that the shareholder(s) is/are entitled to vote at the Annual Meeting of Shareholders to be held at 10:00 AM, EDT on June 8 2022, virtually atwww.virtualshareholdermeeting.com/TNGX2022, and any adjournment or postponement thereof. This proxy, when properly executed, will be voted in the manner directed herein. If no such direction is made, this proxy will be voted in accordance with the Board of Directors' recommendations. Continued and to be signed on reverse side</w:t>
      </w:r>
      <w:r>
        <w:rPr>
          <w:rFonts w:ascii="Times New Roman" w:hAnsi="Times New Roman"/>
          <w:sz w:val="20"/>
        </w:rPr>
        <w:t xml:space="preserve">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24857</Words>
  <CharactersWithSpaces>157514</CharactersWithSpaces>
  <Paragraphs>2156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