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TANGO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64" w:type="dxa"/>
        <w:tblCellMar>
          <w:top w:w="0" w:type="dxa"/>
          <w:left w:w="0" w:type="dxa"/>
          <w:bottom w:w="0" w:type="dxa"/>
          <w:right w:w="0" w:type="dxa"/>
        </w:tblCellMar>
      </w:tblPr>
      <w:tr>
        <w:trPr>
          <w:trHeight w:val="212"/>
        </w:trPr>
        <w:tc>
          <w:tcPr>
            <w:tcW w:w="3520" w:type="dxa"/>
            <w:vAlign w:val="bottom"/>
          </w:tcPr>
          <w:p>
            <w:pPr>
              <w:jc w:val="center"/>
              <w:ind w:right="1819"/>
              <w:spacing w:after="0"/>
              <w:rPr>
                <w:sz w:val="20"/>
                <w:szCs w:val="20"/>
                <w:color w:val="auto"/>
              </w:rPr>
            </w:pPr>
            <w:r>
              <w:rPr>
                <w:rFonts w:ascii="Arial" w:cs="Arial" w:eastAsia="Arial" w:hAnsi="Arial"/>
                <w:sz w:val="18"/>
                <w:szCs w:val="18"/>
                <w:b w:val="1"/>
                <w:bCs w:val="1"/>
                <w:color w:val="auto"/>
                <w:w w:val="93"/>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001-39485</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85-1195036</w:t>
            </w:r>
          </w:p>
        </w:tc>
      </w:tr>
      <w:tr>
        <w:trPr>
          <w:trHeight w:val="148"/>
        </w:trPr>
        <w:tc>
          <w:tcPr>
            <w:tcW w:w="352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2"/>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2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201 Brookline Ave., Suite 901</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Boston, MA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02215</w:t>
            </w:r>
          </w:p>
        </w:tc>
      </w:tr>
      <w:tr>
        <w:trPr>
          <w:trHeight w:val="186"/>
        </w:trPr>
        <w:tc>
          <w:tcPr>
            <w:tcW w:w="352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(Zip code)</w:t>
            </w:r>
          </w:p>
        </w:tc>
      </w:tr>
    </w:tbl>
    <w:p>
      <w:pPr>
        <w:spacing w:after="0" w:line="15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857-320-4900</w:t>
      </w:r>
    </w:p>
    <w:p>
      <w:pPr>
        <w:spacing w:after="0" w:line="180"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9"/>
              </w:rPr>
              <w:t>TNGX</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9"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color w:val="auto"/>
        </w:rPr>
        <w:t>On August 10, 2023 Tango Therapeutics, Inc. (the “Company”) entered into a securities purchase agreement (the “Purchase Agreement”) with the purchasers named therein (the “Purchasers”), for the private placement (the “Private Placement”) of (i) 13,196,671 shares (the “Shares”) of the Company’s common stock, par value $0.001 per share (the “Common Stock”), at $5.15 per Share, and (ii) pre-funded warrants (the “Pre-Funded Warrants”) to purchase 2,340,579 shares of Common Stock (the “Warrant Shares” and together with the Shares and the Pre-Funded Warrants, the “Securities”), at a purchase price of $5.1499 per Pre-Funded Warrant. The Pre-Funded Warrants will have an exercise price of $0.0001 per share of Common Stock, be immediately exercisable and remain exercisable until exercised in full. The holders of Pre-Funded Warrants may not exercise a Pre-Funded Warrant if the holder, together with its affiliates, would beneficially own more than 9.99% of the number of shares of Common Stock outstanding immediately after giving effect to such exercise. The holders of Pre-Funded Warrants may increase or decrease such percentages not in excess of 19.99% by providing at least 61 days’ prior notice to the Company. The aggregate gross proceeds for the Private Placement will be approximately $80 million, before deducting offering commissions and estimated offering expenses payable by the Company.</w:t>
      </w:r>
    </w:p>
    <w:p>
      <w:pPr>
        <w:spacing w:after="0" w:line="168" w:lineRule="exact"/>
        <w:rPr>
          <w:sz w:val="20"/>
          <w:szCs w:val="20"/>
          <w:color w:val="auto"/>
        </w:rPr>
      </w:pPr>
    </w:p>
    <w:p>
      <w:pPr>
        <w:ind w:right="100" w:firstLine="440"/>
        <w:spacing w:after="0" w:line="288" w:lineRule="auto"/>
        <w:rPr>
          <w:sz w:val="20"/>
          <w:szCs w:val="20"/>
          <w:color w:val="auto"/>
        </w:rPr>
      </w:pPr>
      <w:r>
        <w:rPr>
          <w:rFonts w:ascii="Arial" w:cs="Arial" w:eastAsia="Arial" w:hAnsi="Arial"/>
          <w:sz w:val="16"/>
          <w:szCs w:val="16"/>
          <w:color w:val="auto"/>
        </w:rPr>
        <w:t>The closing of the Private Placement is anticipated to occur on August 11, 2023 (the “Closing Date”), subject to the satisfaction of customary closing conditions. Pursuant to the Purchase Agreement, the Company also agreed to file a registration statement with the Securities and Exchange Commission (the “SEC”) on or before September 1, 2023 (subject to certain exceptions) for purposes of registering the resale of the Shares (including the Warrant Shares), to use its commercially reasonable efforts to have such registration statement to be declared effective within the time period set forth in the Purchase Agreement and to keep such registration statement effective for up to three years. The Company will also agree among other things, to indemnify the Purchasers and the Purchaser’s affiliates under the registration statement from certain liabilities and pay all fees and expenses (excluding any legal fees of the selling holder(s), and any underwriting discounts and selling commissions) incident to the Company’s obligation to file such registration statement. Additionally, at, and as a condition to, the closing of the Private Placement, the directors and executive officers of the Company will enter into agreements, in the form attached to the Purchase Agreement, not to dispose of any shares of Common Stock and other securities of the Company that they own for ninety days, subject to customary exceptions (the “Lock-Up Agreements”).</w:t>
      </w:r>
    </w:p>
    <w:p>
      <w:pPr>
        <w:spacing w:after="0" w:line="16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Private Placement is exempt from registration pursuant to Section 4(a)(2) of the Securities Act of 1933, as amended (the “Securities Act”) and Rule 506(b) of Regulation D promulgated by the SEC thereunder, as a transaction by an issuer not involving a public offering. The Purchasers have acquired the securities for investment only and not with a view to or for sale in connection with any distribution thereof, and appropriate legends have been affixed to the securities issued in this transaction.</w:t>
      </w:r>
    </w:p>
    <w:p>
      <w:pPr>
        <w:spacing w:after="0" w:line="187"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The foregoing summaries of the Private Placement, the Purchase Agreement, Lock-Up Agreements and the form of Pre-Funded Warrant do not purport to be complete and are qualified in their entirety by reference to the Purchase Agreement (including the form of Lock-Up Agreement attached thereto) and the form of Pre-Funded Warrant, which are filed as Exhibits 10.1 and 4.1, respectively, to this Current Report on Form 8-K and are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121"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To the extent required by Item 3.02 of Form 8-K, the information regarding the Private Placement set forth under Item 1.01 of this Current Report on Form 8-K is incorporated by reference in this Item 3.02. The securities issued and sold in the Private Placement are being offered pursuant to Section 4(a)(2) of the Securities Act, and Rule 506(b) of Regulation D as promulgated by the SEC under the Securities Act. The Company relied on this exemption from registration for the Private Placement based in part on the representations made by the Purchasers, including</w:t>
      </w:r>
    </w:p>
    <w:p>
      <w:pPr>
        <w:sectPr>
          <w:pgSz w:w="11900" w:h="16838" w:orient="portrait"/>
          <w:cols w:equalWidth="0" w:num="1">
            <w:col w:w="10980"/>
          </w:cols>
          <w:pgMar w:left="440" w:top="513" w:right="479" w:bottom="1440" w:gutter="0" w:footer="0" w:header="0"/>
        </w:sectPr>
      </w:pPr>
    </w:p>
    <w:bookmarkStart w:id="2" w:name="page3"/>
    <w:bookmarkEnd w:id="2"/>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representations with respect to each Purchaser’s investment intent. The securities were not issued through any general solicitation or advertisement.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 Form D filing will be made following the closing of the Private Placement in accordance with the requirements of Regulation D.</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On August 10, 2023, the Company issued a press release announcing the Private Placement. A copy of the press release is attached hereto as Exhibit 99.1 and incorporated by reference herein. 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set forth by specific reference in such a filing.</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This Current Report on Form 8-K contains forward-looking statements that are made pursuant to the safe harbor provisions of the Private Securities Litigation Reform Act of 1995, including without limitation express or implied statements regarding the expected closing of the Private Placement, anticipated proceeds from the Private Placement, and the Company’s plans to file a registration statement to register the resale of the Shares to be issued and sold in the Private Placement. The use of words such as “anticipate,” “believe,” “continue,” “could,” “endeavor,” “estimate,” “expect,” “anticipate,” “intend,” “may,” “might,” “plan,” “potential,” “predict,” “project,” “seek,” “should,” “target,” “will” or “would” or the negative of such words or other similar expressions can be used to identify forward-looking statements. Each forward-looking statement is subject to risks and uncertainties that could cause actual results to differ materially from those expressed or implied in such statement. These and other risks and uncertainties are described in additional detail in the section entitled “Risk Factors” in the Company’s in the Annual Report on Form 10-K for the period ended December 31, 2022 and its Quarterly Reports on Form 10-Q and its other filings made with the SEC from time to time. Although the Company’s forward-looking statements reflect the good faith judgment of its management, these statements are based only on facts and factors currently known by the Company. As a result, you are cautioned not to rely on these forward-looking statements. Any forward-looking statement made in this Current Report on Form 8-K speaks only as of the date on which it is made. Except as required by applicable law, the Company undertakes no obligation to publicly update or revise any forward-looking statement, whether as a result of new information, future developments or otherwise.</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40" w:type="dxa"/>
            <w:vAlign w:val="bottom"/>
            <w:gridSpan w:val="3"/>
            <w:vMerge w:val="restart"/>
          </w:tcPr>
          <w:p>
            <w:pPr>
              <w:ind w:left="2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804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21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Form of Pre-Funded Warrant</w:t>
            </w:r>
          </w:p>
        </w:tc>
        <w:tc>
          <w:tcPr>
            <w:tcW w:w="80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91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8"/>
              </w:rPr>
              <w:t>Securities Purchase Agreement, dated August 10, 2023, by and among Tango Therapeutics, Inc. and the parties named therein.</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49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Press release issued by Tango Therapeutics, Inc. on August 10, 2023</w:t>
            </w:r>
          </w:p>
        </w:tc>
        <w:tc>
          <w:tcPr>
            <w:tcW w:w="5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right="520" w:hanging="224"/>
        <w:spacing w:after="0" w:line="277"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601(a)(5) of Regulation S-K. A copy of any omitted schedule and/or exhibit will be furnished to the SEC upon request.</w:t>
      </w:r>
    </w:p>
    <w:p>
      <w:pPr>
        <w:sectPr>
          <w:pgSz w:w="11900" w:h="16838" w:orient="portrait"/>
          <w:cols w:equalWidth="0" w:num="1">
            <w:col w:w="11024"/>
          </w:cols>
          <w:pgMar w:left="436" w:top="517" w:right="4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6"/>
          <w:szCs w:val="16"/>
          <w:b w:val="1"/>
          <w:bCs w:val="1"/>
          <w:color w:val="auto"/>
        </w:rPr>
        <w:t>Tango Therapeutics,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Douglas Barry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513" w:right="759" w:bottom="1440" w:gutter="0" w:footer="0" w:header="0"/>
        </w:sectPr>
      </w:pPr>
    </w:p>
    <w:bookmarkStart w:id="4" w:name="page5"/>
    <w:bookmarkEnd w:id="4"/>
    <w:p>
      <w:pPr>
        <w:ind w:left="10184"/>
        <w:spacing w:after="0"/>
        <w:rPr>
          <w:sz w:val="20"/>
          <w:szCs w:val="20"/>
          <w:color w:val="auto"/>
        </w:rPr>
      </w:pPr>
      <w:r>
        <w:rPr>
          <w:rFonts w:ascii="Arial" w:cs="Arial" w:eastAsia="Arial" w:hAnsi="Arial"/>
          <w:sz w:val="16"/>
          <w:szCs w:val="16"/>
          <w:b w:val="1"/>
          <w:bCs w:val="1"/>
          <w:color w:val="auto"/>
        </w:rPr>
        <w:t>Exhibit 4.1</w:t>
      </w:r>
    </w:p>
    <w:p>
      <w:pPr>
        <w:spacing w:after="0" w:line="252" w:lineRule="exact"/>
        <w:rPr>
          <w:sz w:val="20"/>
          <w:szCs w:val="20"/>
          <w:color w:val="auto"/>
        </w:rPr>
      </w:pPr>
    </w:p>
    <w:p>
      <w:pPr>
        <w:ind w:left="4" w:right="100"/>
        <w:spacing w:after="0" w:line="268" w:lineRule="auto"/>
        <w:rPr>
          <w:sz w:val="20"/>
          <w:szCs w:val="20"/>
          <w:color w:val="auto"/>
        </w:rPr>
      </w:pPr>
      <w:r>
        <w:rPr>
          <w:rFonts w:ascii="Arial" w:cs="Arial" w:eastAsia="Arial" w:hAnsi="Arial"/>
          <w:sz w:val="17"/>
          <w:szCs w:val="17"/>
          <w:color w:val="auto"/>
        </w:rPr>
        <w:t>THESE SECURITIES REPRESENTED HEREBY AND THE SECURITIES ISSUABLE UPON EXERCISE OF THESE SECURITIES HAVE NOT BEEN REGISTERED WITH THE SECURITIES AND EXCHANGE COMMISSION OR THE SECURITIES COMMISSION OF ANY STATE BUT HAVE BEEN OR WILL BE ISSUED IN RELIANCE UPON AN EXEMPTION FROM REGISTRATION UNDER THE SECURITIES ACT OF 1933, AS AMENDED, AND, ACCORDINGLY, MAY NOT BE TRANSFERRED UNLESS (i) SUCH SECURITIES HAVE BEEN REGISTERED FOR SALE PURSUANT TO THE SECURITIES ACT OF 1933, AS AMENDED, (ii) SUCH SECURITIES MAY BE SOLD PURSUANT TO RULE 144,</w:t>
      </w:r>
    </w:p>
    <w:p>
      <w:pPr>
        <w:spacing w:after="0" w:line="3" w:lineRule="exact"/>
        <w:rPr>
          <w:sz w:val="20"/>
          <w:szCs w:val="20"/>
          <w:color w:val="auto"/>
        </w:rPr>
      </w:pPr>
    </w:p>
    <w:p>
      <w:pPr>
        <w:ind w:left="4" w:right="80" w:hanging="4"/>
        <w:spacing w:after="0" w:line="273" w:lineRule="auto"/>
        <w:tabs>
          <w:tab w:leader="none" w:pos="26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HAS RECEIVED AN OPINION OF COUNSEL REASONABLY SATISFACTORY TO IT THAT SUCH TRANSFER MAY LAWFULLY BE MADE WITHOUT REGISTRATION UNDER THE SECURITIES ACT OF 1933, AS AMENDED, OR (iv) THE SECURITIES ARE TRANSFERRED WITHOUT CONSIDERATION TO AN AFFILIATE OF SUCH HOLDER OR A CUSTODIAL NOMINEE (WHICH FOR THE AVOIDANCE OF DOUBT SHALL REQUIRE NEITHER CONSENT NOR THE DELIVERY OF AN OPINION).</w:t>
      </w:r>
    </w:p>
    <w:p>
      <w:pPr>
        <w:spacing w:after="0" w:line="17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PRE-FUNDED WARRANT TO PURCHASE COMMON STOCK</w:t>
      </w:r>
    </w:p>
    <w:p>
      <w:pPr>
        <w:spacing w:after="0" w:line="229" w:lineRule="exact"/>
        <w:rPr>
          <w:sz w:val="20"/>
          <w:szCs w:val="20"/>
          <w:color w:val="auto"/>
        </w:rPr>
      </w:pPr>
    </w:p>
    <w:p>
      <w:pPr>
        <w:ind w:left="9304"/>
        <w:spacing w:after="0"/>
        <w:tabs>
          <w:tab w:leader="none" w:pos="10944" w:val="left"/>
        </w:tabs>
        <w:rPr>
          <w:sz w:val="20"/>
          <w:szCs w:val="20"/>
          <w:color w:val="auto"/>
        </w:rPr>
      </w:pPr>
      <w:r>
        <w:rPr>
          <w:rFonts w:ascii="Arial" w:cs="Arial" w:eastAsia="Arial" w:hAnsi="Arial"/>
          <w:sz w:val="18"/>
          <w:szCs w:val="18"/>
          <w:color w:val="auto"/>
        </w:rPr>
        <w:t>Number of Shares: [</w:t>
        <w:tab/>
        <w:t>]</w:t>
      </w:r>
    </w:p>
    <w:p>
      <w:pPr>
        <w:spacing w:after="0" w:line="23" w:lineRule="exact"/>
        <w:rPr>
          <w:sz w:val="20"/>
          <w:szCs w:val="20"/>
          <w:color w:val="auto"/>
        </w:rPr>
      </w:pPr>
    </w:p>
    <w:p>
      <w:pPr>
        <w:ind w:left="9364"/>
        <w:spacing w:after="0"/>
        <w:rPr>
          <w:sz w:val="20"/>
          <w:szCs w:val="20"/>
          <w:color w:val="auto"/>
        </w:rPr>
      </w:pPr>
      <w:r>
        <w:rPr>
          <w:rFonts w:ascii="Arial" w:cs="Arial" w:eastAsia="Arial" w:hAnsi="Arial"/>
          <w:sz w:val="16"/>
          <w:szCs w:val="16"/>
          <w:color w:val="auto"/>
        </w:rPr>
        <w:t>(subject to adjustment)</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color w:val="auto"/>
        </w:rPr>
        <w:t>Warrant No.</w:t>
      </w:r>
    </w:p>
    <w:p>
      <w:pPr>
        <w:spacing w:after="0" w:line="225" w:lineRule="exact"/>
        <w:rPr>
          <w:sz w:val="20"/>
          <w:szCs w:val="20"/>
          <w:color w:val="auto"/>
        </w:rPr>
      </w:pPr>
    </w:p>
    <w:p>
      <w:pPr>
        <w:ind w:left="8764"/>
        <w:spacing w:after="0"/>
        <w:tabs>
          <w:tab w:leader="none" w:pos="10484" w:val="left"/>
        </w:tabs>
        <w:rPr>
          <w:sz w:val="20"/>
          <w:szCs w:val="20"/>
          <w:color w:val="auto"/>
        </w:rPr>
      </w:pPr>
      <w:r>
        <w:rPr>
          <w:rFonts w:ascii="Arial" w:cs="Arial" w:eastAsia="Arial" w:hAnsi="Arial"/>
          <w:sz w:val="18"/>
          <w:szCs w:val="18"/>
          <w:color w:val="auto"/>
        </w:rPr>
        <w:t>Original Issue Date: [</w:t>
      </w:r>
      <w:r>
        <w:rPr>
          <w:sz w:val="20"/>
          <w:szCs w:val="20"/>
          <w:color w:val="auto"/>
        </w:rPr>
        <w:tab/>
      </w:r>
      <w:r>
        <w:rPr>
          <w:rFonts w:ascii="Arial" w:cs="Arial" w:eastAsia="Arial" w:hAnsi="Arial"/>
          <w:sz w:val="16"/>
          <w:szCs w:val="16"/>
          <w:color w:val="auto"/>
        </w:rPr>
        <w:t>], 2023</w:t>
      </w:r>
    </w:p>
    <w:p>
      <w:pPr>
        <w:spacing w:after="0" w:line="225" w:lineRule="exact"/>
        <w:rPr>
          <w:sz w:val="20"/>
          <w:szCs w:val="20"/>
          <w:color w:val="auto"/>
        </w:rPr>
      </w:pPr>
    </w:p>
    <w:p>
      <w:pPr>
        <w:ind w:left="4" w:right="240"/>
        <w:spacing w:after="0" w:line="272" w:lineRule="auto"/>
        <w:rPr>
          <w:sz w:val="20"/>
          <w:szCs w:val="20"/>
          <w:color w:val="auto"/>
        </w:rPr>
      </w:pPr>
      <w:r>
        <w:rPr>
          <w:rFonts w:ascii="Arial" w:cs="Arial" w:eastAsia="Arial" w:hAnsi="Arial"/>
          <w:sz w:val="17"/>
          <w:szCs w:val="17"/>
          <w:color w:val="auto"/>
        </w:rPr>
        <w:t>Tango Therapeutics, Inc. ,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hereby certifies that, for good and valuable consideration, the receipt and sufficiency of which are hereby acknowledged, [ ] or its registered assigns (the “</w:t>
      </w:r>
      <w:r>
        <w:rPr>
          <w:rFonts w:ascii="Arial" w:cs="Arial" w:eastAsia="Arial" w:hAnsi="Arial"/>
          <w:sz w:val="17"/>
          <w:szCs w:val="17"/>
          <w:i w:val="1"/>
          <w:iCs w:val="1"/>
          <w:color w:val="auto"/>
        </w:rPr>
        <w:t>Holder</w:t>
      </w:r>
      <w:r>
        <w:rPr>
          <w:rFonts w:ascii="Arial" w:cs="Arial" w:eastAsia="Arial" w:hAnsi="Arial"/>
          <w:sz w:val="17"/>
          <w:szCs w:val="17"/>
          <w:color w:val="auto"/>
        </w:rPr>
        <w:t>”), is entitled, subject to the terms set forth below, to purchase from the Company up to a total of [ ] shares of common stock, $0.001 par value per share (the “</w:t>
      </w:r>
      <w:r>
        <w:rPr>
          <w:rFonts w:ascii="Arial" w:cs="Arial" w:eastAsia="Arial" w:hAnsi="Arial"/>
          <w:sz w:val="17"/>
          <w:szCs w:val="17"/>
          <w:i w:val="1"/>
          <w:iCs w:val="1"/>
          <w:color w:val="auto"/>
        </w:rPr>
        <w:t>Common Stock</w:t>
      </w:r>
      <w:r>
        <w:rPr>
          <w:rFonts w:ascii="Arial" w:cs="Arial" w:eastAsia="Arial" w:hAnsi="Arial"/>
          <w:sz w:val="17"/>
          <w:szCs w:val="17"/>
          <w:color w:val="auto"/>
        </w:rPr>
        <w:t>”), of the Company (each such share, a “</w:t>
      </w:r>
      <w:r>
        <w:rPr>
          <w:rFonts w:ascii="Arial" w:cs="Arial" w:eastAsia="Arial" w:hAnsi="Arial"/>
          <w:sz w:val="17"/>
          <w:szCs w:val="17"/>
          <w:i w:val="1"/>
          <w:iCs w:val="1"/>
          <w:color w:val="auto"/>
        </w:rPr>
        <w:t>Warrant Share</w:t>
      </w:r>
      <w:r>
        <w:rPr>
          <w:rFonts w:ascii="Arial" w:cs="Arial" w:eastAsia="Arial" w:hAnsi="Arial"/>
          <w:sz w:val="17"/>
          <w:szCs w:val="17"/>
          <w:color w:val="auto"/>
        </w:rPr>
        <w:t>” and all such shares, the “</w:t>
      </w:r>
      <w:r>
        <w:rPr>
          <w:rFonts w:ascii="Arial" w:cs="Arial" w:eastAsia="Arial" w:hAnsi="Arial"/>
          <w:sz w:val="17"/>
          <w:szCs w:val="17"/>
          <w:i w:val="1"/>
          <w:iCs w:val="1"/>
          <w:color w:val="auto"/>
        </w:rPr>
        <w:t>Warrant Shares</w:t>
      </w:r>
      <w:r>
        <w:rPr>
          <w:rFonts w:ascii="Arial" w:cs="Arial" w:eastAsia="Arial" w:hAnsi="Arial"/>
          <w:sz w:val="17"/>
          <w:szCs w:val="17"/>
          <w:color w:val="auto"/>
        </w:rPr>
        <w:t xml:space="preserve">”) at an exercise price per share equal to $0.0001 per share (as adjusted from time to time as provided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herein, the “</w:t>
      </w:r>
      <w:r>
        <w:rPr>
          <w:rFonts w:ascii="Arial" w:cs="Arial" w:eastAsia="Arial" w:hAnsi="Arial"/>
          <w:sz w:val="17"/>
          <w:szCs w:val="17"/>
          <w:i w:val="1"/>
          <w:iCs w:val="1"/>
          <w:color w:val="auto"/>
        </w:rPr>
        <w:t>Exercise Price</w:t>
      </w:r>
      <w:r>
        <w:rPr>
          <w:rFonts w:ascii="Arial" w:cs="Arial" w:eastAsia="Arial" w:hAnsi="Arial"/>
          <w:sz w:val="17"/>
          <w:szCs w:val="17"/>
          <w:color w:val="auto"/>
        </w:rPr>
        <w:t xml:space="preserve">”), upon surrender of this </w:t>
      </w:r>
      <w:r>
        <w:rPr>
          <w:rFonts w:ascii="Arial" w:cs="Arial" w:eastAsia="Arial" w:hAnsi="Arial"/>
          <w:sz w:val="17"/>
          <w:szCs w:val="17"/>
          <w:i w:val="1"/>
          <w:iCs w:val="1"/>
          <w:color w:val="auto"/>
        </w:rPr>
        <w:t>Warrant to Purchase Common Stock</w:t>
      </w:r>
      <w:r>
        <w:rPr>
          <w:rFonts w:ascii="Arial" w:cs="Arial" w:eastAsia="Arial" w:hAnsi="Arial"/>
          <w:sz w:val="17"/>
          <w:szCs w:val="17"/>
          <w:color w:val="auto"/>
        </w:rPr>
        <w:t xml:space="preserve"> (including any </w:t>
      </w:r>
      <w:r>
        <w:rPr>
          <w:rFonts w:ascii="Arial" w:cs="Arial" w:eastAsia="Arial" w:hAnsi="Arial"/>
          <w:sz w:val="17"/>
          <w:szCs w:val="17"/>
          <w:i w:val="1"/>
          <w:iCs w:val="1"/>
          <w:color w:val="auto"/>
        </w:rPr>
        <w:t>Warrants to Purchase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Common Stock </w:t>
      </w:r>
      <w:r>
        <w:rPr>
          <w:rFonts w:ascii="Arial" w:cs="Arial" w:eastAsia="Arial" w:hAnsi="Arial"/>
          <w:sz w:val="17"/>
          <w:szCs w:val="17"/>
          <w:color w:val="auto"/>
        </w:rPr>
        <w:t>issued in exchange, transfer or replacement hereof, the “</w:t>
      </w:r>
      <w:r>
        <w:rPr>
          <w:rFonts w:ascii="Arial" w:cs="Arial" w:eastAsia="Arial" w:hAnsi="Arial"/>
          <w:sz w:val="17"/>
          <w:szCs w:val="17"/>
          <w:i w:val="1"/>
          <w:iCs w:val="1"/>
          <w:color w:val="auto"/>
        </w:rPr>
        <w:t>Warrant</w:t>
      </w:r>
      <w:r>
        <w:rPr>
          <w:rFonts w:ascii="Arial" w:cs="Arial" w:eastAsia="Arial" w:hAnsi="Arial"/>
          <w:sz w:val="17"/>
          <w:szCs w:val="17"/>
          <w:color w:val="auto"/>
        </w:rPr>
        <w:t>”) at any time and from time to time on or after the date hereof (the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Original Issue Date</w:t>
      </w:r>
      <w:r>
        <w:rPr>
          <w:rFonts w:ascii="Arial" w:cs="Arial" w:eastAsia="Arial" w:hAnsi="Arial"/>
          <w:sz w:val="17"/>
          <w:szCs w:val="17"/>
          <w:color w:val="auto"/>
        </w:rPr>
        <w:t>”), subject to the following terms and conditions:</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Warrant, the following terms shall have the following meanings:</w:t>
      </w:r>
    </w:p>
    <w:p>
      <w:pPr>
        <w:spacing w:after="0" w:line="225" w:lineRule="exact"/>
        <w:rPr>
          <w:sz w:val="20"/>
          <w:szCs w:val="20"/>
          <w:color w:val="auto"/>
        </w:rPr>
      </w:pPr>
    </w:p>
    <w:p>
      <w:pPr>
        <w:ind w:left="4" w:right="20" w:hanging="4"/>
        <w:spacing w:after="0" w:line="296"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w:t>
      </w:r>
    </w:p>
    <w:p>
      <w:pPr>
        <w:spacing w:after="0" w:line="161" w:lineRule="exact"/>
        <w:rPr>
          <w:rFonts w:ascii="Arial" w:cs="Arial" w:eastAsia="Arial" w:hAnsi="Arial"/>
          <w:sz w:val="16"/>
          <w:szCs w:val="16"/>
          <w:color w:val="auto"/>
        </w:rPr>
      </w:pPr>
    </w:p>
    <w:p>
      <w:pPr>
        <w:ind w:left="264" w:hanging="264"/>
        <w:spacing w:after="0"/>
        <w:tabs>
          <w:tab w:leader="none" w:pos="264"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rFonts w:ascii="Arial" w:cs="Arial" w:eastAsia="Arial" w:hAnsi="Arial"/>
          <w:sz w:val="18"/>
          <w:szCs w:val="18"/>
          <w:color w:val="auto"/>
        </w:rPr>
      </w:pPr>
    </w:p>
    <w:p>
      <w:pPr>
        <w:ind w:left="4" w:right="20" w:hanging="4"/>
        <w:spacing w:after="0" w:line="269" w:lineRule="auto"/>
        <w:tabs>
          <w:tab w:leader="none" w:pos="249"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Closing Sale Price</w:t>
      </w:r>
      <w:r>
        <w:rPr>
          <w:rFonts w:ascii="Arial" w:cs="Arial" w:eastAsia="Arial" w:hAnsi="Arial"/>
          <w:sz w:val="17"/>
          <w:szCs w:val="17"/>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ectPr>
          <w:pgSz w:w="11900" w:h="16838" w:orient="portrait"/>
          <w:cols w:equalWidth="0" w:num="1">
            <w:col w:w="11024"/>
          </w:cols>
          <w:pgMar w:left="436" w:top="121" w:right="439" w:bottom="1440" w:gutter="0" w:footer="0" w:header="0"/>
        </w:sectPr>
      </w:pPr>
    </w:p>
    <w:bookmarkStart w:id="5" w:name="page6"/>
    <w:bookmarkEnd w:id="5"/>
    <w:p>
      <w:pPr>
        <w:ind w:left="4" w:right="180" w:hanging="4"/>
        <w:spacing w:after="0" w:line="277"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i w:val="1"/>
          <w:iCs w:val="1"/>
          <w:color w:val="auto"/>
        </w:rPr>
        <w:t>Principal Trading Market</w:t>
      </w:r>
      <w:r>
        <w:rPr>
          <w:rFonts w:ascii="Arial" w:cs="Arial" w:eastAsia="Arial" w:hAnsi="Arial"/>
          <w:sz w:val="18"/>
          <w:szCs w:val="18"/>
          <w:color w:val="auto"/>
        </w:rPr>
        <w:t>” means the national securities exchange or other trading market on which the Common Stock is primarily listed on and quoted for trading, which, as of the Original Issue Date, shall be the Nasdaq Global Market.</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“Securities Purchase Agreement” </w:t>
      </w:r>
      <w:r>
        <w:rPr>
          <w:rFonts w:ascii="Arial" w:cs="Arial" w:eastAsia="Arial" w:hAnsi="Arial"/>
          <w:sz w:val="18"/>
          <w:szCs w:val="18"/>
          <w:color w:val="auto"/>
        </w:rPr>
        <w:t>means that certain Securities Purchase Agreement dated as of August 10, 2023.</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Day</w:t>
      </w:r>
      <w:r>
        <w:rPr>
          <w:rFonts w:ascii="Arial" w:cs="Arial" w:eastAsia="Arial" w:hAnsi="Arial"/>
          <w:sz w:val="18"/>
          <w:szCs w:val="18"/>
          <w:color w:val="auto"/>
        </w:rPr>
        <w:t>” means any weekday on which the Principal Trading Market is normally open for trading.</w:t>
      </w:r>
    </w:p>
    <w:p>
      <w:pPr>
        <w:spacing w:after="0" w:line="225" w:lineRule="exact"/>
        <w:rPr>
          <w:rFonts w:ascii="Arial" w:cs="Arial" w:eastAsia="Arial" w:hAnsi="Arial"/>
          <w:sz w:val="18"/>
          <w:szCs w:val="18"/>
          <w:color w:val="auto"/>
        </w:rPr>
      </w:pPr>
    </w:p>
    <w:p>
      <w:pPr>
        <w:ind w:left="4" w:right="20" w:hanging="4"/>
        <w:spacing w:after="0" w:line="277"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Computershare Trust Company, N.A., the Company’s transfer agent and registrar for the Common Stock, and any successor appointed in such capacity.</w:t>
      </w:r>
    </w:p>
    <w:p>
      <w:pPr>
        <w:spacing w:after="0" w:line="170" w:lineRule="exact"/>
        <w:rPr>
          <w:sz w:val="20"/>
          <w:szCs w:val="20"/>
          <w:color w:val="auto"/>
        </w:rPr>
      </w:pPr>
    </w:p>
    <w:p>
      <w:pPr>
        <w:ind w:left="4" w:right="60" w:hanging="4"/>
        <w:spacing w:after="0" w:line="293" w:lineRule="auto"/>
        <w:tabs>
          <w:tab w:leader="none" w:pos="184"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Issuance of Securities; Registration of Warrants</w:t>
      </w:r>
      <w:r>
        <w:rPr>
          <w:rFonts w:ascii="Arial" w:cs="Arial" w:eastAsia="Arial" w:hAnsi="Arial"/>
          <w:sz w:val="16"/>
          <w:szCs w:val="16"/>
          <w:color w:val="auto"/>
        </w:rPr>
        <w:t>. The Warrant, as initially issued by the Company, is offered and sold pursuant to the Securities Purchase Agreement. Accordingly, the Warrant and the Warrant Shares are “restricted securities” under Rule 144 promulgated under the Securities Act. The Company shall register ownership of this Warrant, upon records to be maintained by the Company for that purpose (the “</w:t>
      </w:r>
      <w:r>
        <w:rPr>
          <w:rFonts w:ascii="Arial" w:cs="Arial" w:eastAsia="Arial" w:hAnsi="Arial"/>
          <w:sz w:val="16"/>
          <w:szCs w:val="16"/>
          <w:i w:val="1"/>
          <w:iCs w:val="1"/>
          <w:color w:val="auto"/>
        </w:rPr>
        <w:t>Warrant Register</w:t>
      </w:r>
      <w:r>
        <w:rPr>
          <w:rFonts w:ascii="Arial" w:cs="Arial" w:eastAsia="Arial" w:hAnsi="Arial"/>
          <w:sz w:val="16"/>
          <w:szCs w:val="16"/>
          <w:color w:val="auto"/>
        </w:rPr>
        <w:t>”), in the name of the record Holder (which shall include the initial Holder or, as the case may be, any registered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64" w:lineRule="exact"/>
        <w:rPr>
          <w:rFonts w:ascii="Arial" w:cs="Arial" w:eastAsia="Arial" w:hAnsi="Arial"/>
          <w:sz w:val="16"/>
          <w:szCs w:val="16"/>
          <w:color w:val="auto"/>
        </w:rPr>
      </w:pPr>
    </w:p>
    <w:p>
      <w:pPr>
        <w:ind w:left="4" w:hanging="4"/>
        <w:spacing w:after="0" w:line="270" w:lineRule="auto"/>
        <w:tabs>
          <w:tab w:leader="none" w:pos="184"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Registration of Transfers</w:t>
      </w:r>
      <w:r>
        <w:rPr>
          <w:rFonts w:ascii="Arial" w:cs="Arial" w:eastAsia="Arial" w:hAnsi="Arial"/>
          <w:sz w:val="17"/>
          <w:szCs w:val="17"/>
          <w:color w:val="auto"/>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Arial" w:cs="Arial" w:eastAsia="Arial" w:hAnsi="Arial"/>
          <w:sz w:val="17"/>
          <w:szCs w:val="17"/>
          <w:i w:val="1"/>
          <w:iCs w:val="1"/>
          <w:color w:val="auto"/>
        </w:rPr>
        <w:t>New Warrant</w:t>
      </w:r>
      <w:r>
        <w:rPr>
          <w:rFonts w:ascii="Arial" w:cs="Arial" w:eastAsia="Arial" w:hAnsi="Arial"/>
          <w:sz w:val="17"/>
          <w:szCs w:val="17"/>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Arial" w:cs="Arial" w:eastAsia="Arial" w:hAnsi="Arial"/>
          <w:sz w:val="17"/>
          <w:szCs w:val="17"/>
          <w:u w:val="single" w:color="auto"/>
          <w:color w:val="auto"/>
        </w:rPr>
        <w:t>Section 3</w:t>
      </w:r>
      <w:r>
        <w:rPr>
          <w:rFonts w:ascii="Arial" w:cs="Arial" w:eastAsia="Arial" w:hAnsi="Arial"/>
          <w:sz w:val="17"/>
          <w:szCs w:val="17"/>
          <w:color w:val="auto"/>
        </w:rPr>
        <w:t>. Until due presentment for registration of transfer, the Company may treat the registered Holder hereof as the owner and holder for all purposes, and the Company shall not be affected by any notice to the contrary.</w:t>
      </w:r>
    </w:p>
    <w:p>
      <w:pPr>
        <w:spacing w:after="0" w:line="180" w:lineRule="exact"/>
        <w:rPr>
          <w:rFonts w:ascii="Arial" w:cs="Arial" w:eastAsia="Arial" w:hAnsi="Arial"/>
          <w:sz w:val="17"/>
          <w:szCs w:val="17"/>
          <w:color w:val="auto"/>
        </w:rPr>
      </w:pPr>
    </w:p>
    <w:p>
      <w:pPr>
        <w:ind w:left="184" w:hanging="184"/>
        <w:spacing w:after="0"/>
        <w:tabs>
          <w:tab w:leader="none" w:pos="18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Exercise and Duration of Warrants</w:t>
      </w:r>
      <w:r>
        <w:rPr>
          <w:rFonts w:ascii="Arial" w:cs="Arial" w:eastAsia="Arial" w:hAnsi="Arial"/>
          <w:sz w:val="18"/>
          <w:szCs w:val="18"/>
          <w:color w:val="auto"/>
        </w:rPr>
        <w:t>.</w:t>
      </w:r>
    </w:p>
    <w:p>
      <w:pPr>
        <w:spacing w:after="0" w:line="225" w:lineRule="exact"/>
        <w:rPr>
          <w:sz w:val="20"/>
          <w:szCs w:val="20"/>
          <w:color w:val="auto"/>
        </w:rPr>
      </w:pPr>
    </w:p>
    <w:p>
      <w:pPr>
        <w:ind w:left="4" w:right="280" w:hanging="4"/>
        <w:spacing w:after="0" w:line="277" w:lineRule="auto"/>
        <w:tabs>
          <w:tab w:leader="none" w:pos="239"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or any part of this Warrant shall be exercisable by the registered Holder in any manner permitted by this Warrant at any time and from time to time on or after the Original Issue Date.</w:t>
      </w:r>
    </w:p>
    <w:p>
      <w:pPr>
        <w:spacing w:after="0" w:line="170" w:lineRule="exact"/>
        <w:rPr>
          <w:rFonts w:ascii="Arial" w:cs="Arial" w:eastAsia="Arial" w:hAnsi="Arial"/>
          <w:sz w:val="18"/>
          <w:szCs w:val="18"/>
          <w:color w:val="auto"/>
        </w:rPr>
      </w:pPr>
    </w:p>
    <w:p>
      <w:pPr>
        <w:ind w:left="4" w:hanging="4"/>
        <w:spacing w:after="0" w:line="269" w:lineRule="auto"/>
        <w:tabs>
          <w:tab w:leader="none" w:pos="256"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Holder may exercise this Warrant by delivering to the Company (i) an exercise notice, in the form attached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w:t>
      </w:r>
      <w:r>
        <w:rPr>
          <w:rFonts w:ascii="Arial" w:cs="Arial" w:eastAsia="Arial" w:hAnsi="Arial"/>
          <w:sz w:val="17"/>
          <w:szCs w:val="17"/>
          <w:i w:val="1"/>
          <w:iCs w:val="1"/>
          <w:color w:val="auto"/>
        </w:rPr>
        <w:t>Exercise</w:t>
      </w:r>
      <w:r>
        <w:rPr>
          <w:rFonts w:ascii="Arial" w:cs="Arial" w:eastAsia="Arial" w:hAnsi="Arial"/>
          <w:sz w:val="17"/>
          <w:szCs w:val="17"/>
          <w:color w:val="auto"/>
        </w:rPr>
        <w:t xml:space="preserve"> </w:t>
      </w:r>
      <w:r>
        <w:rPr>
          <w:rFonts w:ascii="Arial" w:cs="Arial" w:eastAsia="Arial" w:hAnsi="Arial"/>
          <w:sz w:val="17"/>
          <w:szCs w:val="17"/>
          <w:i w:val="1"/>
          <w:iCs w:val="1"/>
          <w:color w:val="auto"/>
        </w:rPr>
        <w:t>Notice</w:t>
      </w:r>
      <w:r>
        <w:rPr>
          <w:rFonts w:ascii="Arial" w:cs="Arial" w:eastAsia="Arial" w:hAnsi="Arial"/>
          <w:sz w:val="17"/>
          <w:szCs w:val="17"/>
          <w:color w:val="auto"/>
        </w:rPr>
        <w:t>”), completed and duly signed, and (ii) payment of the Exercise Price for the number of Warrant Shares as to which this Warrant is being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exercised (which may take the form of a “cashless exercise” if so indicated in the Exercise Notice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below), and the date on which the last of such items is delivered to the Company (as determined in accordance with the notice provisions hereof) is an “</w:t>
      </w:r>
      <w:r>
        <w:rPr>
          <w:rFonts w:ascii="Arial" w:cs="Arial" w:eastAsia="Arial" w:hAnsi="Arial"/>
          <w:sz w:val="17"/>
          <w:szCs w:val="17"/>
          <w:i w:val="1"/>
          <w:iCs w:val="1"/>
          <w:color w:val="auto"/>
        </w:rPr>
        <w:t>Exercise Date</w:t>
      </w:r>
      <w:r>
        <w:rPr>
          <w:rFonts w:ascii="Arial" w:cs="Arial" w:eastAsia="Arial" w:hAnsi="Arial"/>
          <w:sz w:val="17"/>
          <w:szCs w:val="17"/>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aggregate exercise price of this Warrant, except for the Exercise Price, was pre-funded to the Company on or before the Original Issue Date, and consequently no additional consideration (other than the Exercise Price) shall be required to be paid by the Holder to effect any exercise of this Warrant. The Holder shall not be entitled to the return or refund of all, or any portion, of such pre-funded exercise price under any circumstance or for any reason whatsoever.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ectPr>
          <w:pgSz w:w="11900" w:h="16838" w:orient="portrait"/>
          <w:cols w:equalWidth="0" w:num="1">
            <w:col w:w="10984"/>
          </w:cols>
          <w:pgMar w:left="436" w:top="490" w:right="479" w:bottom="1440" w:gutter="0" w:footer="0" w:header="0"/>
        </w:sectPr>
      </w:pPr>
    </w:p>
    <w:bookmarkStart w:id="6" w:name="page7"/>
    <w:bookmarkEnd w:id="6"/>
    <w:p>
      <w:pPr>
        <w:ind w:left="184" w:hanging="184"/>
        <w:spacing w:after="0"/>
        <w:tabs>
          <w:tab w:leader="none" w:pos="18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Delivery of Warrant Shares</w:t>
      </w:r>
      <w:r>
        <w:rPr>
          <w:rFonts w:ascii="Arial" w:cs="Arial" w:eastAsia="Arial" w:hAnsi="Arial"/>
          <w:sz w:val="18"/>
          <w:szCs w:val="18"/>
          <w:color w:val="auto"/>
        </w:rPr>
        <w:t>.</w:t>
      </w:r>
    </w:p>
    <w:p>
      <w:pPr>
        <w:spacing w:after="0" w:line="225" w:lineRule="exact"/>
        <w:rPr>
          <w:sz w:val="20"/>
          <w:szCs w:val="20"/>
          <w:color w:val="auto"/>
        </w:rPr>
      </w:pPr>
    </w:p>
    <w:p>
      <w:pPr>
        <w:ind w:left="4" w:right="20" w:hanging="4"/>
        <w:spacing w:after="0" w:line="253"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exercise of this Warrant, the Company shall promptly (but in no event later than two (2) Trading Days after the Exercise Date), upon the request of the Holder, credit such aggregate number of shares of Common Stock to which the Holder is entitled pursuant to such exercise to the Holder’s or its designee’s balance account with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through its Deposit Withdrawal Agent Commission system, or if the Transfer Agent is not participating in the Fast Automated Securities Transfer Program (the “</w:t>
      </w:r>
      <w:r>
        <w:rPr>
          <w:rFonts w:ascii="Arial" w:cs="Arial" w:eastAsia="Arial" w:hAnsi="Arial"/>
          <w:sz w:val="18"/>
          <w:szCs w:val="18"/>
          <w:i w:val="1"/>
          <w:iCs w:val="1"/>
          <w:color w:val="auto"/>
        </w:rPr>
        <w:t>FAST Program</w:t>
      </w:r>
      <w:r>
        <w:rPr>
          <w:rFonts w:ascii="Arial" w:cs="Arial" w:eastAsia="Arial" w:hAnsi="Arial"/>
          <w:sz w:val="18"/>
          <w:szCs w:val="18"/>
          <w:color w:val="auto"/>
        </w:rPr>
        <w:t>”)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or any natural person or legal entity (each, a “Person”) so designated by the Holder to receive Warrant Shares, shall be deemed to have become the holder of record of such Warrant Shares as of the Exercise Date, irrespective of the date such Warrant Shares are credited to the Holder’s or its designee’s DTC account or the date of delivery of the certificates evidencing such Warrant Shares, as the case may be.</w:t>
      </w:r>
    </w:p>
    <w:p>
      <w:pPr>
        <w:spacing w:after="0" w:line="194" w:lineRule="exact"/>
        <w:rPr>
          <w:rFonts w:ascii="Arial" w:cs="Arial" w:eastAsia="Arial" w:hAnsi="Arial"/>
          <w:sz w:val="18"/>
          <w:szCs w:val="18"/>
          <w:color w:val="auto"/>
        </w:rPr>
      </w:pPr>
    </w:p>
    <w:p>
      <w:pPr>
        <w:ind w:left="4" w:right="40" w:hanging="4"/>
        <w:spacing w:after="0" w:line="268" w:lineRule="auto"/>
        <w:tabs>
          <w:tab w:leader="none" w:pos="259"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If by the close of the second (2nd) Trading Day after the Exercise Date, the Company fails to deliver to the Holder a certificate representing the required number of Warrant Shares in the manner required pursuant to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or fails to credit the Holder’s or its designee’s balance account with DTC for such number of Warrant Shares to which the Holder is entitled, and if after such second (2nd) Trading Day and prior to the receipt of such Warrant Shares, the Holder purchases (in an open market transaction or otherwise, provided such purchases shall be made in a commercially reasonable manner at prevailing market prices) shares of Common Stock to deliver in satisfaction of a sale by the Holder of the Warrant Shares which the Holder anticipated receiving upon such exercise (a “</w:t>
      </w:r>
      <w:r>
        <w:rPr>
          <w:rFonts w:ascii="Arial" w:cs="Arial" w:eastAsia="Arial" w:hAnsi="Arial"/>
          <w:sz w:val="17"/>
          <w:szCs w:val="17"/>
          <w:i w:val="1"/>
          <w:iCs w:val="1"/>
          <w:color w:val="auto"/>
        </w:rPr>
        <w:t>Buy-In</w:t>
      </w:r>
      <w:r>
        <w:rPr>
          <w:rFonts w:ascii="Arial" w:cs="Arial" w:eastAsia="Arial" w:hAnsi="Arial"/>
          <w:sz w:val="17"/>
          <w:szCs w:val="17"/>
          <w:color w:val="auto"/>
        </w:rPr>
        <w:t>”), then the Company shall, within two (2) Trading Days after the Holder’s request and in the Company’s sole discretion, either (1) pay in cash to the Holder an amount equal to the Holder’s total purchase price (including commercially reasonable brokerage commissions, if any) for the shares of Common Stock so purchased, at which point the Company’s obligation to deliver such certificate (and to issue such Warrant Shares) shall terminate or (2) promptly honor its obligation to deliver to the Holder a certificate or certificates representing such Warrant Shares or credit the Holder’s or its designee’s balance account with DTC for such Warrant Shares and pay cash to the Holder in an amount equal to the excess (if any) of Holder’s total purchase price (including commercially reasonable brokerage commissions, if any) for the shares of Common Stock so purchased in the Buy-In over the product of (A) the number of shares of Common Stock purchased in the Buy-In, times (B) the Closing Sale Price of a share of Common Stock on the Exercise Date. The provisions of this Section 5(b) shall be the only remedy available to the Holder in the event the Company fails to deliver to the Holder the required number of Warrant Shares in the manner required pursuant to Section 5(a) and a Buy-In occurs.</w:t>
      </w:r>
    </w:p>
    <w:p>
      <w:pPr>
        <w:spacing w:after="0" w:line="181" w:lineRule="exact"/>
        <w:rPr>
          <w:rFonts w:ascii="Arial" w:cs="Arial" w:eastAsia="Arial" w:hAnsi="Arial"/>
          <w:sz w:val="17"/>
          <w:szCs w:val="17"/>
          <w:color w:val="auto"/>
        </w:rPr>
      </w:pPr>
    </w:p>
    <w:p>
      <w:pPr>
        <w:ind w:left="4" w:hanging="4"/>
        <w:spacing w:after="0" w:line="270" w:lineRule="auto"/>
        <w:tabs>
          <w:tab w:leader="none" w:pos="245"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To the extent permitted by law and subject to Section 5(b), the Company’s obligations to issue and deliver Warrant Shares in accordance with and subject to the terms hereof (including the limitations set forth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spacing w:after="0" w:line="181" w:lineRule="exact"/>
        <w:rPr>
          <w:sz w:val="20"/>
          <w:szCs w:val="20"/>
          <w:color w:val="auto"/>
        </w:rPr>
      </w:pPr>
    </w:p>
    <w:p>
      <w:pPr>
        <w:ind w:left="4" w:right="80" w:hanging="4"/>
        <w:spacing w:after="0" w:line="273" w:lineRule="auto"/>
        <w:tabs>
          <w:tab w:leader="none" w:pos="184"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ectPr>
          <w:pgSz w:w="11900" w:h="16838" w:orient="portrait"/>
          <w:cols w:equalWidth="0" w:num="1">
            <w:col w:w="11004"/>
          </w:cols>
          <w:pgMar w:left="436" w:top="490" w:right="459" w:bottom="1440" w:gutter="0" w:footer="0" w:header="0"/>
        </w:sectPr>
      </w:pPr>
    </w:p>
    <w:bookmarkStart w:id="7" w:name="page8"/>
    <w:bookmarkEnd w:id="7"/>
    <w:p>
      <w:pPr>
        <w:ind w:left="4" w:right="240" w:hanging="4"/>
        <w:spacing w:after="0" w:line="291" w:lineRule="auto"/>
        <w:tabs>
          <w:tab w:leader="none" w:pos="184"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Replacement of Warrant</w:t>
      </w:r>
      <w:r>
        <w:rPr>
          <w:rFonts w:ascii="Arial" w:cs="Arial" w:eastAsia="Arial" w:hAnsi="Arial"/>
          <w:sz w:val="16"/>
          <w:szCs w:val="16"/>
          <w:color w:val="auto"/>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without any requirement that a surety bond be procured, provided or posted unless required by a third-party transfer agent. Applicants for a New Warrant under such circumstances shall also comply with such other reasonable regulations and procedures and pay such other reasonable third-party costs as the Company may reasonably prescribe. If a New Warrant is requested as a result of a mutilation of this Warrant, then the Holder shall deliver such mutilated Warrant to the Company as a condition precedent to the Company’s obligation to issue the New Warrant.</w:t>
      </w:r>
    </w:p>
    <w:p>
      <w:pPr>
        <w:spacing w:after="0" w:line="166" w:lineRule="exact"/>
        <w:rPr>
          <w:rFonts w:ascii="Arial" w:cs="Arial" w:eastAsia="Arial" w:hAnsi="Arial"/>
          <w:sz w:val="16"/>
          <w:szCs w:val="16"/>
          <w:color w:val="auto"/>
        </w:rPr>
      </w:pPr>
    </w:p>
    <w:p>
      <w:pPr>
        <w:ind w:left="4" w:right="20" w:hanging="4"/>
        <w:spacing w:after="0" w:line="284" w:lineRule="auto"/>
        <w:tabs>
          <w:tab w:leader="none" w:pos="184"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Reservation of Warrant Shares</w:t>
      </w:r>
      <w:r>
        <w:rPr>
          <w:rFonts w:ascii="Arial" w:cs="Arial" w:eastAsia="Arial" w:hAnsi="Arial"/>
          <w:sz w:val="16"/>
          <w:szCs w:val="16"/>
          <w:color w:val="auto"/>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Arial" w:cs="Arial" w:eastAsia="Arial" w:hAnsi="Arial"/>
          <w:sz w:val="16"/>
          <w:szCs w:val="16"/>
          <w:u w:val="single" w:color="auto"/>
          <w:color w:val="auto"/>
        </w:rPr>
        <w:t>Section 9</w:t>
      </w:r>
      <w:r>
        <w:rPr>
          <w:rFonts w:ascii="Arial" w:cs="Arial" w:eastAsia="Arial" w:hAnsi="Arial"/>
          <w:sz w:val="16"/>
          <w:szCs w:val="16"/>
          <w:color w:val="auto"/>
        </w:rPr>
        <w:t>).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w:t>
      </w:r>
      <w:r>
        <w:rPr>
          <w:rFonts w:ascii="Arial" w:cs="Arial" w:eastAsia="Arial" w:hAnsi="Arial"/>
          <w:sz w:val="16"/>
          <w:szCs w:val="16"/>
          <w:i w:val="1"/>
          <w:iCs w:val="1"/>
          <w:color w:val="auto"/>
        </w:rPr>
        <w:t>Authorized Share Failure</w:t>
      </w:r>
      <w:r>
        <w:rPr>
          <w:rFonts w:ascii="Arial" w:cs="Arial" w:eastAsia="Arial" w:hAnsi="Arial"/>
          <w:sz w:val="16"/>
          <w:szCs w:val="16"/>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In furtherance of the Company’s obligations set forth in this Section 8,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w:t>
      </w:r>
    </w:p>
    <w:p>
      <w:pPr>
        <w:spacing w:after="0" w:line="181" w:lineRule="exact"/>
        <w:rPr>
          <w:rFonts w:ascii="Arial" w:cs="Arial" w:eastAsia="Arial" w:hAnsi="Arial"/>
          <w:sz w:val="16"/>
          <w:szCs w:val="16"/>
          <w:color w:val="auto"/>
        </w:rPr>
      </w:pPr>
    </w:p>
    <w:p>
      <w:pPr>
        <w:ind w:left="4" w:right="100" w:hanging="4"/>
        <w:spacing w:after="0" w:line="277" w:lineRule="auto"/>
        <w:tabs>
          <w:tab w:leader="none" w:pos="184"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Certain Adjustments</w:t>
      </w:r>
      <w:r>
        <w:rPr>
          <w:rFonts w:ascii="Arial" w:cs="Arial" w:eastAsia="Arial" w:hAnsi="Arial"/>
          <w:sz w:val="18"/>
          <w:szCs w:val="18"/>
          <w:color w:val="auto"/>
        </w:rPr>
        <w:t xml:space="preserve">. The Exercise Price and number of Warrant Shares issuable upon exercise of this Warrant are subject to adjustment from time to time as set forth in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170" w:lineRule="exact"/>
        <w:rPr>
          <w:sz w:val="20"/>
          <w:szCs w:val="20"/>
          <w:color w:val="auto"/>
        </w:rPr>
      </w:pPr>
    </w:p>
    <w:p>
      <w:pPr>
        <w:ind w:left="4" w:right="120" w:hanging="4"/>
        <w:spacing w:after="0" w:line="287" w:lineRule="auto"/>
        <w:tabs>
          <w:tab w:leader="none" w:pos="249"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as described in the Securities Purchase Agreement, that is payable in shares of Common Stock,</w:t>
      </w:r>
    </w:p>
    <w:p>
      <w:pPr>
        <w:spacing w:after="0" w:line="2" w:lineRule="exact"/>
        <w:rPr>
          <w:rFonts w:ascii="Arial" w:cs="Arial" w:eastAsia="Arial" w:hAnsi="Arial"/>
          <w:sz w:val="16"/>
          <w:szCs w:val="16"/>
          <w:color w:val="auto"/>
        </w:rPr>
      </w:pPr>
    </w:p>
    <w:p>
      <w:pPr>
        <w:ind w:left="4" w:hanging="4"/>
        <w:spacing w:after="0" w:line="268" w:lineRule="auto"/>
        <w:tabs>
          <w:tab w:leader="none" w:pos="269"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w:t>
      </w:r>
    </w:p>
    <w:p>
      <w:pPr>
        <w:sectPr>
          <w:pgSz w:w="11900" w:h="16838" w:orient="portrait"/>
          <w:cols w:equalWidth="0" w:num="1">
            <w:col w:w="11004"/>
          </w:cols>
          <w:pgMar w:left="436" w:top="490" w:right="459" w:bottom="1440" w:gutter="0" w:footer="0" w:header="0"/>
        </w:sectPr>
      </w:pPr>
    </w:p>
    <w:bookmarkStart w:id="8" w:name="page9"/>
    <w:bookmarkEnd w:id="8"/>
    <w:p>
      <w:pPr>
        <w:ind w:left="4" w:hanging="4"/>
        <w:spacing w:after="0" w:line="271" w:lineRule="auto"/>
        <w:tabs>
          <w:tab w:leader="none" w:pos="259"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Pro Rata Distributions</w:t>
      </w:r>
      <w:r>
        <w:rPr>
          <w:rFonts w:ascii="Arial" w:cs="Arial" w:eastAsia="Arial" w:hAnsi="Arial"/>
          <w:sz w:val="17"/>
          <w:szCs w:val="17"/>
          <w:color w:val="auto"/>
        </w:rPr>
        <w:t>. If the Company, at any time while this Warrant is outstanding, distributes to all holders of Common Stock for no consideration (i) evidences of its indebtedness, (ii) any security (other than a distribution of Common Stock covered by Section 9(a) or a distribution subject to Section 9(c)), (iii) rights or warrants to subscribe for or purchase any security, or (iv) cash or any other asset (other than a distribution pursuant to a Fundamental Transaction (as defined below) subject to Section 9(c)) (in each case, “</w:t>
      </w:r>
      <w:r>
        <w:rPr>
          <w:rFonts w:ascii="Arial" w:cs="Arial" w:eastAsia="Arial" w:hAnsi="Arial"/>
          <w:sz w:val="17"/>
          <w:szCs w:val="17"/>
          <w:i w:val="1"/>
          <w:iCs w:val="1"/>
          <w:color w:val="auto"/>
        </w:rPr>
        <w:t>Distributed Property</w:t>
      </w:r>
      <w:r>
        <w:rPr>
          <w:rFonts w:ascii="Arial" w:cs="Arial" w:eastAsia="Arial" w:hAnsi="Arial"/>
          <w:sz w:val="17"/>
          <w:szCs w:val="17"/>
          <w:color w:val="auto"/>
        </w:rPr>
        <w:t>”), then, upon any exercise of this Warrant that occurs after the record date fixed for determination of stockholders entitled to receive such distribution, the Holder shall be entitled to receive, in addition to the Warrant Shares otherwise issuable upon such exercise (if applicable), the Distributed Property that such Holder would have been entitled to receive in respect of such number of Warrant Shares had the Holder been the record holder of such Warrant Shares immediately prior to such record date without regard to any limitation on exercise contained therein.</w:t>
      </w:r>
    </w:p>
    <w:p>
      <w:pPr>
        <w:spacing w:after="0" w:line="178" w:lineRule="exact"/>
        <w:rPr>
          <w:rFonts w:ascii="Arial" w:cs="Arial" w:eastAsia="Arial" w:hAnsi="Arial"/>
          <w:sz w:val="17"/>
          <w:szCs w:val="17"/>
          <w:color w:val="auto"/>
        </w:rPr>
      </w:pPr>
    </w:p>
    <w:p>
      <w:pPr>
        <w:ind w:left="4" w:hanging="4"/>
        <w:spacing w:after="0" w:line="284" w:lineRule="auto"/>
        <w:tabs>
          <w:tab w:leader="none" w:pos="249"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xml:space="preserve">. If, at any time while this Warrant is outstanding (i) the Company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transaction or a series of related transactions, (iii) pursuant to any tender offer or exchange offer (whether by the Company or another Person), holders of capital stock who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provided, however, that the forgoing shall not include transactions for which the primary purpose is raising capital,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above) (in any such case, a “</w:t>
      </w:r>
      <w:r>
        <w:rPr>
          <w:rFonts w:ascii="Arial" w:cs="Arial" w:eastAsia="Arial" w:hAnsi="Arial"/>
          <w:sz w:val="16"/>
          <w:szCs w:val="16"/>
          <w:i w:val="1"/>
          <w:iCs w:val="1"/>
          <w:color w:val="auto"/>
        </w:rPr>
        <w:t>Fundamental Transaction</w:t>
      </w:r>
      <w:r>
        <w:rPr>
          <w:rFonts w:ascii="Arial" w:cs="Arial" w:eastAsia="Arial" w:hAnsi="Arial"/>
          <w:sz w:val="16"/>
          <w:szCs w:val="16"/>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Arial" w:cs="Arial" w:eastAsia="Arial" w:hAnsi="Arial"/>
          <w:sz w:val="16"/>
          <w:szCs w:val="16"/>
          <w:i w:val="1"/>
          <w:iCs w:val="1"/>
          <w:color w:val="auto"/>
        </w:rPr>
        <w:t>Alternate Consideration”</w:t>
      </w:r>
      <w:r>
        <w:rPr>
          <w:rFonts w:ascii="Arial" w:cs="Arial" w:eastAsia="Arial" w:hAnsi="Arial"/>
          <w:sz w:val="16"/>
          <w:szCs w:val="16"/>
          <w:color w:val="auto"/>
        </w:rPr>
        <w:t xml:space="preserve">). The Company shall not effect any Fundamental Transaction in which the Company is not the surviving entity or the Alternate Consideration includes securities of another Person unless (i) the Alternate Consideration is solely cash, solely marketable securities, or a combination of cash and marketable securities, and the Company provides for the simultaneous “cashless exercise” of this Warrant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10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(c) shall similarly apply to subsequent transactions analogous of a Fundamental Transaction type. In the event the Holder does not exercise this Warrant as contemplated by the foregoing sentence, this Warrant shall be deemed exercised in full without regard to any limitations on exercise contained herein pursuant to the “cashless exercise” provision in Section 10 hereof upon the effective date of the consummation of such Fundamental Transaction.</w:t>
      </w:r>
    </w:p>
    <w:p>
      <w:pPr>
        <w:spacing w:after="0" w:line="389" w:lineRule="exact"/>
        <w:rPr>
          <w:rFonts w:ascii="Arial" w:cs="Arial" w:eastAsia="Arial" w:hAnsi="Arial"/>
          <w:sz w:val="16"/>
          <w:szCs w:val="16"/>
          <w:color w:val="auto"/>
        </w:rPr>
      </w:pPr>
    </w:p>
    <w:p>
      <w:pPr>
        <w:ind w:left="4" w:right="20" w:hanging="4"/>
        <w:spacing w:after="0" w:line="257" w:lineRule="auto"/>
        <w:tabs>
          <w:tab w:leader="none" w:pos="259"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Number of Warrant Shares</w:t>
      </w:r>
      <w:r>
        <w:rPr>
          <w:rFonts w:ascii="Arial" w:cs="Arial" w:eastAsia="Arial" w:hAnsi="Arial"/>
          <w:sz w:val="18"/>
          <w:szCs w:val="18"/>
          <w:color w:val="auto"/>
        </w:rPr>
        <w:t xml:space="preserve">. Simultaneously with any adjustment to the Exercise Price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sectPr>
          <w:pgSz w:w="11900" w:h="16838" w:orient="portrait"/>
          <w:cols w:equalWidth="0" w:num="1">
            <w:col w:w="11004"/>
          </w:cols>
          <w:pgMar w:left="436" w:top="490" w:right="459" w:bottom="1440" w:gutter="0" w:footer="0" w:header="0"/>
        </w:sectPr>
      </w:pPr>
    </w:p>
    <w:bookmarkStart w:id="9" w:name="page10"/>
    <w:bookmarkEnd w:id="9"/>
    <w:p>
      <w:pPr>
        <w:ind w:left="244" w:hanging="244"/>
        <w:spacing w:after="0"/>
        <w:tabs>
          <w:tab w:leader="none" w:pos="244"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Calculations</w:t>
      </w:r>
      <w:r>
        <w:rPr>
          <w:rFonts w:ascii="Arial" w:cs="Arial" w:eastAsia="Arial" w:hAnsi="Arial"/>
          <w:sz w:val="17"/>
          <w:szCs w:val="17"/>
          <w:color w:val="auto"/>
        </w:rPr>
        <w:t xml:space="preserve">. All calculations under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shall be made to the nearest one-tenth of one cent or the nearest share, as applicable.</w:t>
      </w:r>
    </w:p>
    <w:p>
      <w:pPr>
        <w:spacing w:after="0" w:line="236" w:lineRule="exact"/>
        <w:rPr>
          <w:rFonts w:ascii="Arial" w:cs="Arial" w:eastAsia="Arial" w:hAnsi="Arial"/>
          <w:sz w:val="17"/>
          <w:szCs w:val="17"/>
          <w:color w:val="auto"/>
        </w:rPr>
      </w:pPr>
    </w:p>
    <w:p>
      <w:pPr>
        <w:ind w:left="4" w:right="100" w:hanging="4"/>
        <w:spacing w:after="0" w:line="255" w:lineRule="auto"/>
        <w:tabs>
          <w:tab w:leader="none" w:pos="229"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Notice of Adjustments</w:t>
      </w:r>
      <w:r>
        <w:rPr>
          <w:rFonts w:ascii="Arial" w:cs="Arial" w:eastAsia="Arial" w:hAnsi="Arial"/>
          <w:sz w:val="18"/>
          <w:szCs w:val="18"/>
          <w:color w:val="auto"/>
        </w:rPr>
        <w:t xml:space="preserve">. Upon the occurrence of each adjustment pursuant to this </w:t>
      </w:r>
      <w:r>
        <w:rPr>
          <w:rFonts w:ascii="Arial" w:cs="Arial" w:eastAsia="Arial" w:hAnsi="Arial"/>
          <w:sz w:val="18"/>
          <w:szCs w:val="18"/>
          <w:u w:val="single" w:color="auto"/>
          <w:color w:val="auto"/>
        </w:rPr>
        <w:t>Section 9</w:t>
      </w:r>
      <w:r>
        <w:rPr>
          <w:rFonts w:ascii="Arial" w:cs="Arial" w:eastAsia="Arial" w:hAnsi="Arial"/>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92" w:lineRule="exact"/>
        <w:rPr>
          <w:rFonts w:ascii="Arial" w:cs="Arial" w:eastAsia="Arial" w:hAnsi="Arial"/>
          <w:sz w:val="18"/>
          <w:szCs w:val="18"/>
          <w:color w:val="auto"/>
        </w:rPr>
      </w:pPr>
    </w:p>
    <w:p>
      <w:pPr>
        <w:ind w:left="4" w:hanging="4"/>
        <w:spacing w:after="0" w:line="267" w:lineRule="auto"/>
        <w:tabs>
          <w:tab w:leader="none" w:pos="259"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Notice of Corporate Events</w:t>
      </w:r>
      <w:r>
        <w:rPr>
          <w:rFonts w:ascii="Arial" w:cs="Arial" w:eastAsia="Arial" w:hAnsi="Arial"/>
          <w:sz w:val="17"/>
          <w:szCs w:val="17"/>
          <w:color w:val="auto"/>
        </w:rPr>
        <w:t xml:space="preserve">. If, while this Warrant is outstanding, the Company (i) declares a dividend or any other pro rata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failure to deliver such notice or any defect therein shall not affect the validity of the corporate action required to be described in such notice. In the event such notice and the contents thereof shall be deemed to constitute material non-public information, the Company shall (on the same time frame set forth in the immediately prior sentence) offer the Holder the ability to sign a confidentiality agreement related thereto sufficient to allow the Holder to receive such notice, and the Company shall deliver such notice immediately upon execution of such confidentiality agreement. If the holder does not sign the confidentiality agreement, then the Holder shall not receive such notice. In addition, if while this Warrant is outstanding, the Company authorizes or approves, enters into any agreement contemplating or solicits stockholder approval for any Fundamental Transaction contemplated by </w:t>
      </w:r>
      <w:r>
        <w:rPr>
          <w:rFonts w:ascii="Arial" w:cs="Arial" w:eastAsia="Arial" w:hAnsi="Arial"/>
          <w:sz w:val="17"/>
          <w:szCs w:val="17"/>
          <w:u w:val="single" w:color="auto"/>
          <w:color w:val="auto"/>
        </w:rPr>
        <w:t>Section 9(c)</w:t>
      </w:r>
      <w:r>
        <w:rPr>
          <w:rFonts w:ascii="Arial" w:cs="Arial" w:eastAsia="Arial" w:hAnsi="Arial"/>
          <w:sz w:val="17"/>
          <w:szCs w:val="17"/>
          <w:color w:val="auto"/>
        </w:rPr>
        <w:t>, other than a Fundamental Transaction under clause (iii) of Section 9(c), the Company shall deliver to the Holder a notice of such Fundamental Transaction at least thirty (30) days prior to the date such Fundamental Transaction is consummated. Holder agrees to maintain any information disclosed pursuant to this Section 9(g) in confidence until such information is publicly available, and shall comply with applicable law with respect to trading in the Company’s securities following receipt any such information.</w:t>
      </w:r>
    </w:p>
    <w:p>
      <w:pPr>
        <w:spacing w:after="0" w:line="191" w:lineRule="exact"/>
        <w:rPr>
          <w:sz w:val="20"/>
          <w:szCs w:val="20"/>
          <w:color w:val="auto"/>
        </w:rPr>
      </w:pPr>
    </w:p>
    <w:p>
      <w:pPr>
        <w:ind w:left="4" w:right="80" w:hanging="4"/>
        <w:spacing w:after="0" w:line="263" w:lineRule="auto"/>
        <w:tabs>
          <w:tab w:leader="none" w:pos="27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w:t>
      </w:r>
    </w:p>
    <w:p>
      <w:pPr>
        <w:spacing w:after="0" w:line="18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X = Y [(A-B)/A]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“X” equals the number of Warrant Shares to be issued to the Holder;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“Y” equals the total number of Warrant Shares with respect to which this Warrant is then being exercised;</w:t>
      </w:r>
    </w:p>
    <w:p>
      <w:pPr>
        <w:spacing w:after="0" w:line="225"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“A” equals the Closing Sale Price of the shares of Common Stock (as reported by Bloomberg Financial Markets) as of the Trading Day on the date immediately preceding the Exercise Date; and</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“B” equals the Exercise Price per Warrant Share then in effect for the applicable Warrant Shares at the time of such exercise.</w:t>
      </w:r>
    </w:p>
    <w:p>
      <w:pPr>
        <w:spacing w:after="0" w:line="225" w:lineRule="exact"/>
        <w:rPr>
          <w:sz w:val="20"/>
          <w:szCs w:val="20"/>
          <w:color w:val="auto"/>
        </w:rPr>
      </w:pPr>
    </w:p>
    <w:p>
      <w:pPr>
        <w:ind w:left="4" w:right="180"/>
        <w:spacing w:after="0" w:line="301" w:lineRule="auto"/>
        <w:rPr>
          <w:sz w:val="20"/>
          <w:szCs w:val="20"/>
          <w:color w:val="auto"/>
        </w:rPr>
      </w:pPr>
      <w:r>
        <w:rPr>
          <w:rFonts w:ascii="Arial" w:cs="Arial" w:eastAsia="Arial" w:hAnsi="Arial"/>
          <w:sz w:val="16"/>
          <w:szCs w:val="16"/>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 In the event that a registration statement registering the issuance of Warrant Shares is, for any</w:t>
      </w:r>
    </w:p>
    <w:p>
      <w:pPr>
        <w:sectPr>
          <w:pgSz w:w="11900" w:h="16838" w:orient="portrait"/>
          <w:cols w:equalWidth="0" w:num="1">
            <w:col w:w="11004"/>
          </w:cols>
          <w:pgMar w:left="436" w:top="490" w:right="459" w:bottom="1440" w:gutter="0" w:footer="0" w:header="0"/>
        </w:sectPr>
      </w:pPr>
    </w:p>
    <w:bookmarkStart w:id="10" w:name="page11"/>
    <w:bookmarkEnd w:id="10"/>
    <w:p>
      <w:pPr>
        <w:ind w:left="4"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reason, not effective at the time of exercise of this Warrant, then the Warrant may only be exercised through a cashless exercise, as set forth in this Section 10.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 Section 5(b) (Buy-In remedy) and Section 12 (payment of cash in lieu of fractional shares), in no event will the exercise of this Warrant be settled in cash.</w:t>
      </w:r>
    </w:p>
    <w:p>
      <w:pPr>
        <w:spacing w:after="0" w:line="176" w:lineRule="exact"/>
        <w:rPr>
          <w:sz w:val="20"/>
          <w:szCs w:val="20"/>
          <w:color w:val="auto"/>
        </w:rPr>
      </w:pPr>
    </w:p>
    <w:p>
      <w:pPr>
        <w:ind w:left="264" w:hanging="264"/>
        <w:spacing w:after="0"/>
        <w:tabs>
          <w:tab w:leader="none" w:pos="26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Limitations on Exercise</w:t>
      </w:r>
      <w:r>
        <w:rPr>
          <w:rFonts w:ascii="Arial" w:cs="Arial" w:eastAsia="Arial" w:hAnsi="Arial"/>
          <w:sz w:val="18"/>
          <w:szCs w:val="18"/>
          <w:color w:val="auto"/>
        </w:rPr>
        <w:t>.</w:t>
      </w:r>
    </w:p>
    <w:p>
      <w:pPr>
        <w:spacing w:after="0" w:line="225" w:lineRule="exact"/>
        <w:rPr>
          <w:sz w:val="20"/>
          <w:szCs w:val="20"/>
          <w:color w:val="auto"/>
        </w:rPr>
      </w:pPr>
    </w:p>
    <w:p>
      <w:pPr>
        <w:ind w:left="4" w:hanging="4"/>
        <w:spacing w:after="0" w:line="283" w:lineRule="auto"/>
        <w:tabs>
          <w:tab w:leader="none" w:pos="23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Holder of Warrants shall be prohibited from exercising the Holder’s Warrants if, immediately prior to or following such exercise (or portion of such exercise thereof), the Holder, together with its Affiliates and any member of a Section 13(d) group, beneficially owns or would beneficially own as determined in accordance with Section 13(d) of the U.S. Securities Exchange Act of 1934, as amended, and the rules thereunder (the “Exchange Act”) more than 9.99% (the “Beneficial Ownership Limitation”) of the issued and outstanding Common Stock or any other class of equity security (other than an exempted security) of the Company that is registered pursuant to Section 12 of the Exchange Act. For purposes of calculating beneficial ownership, the aggregate number of shares of Common Stock beneficially owned by the Holder, together with its affiliates and any member of the Section 13(d) group, shall include the number of shares of Common Stock issuable upon exercise of the relevant Warrants with respect to which the determination is being made, but shall exclude the number of shares of Common Stock which are issuable upon (i) conversion of the remaining, unconverted Warrants beneficially owned by a Holder, together with its Affiliates and any member of Section 13(d) group, and (ii) exercise or conversion of the unexercised or unconverted portion of any other securities of the Company beneficially owned by such Holder, together with its Affiliates and any member of Section 13(d) group (including, without limitation, any convertible notes, convertible stock or warrants) that are subject to a limitation on conversion or exercise analogous to the limitation contained herein. For purposes of this Section 11(a), beneficial ownership and whether a Holder is a member of a Section 13(d) group shall be calculated and determined in accordance with Section 13(d) of the Exchange Act and the rules promulgated thereunder, it being acknowledged and agreed that the Holder is solely responsible for any schedules required to be filed in accordance therewith. For purposes of the Warrants, in determining the number of outstanding shares of Common Stock, a Holder of Warrants may rely on the number of outstanding shares of Common Stock as reflected in (1) the Company’s most recent Form 10-K, Form 10-Q, Current Report on Form 8-K or other public filing with the Securities and Exchange Commission, as the case may be, (2) a more recent public announcement by the Company, or (3) any other notice by the Company or the Company’s transfer agent setting forth the number of shares of Common Stock outstanding (the “</w:t>
      </w:r>
      <w:r>
        <w:rPr>
          <w:rFonts w:ascii="Arial" w:cs="Arial" w:eastAsia="Arial" w:hAnsi="Arial"/>
          <w:sz w:val="16"/>
          <w:szCs w:val="16"/>
          <w:i w:val="1"/>
          <w:iCs w:val="1"/>
          <w:color w:val="auto"/>
        </w:rPr>
        <w:t>Reported Outstanding Share</w:t>
      </w:r>
      <w:r>
        <w:rPr>
          <w:rFonts w:ascii="Arial" w:cs="Arial" w:eastAsia="Arial" w:hAnsi="Arial"/>
          <w:sz w:val="16"/>
          <w:szCs w:val="16"/>
          <w:color w:val="auto"/>
        </w:rPr>
        <w:t xml:space="preserve"> </w:t>
      </w:r>
      <w:r>
        <w:rPr>
          <w:rFonts w:ascii="Arial" w:cs="Arial" w:eastAsia="Arial" w:hAnsi="Arial"/>
          <w:sz w:val="16"/>
          <w:szCs w:val="16"/>
          <w:i w:val="1"/>
          <w:iCs w:val="1"/>
          <w:color w:val="auto"/>
        </w:rPr>
        <w:t>Number</w:t>
      </w:r>
      <w:r>
        <w:rPr>
          <w:rFonts w:ascii="Arial" w:cs="Arial" w:eastAsia="Arial" w:hAnsi="Arial"/>
          <w:sz w:val="16"/>
          <w:szCs w:val="16"/>
          <w:color w:val="auto"/>
        </w:rPr>
        <w:t>”). If the Company receives an Exercise Notice from the Holder at a time when the actual number of outstanding shares of Common Stock is</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11(a), to exceed the Beneficial Ownership Limitation, the Holder must notify the Company of a reduced number of Warrant Shares to be purchased pursuant to such Exercise Notice (the number of shares by which such purchase is reduced, the “</w:t>
      </w:r>
      <w:r>
        <w:rPr>
          <w:rFonts w:ascii="Arial" w:cs="Arial" w:eastAsia="Arial" w:hAnsi="Arial"/>
          <w:sz w:val="16"/>
          <w:szCs w:val="16"/>
          <w:i w:val="1"/>
          <w:iCs w:val="1"/>
          <w:color w:val="auto"/>
        </w:rPr>
        <w:t>Reduction Shares</w:t>
      </w:r>
      <w:r>
        <w:rPr>
          <w:rFonts w:ascii="Arial" w:cs="Arial" w:eastAsia="Arial" w:hAnsi="Arial"/>
          <w:sz w:val="16"/>
          <w:szCs w:val="16"/>
          <w:color w:val="auto"/>
        </w:rPr>
        <w:t>”) and (ii) as soon as reasonably practicable, the Company shall return to the Holder any exercise price paid by the Holder for the Reduction Shares. For any reason at any time, upon the written or oral request of a Holder of Warrants, the Company shall within two (2) Business Days confirm to such Holder the number of shares of Common Stock then outstanding. In any case, the number of outstanding shares of Common Stock shall be determined after giving effect to the conversion or exercise of securities of the Company, including this Warrant, by the Holder, together with its Affiliates and any member of a Section 13(d) group, since the date as of which the Reported Outstanding Share Number was reported. In the event that the issuance of Common Stock to the Holder upon exercise of this Warrant results in the Holder, together with its Affiliates and any member of a Section 13(d) group, being deemed to beneficially own, in the aggregate, more than the Beneficial Ownership Limitation of the number of outstanding shares of Common Stock (as determined under Section 13(d) of the Exchange Act), the number of shares so issued by which the Holder’s, together with its Affiliates and any member of a Section 13(d) group, aggregate beneficial ownership exceeds the Beneficial Ownership Limitation (the “</w:t>
      </w:r>
      <w:r>
        <w:rPr>
          <w:rFonts w:ascii="Arial" w:cs="Arial" w:eastAsia="Arial" w:hAnsi="Arial"/>
          <w:sz w:val="16"/>
          <w:szCs w:val="16"/>
          <w:i w:val="1"/>
          <w:iCs w:val="1"/>
          <w:color w:val="auto"/>
        </w:rPr>
        <w:t>Excess Shares</w:t>
      </w:r>
      <w:r>
        <w:rPr>
          <w:rFonts w:ascii="Arial" w:cs="Arial" w:eastAsia="Arial" w:hAnsi="Arial"/>
          <w:sz w:val="16"/>
          <w:szCs w:val="16"/>
          <w:color w:val="auto"/>
        </w:rPr>
        <w:t>”) shall be deemed null and void and shall be cancelled ab initio and any portion of this Warrant so exercised shall be reinstated,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Warrants may from time to time increase or decrease the Beneficial Ownership Limitation to any other percentage not in excess of 19.99% (the “</w:t>
      </w:r>
      <w:r>
        <w:rPr>
          <w:rFonts w:ascii="Arial" w:cs="Arial" w:eastAsia="Arial" w:hAnsi="Arial"/>
          <w:sz w:val="16"/>
          <w:szCs w:val="16"/>
          <w:i w:val="1"/>
          <w:iCs w:val="1"/>
          <w:color w:val="auto"/>
        </w:rPr>
        <w:t>Maximum Percentage</w:t>
      </w:r>
      <w:r>
        <w:rPr>
          <w:rFonts w:ascii="Arial" w:cs="Arial" w:eastAsia="Arial" w:hAnsi="Arial"/>
          <w:sz w:val="16"/>
          <w:szCs w:val="16"/>
          <w:color w:val="auto"/>
        </w:rPr>
        <w:t>”) specified in such notice; provided that any increase in the Beneficial Ownership Limitation will not be effective until the sixty-first (61st) day after such notice is delivered to the Company.</w:t>
      </w:r>
    </w:p>
    <w:p>
      <w:pPr>
        <w:sectPr>
          <w:pgSz w:w="11900" w:h="16838" w:orient="portrait"/>
          <w:cols w:equalWidth="0" w:num="1">
            <w:col w:w="11004"/>
          </w:cols>
          <w:pgMar w:left="436" w:top="490" w:right="459" w:bottom="1440" w:gutter="0" w:footer="0" w:header="0"/>
        </w:sectPr>
      </w:pPr>
    </w:p>
    <w:bookmarkStart w:id="11" w:name="page12"/>
    <w:bookmarkEnd w:id="11"/>
    <w:p>
      <w:pPr>
        <w:jc w:val="both"/>
        <w:ind w:left="4" w:right="180" w:hanging="4"/>
        <w:spacing w:after="0" w:line="263" w:lineRule="auto"/>
        <w:tabs>
          <w:tab w:leader="none" w:pos="256"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Arial" w:cs="Arial" w:eastAsia="Arial" w:hAnsi="Arial"/>
          <w:sz w:val="18"/>
          <w:szCs w:val="18"/>
          <w:u w:val="single" w:color="auto"/>
          <w:color w:val="auto"/>
        </w:rPr>
        <w:t>Section 9(c)</w:t>
      </w:r>
      <w:r>
        <w:rPr>
          <w:rFonts w:ascii="Arial" w:cs="Arial" w:eastAsia="Arial" w:hAnsi="Arial"/>
          <w:sz w:val="18"/>
          <w:szCs w:val="18"/>
          <w:color w:val="auto"/>
        </w:rPr>
        <w:t xml:space="preserve"> of this Warrant.</w:t>
      </w:r>
    </w:p>
    <w:p>
      <w:pPr>
        <w:spacing w:after="0" w:line="184" w:lineRule="exact"/>
        <w:rPr>
          <w:sz w:val="20"/>
          <w:szCs w:val="20"/>
          <w:color w:val="auto"/>
        </w:rPr>
      </w:pPr>
    </w:p>
    <w:p>
      <w:pPr>
        <w:jc w:val="both"/>
        <w:ind w:left="4" w:right="260" w:hanging="4"/>
        <w:spacing w:after="0" w:line="286" w:lineRule="auto"/>
        <w:tabs>
          <w:tab w:leader="none" w:pos="274"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No Fractional Shares</w:t>
      </w:r>
      <w:r>
        <w:rPr>
          <w:rFonts w:ascii="Arial" w:cs="Arial" w:eastAsia="Arial" w:hAnsi="Arial"/>
          <w:sz w:val="17"/>
          <w:szCs w:val="17"/>
          <w:color w:val="auto"/>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65" w:lineRule="exact"/>
        <w:rPr>
          <w:rFonts w:ascii="Arial" w:cs="Arial" w:eastAsia="Arial" w:hAnsi="Arial"/>
          <w:sz w:val="17"/>
          <w:szCs w:val="17"/>
          <w:color w:val="auto"/>
        </w:rPr>
      </w:pPr>
    </w:p>
    <w:p>
      <w:pPr>
        <w:ind w:left="4" w:right="40" w:hanging="4"/>
        <w:spacing w:after="0" w:line="272" w:lineRule="auto"/>
        <w:tabs>
          <w:tab w:leader="none" w:pos="274"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spacing w:after="0" w:line="177" w:lineRule="exact"/>
        <w:rPr>
          <w:rFonts w:ascii="Arial" w:cs="Arial" w:eastAsia="Arial" w:hAnsi="Arial"/>
          <w:sz w:val="17"/>
          <w:szCs w:val="17"/>
          <w:color w:val="auto"/>
        </w:rPr>
      </w:pPr>
    </w:p>
    <w:p>
      <w:pPr>
        <w:ind w:left="4" w:hanging="4"/>
        <w:spacing w:after="0" w:line="273" w:lineRule="auto"/>
        <w:tabs>
          <w:tab w:leader="none" w:pos="271"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Warrant Agent</w:t>
      </w:r>
      <w:r>
        <w:rPr>
          <w:rFonts w:ascii="Arial" w:cs="Arial" w:eastAsia="Arial" w:hAnsi="Arial"/>
          <w:sz w:val="17"/>
          <w:szCs w:val="17"/>
          <w:color w:val="auto"/>
        </w:rPr>
        <w:t>.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stockholders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77" w:lineRule="exact"/>
        <w:rPr>
          <w:rFonts w:ascii="Arial" w:cs="Arial" w:eastAsia="Arial" w:hAnsi="Arial"/>
          <w:sz w:val="17"/>
          <w:szCs w:val="17"/>
          <w:color w:val="auto"/>
        </w:rPr>
      </w:pPr>
    </w:p>
    <w:p>
      <w:pPr>
        <w:ind w:left="264" w:hanging="264"/>
        <w:spacing w:after="0"/>
        <w:tabs>
          <w:tab w:leader="none" w:pos="26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4" w:right="100" w:hanging="4"/>
        <w:spacing w:after="0" w:line="290"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No Rights as a Stockholder</w:t>
      </w:r>
      <w:r>
        <w:rPr>
          <w:rFonts w:ascii="Arial" w:cs="Arial" w:eastAsia="Arial" w:hAnsi="Arial"/>
          <w:sz w:val="16"/>
          <w:szCs w:val="16"/>
          <w:color w:val="auto"/>
        </w:rPr>
        <w:t>. Except as otherwise set forth in this Warrant,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65" w:lineRule="exact"/>
        <w:rPr>
          <w:rFonts w:ascii="Arial" w:cs="Arial" w:eastAsia="Arial" w:hAnsi="Arial"/>
          <w:sz w:val="16"/>
          <w:szCs w:val="16"/>
          <w:color w:val="auto"/>
        </w:rPr>
      </w:pPr>
    </w:p>
    <w:p>
      <w:pPr>
        <w:ind w:left="4" w:right="80" w:hanging="4"/>
        <w:spacing w:after="0" w:line="289"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Authorized Shares</w:t>
      </w:r>
      <w:r>
        <w:rPr>
          <w:rFonts w:ascii="Arial" w:cs="Arial" w:eastAsia="Arial" w:hAnsi="Arial"/>
          <w:sz w:val="16"/>
          <w:szCs w:val="16"/>
          <w:color w:val="auto"/>
        </w:rPr>
        <w:t>.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ectPr>
          <w:pgSz w:w="11900" w:h="16838" w:orient="portrait"/>
          <w:cols w:equalWidth="0" w:num="1">
            <w:col w:w="11004"/>
          </w:cols>
          <w:pgMar w:left="436" w:top="490" w:right="459" w:bottom="1440" w:gutter="0" w:footer="0" w:header="0"/>
        </w:sectPr>
      </w:pPr>
    </w:p>
    <w:bookmarkStart w:id="12" w:name="page13"/>
    <w:bookmarkEnd w:id="12"/>
    <w:p>
      <w:pPr>
        <w:jc w:val="both"/>
        <w:ind w:left="4" w:right="580" w:hanging="4"/>
        <w:spacing w:after="0" w:line="263" w:lineRule="auto"/>
        <w:tabs>
          <w:tab w:leader="none" w:pos="269"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4" w:lineRule="exact"/>
        <w:rPr>
          <w:sz w:val="20"/>
          <w:szCs w:val="20"/>
          <w:color w:val="auto"/>
        </w:rPr>
      </w:pPr>
    </w:p>
    <w:p>
      <w:pPr>
        <w:ind w:left="4" w:right="160" w:hanging="4"/>
        <w:spacing w:after="0" w:line="273" w:lineRule="auto"/>
        <w:tabs>
          <w:tab w:leader="none" w:pos="249"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Subject to the restrictions on transfer set forth in this Warrant and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177" w:lineRule="exact"/>
        <w:rPr>
          <w:rFonts w:ascii="Arial" w:cs="Arial" w:eastAsia="Arial" w:hAnsi="Arial"/>
          <w:sz w:val="17"/>
          <w:szCs w:val="17"/>
          <w:color w:val="auto"/>
        </w:rPr>
      </w:pPr>
    </w:p>
    <w:p>
      <w:pPr>
        <w:ind w:left="4" w:right="260" w:hanging="4"/>
        <w:spacing w:after="0" w:line="277"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this Warrant may be modified or amended or the provisions hereof waived with the written consent of the Company and the Holder.</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Acceptance</w:t>
      </w:r>
      <w:r>
        <w:rPr>
          <w:rFonts w:ascii="Arial" w:cs="Arial" w:eastAsia="Arial" w:hAnsi="Arial"/>
          <w:sz w:val="16"/>
          <w:szCs w:val="16"/>
          <w:color w:val="auto"/>
        </w:rPr>
        <w:t>. Receipt of this Warrant by the Holder shall constitute acceptance of and agreement to all of the terms and conditions contained herein.</w:t>
      </w:r>
    </w:p>
    <w:p>
      <w:pPr>
        <w:spacing w:after="0" w:line="248" w:lineRule="exact"/>
        <w:rPr>
          <w:rFonts w:ascii="Arial" w:cs="Arial" w:eastAsia="Arial" w:hAnsi="Arial"/>
          <w:sz w:val="16"/>
          <w:szCs w:val="16"/>
          <w:color w:val="auto"/>
        </w:rPr>
      </w:pPr>
    </w:p>
    <w:p>
      <w:pPr>
        <w:ind w:left="4" w:hanging="4"/>
        <w:spacing w:after="0" w:line="252" w:lineRule="auto"/>
        <w:tabs>
          <w:tab w:leader="none" w:pos="229"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95" w:lineRule="exact"/>
        <w:rPr>
          <w:rFonts w:ascii="Arial" w:cs="Arial" w:eastAsia="Arial" w:hAnsi="Arial"/>
          <w:sz w:val="18"/>
          <w:szCs w:val="18"/>
          <w:color w:val="auto"/>
        </w:rPr>
      </w:pPr>
    </w:p>
    <w:p>
      <w:pPr>
        <w:ind w:left="4" w:right="100" w:hanging="4"/>
        <w:spacing w:after="0" w:line="277" w:lineRule="auto"/>
        <w:tabs>
          <w:tab w:leader="none" w:pos="259"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Warrant and shall not be deemed to limit or affect any of the provisions hereof.</w:t>
      </w:r>
    </w:p>
    <w:p>
      <w:pPr>
        <w:spacing w:after="0" w:line="170" w:lineRule="exact"/>
        <w:rPr>
          <w:rFonts w:ascii="Arial" w:cs="Arial" w:eastAsia="Arial" w:hAnsi="Arial"/>
          <w:sz w:val="18"/>
          <w:szCs w:val="18"/>
          <w:color w:val="auto"/>
        </w:rPr>
      </w:pPr>
    </w:p>
    <w:p>
      <w:pPr>
        <w:jc w:val="both"/>
        <w:ind w:left="4" w:hanging="4"/>
        <w:spacing w:after="0" w:line="259" w:lineRule="auto"/>
        <w:tabs>
          <w:tab w:leader="none" w:pos="259"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024"/>
          </w:cols>
          <w:pgMar w:left="436" w:top="490" w:right="4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Company has caused this Warrant to be duly executed by its authorized officer as of the date first indicated above.</w:t>
      </w:r>
    </w:p>
    <w:p>
      <w:pPr>
        <w:spacing w:after="0" w:line="27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TANGO THERAPEUTICS, INC.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480"/>
          </w:cols>
          <w:pgMar w:left="440" w:top="490" w:right="979" w:bottom="1440" w:gutter="0" w:footer="0" w:header="0"/>
        </w:sectPr>
      </w:pPr>
    </w:p>
    <w:bookmarkStart w:id="14" w:name="page15"/>
    <w:bookmarkEnd w:id="14"/>
    <w:p>
      <w:pPr>
        <w:jc w:val="center"/>
        <w:ind w:right="-63"/>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1</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FORM OF EXERCISE NOTICE</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[To be executed by the Holder to purchase shares of Common Stock under the Warrant]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340" w:hanging="4"/>
        <w:spacing w:after="0" w:line="277" w:lineRule="auto"/>
        <w:tabs>
          <w:tab w:leader="none" w:pos="2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undersigned is the Holder of Warrant No. __ (the “</w:t>
      </w:r>
      <w:r>
        <w:rPr>
          <w:rFonts w:ascii="Arial" w:cs="Arial" w:eastAsia="Arial" w:hAnsi="Arial"/>
          <w:sz w:val="18"/>
          <w:szCs w:val="18"/>
          <w:i w:val="1"/>
          <w:iCs w:val="1"/>
          <w:color w:val="auto"/>
        </w:rPr>
        <w:t>Warrant</w:t>
      </w:r>
      <w:r>
        <w:rPr>
          <w:rFonts w:ascii="Arial" w:cs="Arial" w:eastAsia="Arial" w:hAnsi="Arial"/>
          <w:sz w:val="18"/>
          <w:szCs w:val="18"/>
          <w:color w:val="auto"/>
        </w:rPr>
        <w:t>”) issued by Tango Therapeutics,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Capitalized terms used herein and not otherwise defined herein have the respective meanings set forth in the Warrant.</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undersigned hereby exercises its right to purchase Warrant Shares pursuant to the Warrant.</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 intends that payment of the Exercise Price shall be made as (check one):</w:t>
      </w:r>
    </w:p>
    <w:p>
      <w:pPr>
        <w:spacing w:after="0" w:line="207" w:lineRule="exact"/>
        <w:rPr>
          <w:sz w:val="20"/>
          <w:szCs w:val="20"/>
          <w:color w:val="auto"/>
        </w:rPr>
      </w:pPr>
    </w:p>
    <w:p>
      <w:pPr>
        <w:ind w:left="364"/>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Cash Exercise</w:t>
      </w:r>
    </w:p>
    <w:p>
      <w:pPr>
        <w:spacing w:after="0" w:line="117" w:lineRule="exact"/>
        <w:rPr>
          <w:sz w:val="20"/>
          <w:szCs w:val="20"/>
          <w:color w:val="auto"/>
        </w:rPr>
      </w:pPr>
    </w:p>
    <w:p>
      <w:pPr>
        <w:ind w:left="364"/>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“Cashless Exercise” under Section 10 of the Warrant</w:t>
      </w:r>
    </w:p>
    <w:p>
      <w:pPr>
        <w:spacing w:after="0" w:line="270" w:lineRule="exact"/>
        <w:rPr>
          <w:sz w:val="20"/>
          <w:szCs w:val="20"/>
          <w:color w:val="auto"/>
        </w:rPr>
      </w:pPr>
    </w:p>
    <w:p>
      <w:pPr>
        <w:ind w:left="4" w:right="120" w:hanging="4"/>
        <w:spacing w:after="0" w:line="277" w:lineRule="auto"/>
        <w:tabs>
          <w:tab w:leader="none" w:pos="2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Holder has elected a Cash Exercise, the Holder shall pay the sum of $ in immediately available funds to the Company in accordance with the terms of the Warrant.</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25"/>
        </w:numPr>
        <w:rPr>
          <w:rFonts w:ascii="Arial" w:cs="Arial" w:eastAsia="Arial" w:hAnsi="Arial"/>
          <w:sz w:val="16"/>
          <w:szCs w:val="16"/>
          <w:color w:val="auto"/>
        </w:rPr>
      </w:pPr>
      <w:r>
        <w:rPr>
          <w:rFonts w:ascii="Arial" w:cs="Arial" w:eastAsia="Arial" w:hAnsi="Arial"/>
          <w:sz w:val="16"/>
          <w:szCs w:val="16"/>
          <w:color w:val="auto"/>
        </w:rPr>
        <w:t>Pursuant to this Exercise Notice, the Company shall deliver to the Holder Warrant Shares determined in accordance with the terms of the Warrant.</w:t>
      </w:r>
    </w:p>
    <w:p>
      <w:pPr>
        <w:spacing w:after="0" w:line="248" w:lineRule="exact"/>
        <w:rPr>
          <w:rFonts w:ascii="Arial" w:cs="Arial" w:eastAsia="Arial" w:hAnsi="Arial"/>
          <w:sz w:val="16"/>
          <w:szCs w:val="16"/>
          <w:color w:val="auto"/>
        </w:rPr>
      </w:pPr>
    </w:p>
    <w:p>
      <w:pPr>
        <w:ind w:left="4" w:hanging="4"/>
        <w:spacing w:after="0" w:line="286" w:lineRule="auto"/>
        <w:tabs>
          <w:tab w:leader="none" w:pos="259"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Arial" w:cs="Arial" w:eastAsia="Arial" w:hAnsi="Arial"/>
          <w:sz w:val="17"/>
          <w:szCs w:val="17"/>
          <w:u w:val="single" w:color="auto"/>
          <w:color w:val="auto"/>
        </w:rPr>
        <w:t>Section 11(a)</w:t>
      </w:r>
      <w:r>
        <w:rPr>
          <w:rFonts w:ascii="Arial" w:cs="Arial" w:eastAsia="Arial" w:hAnsi="Arial"/>
          <w:sz w:val="17"/>
          <w:szCs w:val="17"/>
          <w:color w:val="auto"/>
        </w:rPr>
        <w:t xml:space="preserve"> of the Warrant to which this notice relates.</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14605</wp:posOffset>
            </wp:positionV>
            <wp:extent cx="22885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14605</wp:posOffset>
            </wp:positionV>
            <wp:extent cx="22885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Holder: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14605</wp:posOffset>
            </wp:positionV>
            <wp:extent cx="22885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0"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14605</wp:posOffset>
            </wp:positionV>
            <wp:extent cx="22885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14605</wp:posOffset>
            </wp:positionV>
            <wp:extent cx="22885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must conform in all respects to name of Holder as specified on the face of the Warrant)</w:t>
      </w:r>
    </w:p>
    <w:p>
      <w:pPr>
        <w:sectPr>
          <w:pgSz w:w="11900" w:h="16838" w:orient="portrait"/>
          <w:cols w:equalWidth="0" w:num="1">
            <w:col w:w="10944"/>
          </w:cols>
          <w:pgMar w:left="436" w:top="490" w:right="51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12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This Securities Purchase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August 10, 2023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among Tango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purchasers whose names and addresses are set forth on the signature pages hereof (each, a “</w:t>
      </w:r>
      <w:r>
        <w:rPr>
          <w:rFonts w:ascii="Arial" w:cs="Arial" w:eastAsia="Arial" w:hAnsi="Arial"/>
          <w:sz w:val="18"/>
          <w:szCs w:val="18"/>
          <w:b w:val="1"/>
          <w:bCs w:val="1"/>
          <w:i w:val="1"/>
          <w:iCs w:val="1"/>
          <w:color w:val="auto"/>
        </w:rPr>
        <w:t>Purchaser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Purchasers</w:t>
      </w:r>
      <w:r>
        <w:rPr>
          <w:rFonts w:ascii="Arial" w:cs="Arial" w:eastAsia="Arial" w:hAnsi="Arial"/>
          <w:sz w:val="18"/>
          <w:szCs w:val="18"/>
          <w:color w:val="auto"/>
        </w:rPr>
        <w:t>”).</w:t>
      </w:r>
    </w:p>
    <w:p>
      <w:pPr>
        <w:spacing w:after="0" w:line="180" w:lineRule="exact"/>
        <w:rPr>
          <w:sz w:val="20"/>
          <w:szCs w:val="20"/>
          <w:color w:val="auto"/>
        </w:rPr>
      </w:pPr>
    </w:p>
    <w:p>
      <w:pPr>
        <w:ind w:right="32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Purchasers desire to purchase, severally and not jointly, and the Company has agreed to sell, 13,196,671 shares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common stock, par value $0.001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xml:space="preserve">”) and 2,340,579 pre-funded warrants to purchase Common Stock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Pre-Funded Warrants</w:t>
      </w:r>
      <w:r>
        <w:rPr>
          <w:rFonts w:ascii="Arial" w:cs="Arial" w:eastAsia="Arial" w:hAnsi="Arial"/>
          <w:sz w:val="18"/>
          <w:szCs w:val="18"/>
          <w:color w:val="auto"/>
        </w:rPr>
        <w:t>”), for a purchase price of $5.15 per share and $5.1499 per Pre-Funded Warrant and aggregate gross proceeds to the Company of approximately $80 million.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In consideration of the mutual covenants contained in this Agreement, and for other good and valuable consideration, the receipt and sufficiency of which are hereby acknowledged, the Company and the Purchasers hereby agree, severally and not jointly,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AUTHORIZATION OF SALE OF SECURITIES.</w:t>
      </w:r>
    </w:p>
    <w:p>
      <w:pPr>
        <w:spacing w:after="0" w:line="229"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 xml:space="preserve">The Company has authorized the sale and issuance of shares of its Common Stock and Pre-Funded Warrants to the Purchasers on the terms and subject to the conditions set forth in this Agreement. The shares of Common Stock that may be sold to the Purchasers hereunder at the Closing (as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 shall be referred to as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AGREEMENT TO SELL AND PURCHASE THE SHARES.</w:t>
      </w:r>
    </w:p>
    <w:p>
      <w:pPr>
        <w:spacing w:after="0" w:line="229"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Purchase</w:t>
      </w:r>
      <w:r>
        <w:rPr>
          <w:rFonts w:ascii="Arial" w:cs="Arial" w:eastAsia="Arial" w:hAnsi="Arial"/>
          <w:sz w:val="18"/>
          <w:szCs w:val="18"/>
          <w:color w:val="auto"/>
        </w:rPr>
        <w:t xml:space="preserve">. At the Closing, the Company will issue, sell and deliver to each Purchaser, and such Purchaser will purchase from the Company, that number of Shares and/or Pre-Funded Warrants set forth opposite such Purchaser’s name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for the aggregate purchase price set forth therein (the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w:t>
      </w:r>
    </w:p>
    <w:p>
      <w:pPr>
        <w:spacing w:after="0" w:line="184"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in addition to terms otherwise defined herein, the following terms shall have the following meanings:</w:t>
      </w:r>
    </w:p>
    <w:p>
      <w:pPr>
        <w:spacing w:after="0" w:line="170" w:lineRule="exact"/>
        <w:rPr>
          <w:sz w:val="20"/>
          <w:szCs w:val="20"/>
          <w:color w:val="auto"/>
        </w:rPr>
      </w:pPr>
    </w:p>
    <w:p>
      <w:pPr>
        <w:ind w:right="360" w:firstLine="987"/>
        <w:spacing w:after="0" w:line="342" w:lineRule="auto"/>
        <w:tabs>
          <w:tab w:leader="none" w:pos="1236"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xml:space="preserve">” means any Person that, directly or indirectly through one or more intermediaries, controls or is controlled by or is under common control with a Person as such terms are used in and construed under Rule 405 under the Securities Act (as defined in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below).</w:t>
      </w:r>
    </w:p>
    <w:p>
      <w:pPr>
        <w:spacing w:after="0" w:line="123" w:lineRule="exact"/>
        <w:rPr>
          <w:rFonts w:ascii="Arial" w:cs="Arial" w:eastAsia="Arial" w:hAnsi="Arial"/>
          <w:sz w:val="16"/>
          <w:szCs w:val="16"/>
          <w:color w:val="auto"/>
        </w:rPr>
      </w:pPr>
    </w:p>
    <w:p>
      <w:pPr>
        <w:ind w:left="1240" w:hanging="253"/>
        <w:spacing w:after="0"/>
        <w:tabs>
          <w:tab w:leader="none" w:pos="1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a day, other than a Saturday or Sunday, on which banks in New York City are open for the general transaction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business.</w:t>
      </w:r>
    </w:p>
    <w:p>
      <w:pPr>
        <w:spacing w:after="0" w:line="210" w:lineRule="exact"/>
        <w:rPr>
          <w:rFonts w:ascii="Arial" w:cs="Arial" w:eastAsia="Arial" w:hAnsi="Arial"/>
          <w:sz w:val="16"/>
          <w:szCs w:val="16"/>
          <w:color w:val="auto"/>
        </w:rPr>
      </w:pPr>
    </w:p>
    <w:p>
      <w:pPr>
        <w:ind w:right="120" w:firstLine="987"/>
        <w:spacing w:after="0" w:line="263" w:lineRule="auto"/>
        <w:tabs>
          <w:tab w:leader="none" w:pos="12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 Equivalents</w:t>
      </w:r>
      <w:r>
        <w:rPr>
          <w:rFonts w:ascii="Arial" w:cs="Arial" w:eastAsia="Arial" w:hAnsi="Arial"/>
          <w:sz w:val="18"/>
          <w:szCs w:val="18"/>
          <w:color w:val="auto"/>
        </w:rPr>
        <w:t>” shall mean any securities of the Company that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w:t>
      </w:r>
    </w:p>
    <w:p>
      <w:pPr>
        <w:sectPr>
          <w:pgSz w:w="11900" w:h="16838" w:orient="portrait"/>
          <w:cols w:equalWidth="0" w:num="1">
            <w:col w:w="11020"/>
          </w:cols>
          <w:pgMar w:left="440" w:top="121" w:right="439" w:bottom="1440" w:gutter="0" w:footer="0" w:header="0"/>
        </w:sectPr>
      </w:pPr>
    </w:p>
    <w:bookmarkStart w:id="16" w:name="page17"/>
    <w:bookmarkEnd w:id="16"/>
    <w:p>
      <w:pPr>
        <w:jc w:val="both"/>
        <w:ind w:right="180" w:firstLine="987"/>
        <w:spacing w:after="0" w:line="259" w:lineRule="auto"/>
        <w:tabs>
          <w:tab w:leader="none" w:pos="1246"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b w:val="1"/>
          <w:bCs w:val="1"/>
          <w:i w:val="1"/>
          <w:iCs w:val="1"/>
          <w:color w:val="auto"/>
        </w:rPr>
        <w:t>Disclosure Time</w:t>
      </w:r>
      <w:r>
        <w:rPr>
          <w:rFonts w:ascii="Arial" w:cs="Arial" w:eastAsia="Arial" w:hAnsi="Arial"/>
          <w:sz w:val="18"/>
          <w:szCs w:val="18"/>
          <w:color w:val="auto"/>
        </w:rPr>
        <w:t>” means, (i) if this Agreement is signed on a day that is not a Business Day or after 9:00 a.m. (New York City time) and before midnight (New York City time) on any Business Day, 9:01 a.m. (New York City time) on the Business Day immediately following the date hereof and (ii) if this Agreement is signed between midnight (New York City time) and 9:00 a.m. (New York City time) on any Business Day, no later than 9:01 a.m. (New York City time) on the date hereof.</w:t>
      </w:r>
    </w:p>
    <w:p>
      <w:pPr>
        <w:spacing w:after="0" w:line="186" w:lineRule="exact"/>
        <w:rPr>
          <w:rFonts w:ascii="Arial" w:cs="Arial" w:eastAsia="Arial" w:hAnsi="Arial"/>
          <w:sz w:val="18"/>
          <w:szCs w:val="18"/>
          <w:color w:val="auto"/>
        </w:rPr>
      </w:pPr>
    </w:p>
    <w:p>
      <w:pPr>
        <w:ind w:firstLine="987"/>
        <w:spacing w:after="0" w:line="269" w:lineRule="auto"/>
        <w:tabs>
          <w:tab w:leader="none" w:pos="12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Exempt Issuance</w:t>
      </w:r>
      <w:r>
        <w:rPr>
          <w:rFonts w:ascii="Arial" w:cs="Arial" w:eastAsia="Arial" w:hAnsi="Arial"/>
          <w:sz w:val="17"/>
          <w:szCs w:val="17"/>
          <w:color w:val="auto"/>
        </w:rPr>
        <w:t>” means the issuance of (i) shares of Common Stock or options to employees, consultants,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(ii)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(iii) securities issued pursuant to acquisitions or strategic transactions approved by a majority of the disinterested directors of the Company,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78" w:lineRule="exact"/>
        <w:rPr>
          <w:rFonts w:ascii="Arial" w:cs="Arial" w:eastAsia="Arial" w:hAnsi="Arial"/>
          <w:sz w:val="17"/>
          <w:szCs w:val="17"/>
          <w:color w:val="auto"/>
        </w:rPr>
      </w:pPr>
    </w:p>
    <w:p>
      <w:pPr>
        <w:ind w:right="720" w:firstLine="987"/>
        <w:spacing w:after="0" w:line="342" w:lineRule="auto"/>
        <w:tabs>
          <w:tab w:leader="none" w:pos="1216" w:val="left"/>
        </w:tabs>
        <w:numPr>
          <w:ilvl w:val="0"/>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Law</w:t>
      </w:r>
      <w:r>
        <w:rPr>
          <w:rFonts w:ascii="Arial" w:cs="Arial" w:eastAsia="Arial" w:hAnsi="Arial"/>
          <w:sz w:val="16"/>
          <w:szCs w:val="16"/>
          <w:color w:val="auto"/>
        </w:rPr>
        <w:t>” means any federal, state, local or foreign law (including common law), statute, code, ordinance, rule, regulation, order, judgment, writ, stipulation, action, award, injunction, decree, arbitration award or finding or any other legally enforceable requirement.</w:t>
      </w:r>
    </w:p>
    <w:p>
      <w:pPr>
        <w:spacing w:after="0" w:line="123" w:lineRule="exact"/>
        <w:rPr>
          <w:rFonts w:ascii="Arial" w:cs="Arial" w:eastAsia="Arial" w:hAnsi="Arial"/>
          <w:sz w:val="16"/>
          <w:szCs w:val="16"/>
          <w:color w:val="auto"/>
        </w:rPr>
      </w:pPr>
    </w:p>
    <w:p>
      <w:pPr>
        <w:ind w:right="480" w:firstLine="987"/>
        <w:spacing w:after="0" w:line="263" w:lineRule="auto"/>
        <w:tabs>
          <w:tab w:leader="none" w:pos="12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means the Shares, the Pre-Funded Warrants and the Warrant Shares.</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Market</w:t>
      </w:r>
      <w:r>
        <w:rPr>
          <w:rFonts w:ascii="Arial" w:cs="Arial" w:eastAsia="Arial" w:hAnsi="Arial"/>
          <w:sz w:val="18"/>
          <w:szCs w:val="18"/>
          <w:color w:val="auto"/>
        </w:rPr>
        <w:t>” means the Nasdaq Global Market.</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 Shares</w:t>
      </w:r>
      <w:r>
        <w:rPr>
          <w:rFonts w:ascii="Arial" w:cs="Arial" w:eastAsia="Arial" w:hAnsi="Arial"/>
          <w:sz w:val="18"/>
          <w:szCs w:val="18"/>
          <w:color w:val="auto"/>
        </w:rPr>
        <w:t>” means the shares of Common Stock issuable upon exercise of the Pre-Funded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CLOSING, CLOSING CONDITIONS AND CLOSING DELIVERIES.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the purchase and sale of the Shares and Pre-Funded Warrants pursuant to this Agreement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shall occur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 later than 5:00 p.m., Pacific time, on August 11, 2023, subject to the satisfaction or waiver of all of conditions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and the delivery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all of the closing deliveries set forth in Section 3.3 or such later date as mutually agreed to by the Company and such Purchaser (such date,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remotely by electronic exchange of documents. At or prior to the Closing, each of the Company and the Purchasers shall execute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related agreements or other documents required hereunder to be executed as of the Closing hereunder, each dated as of the date of the Closing.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490" w:right="45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3.2 </w:t>
      </w: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225" w:lineRule="exact"/>
        <w:rPr>
          <w:sz w:val="20"/>
          <w:szCs w:val="20"/>
          <w:color w:val="auto"/>
        </w:rPr>
      </w:pPr>
    </w:p>
    <w:p>
      <w:pPr>
        <w:ind w:right="60" w:firstLine="987"/>
        <w:spacing w:after="0" w:line="255" w:lineRule="auto"/>
        <w:tabs>
          <w:tab w:leader="none" w:pos="123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Mutual Closing Condition</w:t>
      </w:r>
      <w:r>
        <w:rPr>
          <w:rFonts w:ascii="Arial" w:cs="Arial" w:eastAsia="Arial" w:hAnsi="Arial"/>
          <w:sz w:val="18"/>
          <w:szCs w:val="18"/>
          <w:color w:val="auto"/>
        </w:rPr>
        <w:t>. The Company’s and each Purchaser’s obligation to purchase the Shares and/or Pre-Funded Warrants (as applicable) at the Closing is subject to the fulfillment, on or before the Closing, of the following condition, unless waived by the Company and such Purchaser solely as to itself: there shall have been no Law enacted, entered, promulgated, enforced or deemed applicable by any governmental authority of competent jurisdiction that is in effect and makes illegal or otherwise prohibits or materially delays the consummation of the Closing, and the Company shall have obtained all governmental, regulatory or third party consents and approvals, if any, necessary for the sale and issuance of the Securities.</w:t>
      </w:r>
    </w:p>
    <w:p>
      <w:pPr>
        <w:spacing w:after="0" w:line="192" w:lineRule="exact"/>
        <w:rPr>
          <w:rFonts w:ascii="Arial" w:cs="Arial" w:eastAsia="Arial" w:hAnsi="Arial"/>
          <w:sz w:val="18"/>
          <w:szCs w:val="18"/>
          <w:color w:val="auto"/>
        </w:rPr>
      </w:pPr>
    </w:p>
    <w:p>
      <w:pPr>
        <w:ind w:right="80" w:firstLine="987"/>
        <w:spacing w:after="0" w:line="263" w:lineRule="auto"/>
        <w:tabs>
          <w:tab w:leader="none" w:pos="124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Conditions to Purchaser’s Obligations</w:t>
      </w:r>
      <w:r>
        <w:rPr>
          <w:rFonts w:ascii="Arial" w:cs="Arial" w:eastAsia="Arial" w:hAnsi="Arial"/>
          <w:sz w:val="18"/>
          <w:szCs w:val="18"/>
          <w:color w:val="auto"/>
        </w:rPr>
        <w:t>. Each Purchaser’s obligation to purchase the Shares and/or Pre-Funded Warrants (as applicable) at the Closing is subject to the fulfillment, on or before the Closing, of each of the following conditions, unless waived by such Purchaser solely as to itself:</w:t>
      </w:r>
    </w:p>
    <w:p>
      <w:pPr>
        <w:spacing w:after="0" w:line="183" w:lineRule="exact"/>
        <w:rPr>
          <w:rFonts w:ascii="Arial" w:cs="Arial" w:eastAsia="Arial" w:hAnsi="Arial"/>
          <w:sz w:val="18"/>
          <w:szCs w:val="18"/>
          <w:color w:val="auto"/>
        </w:rPr>
      </w:pPr>
    </w:p>
    <w:p>
      <w:pPr>
        <w:ind w:right="80" w:firstLine="1428"/>
        <w:spacing w:after="0" w:line="263" w:lineRule="auto"/>
        <w:tabs>
          <w:tab w:leader="none" w:pos="16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The Company’s representations and warranties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be true and correct in all respects as of the date hereof and as of the Closing Date (unless such representation or warranty was made as of a specific date, in which case such representation and warranty shall be true and correct as of such date).</w:t>
      </w:r>
    </w:p>
    <w:p>
      <w:pPr>
        <w:spacing w:after="0" w:line="183" w:lineRule="exact"/>
        <w:rPr>
          <w:rFonts w:ascii="Arial" w:cs="Arial" w:eastAsia="Arial" w:hAnsi="Arial"/>
          <w:sz w:val="18"/>
          <w:szCs w:val="18"/>
          <w:color w:val="auto"/>
        </w:rPr>
      </w:pPr>
    </w:p>
    <w:p>
      <w:pPr>
        <w:ind w:right="160" w:firstLine="1428"/>
        <w:spacing w:after="0" w:line="342" w:lineRule="auto"/>
        <w:tabs>
          <w:tab w:leader="none" w:pos="1694"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Company shall have performed and complied with in all material respects all agreements and conditions herein required to be performed or complied with by the Company hereunder on or before the Closing, or any breach or failure to do so has been cured.</w:t>
      </w:r>
    </w:p>
    <w:p>
      <w:pPr>
        <w:spacing w:after="0" w:line="123" w:lineRule="exact"/>
        <w:rPr>
          <w:rFonts w:ascii="Arial" w:cs="Arial" w:eastAsia="Arial" w:hAnsi="Arial"/>
          <w:sz w:val="16"/>
          <w:szCs w:val="16"/>
          <w:color w:val="auto"/>
        </w:rPr>
      </w:pPr>
    </w:p>
    <w:p>
      <w:pPr>
        <w:ind w:left="1740" w:hanging="312"/>
        <w:spacing w:after="0"/>
        <w:tabs>
          <w:tab w:leader="none" w:pos="1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w:t>
      </w:r>
    </w:p>
    <w:p>
      <w:pPr>
        <w:spacing w:after="0" w:line="225" w:lineRule="exact"/>
        <w:rPr>
          <w:rFonts w:ascii="Arial" w:cs="Arial" w:eastAsia="Arial" w:hAnsi="Arial"/>
          <w:sz w:val="18"/>
          <w:szCs w:val="18"/>
          <w:color w:val="auto"/>
        </w:rPr>
      </w:pPr>
    </w:p>
    <w:p>
      <w:pPr>
        <w:ind w:left="1720" w:hanging="292"/>
        <w:spacing w:after="0"/>
        <w:tabs>
          <w:tab w:leader="none" w:pos="1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the items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that it is required to deliver.</w:t>
      </w:r>
    </w:p>
    <w:p>
      <w:pPr>
        <w:spacing w:after="0" w:line="225" w:lineRule="exact"/>
        <w:rPr>
          <w:rFonts w:ascii="Arial" w:cs="Arial" w:eastAsia="Arial" w:hAnsi="Arial"/>
          <w:sz w:val="18"/>
          <w:szCs w:val="18"/>
          <w:color w:val="auto"/>
        </w:rPr>
      </w:pPr>
    </w:p>
    <w:p>
      <w:pPr>
        <w:ind w:firstLine="1428"/>
        <w:spacing w:after="0" w:line="255" w:lineRule="auto"/>
        <w:tabs>
          <w:tab w:leader="none" w:pos="1687" w:val="left"/>
        </w:tabs>
        <w:numPr>
          <w:ilvl w:val="1"/>
          <w:numId w:val="28"/>
        </w:numPr>
        <w:rPr>
          <w:rFonts w:ascii="Arial" w:cs="Arial" w:eastAsia="Arial" w:hAnsi="Arial"/>
          <w:sz w:val="18"/>
          <w:szCs w:val="18"/>
          <w:color w:val="auto"/>
        </w:rPr>
      </w:pPr>
      <w:r>
        <w:rPr>
          <w:rFonts w:ascii="Arial" w:cs="Arial" w:eastAsia="Arial" w:hAnsi="Arial"/>
          <w:sz w:val="18"/>
          <w:szCs w:val="18"/>
          <w:color w:val="auto"/>
        </w:rPr>
        <w:t>From the date hereof to the Closing Date, trading in the Common Stock shall not have been suspended by the Commission or the Trading Market, nor shall suspension have been threatened either (A) in writing by the Commission or the Trading Market or (B) by falling below the minimum maintenance requirements of the Trading Market, and, at any time prior to the Closing Date, trading in securities generally as reported by Bloomberg L.P. shall not have been suspended or limited, or minimum prices shall not have been established on securities whose trades are reported by such service, or on the New York Stock Exchange, the NYSE American or the Nasdaq Stock Market, nor shall a banking moratorium have been declared either by the United States or New York State authorities.</w:t>
      </w:r>
    </w:p>
    <w:p>
      <w:pPr>
        <w:spacing w:after="0" w:line="192" w:lineRule="exact"/>
        <w:rPr>
          <w:rFonts w:ascii="Arial" w:cs="Arial" w:eastAsia="Arial" w:hAnsi="Arial"/>
          <w:sz w:val="18"/>
          <w:szCs w:val="18"/>
          <w:color w:val="auto"/>
        </w:rPr>
      </w:pPr>
    </w:p>
    <w:p>
      <w:pPr>
        <w:ind w:right="300" w:firstLine="1428"/>
        <w:spacing w:after="0" w:line="277" w:lineRule="auto"/>
        <w:tabs>
          <w:tab w:leader="none" w:pos="1734"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shall have filed with the Trading Market an application for the listing of the Shares and shall have received no objections to such notice from the Trading Market.</w:t>
      </w:r>
    </w:p>
    <w:p>
      <w:pPr>
        <w:spacing w:after="0" w:line="170" w:lineRule="exact"/>
        <w:rPr>
          <w:rFonts w:ascii="Arial" w:cs="Arial" w:eastAsia="Arial" w:hAnsi="Arial"/>
          <w:sz w:val="18"/>
          <w:szCs w:val="18"/>
          <w:color w:val="auto"/>
        </w:rPr>
      </w:pPr>
    </w:p>
    <w:p>
      <w:pPr>
        <w:ind w:right="300" w:firstLine="987"/>
        <w:spacing w:after="0" w:line="277" w:lineRule="auto"/>
        <w:tabs>
          <w:tab w:leader="none" w:pos="123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Conditions to the Company’s Obligations</w:t>
      </w:r>
      <w:r>
        <w:rPr>
          <w:rFonts w:ascii="Arial" w:cs="Arial" w:eastAsia="Arial" w:hAnsi="Arial"/>
          <w:sz w:val="18"/>
          <w:szCs w:val="18"/>
          <w:color w:val="auto"/>
        </w:rPr>
        <w:t>. The Company’s obligation to issue and sell the Securities at the Closing to a Purchaser is subject to the fulfillment, on or before the Closing, of each of the following conditions, unless waived:</w:t>
      </w:r>
    </w:p>
    <w:p>
      <w:pPr>
        <w:spacing w:after="0" w:line="170" w:lineRule="exact"/>
        <w:rPr>
          <w:rFonts w:ascii="Arial" w:cs="Arial" w:eastAsia="Arial" w:hAnsi="Arial"/>
          <w:sz w:val="18"/>
          <w:szCs w:val="18"/>
          <w:color w:val="auto"/>
        </w:rPr>
      </w:pPr>
    </w:p>
    <w:p>
      <w:pPr>
        <w:ind w:right="300" w:firstLine="1428"/>
        <w:spacing w:after="0" w:line="277" w:lineRule="auto"/>
        <w:tabs>
          <w:tab w:leader="none" w:pos="1647"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Such Purchaser’s representations and warranties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be true and correct in all material respects at the date of the Closing, with the same force and effect as if they had been made on and as of said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490" w:right="459" w:bottom="1440" w:gutter="0" w:footer="0" w:header="0"/>
        </w:sectPr>
      </w:pPr>
    </w:p>
    <w:bookmarkStart w:id="18" w:name="page19"/>
    <w:bookmarkEnd w:id="18"/>
    <w:p>
      <w:pPr>
        <w:ind w:right="60" w:firstLine="1428"/>
        <w:spacing w:after="0" w:line="277" w:lineRule="auto"/>
        <w:tabs>
          <w:tab w:leader="none" w:pos="1697"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Such Purchaser shall have performed and complied with in all material respects all agreements and conditions herein required to be performed or complied with by it on or before the Closing, or any breach or failure to do so has been cured.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Closing Deliveries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9" w:lineRule="auto"/>
        <w:tabs>
          <w:tab w:leader="none" w:pos="123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Payment of the Purchase Price at Closing</w:t>
      </w:r>
      <w:r>
        <w:rPr>
          <w:rFonts w:ascii="Arial" w:cs="Arial" w:eastAsia="Arial" w:hAnsi="Arial"/>
          <w:sz w:val="18"/>
          <w:szCs w:val="18"/>
          <w:color w:val="auto"/>
        </w:rPr>
        <w:t xml:space="preserve">. At the Closing, following receipt of evidence of the issuance of Shares as set forth in </w:t>
      </w:r>
      <w:r>
        <w:rPr>
          <w:rFonts w:ascii="Arial" w:cs="Arial" w:eastAsia="Arial" w:hAnsi="Arial"/>
          <w:sz w:val="18"/>
          <w:szCs w:val="18"/>
          <w:u w:val="single" w:color="auto"/>
          <w:color w:val="auto"/>
        </w:rPr>
        <w:t>Section 3.3(b</w:t>
      </w:r>
      <w:r>
        <w:rPr>
          <w:rFonts w:ascii="Arial" w:cs="Arial" w:eastAsia="Arial" w:hAnsi="Arial"/>
          <w:sz w:val="18"/>
          <w:szCs w:val="18"/>
          <w:color w:val="auto"/>
        </w:rPr>
        <w:t xml:space="preserve">), if required, each Purchaser shall deliver, or cause to be delivered, to the Company, an amount equal to the Purchase Price by wire transfer of immediately available funds to the Company’s account pursuant to wire instructions set forth in </w:t>
      </w:r>
      <w:r>
        <w:rPr>
          <w:rFonts w:ascii="Arial" w:cs="Arial" w:eastAsia="Arial" w:hAnsi="Arial"/>
          <w:sz w:val="18"/>
          <w:szCs w:val="18"/>
          <w:u w:val="single" w:color="auto"/>
          <w:color w:val="auto"/>
        </w:rPr>
        <w:t>Schedule B</w:t>
      </w:r>
      <w:r>
        <w:rPr>
          <w:rFonts w:ascii="Arial" w:cs="Arial" w:eastAsia="Arial" w:hAnsi="Arial"/>
          <w:sz w:val="18"/>
          <w:szCs w:val="18"/>
          <w:color w:val="auto"/>
        </w:rPr>
        <w:t>. Each Purchaser’s obligations to pay its respective Purchase Price shall be several and not joint.</w:t>
      </w:r>
    </w:p>
    <w:p>
      <w:pPr>
        <w:spacing w:after="0" w:line="186" w:lineRule="exact"/>
        <w:rPr>
          <w:rFonts w:ascii="Arial" w:cs="Arial" w:eastAsia="Arial" w:hAnsi="Arial"/>
          <w:sz w:val="18"/>
          <w:szCs w:val="18"/>
          <w:color w:val="auto"/>
        </w:rPr>
      </w:pPr>
    </w:p>
    <w:p>
      <w:pPr>
        <w:ind w:right="80" w:firstLine="987"/>
        <w:spacing w:after="0" w:line="291" w:lineRule="auto"/>
        <w:tabs>
          <w:tab w:leader="none" w:pos="124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Issuance of the Securities at the Closing</w:t>
      </w:r>
      <w:r>
        <w:rPr>
          <w:rFonts w:ascii="Arial" w:cs="Arial" w:eastAsia="Arial" w:hAnsi="Arial"/>
          <w:sz w:val="16"/>
          <w:szCs w:val="16"/>
          <w:color w:val="auto"/>
        </w:rPr>
        <w:t xml:space="preserve">. At the Closing, the Company shall issue, or cause the Company’s transfer agent to issue, to each Purchaser through a book-entry account maintained by the Company’s transfer agent the number of Shares purchased by such Purchaser, as set forth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dated as of the Closing Date and in the name of the Purchaser (or its nominee in accordance with its delivery instructions) at the Closing against payment by such Purchaser of the Purchase Price (it being understood that certain Purchasers require receipt of evidence of such issuance prior to authorizing the release of the Purchase Price). Such Shares shall bear the legends set forth in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For each Purchaser of Pre-Funded Warrants, the Company shall deliver a Pre-Funded Warrant registered in the name of such Purchaser to purchase up to the number of Warrant Shares as set forth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with an exercise price equal to $0.0001, subject to adjustment as provided therein.</w:t>
      </w:r>
    </w:p>
    <w:p>
      <w:pPr>
        <w:spacing w:after="0" w:line="166" w:lineRule="exact"/>
        <w:rPr>
          <w:rFonts w:ascii="Arial" w:cs="Arial" w:eastAsia="Arial" w:hAnsi="Arial"/>
          <w:sz w:val="16"/>
          <w:szCs w:val="16"/>
          <w:color w:val="auto"/>
        </w:rPr>
      </w:pPr>
    </w:p>
    <w:p>
      <w:pPr>
        <w:ind w:firstLine="987"/>
        <w:spacing w:after="0" w:line="257" w:lineRule="auto"/>
        <w:tabs>
          <w:tab w:leader="none" w:pos="123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At the Closing, the Purchasers shall have received a certificate signed by the Secretary of the Company, certifying as to (i) the resolutions of the Board of Directors of the Company or a duly authorized committee thereof approving this Agreement and all of the transactions contemplated hereunder, (ii) the Certificate of Incorporation, (iii) the Bylaws, and (iv) the good standing of the Company in the State of Delaware and the Commonwealth of Massachusetts (as evidenced by certificates obtained from such jurisdictions dated within five (5) Business Days of the date hereof).</w:t>
      </w:r>
    </w:p>
    <w:p>
      <w:pPr>
        <w:spacing w:after="0" w:line="187" w:lineRule="exact"/>
        <w:rPr>
          <w:rFonts w:ascii="Arial" w:cs="Arial" w:eastAsia="Arial" w:hAnsi="Arial"/>
          <w:sz w:val="18"/>
          <w:szCs w:val="18"/>
          <w:color w:val="auto"/>
        </w:rPr>
      </w:pPr>
    </w:p>
    <w:p>
      <w:pPr>
        <w:ind w:right="280" w:firstLine="987"/>
        <w:spacing w:after="0" w:line="277" w:lineRule="auto"/>
        <w:tabs>
          <w:tab w:leader="none" w:pos="124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At the Closing, the Purchasers shall have received a certificate signed by the President and Chief Executive Officer of the Company certifying to the fulfillment of the conditions set forth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00" w:firstLine="987"/>
        <w:spacing w:after="0" w:line="277" w:lineRule="auto"/>
        <w:tabs>
          <w:tab w:leader="none" w:pos="123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Opinion</w:t>
      </w:r>
      <w:r>
        <w:rPr>
          <w:rFonts w:ascii="Arial" w:cs="Arial" w:eastAsia="Arial" w:hAnsi="Arial"/>
          <w:sz w:val="18"/>
          <w:szCs w:val="18"/>
          <w:color w:val="auto"/>
        </w:rPr>
        <w:t xml:space="preserve">. At the Closing, the Purchasers shall have received an opinion of Goodwin Procter LLP, counsel for the Company, dated as of the Closing Date,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40" w:firstLine="987"/>
        <w:spacing w:after="0" w:line="259" w:lineRule="auto"/>
        <w:tabs>
          <w:tab w:leader="none" w:pos="121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Lock-Up Agreements</w:t>
      </w:r>
      <w:r>
        <w:rPr>
          <w:rFonts w:ascii="Arial" w:cs="Arial" w:eastAsia="Arial" w:hAnsi="Arial"/>
          <w:sz w:val="18"/>
          <w:szCs w:val="18"/>
          <w:color w:val="auto"/>
        </w:rPr>
        <w:t xml:space="preserve">. At the Closing, the Purchasers shall have received executed lock-up agreements, dated as of the date hereof, by and among the Company and the directors and officers of the Company listed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hereto,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which lock-up agreement may only be waived by the Company upon receipt of written consent of the Purchasers holding at least a majority of the Securities then held by all Purchasers.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REPRESENTATIONS AND WARRANTIES OF THE COMPANY.</w:t>
      </w:r>
    </w:p>
    <w:p>
      <w:pPr>
        <w:spacing w:after="0" w:line="121"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Except as otherwise disclosed in SEC Documents (as defined in Section 4.4 below) made on or prior to August 8, 2023, the Company hereby represents and warrants to each Purchaser as follows: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490" w:right="459" w:bottom="1440" w:gutter="0" w:footer="0" w:header="0"/>
        </w:sectPr>
      </w:pPr>
    </w:p>
    <w:bookmarkStart w:id="19" w:name="page20"/>
    <w:bookmarkEnd w:id="19"/>
    <w:p>
      <w:pPr>
        <w:ind w:left="4" w:right="100"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4.1 </w:t>
      </w:r>
      <w:r>
        <w:rPr>
          <w:rFonts w:ascii="Arial" w:cs="Arial" w:eastAsia="Arial" w:hAnsi="Arial"/>
          <w:sz w:val="16"/>
          <w:szCs w:val="16"/>
          <w:u w:val="single" w:color="auto"/>
          <w:color w:val="auto"/>
        </w:rPr>
        <w:t>Organization and Standing; Subsidiaries</w:t>
      </w:r>
      <w:r>
        <w:rPr>
          <w:rFonts w:ascii="Arial" w:cs="Arial" w:eastAsia="Arial" w:hAnsi="Arial"/>
          <w:sz w:val="16"/>
          <w:szCs w:val="16"/>
          <w:color w:val="auto"/>
        </w:rPr>
        <w:t>. The Company has been duly incorporated or organized and is validly existing and in good standing under the laws of Delaware or other jurisdiction of incorporation or organization, has full corporate or other power and authority necessary to own or lease its properties and conduct its business as presently conducted, and is duly qualified as a foreign corporation and in good standing in all jurisdictions in which the character of the property owned or leased or the nature of the business transacted by it makes qualification necessary, except where the failure to be so qualified would not have resulted in: (a) a material adverse effect on the legality, validity or enforceability of this Agreement,</w:t>
      </w:r>
    </w:p>
    <w:p>
      <w:pPr>
        <w:spacing w:after="0" w:line="2" w:lineRule="exact"/>
        <w:rPr>
          <w:sz w:val="20"/>
          <w:szCs w:val="20"/>
          <w:color w:val="auto"/>
        </w:rPr>
      </w:pPr>
    </w:p>
    <w:p>
      <w:pPr>
        <w:ind w:left="4" w:hanging="4"/>
        <w:spacing w:after="0" w:line="270" w:lineRule="auto"/>
        <w:tabs>
          <w:tab w:leader="none" w:pos="259"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material adverse effect on the results of operations, properties, assets, management, stockholders’ equity, prospects, business or condition (financial or otherwise) of the Company and its subsidiaries, taken as a whole, or (c) a material adverse effect on the Company’s ability to perform on a timely basis its material obligations under this Agreement with respect to Closing (any of (a), (b) or (c), a “</w:t>
      </w:r>
      <w:r>
        <w:rPr>
          <w:rFonts w:ascii="Arial" w:cs="Arial" w:eastAsia="Arial" w:hAnsi="Arial"/>
          <w:sz w:val="17"/>
          <w:szCs w:val="17"/>
          <w:b w:val="1"/>
          <w:bCs w:val="1"/>
          <w:i w:val="1"/>
          <w:iCs w:val="1"/>
          <w:color w:val="auto"/>
        </w:rPr>
        <w:t>Material Adverse Effect</w:t>
      </w:r>
      <w:r>
        <w:rPr>
          <w:rFonts w:ascii="Arial" w:cs="Arial" w:eastAsia="Arial" w:hAnsi="Arial"/>
          <w:sz w:val="17"/>
          <w:szCs w:val="17"/>
          <w:color w:val="auto"/>
        </w:rPr>
        <w:t>.”) Except for its wholly-owned subsidiaries as set forth in Exhibit 21 to the Company’s Annual Report on Form 10-K for the fiscal year ended December 31, 2022, the Company does not own, directly or indirectly, any shares of stock or any other equity or long-term debt securities of any corporation or have any equity interest in any corporation, firm, partnership, joint venture, association or other entity.</w:t>
      </w:r>
    </w:p>
    <w:p>
      <w:pPr>
        <w:spacing w:after="0" w:line="178"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Corporate Power; Authorization</w:t>
      </w:r>
      <w:r>
        <w:rPr>
          <w:rFonts w:ascii="Arial" w:cs="Arial" w:eastAsia="Arial" w:hAnsi="Arial"/>
          <w:sz w:val="17"/>
          <w:szCs w:val="17"/>
          <w:color w:val="auto"/>
        </w:rPr>
        <w:t>. The Company has all requisite corporate power, and the Company and its Board of Directors have taken all requisite corporate action, to authorize, execute and deliver this Agreement, to consummate the transactions contemplated herein, including to sell, issue and deliver the Securities to the Purchasers, and to carry out and perform all of the Company’s obligations hereunder and thereunder, and no further action is required by the Company, the Board of Directors or the Company’s stockholders in connection herewith. This Agreement constitutes the legal, valid and binding obligation of the Company, enforceable against the Company in accordance with its terms, except (a) as limited by applicable bankruptcy, insolvency, reorganization, moratorium or similar laws relating to or affecting the enforcement of creditors’ rights generally and (b) as limited by equitable principles generally, including any specific performance.</w:t>
      </w:r>
    </w:p>
    <w:p>
      <w:pPr>
        <w:spacing w:after="0" w:line="177"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Issuance and Delivery of the Securities</w:t>
      </w:r>
      <w:r>
        <w:rPr>
          <w:rFonts w:ascii="Arial" w:cs="Arial" w:eastAsia="Arial" w:hAnsi="Arial"/>
          <w:sz w:val="16"/>
          <w:szCs w:val="16"/>
          <w:color w:val="auto"/>
        </w:rPr>
        <w:t xml:space="preserve">. The Shares and Pre-Funded Warrants have been duly authorized and, when issued and paid for in compliance with the provisions of this Agreement, will be validly issued, fully paid and nonassessable. The Warrant Shares have been duly and validly authorized and reserved for issuance and, upon exercise of the Pre-Funded Warrants, in accordance with their terms, including the payment of any exercise price therefor, will be validly issued, fully paid and nonassessable. The issuance and delivery of the Securities is not subject to preemptive, co-sale, right of first refusal or any other similar rights of the stockholders of the Company or any other Person or any liens or encumbrances, other than encumbrances under applicable securities laws. Assuming the accuracy of the representations made by the Purchasers in </w:t>
      </w:r>
      <w:r>
        <w:rPr>
          <w:rFonts w:ascii="Arial" w:cs="Arial" w:eastAsia="Arial" w:hAnsi="Arial"/>
          <w:sz w:val="16"/>
          <w:szCs w:val="16"/>
          <w:u w:val="single" w:color="auto"/>
          <w:color w:val="auto"/>
        </w:rPr>
        <w:t>Section 5</w:t>
      </w:r>
      <w:r>
        <w:rPr>
          <w:rFonts w:ascii="Arial" w:cs="Arial" w:eastAsia="Arial" w:hAnsi="Arial"/>
          <w:sz w:val="16"/>
          <w:szCs w:val="16"/>
          <w:color w:val="auto"/>
        </w:rPr>
        <w:t>, the offer and issuance by the Company of the Securities is exempt from registration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w:t>
      </w:r>
    </w:p>
    <w:p>
      <w:pPr>
        <w:spacing w:after="0" w:line="166" w:lineRule="exact"/>
        <w:rPr>
          <w:sz w:val="20"/>
          <w:szCs w:val="20"/>
          <w:color w:val="auto"/>
        </w:rPr>
      </w:pPr>
    </w:p>
    <w:p>
      <w:pPr>
        <w:ind w:left="4" w:right="80" w:firstLine="440"/>
        <w:spacing w:after="0" w:line="288"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SEC Documents; Financial Statements; Independent Accountants</w:t>
      </w:r>
      <w:r>
        <w:rPr>
          <w:rFonts w:ascii="Arial" w:cs="Arial" w:eastAsia="Arial" w:hAnsi="Arial"/>
          <w:sz w:val="16"/>
          <w:szCs w:val="16"/>
          <w:color w:val="auto"/>
        </w:rPr>
        <w:t>. The Company is not an “ineligible issuer” (as defined in Rule 405 promulgated under the Securities Act). The Company is subject to the reporting requirements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has filed or will file in a timely manner all documents that the Company was or is required to file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under Sections 13, 14(a) and 15(d) of the Exchange Act, since becoming subject to the requirements of the Exchange Act (the foregoing documents (together with any documents filed by the Company under the Exchange Act, whether or not required) being collectively referred to herein as the “</w:t>
      </w:r>
      <w:r>
        <w:rPr>
          <w:rFonts w:ascii="Arial" w:cs="Arial" w:eastAsia="Arial" w:hAnsi="Arial"/>
          <w:sz w:val="16"/>
          <w:szCs w:val="16"/>
          <w:b w:val="1"/>
          <w:bCs w:val="1"/>
          <w:i w:val="1"/>
          <w:iCs w:val="1"/>
          <w:color w:val="auto"/>
        </w:rPr>
        <w:t>SEC Documents</w:t>
      </w:r>
      <w:r>
        <w:rPr>
          <w:rFonts w:ascii="Arial" w:cs="Arial" w:eastAsia="Arial" w:hAnsi="Arial"/>
          <w:sz w:val="16"/>
          <w:szCs w:val="16"/>
          <w:color w:val="auto"/>
        </w:rPr>
        <w:t>”). As of their respective filing dates (or, if amended prior to the date of this Agreement, when amended), all SEC Documents complied in all material respects with the requirements of the Exchange Act and the rules and regulations of the Commission promulgated thereunder. None of the SEC Documents as of their respective filing dates contained any untrue statement of material fact or omitted to state a material fact required to be stated therein or necessary to make the statements made therein, in light of the circumstances under which they were made, not misleading. The financial statements of the Company set forth in the SEC Documents (the “</w:t>
      </w:r>
      <w:r>
        <w:rPr>
          <w:rFonts w:ascii="Arial" w:cs="Arial" w:eastAsia="Arial" w:hAnsi="Arial"/>
          <w:sz w:val="16"/>
          <w:szCs w:val="16"/>
          <w:b w:val="1"/>
          <w:bCs w:val="1"/>
          <w:i w:val="1"/>
          <w:iCs w:val="1"/>
          <w:color w:val="auto"/>
        </w:rPr>
        <w:t>Financial</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490" w:right="479" w:bottom="1440" w:gutter="0" w:footer="0" w:header="0"/>
        </w:sectPr>
      </w:pPr>
    </w:p>
    <w:bookmarkStart w:id="20" w:name="page21"/>
    <w:bookmarkEnd w:id="20"/>
    <w:p>
      <w:pPr>
        <w:ind w:right="180"/>
        <w:spacing w:after="0" w:line="25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Statements</w:t>
      </w:r>
      <w:r>
        <w:rPr>
          <w:rFonts w:ascii="Arial" w:cs="Arial" w:eastAsia="Arial" w:hAnsi="Arial"/>
          <w:sz w:val="18"/>
          <w:szCs w:val="18"/>
          <w:color w:val="auto"/>
        </w:rPr>
        <w:t>”) comply in all material respects with applicable accounting requirements and with the published rules and regulations of the Commission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thereto. The Financial Statements have been prepared in accordance with United States generally accepted accounting principles consistently applied and fairly present the financial position of the Company at the dates thereof and the results of its operations and cash flows for the periods then ended (subject, in the case of unaudited statements, to normal, recurring adjustments). The accountants who certified the Financial Statements are independent public accountants as required by the Securities Act and the Exchange Act and the regulations thereunder and the Public Company Accounting Oversight Board.</w:t>
      </w:r>
    </w:p>
    <w:p>
      <w:pPr>
        <w:spacing w:after="0" w:line="192"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Capitalization</w:t>
      </w:r>
      <w:r>
        <w:rPr>
          <w:rFonts w:ascii="Arial" w:cs="Arial" w:eastAsia="Arial" w:hAnsi="Arial"/>
          <w:sz w:val="17"/>
          <w:szCs w:val="17"/>
          <w:color w:val="auto"/>
        </w:rPr>
        <w:t>. As set forth in the SEC Documents as of the date set forth therein, all of the Company’s outstanding shares of capital stock have been duly authorized and validly issued and are fully paid and nonassessable, have been issued in compliance with all federal and state securities laws, and were not issued in violation of or subject to any preemptive right or other rights to subscribe for or purchase securities. Except as disclosed in the SEC Documents, there are no existing options, warrants, calls, subscriptions or other rights, agreements, arrangements or commitments of any character, relating to the issued or unissued capital stock of the Company, obligating the Company to issue, transfer, sell, redeem, purchase, repurchase or otherwise acquire or cause to be issued, transferred, sold, redeemed, purchased, repurchased or otherwise acquired any capital stock or voting debt of, or other equity interest in, the Company or securities or rights convertible into or exchangeable for such shares or equity interests or obligations of the Company to grant, extend or enter into any such option, warrant, call, subscription or other right, agreement, arrangement or commitment. Neither the execution of this Agreement nor the issuance of Common Stock or other securities pursuant to any provision of this Agreement will give rise to any preemptive rights or rights of first refusal on behalf of any Person or result in the triggering of any anti-dilution or other similar rights. Other than the Common Stock, there are no other shares of any other class or series of capital stock of the Company issued or outstanding. The Company’s Certificate of Incorporation, as amended and as in effect on the date hereof (the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 and the Company’s Bylaws, as amended and as in effect on the date hereof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are included in the SEC Documents, and the Company shall not amend or otherwise modify the Certificate of Incorporation or Bylaws prior to the Closing.</w:t>
      </w:r>
    </w:p>
    <w:p>
      <w:pPr>
        <w:spacing w:after="0" w:line="184"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legal or governmental actions, suits or other proceedings pending or, to the knowledge of the Company, threatened against the Company, before or by any court, regulatory body or administrative agency or any other governmental agency or body, domestic or foreign, which actions, suits or proceedings, individually or in the aggregate, would reasonably be expected to (a) challenge this Agreement or prohibit or delay the transactions contemplated herein or (b) have a Material Adverse Effect. The Company is not a party to or subject to the provisions of any injunction, judgment, decree or order of any court, regulatory body, administrative agency or other governmental agency or body that might have a Material Adverse Effect.</w:t>
      </w:r>
    </w:p>
    <w:p>
      <w:pPr>
        <w:spacing w:after="0" w:line="192"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Governmental Consents</w:t>
      </w:r>
      <w:r>
        <w:rPr>
          <w:rFonts w:ascii="Arial" w:cs="Arial" w:eastAsia="Arial" w:hAnsi="Arial"/>
          <w:sz w:val="17"/>
          <w:szCs w:val="17"/>
          <w:color w:val="auto"/>
        </w:rPr>
        <w:t>. No consent, approval, order or authorization of, or registration, qualification, designation, declaration or filing with, any federal, state, or local governmental authority or the Trading Market on the part of the Company is required in connection with the consummation of the transactions contemplated by this Agreement except for the filing of a Form D with the Commission under the Securities Act and compliance with the securities and blue sky laws in the states and other jurisdictions in which shares of Common Stock are offered and/or sold, which compliance will be effected by the Company in accordance with such laws and the Current Report on Form 8-K describing the terms of the transactions contemplated by this Agreement and attaching this Agreement as an exhibit to such filing.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490" w:right="439" w:bottom="1440" w:gutter="0" w:footer="0" w:header="0"/>
        </w:sectPr>
      </w:pPr>
    </w:p>
    <w:bookmarkStart w:id="21" w:name="page22"/>
    <w:bookmarkEnd w:id="21"/>
    <w:p>
      <w:pPr>
        <w:ind w:right="2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4.8 </w:t>
      </w:r>
      <w:r>
        <w:rPr>
          <w:rFonts w:ascii="Arial" w:cs="Arial" w:eastAsia="Arial" w:hAnsi="Arial"/>
          <w:sz w:val="16"/>
          <w:szCs w:val="16"/>
          <w:u w:val="single" w:color="auto"/>
          <w:color w:val="auto"/>
        </w:rPr>
        <w:t>No Default or Consents</w:t>
      </w:r>
      <w:r>
        <w:rPr>
          <w:rFonts w:ascii="Arial" w:cs="Arial" w:eastAsia="Arial" w:hAnsi="Arial"/>
          <w:sz w:val="16"/>
          <w:szCs w:val="16"/>
          <w:color w:val="auto"/>
        </w:rPr>
        <w:t>. The Company is not in violation or default under its organizational documents. Neither the execution, delivery or performance of this Agreement by the Company nor the consummation of any of the transactions contemplated hereby (including the issuance, sale and delivery by the Company of the Shares and Pre-Funded Warrants, the reservation for issuance and issuance of the Warrant Shares) will: (a) give rise to a right to terminate or accelerate the due date of any payment due under, or conflict with or result in the breach of any term or provision of, or constitute a default (or an event which with notice or lapse of time or both would constitute a default) under, or require any consent or waiver under, or result in the execution or imposition of any lien, charge or encumbrance upon any properties or assets of the Company pursuant to the terms of any indenture, mortgage, deed of trust or other agreement or instrument to which the Company is a party or by which any of its respective properties or business is bound, or any franchise, license, permit, judgment, decree, order, statute, rule or regulation (including federal and state securities laws and regulations) and the rules and regulations, assuming the correctness of the representations and warranties made by the Purchasers herein, of any self-regulatory organization to which the Company or its securities are subject, applicable to the Company, or (b) violate or conflict with any provision of the Certificate of Incorporation or the Bylaws, except in the case of clause (a) as would not cause, either individually or in the aggregate, a Material Adverse Effect, and except for such consents or waivers which have already been obtained and are in full force and effect.</w:t>
      </w:r>
    </w:p>
    <w:p>
      <w:pPr>
        <w:spacing w:after="0" w:line="168"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Since December 31, 2022, there have been no events, occurrences or developments that have had or would reasonably be expected to have, either individually or in the aggregate, a Material Adverse Effect. Except for the transactions contemplated by this Agreement, no event, liability or development, other than events, liabilities and developments in the ordinary course of business, has occurred or exists with respect to the Company or its business, properties, operations or financial conditions that would be required to be disclosed by the Company under applicable securities laws at the Effective Date that has not been publicly disclosed at least one Business Day prior to the Effective Date.</w:t>
      </w:r>
    </w:p>
    <w:p>
      <w:pPr>
        <w:spacing w:after="0" w:line="161"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Company, nor any of its Affiliates, nor any Person acting on its or their behalf, has engaged in any form of general solicitation or general advertising (within the meaning of Regulation D promulgated under the Securities Act) in connection with the offer or sale of the Shares and Pre-Funded Warrants.</w:t>
      </w:r>
    </w:p>
    <w:p>
      <w:pPr>
        <w:spacing w:after="0" w:line="184"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No Integrated Offering</w:t>
      </w:r>
      <w:r>
        <w:rPr>
          <w:rFonts w:ascii="Arial" w:cs="Arial" w:eastAsia="Arial" w:hAnsi="Arial"/>
          <w:sz w:val="18"/>
          <w:szCs w:val="18"/>
          <w:color w:val="auto"/>
        </w:rPr>
        <w:t>. None of the Company or any of its Affiliates, or any Person acting on their behalf has, directly or indirectly, made any offers or sales of any security or solicited any offers to buy any security, under circumstances that would require registration of any of the Shares and Pre-Funded Warrants under the Securities Act or cause this offering of the Shares and Pre-Funded Warrants to be integrated with prior offerings by the Company for purposes of the Securities Act or any applicable stockholder approval provisions, including under the rules and regulations of the Trading Market.</w:t>
      </w:r>
    </w:p>
    <w:p>
      <w:pPr>
        <w:spacing w:after="0" w:line="188"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Sarbanes-Oxley Act</w:t>
      </w:r>
      <w:r>
        <w:rPr>
          <w:rFonts w:ascii="Arial" w:cs="Arial" w:eastAsia="Arial" w:hAnsi="Arial"/>
          <w:sz w:val="18"/>
          <w:szCs w:val="18"/>
          <w:color w:val="auto"/>
        </w:rPr>
        <w:t>. The Company is in material compliance with the requirements of the Sarbanes-Oxley Act of 2002 that are effective and applicable to the Company as of the date hereof and as of the Closing Date, and the rules and regulations promulgated by the Commission thereunder that are effective and applicable to the Company as of the date hereof and as of the Closing Date.</w:t>
      </w:r>
    </w:p>
    <w:p>
      <w:pPr>
        <w:spacing w:after="0" w:line="18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To the knowledge of the Company, the Company owns, possesses, licenses or has rights to use, on terms that the Company believes to be reasonable, all patents, patent applications, trademarks, trademark applications, service marks, trade names, copyrights, licenses, trade secrets, know-how and other similar rights that are necessary or material for use in connection with the business of the Company as described in the SEC Documents (collectively, the “</w:t>
      </w:r>
      <w:r>
        <w:rPr>
          <w:rFonts w:ascii="Arial" w:cs="Arial" w:eastAsia="Arial" w:hAnsi="Arial"/>
          <w:sz w:val="16"/>
          <w:szCs w:val="16"/>
          <w:b w:val="1"/>
          <w:bCs w:val="1"/>
          <w:i w:val="1"/>
          <w:iCs w:val="1"/>
          <w:color w:val="auto"/>
        </w:rPr>
        <w:t>Intellectual Property Rights</w:t>
      </w:r>
      <w:r>
        <w:rPr>
          <w:rFonts w:ascii="Arial" w:cs="Arial" w:eastAsia="Arial" w:hAnsi="Arial"/>
          <w:sz w:val="16"/>
          <w:szCs w:val="16"/>
          <w:color w:val="auto"/>
        </w:rPr>
        <w:t>”), except where the failure to own, possess or license such rights would not, individually or in the aggregate, reasonably be expected to have a Material Adverse Effect. The Company has not received written notice alleging the Intellectual Property Rights used by the Company violates or infringes upon the rights of any Person. To the knowledge of the Company, all such Intellectual Property Rights are enforceable and there is no existing infringement by another Person of any of the Intellectual Property Rights. The Company has taken reasonable security measures to protect the secrecy and confidentiality of the Intellectual Property Rights, where applicable, except where the failure to do so would not, individually or in the aggregate, reasonably be expected to have a Material Adverse Effect.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490" w:right="459" w:bottom="1440" w:gutter="0" w:footer="0" w:header="0"/>
        </w:sectPr>
      </w:pPr>
    </w:p>
    <w:bookmarkStart w:id="22" w:name="page23"/>
    <w:bookmarkEnd w:id="22"/>
    <w:p>
      <w:pPr>
        <w:jc w:val="both"/>
        <w:ind w:right="2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4.14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The Company understands and confirms that the Purchasers will rely on the representations, warranties and covenants set forth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 effecting the transactions contemplated by this Agreement. All due diligence materials regarding the Company and its business and the transactions contemplated hereby, furnished by or on behalf of the Company to the Purchasers upon their request are, when taken together with the SEC Documents, true and correct in all material respects and do not contain any untrue statement of material fact or omit to state a material fact necessary in order to make the statements made therein, in light of the circumstances in which they were made, misleading.</w:t>
      </w:r>
    </w:p>
    <w:p>
      <w:pPr>
        <w:spacing w:after="0" w:line="161"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Properties and Assets</w:t>
      </w:r>
      <w:r>
        <w:rPr>
          <w:rFonts w:ascii="Arial" w:cs="Arial" w:eastAsia="Arial" w:hAnsi="Arial"/>
          <w:sz w:val="18"/>
          <w:szCs w:val="18"/>
          <w:color w:val="auto"/>
        </w:rPr>
        <w:t>. The Company does not own any real property and has good and marketable title to all other property and assets described as owned by it in the latest Financial Statements set forth in the SEC Documents, free and clear of all liens, pledges or encumbrances of any kind except (a) those, if any, reflected in such Financial Statements or (b) those that are not material in amount and do not adversely affect the use made and proposed to be made of such property by the Company. The Company holds its leased properties under valid and binding leases, except as would not have a Material Adverse Effect. The Company owns or leases all such properties as are materially necessary to their respective operations as now conducted.</w:t>
      </w:r>
    </w:p>
    <w:p>
      <w:pPr>
        <w:spacing w:after="0" w:line="192"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4.16 </w:t>
      </w:r>
      <w:r>
        <w:rPr>
          <w:rFonts w:ascii="Arial" w:cs="Arial" w:eastAsia="Arial" w:hAnsi="Arial"/>
          <w:sz w:val="17"/>
          <w:szCs w:val="17"/>
          <w:u w:val="single" w:color="auto"/>
          <w:color w:val="auto"/>
        </w:rPr>
        <w:t>Compliance and Regulatory</w:t>
      </w:r>
      <w:r>
        <w:rPr>
          <w:rFonts w:ascii="Arial" w:cs="Arial" w:eastAsia="Arial" w:hAnsi="Arial"/>
          <w:sz w:val="17"/>
          <w:szCs w:val="17"/>
          <w:color w:val="auto"/>
        </w:rPr>
        <w:t>. The Company is in compliance with all applicable laws, rules and regulations of the jurisdictions in which it conducts its business, including all applicable local, state and federal environmental laws and regulations, and all applicable laws, rules and regulations enforced by the United States Food and Drug Administration (the “</w:t>
      </w:r>
      <w:r>
        <w:rPr>
          <w:rFonts w:ascii="Arial" w:cs="Arial" w:eastAsia="Arial" w:hAnsi="Arial"/>
          <w:sz w:val="17"/>
          <w:szCs w:val="17"/>
          <w:b w:val="1"/>
          <w:bCs w:val="1"/>
          <w:i w:val="1"/>
          <w:iCs w:val="1"/>
          <w:color w:val="auto"/>
        </w:rPr>
        <w:t>FDA</w:t>
      </w:r>
      <w:r>
        <w:rPr>
          <w:rFonts w:ascii="Arial" w:cs="Arial" w:eastAsia="Arial" w:hAnsi="Arial"/>
          <w:sz w:val="17"/>
          <w:szCs w:val="17"/>
          <w:color w:val="auto"/>
        </w:rPr>
        <w:t>”) (including the Federal Food, Drug And Cosmetic Act, as amended, and the regulations promulgated thereunder) or any applicable laws enforced by any equivalent governmental agency outside the United States, except where failures to be so in compliance, individually or in the aggregate, would not reasonably be expected to have a Material Adverse Effect. Any preclinical studies or clinical trials conducted by or, to the Company’s knowledge, on behalf of the Company (the “</w:t>
      </w:r>
      <w:r>
        <w:rPr>
          <w:rFonts w:ascii="Arial" w:cs="Arial" w:eastAsia="Arial" w:hAnsi="Arial"/>
          <w:sz w:val="17"/>
          <w:szCs w:val="17"/>
          <w:b w:val="1"/>
          <w:bCs w:val="1"/>
          <w:i w:val="1"/>
          <w:iCs w:val="1"/>
          <w:color w:val="auto"/>
        </w:rPr>
        <w:t>Studies</w:t>
      </w:r>
      <w:r>
        <w:rPr>
          <w:rFonts w:ascii="Arial" w:cs="Arial" w:eastAsia="Arial" w:hAnsi="Arial"/>
          <w:sz w:val="17"/>
          <w:szCs w:val="17"/>
          <w:color w:val="auto"/>
        </w:rPr>
        <w:t>”), were and, if still pending, are being and shall continue to be, conducted in all material respects in accordance all applicable laws and regulations governing the conduct of such Studies. The Company has not received any written notice from the FDA or any other governmental agency or institutional review board exercising comparable authority requiring the termination, suspension, or clinical hold of Studies, where such termination, suspension or clinical hold would reasonably be expected to have a Material Adverse Effect.</w:t>
      </w:r>
    </w:p>
    <w:p>
      <w:pPr>
        <w:spacing w:after="0" w:line="18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Taxes</w:t>
      </w:r>
      <w:r>
        <w:rPr>
          <w:rFonts w:ascii="Arial" w:cs="Arial" w:eastAsia="Arial" w:hAnsi="Arial"/>
          <w:sz w:val="18"/>
          <w:szCs w:val="18"/>
          <w:color w:val="auto"/>
        </w:rPr>
        <w:t>. The Company has filed on a timely basis (giving effect to extensions) all required federal, state and foreign income and franchise tax returns and have timely paid or accrued all taxes shown as due thereon, including interest and penalties, except where the failure to timely file any returns or pay such taxes would not reasonably be expected, individually or in the aggregate, to have a Material Adverse Effect, and, to the knowledge of the Company, there is no tax deficiency that has been or might be asserted or threatened against it or them that would have a Material Adverse Effect. All tax liabilities accrued through the date hereof have been adequately provided for on the books of the Company. There are no liens for material taxes upon the assets of the Company other than for current taxes not yet due and payable or for taxes that are being contested in good faith by appropriate proceedings and for which adequate reserves in accordance with GAAP has been made in the Company’s most recent financial statements included in the SEC Documents.</w:t>
      </w:r>
    </w:p>
    <w:p>
      <w:pPr>
        <w:spacing w:after="0" w:line="192"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 xml:space="preserve">4.18 </w:t>
      </w:r>
      <w:r>
        <w:rPr>
          <w:rFonts w:ascii="Arial" w:cs="Arial" w:eastAsia="Arial" w:hAnsi="Arial"/>
          <w:sz w:val="17"/>
          <w:szCs w:val="17"/>
          <w:u w:val="single" w:color="auto"/>
          <w:color w:val="auto"/>
        </w:rPr>
        <w:t>Investment Company</w:t>
      </w:r>
      <w:r>
        <w:rPr>
          <w:rFonts w:ascii="Arial" w:cs="Arial" w:eastAsia="Arial" w:hAnsi="Arial"/>
          <w:sz w:val="17"/>
          <w:szCs w:val="17"/>
          <w:color w:val="auto"/>
        </w:rPr>
        <w:t>. The Company is not, and immediately after receipt of payment for the Shares and Pre-Funded Warrants will not be, an “investment company” or an “affiliated person” of, or “promoter” or “principal underwriter” for an investment company, within the meaning of the Investment Company Act of 1940, as amended, and the rules and regulations of the Commission promulgated thereunder.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490" w:right="459" w:bottom="1440" w:gutter="0" w:footer="0" w:header="0"/>
        </w:sectPr>
      </w:pPr>
    </w:p>
    <w:bookmarkStart w:id="23" w:name="page24"/>
    <w:bookmarkEnd w:id="23"/>
    <w:p>
      <w:pPr>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4.19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maintains insurance underwritten by insurers of recognized financial responsibility, of the types and in the amounts that the Company reasonably believes is adequate for its business, including directors’ and officers’ liability insurance, all of which insurance is in full force and effect.</w:t>
      </w:r>
    </w:p>
    <w:p>
      <w:pPr>
        <w:spacing w:after="0" w:line="18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Price of Common Stock</w:t>
      </w:r>
      <w:r>
        <w:rPr>
          <w:rFonts w:ascii="Arial" w:cs="Arial" w:eastAsia="Arial" w:hAnsi="Arial"/>
          <w:sz w:val="18"/>
          <w:szCs w:val="18"/>
          <w:color w:val="auto"/>
        </w:rPr>
        <w:t>. The Company has not taken, and will not take, directly or indirectly, any action designed to cause or result in, or that has constituted or that might reasonably be expected to constitute, the stabilization or manipulation of the price of the shares of the Common Stock to facilitate the sale or resale of the Securities.</w:t>
      </w:r>
    </w:p>
    <w:p>
      <w:pPr>
        <w:spacing w:after="0" w:line="18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u w:val="single" w:color="auto"/>
          <w:color w:val="auto"/>
        </w:rPr>
        <w:t>Governmental Permits, Etc</w:t>
      </w:r>
      <w:r>
        <w:rPr>
          <w:rFonts w:ascii="Arial" w:cs="Arial" w:eastAsia="Arial" w:hAnsi="Arial"/>
          <w:sz w:val="16"/>
          <w:szCs w:val="16"/>
          <w:color w:val="auto"/>
        </w:rPr>
        <w:t>. The Company has all franchises, licenses, permits, certificates and other authorizations from such federal, state or local government or governmental agency, department or body that are currently necessary for the operation of its business as currently conducted, including all such certificates, approvals, authorizations, exemptions, licenses and permits required by the FDA or any other comparable governmental agencies (collectively, “</w:t>
      </w:r>
      <w:r>
        <w:rPr>
          <w:rFonts w:ascii="Arial" w:cs="Arial" w:eastAsia="Arial" w:hAnsi="Arial"/>
          <w:sz w:val="16"/>
          <w:szCs w:val="16"/>
          <w:b w:val="1"/>
          <w:bCs w:val="1"/>
          <w:i w:val="1"/>
          <w:iCs w:val="1"/>
          <w:color w:val="auto"/>
        </w:rPr>
        <w:t>Permits</w:t>
      </w:r>
      <w:r>
        <w:rPr>
          <w:rFonts w:ascii="Arial" w:cs="Arial" w:eastAsia="Arial" w:hAnsi="Arial"/>
          <w:sz w:val="16"/>
          <w:szCs w:val="16"/>
          <w:color w:val="auto"/>
        </w:rPr>
        <w:t>”), except where the failure to possess such Permits would not reasonably be expected, individually or in the aggregate, to have a Material Adverse Effect. The Company has not received any written notice requiring or threatening any revocation or modification of any such Permits, where such revocation or modification would reasonably be expected to have a Material Adverse Effect.</w:t>
      </w:r>
    </w:p>
    <w:p>
      <w:pPr>
        <w:spacing w:after="0" w:line="164"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Internal Control over Financial Reporting; Disclosure Controls</w:t>
      </w:r>
      <w:r>
        <w:rPr>
          <w:rFonts w:ascii="Arial" w:cs="Arial" w:eastAsia="Arial" w:hAnsi="Arial"/>
          <w:sz w:val="16"/>
          <w:szCs w:val="16"/>
          <w:color w:val="auto"/>
        </w:rPr>
        <w:t>. The Company maintains internal control over financial reporting (as such term is defined in paragraph (f) of Rule 13a-15 under the Exchange Act) that are designed to comply with the requirements of Rule 13a-15 under the Exchange Act. Since the end of the Company’s most recent audited fiscal year, there has been no material weakness in the design or operation of the Company’s internal control over financial reporting (whether or not remediated) which are reasonably likely to adversely affect the Company’s ability to record, process, summarize and report financial information. Since the end of the period covered by the most recently filed periodic report under the Exchange Act, there have been no changes in the internal control over financial reporting (as such term is defined in the Exchange Act) of the Company and its subsidiaries that have materially adversely affected, or is reasonably likely to materially adversely affect, the internal control over financial reporting of the Company and its subsidiaries. The Company has established disclosure controls and procedures (as defined in Exchange Act Rules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13a-15(e) and 15d-15(e)) for the Company and its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w:t>
      </w:r>
    </w:p>
    <w:p>
      <w:pPr>
        <w:spacing w:after="0" w:line="19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Foreign Corrupt Practices</w:t>
      </w:r>
      <w:r>
        <w:rPr>
          <w:rFonts w:ascii="Arial" w:cs="Arial" w:eastAsia="Arial" w:hAnsi="Arial"/>
          <w:sz w:val="18"/>
          <w:szCs w:val="18"/>
          <w:color w:val="auto"/>
        </w:rPr>
        <w:t>. Neither the Company nor, to the knowledge of the Company, any director, officer, agent, employee or other Person acting on behalf of the Company, has, in the course of its actions for, or on behalf of, the Company (a) used any corporate funds for any unlawful contribution, gift, entertainment or other unlawful expenses relating to political activity; (b) made any direct or indirect unlawful payment to any foreign or domestic government official or employee from corporate funds; (c) violated or is in violation of any provision of the U.S. Foreign Corrupt Practices Act of 1977, as amended; or (d) made any unlawful bribe, rebate, payoff, influence payment, kickback or other unlawful payment to any foreign or domestic government official or employee.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490" w:right="479" w:bottom="1440" w:gutter="0" w:footer="0" w:header="0"/>
        </w:sectPr>
      </w:pPr>
    </w:p>
    <w:bookmarkStart w:id="24" w:name="page25"/>
    <w:bookmarkEnd w:id="24"/>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4.24 </w:t>
      </w:r>
      <w:r>
        <w:rPr>
          <w:rFonts w:ascii="Arial" w:cs="Arial" w:eastAsia="Arial" w:hAnsi="Arial"/>
          <w:sz w:val="18"/>
          <w:szCs w:val="18"/>
          <w:u w:val="single" w:color="auto"/>
          <w:color w:val="auto"/>
        </w:rPr>
        <w:t>Employee Relations</w:t>
      </w:r>
      <w:r>
        <w:rPr>
          <w:rFonts w:ascii="Arial" w:cs="Arial" w:eastAsia="Arial" w:hAnsi="Arial"/>
          <w:sz w:val="18"/>
          <w:szCs w:val="18"/>
          <w:color w:val="auto"/>
        </w:rPr>
        <w:t>. No material labor dispute with the employees of the Company, or with the employees of any principal supplier, manufacturer, customer or contractor of the Company, exists or, to the Company’s knowledge, is threatened or imminent. No executive officer of the Company (as defined in Rule 501(f) promulgated under the Securities Act) has notified the Company that such officer intends to leave the Company or otherwise terminate such officer’s employment with the Company. To the knowledge of the Company, no executive officer of the Company is, or is now expected to be, in violation of any material term of any employment contract, confidentiality, disclosure or proprietary information agreement, non-competition agreement, or any other agreement or any restrictive covenant involving or otherwise affecting such executive officer’s relationship with the Company, and the continued employment of each such executive officer does not subject the Company to any material liability with respect to any of the foregoing matters.</w:t>
      </w:r>
    </w:p>
    <w:p>
      <w:pPr>
        <w:spacing w:after="0" w:line="192"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4.25 </w:t>
      </w:r>
      <w:r>
        <w:rPr>
          <w:rFonts w:ascii="Arial" w:cs="Arial" w:eastAsia="Arial" w:hAnsi="Arial"/>
          <w:sz w:val="17"/>
          <w:szCs w:val="17"/>
          <w:u w:val="single" w:color="auto"/>
          <w:color w:val="auto"/>
        </w:rPr>
        <w:t>ERISA</w:t>
      </w:r>
      <w:r>
        <w:rPr>
          <w:rFonts w:ascii="Arial" w:cs="Arial" w:eastAsia="Arial" w:hAnsi="Arial"/>
          <w:sz w:val="17"/>
          <w:szCs w:val="17"/>
          <w:color w:val="auto"/>
        </w:rPr>
        <w:t>. The Company is in compliance in all material respects with all presently applicable provisions of the Employee Retirement Income Security Act of 1974, as amended, including the regulations and published interpretations thereunder (“</w:t>
      </w:r>
      <w:r>
        <w:rPr>
          <w:rFonts w:ascii="Arial" w:cs="Arial" w:eastAsia="Arial" w:hAnsi="Arial"/>
          <w:sz w:val="17"/>
          <w:szCs w:val="17"/>
          <w:b w:val="1"/>
          <w:bCs w:val="1"/>
          <w:i w:val="1"/>
          <w:iCs w:val="1"/>
          <w:u w:val="single" w:color="auto"/>
          <w:color w:val="auto"/>
        </w:rPr>
        <w:t>ERISA</w:t>
      </w:r>
      <w:r>
        <w:rPr>
          <w:rFonts w:ascii="Arial" w:cs="Arial" w:eastAsia="Arial" w:hAnsi="Arial"/>
          <w:sz w:val="17"/>
          <w:szCs w:val="17"/>
          <w:color w:val="auto"/>
        </w:rPr>
        <w:t>”); no “reportable event” (as defined in ERISA) has occurred with respect to any “pension plan” (as defined in ERISA) for which the Company would have any material liability; the Company has not incurred or expects to incur material liability under (a) Title IV of ERISA with respect to termination of, or withdrawal from, any “pension plan” or (b) Sections 412 or 4971 of the Internal Revenue Code of 1986, as amended, including the regulations and published interpretations thereunder (the “</w:t>
      </w:r>
      <w:r>
        <w:rPr>
          <w:rFonts w:ascii="Arial" w:cs="Arial" w:eastAsia="Arial" w:hAnsi="Arial"/>
          <w:sz w:val="17"/>
          <w:szCs w:val="17"/>
          <w:b w:val="1"/>
          <w:bCs w:val="1"/>
          <w:i w:val="1"/>
          <w:iCs w:val="1"/>
          <w:u w:val="single" w:color="auto"/>
          <w:color w:val="auto"/>
        </w:rPr>
        <w:t>Code</w:t>
      </w:r>
      <w:r>
        <w:rPr>
          <w:rFonts w:ascii="Arial" w:cs="Arial" w:eastAsia="Arial" w:hAnsi="Arial"/>
          <w:sz w:val="17"/>
          <w:szCs w:val="17"/>
          <w:color w:val="auto"/>
        </w:rPr>
        <w:t>”); and each “Pension Plan” for which the Company would have liability that is intended to be qualified under Section 401(a) of the Code is so qualified in all material respects and to the knowledge of the Company, nothing has occurred, whether by action or by failure to act, which would cause the loss of such qualification.</w:t>
      </w:r>
    </w:p>
    <w:p>
      <w:pPr>
        <w:spacing w:after="0" w:line="17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u w:val="single" w:color="auto"/>
          <w:color w:val="auto"/>
        </w:rPr>
        <w:t>Registration Rights and Other Stockholder Agreements</w:t>
      </w:r>
      <w:r>
        <w:rPr>
          <w:rFonts w:ascii="Arial" w:cs="Arial" w:eastAsia="Arial" w:hAnsi="Arial"/>
          <w:sz w:val="18"/>
          <w:szCs w:val="18"/>
          <w:color w:val="auto"/>
        </w:rPr>
        <w:t>. No Person has any right to cause the Company to effect the registration under the Securities Act covering the transfer of any securities of the Company and there are no other stockholders agreements, voting agreements or other similar agreements with respect to the Company’s capital stock to which the Company is a party or, to the Company’s knowledge, between or among any of the Company’s stockholders.</w:t>
      </w:r>
    </w:p>
    <w:p>
      <w:pPr>
        <w:spacing w:after="0" w:line="18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4.27 </w:t>
      </w:r>
      <w:r>
        <w:rPr>
          <w:rFonts w:ascii="Arial" w:cs="Arial" w:eastAsia="Arial" w:hAnsi="Arial"/>
          <w:sz w:val="17"/>
          <w:szCs w:val="17"/>
          <w:u w:val="single" w:color="auto"/>
          <w:color w:val="auto"/>
        </w:rPr>
        <w:t>Trading Market Compliance</w:t>
      </w:r>
      <w:r>
        <w:rPr>
          <w:rFonts w:ascii="Arial" w:cs="Arial" w:eastAsia="Arial" w:hAnsi="Arial"/>
          <w:sz w:val="17"/>
          <w:szCs w:val="17"/>
          <w:color w:val="auto"/>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previous twelve (12) months, received (a) written notice from the Trading Market that the Company is not in compliance with the listing or maintenance requirements of the Trading Market that would result in immediate delisting or (b) any notification, Staff Delisting Determination, or Public Reprimand Letter (as such terms are defined in applicable listing rules of the Trading Market) that requires a public announcement by the Company of any noncompliance or deficiency with respect to such listing or maintenance requirements. The Company is in compliance with all listing and maintenance requirements of the Trading Market on the date hereof.</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4.28 </w:t>
      </w:r>
      <w:r>
        <w:rPr>
          <w:rFonts w:ascii="Arial" w:cs="Arial" w:eastAsia="Arial" w:hAnsi="Arial"/>
          <w:sz w:val="18"/>
          <w:szCs w:val="18"/>
          <w:u w:val="single" w:color="auto"/>
          <w:color w:val="auto"/>
        </w:rPr>
        <w:t>No “Bad Actor” Disqualification</w:t>
      </w:r>
      <w:r>
        <w:rPr>
          <w:rFonts w:ascii="Arial" w:cs="Arial" w:eastAsia="Arial" w:hAnsi="Arial"/>
          <w:sz w:val="18"/>
          <w:szCs w:val="18"/>
          <w:color w:val="auto"/>
        </w:rPr>
        <w:t>. No “bad actor” disqualifying event described in Rule 506(d)(1)(i)-(viii) of the Securities Act (a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Disqualification Event</w:t>
      </w:r>
      <w:r>
        <w:rPr>
          <w:rFonts w:ascii="Arial" w:cs="Arial" w:eastAsia="Arial" w:hAnsi="Arial"/>
          <w:sz w:val="16"/>
          <w:szCs w:val="16"/>
          <w:color w:val="auto"/>
        </w:rPr>
        <w:t>”) is applicable to the Company or, to the knowledge of the Company, any Company Covered Person (as defined below), except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a Disqualification Event to which Rule 506(d)(2)(ii-iv) or (d)(3) is applicable. “</w:t>
      </w:r>
      <w:r>
        <w:rPr>
          <w:rFonts w:ascii="Arial" w:cs="Arial" w:eastAsia="Arial" w:hAnsi="Arial"/>
          <w:sz w:val="16"/>
          <w:szCs w:val="16"/>
          <w:b w:val="1"/>
          <w:bCs w:val="1"/>
          <w:i w:val="1"/>
          <w:iCs w:val="1"/>
          <w:color w:val="auto"/>
        </w:rPr>
        <w:t>Company Covered Person</w:t>
      </w:r>
      <w:r>
        <w:rPr>
          <w:rFonts w:ascii="Arial" w:cs="Arial" w:eastAsia="Arial" w:hAnsi="Arial"/>
          <w:sz w:val="16"/>
          <w:szCs w:val="16"/>
          <w:color w:val="auto"/>
        </w:rPr>
        <w:t>” means, with respect to the Company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 “issuer” for purposes of Rule 506 promulgated under the Securities Act, any person listed in the first paragraph of Rule 506(d)(1).</w:t>
      </w:r>
    </w:p>
    <w:p>
      <w:pPr>
        <w:spacing w:after="0" w:line="21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4.29 </w:t>
      </w:r>
      <w:r>
        <w:rPr>
          <w:rFonts w:ascii="Arial" w:cs="Arial" w:eastAsia="Arial" w:hAnsi="Arial"/>
          <w:sz w:val="18"/>
          <w:szCs w:val="18"/>
          <w:u w:val="single" w:color="auto"/>
          <w:color w:val="auto"/>
        </w:rPr>
        <w:t>OFAC; Money Laundering</w:t>
      </w:r>
      <w:r>
        <w:rPr>
          <w:rFonts w:ascii="Arial" w:cs="Arial" w:eastAsia="Arial" w:hAnsi="Arial"/>
          <w:sz w:val="18"/>
          <w:szCs w:val="18"/>
          <w:color w:val="auto"/>
        </w:rPr>
        <w:t>. None of the Company or, to the knowledge of the Company, any director, officer, agent, employee or Affiliate of the Company is a Person, or is more than 50 percent owned in the aggregate by or acting on behalf of one or more Persons that are, currently the target of any sanctions administered or enforced by the United States Government, including the U.S. Department of the Treasury’s Office of Foreign Assets Control, the United Nations Security Council, the European Union,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490" w:right="479" w:bottom="1440" w:gutter="0" w:footer="0" w:header="0"/>
        </w:sectPr>
      </w:pPr>
    </w:p>
    <w:bookmarkStart w:id="25" w:name="page26"/>
    <w:bookmarkEnd w:id="25"/>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HM Treasury, or other relevant sanctions authority (collectively, “</w:t>
      </w:r>
      <w:r>
        <w:rPr>
          <w:rFonts w:ascii="Arial" w:cs="Arial" w:eastAsia="Arial" w:hAnsi="Arial"/>
          <w:sz w:val="16"/>
          <w:szCs w:val="16"/>
          <w:b w:val="1"/>
          <w:bCs w:val="1"/>
          <w:i w:val="1"/>
          <w:iCs w:val="1"/>
          <w:color w:val="auto"/>
        </w:rPr>
        <w:t>Sanctions</w:t>
      </w:r>
      <w:r>
        <w:rPr>
          <w:rFonts w:ascii="Arial" w:cs="Arial" w:eastAsia="Arial" w:hAnsi="Arial"/>
          <w:sz w:val="16"/>
          <w:szCs w:val="16"/>
          <w:color w:val="auto"/>
        </w:rPr>
        <w:t>”), nor is the Company located, organized or resident in a country or territory that is the subject of comprehensive country-wide or territory-wide Sanctions; and the Company will not directly or knowingly indirectly use the proceeds of the sale of the Securities, or lend, contribute or otherwise make available such proceeds to any subsidiaries, joint venture partners or other Person, to fund any activities of or business (a) with any Person, or in any country or territory, that, at the time of such funding, is a designated target of Sanctions, (b) in a country or territory which at the time of such funding is the subject of comprehensive country-wide or territory-wide Sanctions, or (c) in any other manner that will result in a violation by any Person (including any Person participating in the transaction, whether as advisor, investor or otherwise) of Sanctions.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b w:val="1"/>
          <w:bCs w:val="1"/>
          <w:i w:val="1"/>
          <w:iCs w:val="1"/>
          <w:color w:val="auto"/>
        </w:rPr>
        <w:t>Money Laundering Laws</w:t>
      </w:r>
      <w:r>
        <w:rPr>
          <w:rFonts w:ascii="Arial" w:cs="Arial" w:eastAsia="Arial" w:hAnsi="Arial"/>
          <w:sz w:val="16"/>
          <w:szCs w:val="16"/>
          <w:color w:val="auto"/>
        </w:rPr>
        <w:t>”), and no action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4.30 </w:t>
      </w:r>
      <w:r>
        <w:rPr>
          <w:rFonts w:ascii="Arial" w:cs="Arial" w:eastAsia="Arial" w:hAnsi="Arial"/>
          <w:sz w:val="16"/>
          <w:szCs w:val="16"/>
          <w:u w:val="single" w:color="auto"/>
          <w:color w:val="auto"/>
        </w:rPr>
        <w:t>Cybersecurity</w:t>
      </w:r>
      <w:r>
        <w:rPr>
          <w:rFonts w:ascii="Arial" w:cs="Arial" w:eastAsia="Arial" w:hAnsi="Arial"/>
          <w:sz w:val="16"/>
          <w:szCs w:val="16"/>
          <w:color w:val="auto"/>
        </w:rPr>
        <w:t>. Except as would not reasonably be expected to have a Material Adverse Effect, the Company and its subsidiaries’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technology assets and equipment, computers, systems, networks, hardware, software, websites, applications, and databases (collectively, “</w:t>
      </w:r>
      <w:r>
        <w:rPr>
          <w:rFonts w:ascii="Arial" w:cs="Arial" w:eastAsia="Arial" w:hAnsi="Arial"/>
          <w:sz w:val="16"/>
          <w:szCs w:val="16"/>
          <w:b w:val="1"/>
          <w:bCs w:val="1"/>
          <w:i w:val="1"/>
          <w:iCs w:val="1"/>
          <w:color w:val="auto"/>
        </w:rPr>
        <w:t>IT Systems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adequate for, and operate and perform in all respects as required in connection with the operation of the business of the Company and its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currently conducted, and, to the Company’s knowledge, are free and clear of all material Trojan horses, time bombs, malware and other malicious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code. The Company and its subsidiaries have implemented and maintained commercially reasonable physical, technical and administrative controls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designed to maintain and protect the confidentiality, integrity, availability, privacy and security of all sensitive, confidential or regulated data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Confidential Data</w:t>
      </w:r>
      <w:r>
        <w:rPr>
          <w:rFonts w:ascii="Arial" w:cs="Arial" w:eastAsia="Arial" w:hAnsi="Arial"/>
          <w:sz w:val="17"/>
          <w:szCs w:val="17"/>
          <w:color w:val="auto"/>
        </w:rPr>
        <w:t>”) used or maintained in connection with their businesses and Personal Data (defined below), and the integrity, availability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continuous operation, redundancy and security of all IT Systems. “</w:t>
      </w:r>
      <w:r>
        <w:rPr>
          <w:rFonts w:ascii="Arial" w:cs="Arial" w:eastAsia="Arial" w:hAnsi="Arial"/>
          <w:sz w:val="16"/>
          <w:szCs w:val="16"/>
          <w:b w:val="1"/>
          <w:bCs w:val="1"/>
          <w:i w:val="1"/>
          <w:iCs w:val="1"/>
          <w:color w:val="auto"/>
        </w:rPr>
        <w:t>Personal Data</w:t>
      </w:r>
      <w:r>
        <w:rPr>
          <w:rFonts w:ascii="Arial" w:cs="Arial" w:eastAsia="Arial" w:hAnsi="Arial"/>
          <w:sz w:val="16"/>
          <w:szCs w:val="16"/>
          <w:color w:val="auto"/>
        </w:rPr>
        <w:t>” means the following data used in connection with the Company’s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subsidiaries’ businesses and in their possession or control: (i) a natural person’s name, street address, telephone number, e-mail address, photograph,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social security number or other tax identification number, driver’s license number, passport number, credit card number, bank information, or customer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account number; (ii) information that identifies, relates to, or may reasonably be used to identify an individual; (iii) any information regarding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individual’s medical history, mental or physical condition, or medical treatment or diagnosis by a health care professional; (iv) an individual’s health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insurance policy number or subscriber identification number, any unique identifier used by a health insurer to identify the individual, or any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 individual’s application and claims history; (v) any information which would qualify as “protected health information” under the Health Insurance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Portability and Accountability Act of 1996, as amended by the Health Information Technology for Economic and Clinical Health Act (collectively,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HIPAA</w:t>
      </w:r>
      <w:r>
        <w:rPr>
          <w:rFonts w:ascii="Arial" w:cs="Arial" w:eastAsia="Arial" w:hAnsi="Arial"/>
          <w:sz w:val="17"/>
          <w:szCs w:val="17"/>
          <w:color w:val="auto"/>
        </w:rPr>
        <w:t>”); (vi) any information which would qualify as “personal data,” “personal information” (or similar term) under the Privacy Laws; and (vii)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other piece of information that alone, or combined with other information, allows the identification of such natural person, or his or her family,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permits the collection or analysis of any data related to an identified person’s health or sexual orientation. To the Company’s knowledge, there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breaches, outages or unauthorized uses of or accesses to the Company’s IT Systems, Confidential Data, and Personal Data. The Company and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subsidiaries are presently, and at all prior times were, in material compliance with all applicable laws or statutes and all judgments and orders binding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applicable binding rules and regulations of any court or arbitrator or governmental or regulatory authority, and their internal policies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contractual obligations, each relating to the Processing (as defined below), privacy and security of Personal Data and Confidential Data, the privacy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security of IT Systems and the protection of such IT Systems, Confidential Data, and Personal Data from unauthorized use, access, misappropriation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modification.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490" w:right="459" w:bottom="1440" w:gutter="0" w:footer="0" w:header="0"/>
        </w:sectPr>
      </w:pPr>
    </w:p>
    <w:bookmarkStart w:id="26" w:name="page27"/>
    <w:bookmarkEnd w:id="26"/>
    <w:p>
      <w:pPr>
        <w:ind w:right="6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4.31 </w:t>
      </w:r>
      <w:r>
        <w:rPr>
          <w:rFonts w:ascii="Arial" w:cs="Arial" w:eastAsia="Arial" w:hAnsi="Arial"/>
          <w:sz w:val="17"/>
          <w:szCs w:val="17"/>
          <w:u w:val="single" w:color="auto"/>
          <w:color w:val="auto"/>
        </w:rPr>
        <w:t>Compliance with Data Privacy Laws</w:t>
      </w:r>
      <w:r>
        <w:rPr>
          <w:rFonts w:ascii="Arial" w:cs="Arial" w:eastAsia="Arial" w:hAnsi="Arial"/>
          <w:sz w:val="17"/>
          <w:szCs w:val="17"/>
          <w:color w:val="auto"/>
        </w:rPr>
        <w:t>. The Company and its subsidiaries are, and at all prior times were, in material compliance with all applicable state and federal data privacy and security laws and regulations regarding the collection, use, storage, retention, disclosure, transfer, disposal, or any other processing (collectively “</w:t>
      </w:r>
      <w:r>
        <w:rPr>
          <w:rFonts w:ascii="Arial" w:cs="Arial" w:eastAsia="Arial" w:hAnsi="Arial"/>
          <w:sz w:val="17"/>
          <w:szCs w:val="17"/>
          <w:b w:val="1"/>
          <w:bCs w:val="1"/>
          <w:i w:val="1"/>
          <w:iCs w:val="1"/>
          <w:color w:val="auto"/>
        </w:rPr>
        <w:t>Process</w:t>
      </w:r>
      <w:r>
        <w:rPr>
          <w:rFonts w:ascii="Arial" w:cs="Arial" w:eastAsia="Arial" w:hAnsi="Arial"/>
          <w:sz w:val="17"/>
          <w:szCs w:val="17"/>
          <w:color w:val="auto"/>
        </w:rPr>
        <w:t>” or “</w:t>
      </w:r>
      <w:r>
        <w:rPr>
          <w:rFonts w:ascii="Arial" w:cs="Arial" w:eastAsia="Arial" w:hAnsi="Arial"/>
          <w:sz w:val="17"/>
          <w:szCs w:val="17"/>
          <w:b w:val="1"/>
          <w:bCs w:val="1"/>
          <w:i w:val="1"/>
          <w:iCs w:val="1"/>
          <w:color w:val="auto"/>
        </w:rPr>
        <w:t>Processing</w:t>
      </w:r>
      <w:r>
        <w:rPr>
          <w:rFonts w:ascii="Arial" w:cs="Arial" w:eastAsia="Arial" w:hAnsi="Arial"/>
          <w:sz w:val="17"/>
          <w:szCs w:val="17"/>
          <w:color w:val="auto"/>
        </w:rPr>
        <w:t>”) of Personal Data, including HIPAA, the California Consumer Privacy Act, and the European Union General Data Protection Regulation (EU 2016/679) (collectively, the “</w:t>
      </w:r>
      <w:r>
        <w:rPr>
          <w:rFonts w:ascii="Arial" w:cs="Arial" w:eastAsia="Arial" w:hAnsi="Arial"/>
          <w:sz w:val="17"/>
          <w:szCs w:val="17"/>
          <w:b w:val="1"/>
          <w:bCs w:val="1"/>
          <w:i w:val="1"/>
          <w:iCs w:val="1"/>
          <w:color w:val="auto"/>
        </w:rPr>
        <w:t>Privacy Laws</w:t>
      </w:r>
      <w:r>
        <w:rPr>
          <w:rFonts w:ascii="Arial" w:cs="Arial" w:eastAsia="Arial" w:hAnsi="Arial"/>
          <w:sz w:val="17"/>
          <w:szCs w:val="17"/>
          <w:color w:val="auto"/>
        </w:rPr>
        <w:t>”). To ensure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Arial" w:cs="Arial" w:eastAsia="Arial" w:hAnsi="Arial"/>
          <w:sz w:val="17"/>
          <w:szCs w:val="17"/>
          <w:b w:val="1"/>
          <w:bCs w:val="1"/>
          <w:i w:val="1"/>
          <w:iCs w:val="1"/>
          <w:color w:val="auto"/>
        </w:rPr>
        <w:t>Privacy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Statements</w:t>
      </w:r>
      <w:r>
        <w:rPr>
          <w:rFonts w:ascii="Arial" w:cs="Arial" w:eastAsia="Arial" w:hAnsi="Arial"/>
          <w:sz w:val="17"/>
          <w:szCs w:val="17"/>
          <w:color w:val="auto"/>
        </w:rPr>
        <w:t>”). The Company and its subsidiaries have, except as would not reasonably be expected, individually or in the aggregate, to have a Material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Adverse Effect, at all times since inception provided accurate notice of its Privacy Statements then in effect to its customers, employees, third party vendors and representatives. None of such disclosures made or contained in any Privacy Statements have been materially inaccurate, misleading, incomplete, or in material violation of any Privacy Laws. The Company further certifies that neither it nor any of its subsidiaries (a) has received notice of any actual or potential claim, complaint, proceeding, regulatory proceeding or liability under or relating to, or actual or potential violation of, any of the Privacy Laws, contracts related to the Processing of Personal Data or Confidential Data, or Privacy Statements, and has no knowledge of any event or condition that would reasonably be expected to result in any such notice, (b) is currently conducting or paying for, in whole or in part, any investigation, remediation, or other corrective action pursuant to any Privacy Law or contract, or (c) is a party to any order, decree, or agreement that imposes any obligation or liability under any Privacy Law.</w:t>
      </w:r>
    </w:p>
    <w:p>
      <w:pPr>
        <w:spacing w:after="0" w:line="182"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Transactions With Affiliates and Employees</w:t>
      </w:r>
      <w:r>
        <w:rPr>
          <w:rFonts w:ascii="Arial" w:cs="Arial" w:eastAsia="Arial" w:hAnsi="Arial"/>
          <w:sz w:val="16"/>
          <w:szCs w:val="16"/>
          <w:color w:val="auto"/>
        </w:rPr>
        <w:t>. None of the officers or directors of the Company or any of its subsidiaries and, to the knowledge of the Company, none of the employees of the Company or any of its subsidiaries is presently a party to any transaction with the Company or any of its subsidiaries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(a) payment of salary or consulting fees for services rendered, (b) reimbursement for expenses incurred on behalf of the Company, and (c) other employee benefits, including incentive award agreements under any incentive award plan of the Company.</w:t>
      </w:r>
    </w:p>
    <w:p>
      <w:pPr>
        <w:spacing w:after="0" w:line="16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No Additional Agreements</w:t>
      </w:r>
      <w:r>
        <w:rPr>
          <w:rFonts w:ascii="Arial" w:cs="Arial" w:eastAsia="Arial" w:hAnsi="Arial"/>
          <w:sz w:val="18"/>
          <w:szCs w:val="18"/>
          <w:color w:val="auto"/>
        </w:rPr>
        <w:t>. Other than this Agreement, the Company has not entered into any other agreement or understanding (including, without limitation, side letters) with any Purchaser to purchase Shares or Pre-Funded Warrants on terms more favorable to such Purchaser than as set forth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REPRESENTATIONS AND WARRANTIES OF THE PURCHASERS.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Purchaser, severally and not jointly, represents and warrants to the Company that:</w:t>
      </w:r>
    </w:p>
    <w:p>
      <w:pPr>
        <w:spacing w:after="0" w:line="225" w:lineRule="exact"/>
        <w:rPr>
          <w:sz w:val="20"/>
          <w:szCs w:val="20"/>
          <w:color w:val="auto"/>
        </w:rPr>
      </w:pPr>
    </w:p>
    <w:p>
      <w:pPr>
        <w:ind w:right="380" w:firstLine="440"/>
        <w:spacing w:after="0" w:line="275"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Risk</w:t>
      </w:r>
      <w:r>
        <w:rPr>
          <w:rFonts w:ascii="Arial" w:cs="Arial" w:eastAsia="Arial" w:hAnsi="Arial"/>
          <w:sz w:val="17"/>
          <w:szCs w:val="17"/>
          <w:color w:val="auto"/>
        </w:rPr>
        <w:t>. Such Purchaser, taking into account the personnel and resources it can practically bring to bear on the purchase of the Securities contemplated hereby, is knowledgeable, sophisticated and experienced in making, and is qualified to make, decisions with respect to investments in securities presenting an investment decision like that involved in the purchase of the Securities, including investments in securities issued by the Company, and has requested, received, reviewed and considered all information the Purchasers know about and deem relevant (including the SEC Documents) in making an informed decision to purchase the Securities.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490" w:right="459" w:bottom="1440" w:gutter="0" w:footer="0" w:header="0"/>
        </w:sectPr>
      </w:pPr>
    </w:p>
    <w:bookmarkStart w:id="27" w:name="page28"/>
    <w:bookmarkEnd w:id="27"/>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5.2 </w:t>
      </w:r>
      <w:r>
        <w:rPr>
          <w:rFonts w:ascii="Arial" w:cs="Arial" w:eastAsia="Arial" w:hAnsi="Arial"/>
          <w:sz w:val="18"/>
          <w:szCs w:val="18"/>
          <w:u w:val="single" w:color="auto"/>
          <w:color w:val="auto"/>
        </w:rPr>
        <w:t>Purchase for Investment</w:t>
      </w:r>
      <w:r>
        <w:rPr>
          <w:rFonts w:ascii="Arial" w:cs="Arial" w:eastAsia="Arial" w:hAnsi="Arial"/>
          <w:sz w:val="18"/>
          <w:szCs w:val="18"/>
          <w:color w:val="auto"/>
        </w:rPr>
        <w:t xml:space="preserve">. Purchaser is acquiring the Securities pursuant to this Agreement for its own account for investment only and with no present intention of distributing any of such Securities or any arrangement or understanding with any other Persons regarding the distribution of such Securities, except in compliance with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84"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Reliance</w:t>
      </w:r>
      <w:r>
        <w:rPr>
          <w:rFonts w:ascii="Arial" w:cs="Arial" w:eastAsia="Arial" w:hAnsi="Arial"/>
          <w:sz w:val="17"/>
          <w:szCs w:val="17"/>
          <w:color w:val="auto"/>
        </w:rPr>
        <w:t>. Such Purchaser understands that the Securities are being offered and sold to it in reliance upon specific exemptions from the registration requirements of the Securities Act, the rules and regulations promulgated under the Securities Act and state securities laws and that the Company is relying upon the truth and accuracy of, and such Purchaser’s compliance with, the representations, warranties, agreements, acknowledgments and understandings of such Purchaser set forth herein in order to determine the availability of such exemptions and the eligibility of such Purchaser to acquire the Securities. If any of the representations deemed to have been made by it by its purchase of the Securities are no longer accurate prior to Closing, the Purchaser shall promptly notify the Company. If such Purchaser is acquiring the Securities as a fiduciary or agent for one or more investor accounts, it represents that it has sole investment discretion with respect to each such account and it has full power to make the foregoing representations, acknowledgements and agreements on behalf of such account.</w:t>
      </w:r>
    </w:p>
    <w:p>
      <w:pPr>
        <w:spacing w:after="0" w:line="178"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Compliance with the Securities Act</w:t>
      </w:r>
      <w:r>
        <w:rPr>
          <w:rFonts w:ascii="Arial" w:cs="Arial" w:eastAsia="Arial" w:hAnsi="Arial"/>
          <w:sz w:val="18"/>
          <w:szCs w:val="18"/>
          <w:color w:val="auto"/>
        </w:rPr>
        <w:t>. Such Purchaser will not, directly or indirectly, offer, sell, pledge, transfer or otherwise dispose of (or solicit any offers to buy, purchase or otherwise acquire or take a pledge of) any of the securities purchased hereunder except in compliance with the Securities Act, applicable blue sky laws, and the rules and regulations promulgated thereunder.</w:t>
      </w:r>
    </w:p>
    <w:p>
      <w:pPr>
        <w:spacing w:after="0" w:line="184" w:lineRule="exact"/>
        <w:rPr>
          <w:sz w:val="20"/>
          <w:szCs w:val="20"/>
          <w:color w:val="auto"/>
        </w:rPr>
      </w:pPr>
    </w:p>
    <w:p>
      <w:pPr>
        <w:ind w:right="460" w:firstLine="440"/>
        <w:spacing w:after="0" w:line="308"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Accredited Investor</w:t>
      </w:r>
      <w:r>
        <w:rPr>
          <w:rFonts w:ascii="Arial" w:cs="Arial" w:eastAsia="Arial" w:hAnsi="Arial"/>
          <w:sz w:val="17"/>
          <w:szCs w:val="17"/>
          <w:color w:val="auto"/>
        </w:rPr>
        <w:t>. Such Purchaser is an “accredited investor” within the meaning of Rule 501 of Regulation D promulgated under the Securities Act or a Qualified Institutional Buyer within the meaning of Rule 144A promulgated under the Securities Act.</w:t>
      </w:r>
    </w:p>
    <w:p>
      <w:pPr>
        <w:spacing w:after="0" w:line="146"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Power and Authority</w:t>
      </w:r>
      <w:r>
        <w:rPr>
          <w:rFonts w:ascii="Arial" w:cs="Arial" w:eastAsia="Arial" w:hAnsi="Arial"/>
          <w:sz w:val="17"/>
          <w:szCs w:val="17"/>
          <w:color w:val="auto"/>
        </w:rPr>
        <w:t>. Such Purchaser has all requisite corporate power, and has taken all requisite corporate action, to authorize, execute and deliver this Agreement and each of the other agreements and instruments contemplated herein to which the Purchaser is a party, to consummate the transactions contemplated herein and therein and to carry out and perform all of such Purchaser’s obligations hereunder and thereunder. Upon the execution and delivery of this Agreement, and assuming due execution and delivery of this Agreement by the Company, this Agreement shall constitute a valid and binding obligation of such Purchaser, enforceable in accordance with its terms, except (a) as limited by applicable bankruptcy, insolvency, reorganization, moratorium or similar laws relating to or affecting the enforcement of creditors’ rights generally and (b) as limited by equitable principles generally, including any specific performance.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Broker Dealer</w:t>
      </w:r>
      <w:r>
        <w:rPr>
          <w:rFonts w:ascii="Arial" w:cs="Arial" w:eastAsia="Arial" w:hAnsi="Arial"/>
          <w:sz w:val="18"/>
          <w:szCs w:val="18"/>
          <w:color w:val="auto"/>
        </w:rPr>
        <w:t>. Such Purchaser is not a broker or dealer registered pursuant to Section 15 of the Exchange Act.</w:t>
      </w:r>
    </w:p>
    <w:p>
      <w:pPr>
        <w:spacing w:after="0" w:line="225"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Sophisticated Investor</w:t>
      </w:r>
      <w:r>
        <w:rPr>
          <w:rFonts w:ascii="Arial" w:cs="Arial" w:eastAsia="Arial" w:hAnsi="Arial"/>
          <w:sz w:val="18"/>
          <w:szCs w:val="18"/>
          <w:color w:val="auto"/>
        </w:rPr>
        <w:t>. Such Purchaser acknowledges that it is a sophisticated investor engaged in the business of assessing and assuming investment risks with respect to securities, including securities such as the Securities being offered hereby. Such Purchaser understands that the Securities are being offered and sold to it in reliance upon specific exemptions from the registration requirements of the Securities Act and state securities laws, and that the Company is relying upon the truth and accuracy of, and such Purchaser’s compliance with, the representations, warranties, agreements, acknowledgments and understandings of such Purchaser set forth herein in order to determine the availability of such exemptions and the eligibility of such Purchaser to acquire the Securities.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490" w:right="519" w:bottom="1440" w:gutter="0" w:footer="0" w:header="0"/>
        </w:sectPr>
      </w:pPr>
    </w:p>
    <w:bookmarkStart w:id="28" w:name="page29"/>
    <w:bookmarkEnd w:id="28"/>
    <w:p>
      <w:pPr>
        <w:ind w:right="4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5.9 </w:t>
      </w:r>
      <w:r>
        <w:rPr>
          <w:rFonts w:ascii="Arial" w:cs="Arial" w:eastAsia="Arial" w:hAnsi="Arial"/>
          <w:sz w:val="16"/>
          <w:szCs w:val="16"/>
          <w:u w:val="single" w:color="auto"/>
          <w:color w:val="auto"/>
        </w:rPr>
        <w:t>Other Securities Transactions</w:t>
      </w:r>
      <w:r>
        <w:rPr>
          <w:rFonts w:ascii="Arial" w:cs="Arial" w:eastAsia="Arial" w:hAnsi="Arial"/>
          <w:sz w:val="16"/>
          <w:szCs w:val="16"/>
          <w:color w:val="auto"/>
        </w:rPr>
        <w:t>. Such Purchaser has not, either directly or indirectly through any Person, agent or representative of the Company, engaged in any transaction in the securities of the Company other than with respect to the transactions contemplated herein, since the time that the Purchaser was first contacted by the Company or any other Person regarding the transactions contemplated hereby until the date hereof, except as set forth in filings made with the Commission pursuant to the Exchange Act. Notwithstanding the foregoing, (a)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the assets managed by the portfolio manager that made the investment decision to purchase the Securities covered by this Agreement and (b) in the case of an Purchaser that is affiliated with other funds or investment vehicles or whose investment advisor or sub-advisor that routinely acts on behalf of or pursuant to an understanding with such Purchaser is also an investment advisor or sub-advisor to other funds or investment vehicles, the representation set forth above shall only apply with respect to the personnel of such other funds or investment vehicles or such investment advisor or sub-advisor who had knowledge of the transaction contemplated hereby and not with respect to any personnel who have been effectively walled off by appropriate information barriers.</w:t>
      </w:r>
    </w:p>
    <w:p>
      <w:pPr>
        <w:spacing w:after="0" w:line="168"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Independent Advice</w:t>
      </w:r>
      <w:r>
        <w:rPr>
          <w:rFonts w:ascii="Arial" w:cs="Arial" w:eastAsia="Arial" w:hAnsi="Arial"/>
          <w:sz w:val="16"/>
          <w:szCs w:val="16"/>
          <w:color w:val="auto"/>
        </w:rPr>
        <w:t>. Such Purchaser understands that nothing in this Agreement or any other materials presented to such Purchaser by the Company in connection with the purchase and sale of the Securities constitutes legal, tax or investment advice. Such Purchaser has consulted such legal, tax and investment advisors as it, in its sole discretion, has deemed necessary or appropriate in connection with its purchase of the Securities.</w:t>
      </w:r>
    </w:p>
    <w:p>
      <w:pPr>
        <w:spacing w:after="0" w:line="149"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Legends</w:t>
      </w:r>
      <w:r>
        <w:rPr>
          <w:rFonts w:ascii="Arial" w:cs="Arial" w:eastAsia="Arial" w:hAnsi="Arial"/>
          <w:sz w:val="18"/>
          <w:szCs w:val="18"/>
          <w:color w:val="auto"/>
        </w:rPr>
        <w:t>. Such Purchaser understands that, until such time as the Shares and/or Warrant Shares may be sold pursuant to Rule 144 or an effective resale registration statement, any certificates representing the Shares and/or Warrant Shares, whether maintained in a book entry system or otherwise, will bear one or more legends in substantially the following form and substance:</w:t>
      </w:r>
    </w:p>
    <w:p>
      <w:pPr>
        <w:spacing w:after="0" w:line="76" w:lineRule="exact"/>
        <w:rPr>
          <w:sz w:val="20"/>
          <w:szCs w:val="20"/>
          <w:color w:val="auto"/>
        </w:rPr>
      </w:pPr>
    </w:p>
    <w:p>
      <w:pPr>
        <w:ind w:left="440"/>
        <w:spacing w:after="0" w:line="254" w:lineRule="auto"/>
        <w:rPr>
          <w:sz w:val="20"/>
          <w:szCs w:val="20"/>
          <w:color w:val="auto"/>
        </w:rPr>
      </w:pPr>
      <w:r>
        <w:rPr>
          <w:rFonts w:ascii="Arial" w:cs="Arial" w:eastAsia="Arial" w:hAnsi="Arial"/>
          <w:sz w:val="18"/>
          <w:szCs w:val="18"/>
          <w:color w:val="auto"/>
        </w:rPr>
        <w:t>“THE SECURITIES EVIDENCED BY THIS CERTIFICATE HAVE NOT BEEN REGISTERED UNDER THE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w:t>
      </w:r>
    </w:p>
    <w:p>
      <w:pPr>
        <w:spacing w:after="0" w:line="192"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In addition, any stock certificates, whether maintained in a book entry system or otherwise, representing the Shares and/or Warrant Shares may contain any legend required by the blue sky laws of any state to the extent such laws are applicable to the sale of such Shares and/or Warrant Shares hereunder.</w:t>
      </w:r>
    </w:p>
    <w:p>
      <w:pPr>
        <w:spacing w:after="0" w:line="184"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Restricted Securities</w:t>
      </w:r>
      <w:r>
        <w:rPr>
          <w:rFonts w:ascii="Arial" w:cs="Arial" w:eastAsia="Arial" w:hAnsi="Arial"/>
          <w:sz w:val="18"/>
          <w:szCs w:val="18"/>
          <w:color w:val="auto"/>
        </w:rPr>
        <w:t>. Such Purchaser understands that the Securities are characterized as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Accordingly, such Purchaser represents that it is familiar with Rule 144 of the Securities Act, as presently in effect, and understands the resale limitations imposed thereby and by the Securities Act.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490" w:right="459" w:bottom="1440" w:gutter="0" w:footer="0" w:header="0"/>
        </w:sectPr>
      </w:pPr>
    </w:p>
    <w:bookmarkStart w:id="29" w:name="page30"/>
    <w:bookmarkEnd w:id="29"/>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5.13 </w:t>
      </w:r>
      <w:r>
        <w:rPr>
          <w:rFonts w:ascii="Arial" w:cs="Arial" w:eastAsia="Arial" w:hAnsi="Arial"/>
          <w:sz w:val="17"/>
          <w:szCs w:val="17"/>
          <w:u w:val="single" w:color="auto"/>
          <w:color w:val="auto"/>
        </w:rPr>
        <w:t>No “Bad Actor” Disqualification Events</w:t>
      </w:r>
      <w:r>
        <w:rPr>
          <w:rFonts w:ascii="Arial" w:cs="Arial" w:eastAsia="Arial" w:hAnsi="Arial"/>
          <w:sz w:val="17"/>
          <w:szCs w:val="17"/>
          <w:color w:val="auto"/>
        </w:rPr>
        <w:t>. If the Purchaser is a Company Covered Person, Purchaser hereby represents that none of (a) the Purchaser or (b) any of its directors, executive officers, other officers that may serve as a director or officer of any company in which it invests, general partners or managing members is subject to any Disqualification Event, except for Disqualification Events covered by Rule 506(d)(2)(ii) or (iii) or (d)(3) under the Securities Act and disclosed reasonably in advance of the Closing in writing in reasonable detail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REGISTRATION OF THE SHARES AND COMPLIANCE WITH THE SECURITIES ACT.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Registration Procedures and Expenses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9" w:lineRule="auto"/>
        <w:tabs>
          <w:tab w:leader="none" w:pos="1236"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Company shall promptly following the Closing Date but not later than fifteen (15) Business Days after the Closing Date (the “</w:t>
      </w:r>
      <w:r>
        <w:rPr>
          <w:rFonts w:ascii="Arial" w:cs="Arial" w:eastAsia="Arial" w:hAnsi="Arial"/>
          <w:sz w:val="17"/>
          <w:szCs w:val="17"/>
          <w:b w:val="1"/>
          <w:bCs w:val="1"/>
          <w:i w:val="1"/>
          <w:iCs w:val="1"/>
          <w:color w:val="auto"/>
        </w:rPr>
        <w:t>Filing Deadline</w:t>
      </w:r>
      <w:r>
        <w:rPr>
          <w:rFonts w:ascii="Arial" w:cs="Arial" w:eastAsia="Arial" w:hAnsi="Arial"/>
          <w:sz w:val="17"/>
          <w:szCs w:val="17"/>
          <w:color w:val="auto"/>
        </w:rPr>
        <w:t>”), prepare and file with the Commission a Registration Statement on Form S-3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xml:space="preserve">”), relating to and providing for the resale of the Shares and/or Warrant Shares ) and shall cover, to the extent allowable under the Securities Act and the rules promulgated thereunder (including Rule 416), such indeterminate number of additional shares of Common Stock resulting from stock splits, stock dividends or similar transactions with respect to such Shares and/or Warrant Shares) by the Purchasers on a continuous basis pursuant to Rule 415 under the Securities Act; </w:t>
      </w:r>
      <w:r>
        <w:rPr>
          <w:rFonts w:ascii="Arial" w:cs="Arial" w:eastAsia="Arial" w:hAnsi="Arial"/>
          <w:sz w:val="17"/>
          <w:szCs w:val="17"/>
          <w:i w:val="1"/>
          <w:iCs w:val="1"/>
          <w:color w:val="auto"/>
        </w:rPr>
        <w:t>provided</w:t>
      </w:r>
      <w:r>
        <w:rPr>
          <w:rFonts w:ascii="Arial" w:cs="Arial" w:eastAsia="Arial" w:hAnsi="Arial"/>
          <w:sz w:val="17"/>
          <w:szCs w:val="17"/>
          <w:color w:val="auto"/>
        </w:rPr>
        <w:t>, that the Purchasers have completed a form of questionnaire (or provided to the Company such information as required to be included in such Registration Statement, in lieu of a questionnaire) as requested by the Company at least five (5) days prior to the Filing Deadline and have provided any other information regarding the holder and the distribution of the Securities as the Company may, from time to time, reasonably request for inclusion in a Registration Statement pursuant to applicable law. If Form S-3 is not available for use by the Company, then the Company shall utilize a Registration Statement on Form S-1.</w:t>
      </w:r>
    </w:p>
    <w:p>
      <w:pPr>
        <w:spacing w:after="0" w:line="185" w:lineRule="exact"/>
        <w:rPr>
          <w:rFonts w:ascii="Arial" w:cs="Arial" w:eastAsia="Arial" w:hAnsi="Arial"/>
          <w:sz w:val="17"/>
          <w:szCs w:val="17"/>
          <w:color w:val="auto"/>
        </w:rPr>
      </w:pPr>
    </w:p>
    <w:p>
      <w:pPr>
        <w:ind w:right="100" w:firstLine="987"/>
        <w:spacing w:after="0" w:line="226" w:lineRule="auto"/>
        <w:tabs>
          <w:tab w:leader="none" w:pos="1246"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Effectiveness Deadline</w:t>
      </w:r>
      <w:r>
        <w:rPr>
          <w:rFonts w:ascii="Arial" w:cs="Arial" w:eastAsia="Arial" w:hAnsi="Arial"/>
          <w:sz w:val="17"/>
          <w:szCs w:val="17"/>
          <w:color w:val="auto"/>
        </w:rPr>
        <w:t>. The Company shall use its commercially reasonable efforts to cause the Commission to declare a Registration Statement covering the Shares and/or Warrant Shares effective as soon as practicable after the date of the filing thereof and in any event not later than the earlier of (i) five (5) Business Days after the date on which the staff of the Commission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indicates via email or telephone that it will not review or has no further comments on the Registration Statement, or (ii) the sixtieth (60</w:t>
      </w:r>
      <w:r>
        <w:rPr>
          <w:rFonts w:ascii="Arial" w:cs="Arial" w:eastAsia="Arial" w:hAnsi="Arial"/>
          <w:sz w:val="25"/>
          <w:szCs w:val="25"/>
          <w:color w:val="auto"/>
          <w:vertAlign w:val="superscript"/>
        </w:rPr>
        <w:t>th</w:t>
      </w:r>
      <w:r>
        <w:rPr>
          <w:rFonts w:ascii="Arial" w:cs="Arial" w:eastAsia="Arial" w:hAnsi="Arial"/>
          <w:sz w:val="17"/>
          <w:szCs w:val="17"/>
          <w:color w:val="auto"/>
        </w:rPr>
        <w:t>) day after the Closing Date (or the ninetieth (90</w:t>
      </w:r>
      <w:r>
        <w:rPr>
          <w:rFonts w:ascii="Arial" w:cs="Arial" w:eastAsia="Arial" w:hAnsi="Arial"/>
          <w:sz w:val="25"/>
          <w:szCs w:val="25"/>
          <w:color w:val="auto"/>
          <w:vertAlign w:val="superscript"/>
        </w:rPr>
        <w:t>th</w:t>
      </w:r>
      <w:r>
        <w:rPr>
          <w:rFonts w:ascii="Arial" w:cs="Arial" w:eastAsia="Arial" w:hAnsi="Arial"/>
          <w:sz w:val="17"/>
          <w:szCs w:val="17"/>
          <w:color w:val="auto"/>
        </w:rPr>
        <w:t>) day if the Commission reviews such Registration Statement) (such date, the “</w:t>
      </w:r>
      <w:r>
        <w:rPr>
          <w:rFonts w:ascii="Arial" w:cs="Arial" w:eastAsia="Arial" w:hAnsi="Arial"/>
          <w:sz w:val="17"/>
          <w:szCs w:val="17"/>
          <w:b w:val="1"/>
          <w:bCs w:val="1"/>
          <w:i w:val="1"/>
          <w:iCs w:val="1"/>
          <w:color w:val="auto"/>
        </w:rPr>
        <w:t>Effectiveness Deadline</w:t>
      </w:r>
      <w:r>
        <w:rPr>
          <w:rFonts w:ascii="Arial" w:cs="Arial" w:eastAsia="Arial" w:hAnsi="Arial"/>
          <w:sz w:val="17"/>
          <w:szCs w:val="17"/>
          <w:color w:val="auto"/>
        </w:rPr>
        <w:t>”).</w:t>
      </w:r>
    </w:p>
    <w:p>
      <w:pPr>
        <w:spacing w:after="0" w:line="202" w:lineRule="exact"/>
        <w:rPr>
          <w:rFonts w:ascii="Arial" w:cs="Arial" w:eastAsia="Arial" w:hAnsi="Arial"/>
          <w:sz w:val="17"/>
          <w:szCs w:val="17"/>
          <w:color w:val="auto"/>
        </w:rPr>
      </w:pPr>
    </w:p>
    <w:p>
      <w:pPr>
        <w:ind w:right="20" w:firstLine="987"/>
        <w:spacing w:after="0" w:line="250" w:lineRule="auto"/>
        <w:tabs>
          <w:tab w:leader="none" w:pos="1233"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shall promptly prepare and file with the Commission such amendments and supplements to the Registration Statement and the prospectus used in connection therewith as may be necessary to keep the Registration Statement effective until the earliest of (i) the third (3</w:t>
      </w:r>
      <w:r>
        <w:rPr>
          <w:rFonts w:ascii="Arial" w:cs="Arial" w:eastAsia="Arial" w:hAnsi="Arial"/>
          <w:sz w:val="25"/>
          <w:szCs w:val="25"/>
          <w:color w:val="auto"/>
          <w:vertAlign w:val="superscript"/>
        </w:rPr>
        <w:t>rd</w:t>
      </w:r>
      <w:r>
        <w:rPr>
          <w:rFonts w:ascii="Arial" w:cs="Arial" w:eastAsia="Arial" w:hAnsi="Arial"/>
          <w:sz w:val="17"/>
          <w:szCs w:val="17"/>
          <w:color w:val="auto"/>
        </w:rPr>
        <w:t>) anniversary of the effective date of the Registration Statement, (ii) such time as all of the Shares and/or Warrant Shares purchased by the Purchasers pursuant to the terms of this Agreement have been sold pursuant to the Registration Statement, or (iii) such time as the Shares and/or Warrant Shares become eligible for resale by non-affiliates without any volume limitations or other restrictions pursuant to Rule 144 under the Securities Act (including, for the avoidance of doubt, Rule 144(i)(2)) or any other rule of similar effect (the “</w:t>
      </w:r>
      <w:r>
        <w:rPr>
          <w:rFonts w:ascii="Arial" w:cs="Arial" w:eastAsia="Arial" w:hAnsi="Arial"/>
          <w:sz w:val="17"/>
          <w:szCs w:val="17"/>
          <w:b w:val="1"/>
          <w:bCs w:val="1"/>
          <w:i w:val="1"/>
          <w:iCs w:val="1"/>
          <w:color w:val="auto"/>
        </w:rPr>
        <w:t>Effectiveness Period</w:t>
      </w:r>
      <w:r>
        <w:rPr>
          <w:rFonts w:ascii="Arial" w:cs="Arial" w:eastAsia="Arial" w:hAnsi="Arial"/>
          <w:sz w:val="17"/>
          <w:szCs w:val="17"/>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490" w:right="459" w:bottom="1440" w:gutter="0" w:footer="0" w:header="0"/>
        </w:sectPr>
      </w:pPr>
    </w:p>
    <w:bookmarkStart w:id="30" w:name="page31"/>
    <w:bookmarkEnd w:id="30"/>
    <w:p>
      <w:pPr>
        <w:ind w:right="840" w:firstLine="987"/>
        <w:spacing w:after="0" w:line="291" w:lineRule="auto"/>
        <w:tabs>
          <w:tab w:leader="none" w:pos="1246"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If either: (i) the Registration Statement is (A) not filed with the Commission on or before the Filing Deadline in violation of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(a “</w:t>
      </w:r>
      <w:r>
        <w:rPr>
          <w:rFonts w:ascii="Arial" w:cs="Arial" w:eastAsia="Arial" w:hAnsi="Arial"/>
          <w:sz w:val="16"/>
          <w:szCs w:val="16"/>
          <w:b w:val="1"/>
          <w:bCs w:val="1"/>
          <w:i w:val="1"/>
          <w:iCs w:val="1"/>
          <w:color w:val="auto"/>
        </w:rPr>
        <w:t>Filing Failure</w:t>
      </w:r>
      <w:r>
        <w:rPr>
          <w:rFonts w:ascii="Arial" w:cs="Arial" w:eastAsia="Arial" w:hAnsi="Arial"/>
          <w:sz w:val="16"/>
          <w:szCs w:val="16"/>
          <w:color w:val="auto"/>
        </w:rPr>
        <w:t>”), or (B) if filed but not declared effective by the Commission on or before the Effectiveness Deadline (an</w:t>
      </w:r>
    </w:p>
    <w:p>
      <w:pPr>
        <w:spacing w:after="0" w:line="264"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Effectiveness Failure</w:t>
      </w:r>
      <w:r>
        <w:rPr>
          <w:rFonts w:ascii="Arial" w:cs="Arial" w:eastAsia="Arial" w:hAnsi="Arial"/>
          <w:sz w:val="16"/>
          <w:szCs w:val="16"/>
          <w:color w:val="auto"/>
        </w:rPr>
        <w:t>”), or (ii) on any day during the Effectiveness Period and after the date on which the Registration Statement is declared effective, sales of all of the Shares and/or Warrant Shares required to be included on such Registration Statement cannot be made (other than during a Blackout Period) pursuant to such Registration Statement (including because of a failure to keep such Registration Statement effective, to disclose such information as is necessary for sales to be made pursuant to such Registration Statement or to register a sufficient number of Shares and/or Warrant Shares as required by this Agreement) or (iii) after the Filing Deadline, and only in the event a Registration Statement is not effective or available to sell the Shares and/or Warrant Shares, the Company fails to file with the Commission any required reports under Section 13 or 15(d) of the Exchange Act such that it is not in compliance with Rule 144(c)(1), as a result of which the Purchasers who are not affiliates of the Company are unable to sell Shares and/or Warrant Shares without restriction under Rule 144 (a “</w:t>
      </w:r>
      <w:r>
        <w:rPr>
          <w:rFonts w:ascii="Arial" w:cs="Arial" w:eastAsia="Arial" w:hAnsi="Arial"/>
          <w:sz w:val="16"/>
          <w:szCs w:val="16"/>
          <w:b w:val="1"/>
          <w:bCs w:val="1"/>
          <w:i w:val="1"/>
          <w:iCs w:val="1"/>
          <w:color w:val="auto"/>
        </w:rPr>
        <w:t>Maintenance Failure</w:t>
      </w:r>
      <w:r>
        <w:rPr>
          <w:rFonts w:ascii="Arial" w:cs="Arial" w:eastAsia="Arial" w:hAnsi="Arial"/>
          <w:sz w:val="16"/>
          <w:szCs w:val="16"/>
          <w:color w:val="auto"/>
        </w:rPr>
        <w:t>”), then, in satisfaction of the damages to any Purchaser by reason of any such delay in or reduction of its ability to sell the Shares and/or Warrant Shares, the Company shall pay to each such Purchaser then holding Shares and/or Warrant Shares relating to such Registration Statement an amount in cash equal to 1.0% of the Purchase Price for the Shares and/or Warrant Shares then held by such Purchaser on each of the following dates (as applicable): (x) on every thirtieth (30</w:t>
      </w:r>
      <w:r>
        <w:rPr>
          <w:rFonts w:ascii="Arial" w:cs="Arial" w:eastAsia="Arial" w:hAnsi="Arial"/>
          <w:sz w:val="23"/>
          <w:szCs w:val="23"/>
          <w:color w:val="auto"/>
          <w:vertAlign w:val="superscript"/>
        </w:rPr>
        <w:t>th</w:t>
      </w:r>
      <w:r>
        <w:rPr>
          <w:rFonts w:ascii="Arial" w:cs="Arial" w:eastAsia="Arial" w:hAnsi="Arial"/>
          <w:sz w:val="16"/>
          <w:szCs w:val="16"/>
          <w:color w:val="auto"/>
        </w:rPr>
        <w:t>) day (prorated for periods totaling less than 30 days) following such Filing Failure until such Filing Failure is cured; (y) on every thirtieth (30</w:t>
      </w:r>
      <w:r>
        <w:rPr>
          <w:rFonts w:ascii="Arial" w:cs="Arial" w:eastAsia="Arial" w:hAnsi="Arial"/>
          <w:sz w:val="23"/>
          <w:szCs w:val="23"/>
          <w:color w:val="auto"/>
          <w:vertAlign w:val="superscript"/>
        </w:rPr>
        <w:t>th</w:t>
      </w:r>
      <w:r>
        <w:rPr>
          <w:rFonts w:ascii="Arial" w:cs="Arial" w:eastAsia="Arial" w:hAnsi="Arial"/>
          <w:sz w:val="16"/>
          <w:szCs w:val="16"/>
          <w:color w:val="auto"/>
        </w:rPr>
        <w:t>) day (prorated for periods totaling less than 30 days) following such Effectiveness Failure until such Effectiveness Failure is cured; and (z) on every thirtieth (30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(prorated for periods totaling less than 30 days) following such Maintenance Failure until such Maintenance Failure is cured. The payments to which a Purchaser shall be entitled pursuant to this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are referred to herein as “</w:t>
      </w:r>
      <w:r>
        <w:rPr>
          <w:rFonts w:ascii="Arial" w:cs="Arial" w:eastAsia="Arial" w:hAnsi="Arial"/>
          <w:sz w:val="16"/>
          <w:szCs w:val="16"/>
          <w:b w:val="1"/>
          <w:bCs w:val="1"/>
          <w:i w:val="1"/>
          <w:iCs w:val="1"/>
          <w:color w:val="auto"/>
        </w:rPr>
        <w:t>Registration Delay Payments</w:t>
      </w:r>
      <w:r>
        <w:rPr>
          <w:rFonts w:ascii="Arial" w:cs="Arial" w:eastAsia="Arial" w:hAnsi="Arial"/>
          <w:sz w:val="16"/>
          <w:szCs w:val="16"/>
          <w:color w:val="auto"/>
        </w:rPr>
        <w:t xml:space="preserve">”; provided that no Registration Delay Payments shall be required following the termination of the Effectiveness Period, and provided further that in no event shall the aggregate Registration Delay Payments accruing under this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exceed 6% of the Purchase Price for the Securities then held by such Purchaser (i.e., corresponding to a total delay of six months). In no event shall the Company be obligated to pay any damages pursuant to this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to more than one Purchaser in respect of the same Shares and/or Warrant Shares for the same period of time. The Registration Delay Payments shall be paid on the earlier of (I) the last day of the calendar month during which such Registration Delay Payments are incurred and (II) the third (3</w:t>
      </w:r>
      <w:r>
        <w:rPr>
          <w:rFonts w:ascii="Arial" w:cs="Arial" w:eastAsia="Arial" w:hAnsi="Arial"/>
          <w:sz w:val="23"/>
          <w:szCs w:val="23"/>
          <w:color w:val="auto"/>
          <w:vertAlign w:val="superscript"/>
        </w:rPr>
        <w:t>rd</w:t>
      </w:r>
      <w:r>
        <w:rPr>
          <w:rFonts w:ascii="Arial" w:cs="Arial" w:eastAsia="Arial" w:hAnsi="Arial"/>
          <w:sz w:val="16"/>
          <w:szCs w:val="16"/>
          <w:color w:val="auto"/>
        </w:rPr>
        <w:t>) Business Day after the event or failure giving rise to the Registration Delay Payments is cured. The Filing Deadline and Effectiveness Deadline for a Registration Statement shall be extended without default or damages hereunder in the event that the Company’s failure to file or obtain the effectiveness of the Registration Statement on a timely basis results from the failure of a Purchaser to timely provide the Company with information requested by the Company and necessary to complete the Registration Statement in accordance with the requirements of the Securities Act. For the sake of clarity, at such time as Shares and/or Warrant Shares become eligible for resale without any volume limitations or other restrictions pursuant to Rule 144(b)(1)(i) and Rule 144(i)(2) under the Securities Act.</w:t>
      </w:r>
    </w:p>
    <w:p>
      <w:pPr>
        <w:spacing w:after="0" w:line="187" w:lineRule="exact"/>
        <w:rPr>
          <w:rFonts w:ascii="Arial" w:cs="Arial" w:eastAsia="Arial" w:hAnsi="Arial"/>
          <w:sz w:val="16"/>
          <w:szCs w:val="16"/>
          <w:color w:val="auto"/>
        </w:rPr>
      </w:pPr>
    </w:p>
    <w:p>
      <w:pPr>
        <w:ind w:right="180" w:firstLine="987"/>
        <w:spacing w:after="0" w:line="286" w:lineRule="auto"/>
        <w:tabs>
          <w:tab w:leader="none" w:pos="1236"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Related Obligations</w:t>
      </w:r>
      <w:r>
        <w:rPr>
          <w:rFonts w:ascii="Arial" w:cs="Arial" w:eastAsia="Arial" w:hAnsi="Arial"/>
          <w:sz w:val="17"/>
          <w:szCs w:val="17"/>
          <w:color w:val="auto"/>
        </w:rPr>
        <w:t>. At such time as the Company is obligated to file the Registration Statement with the Commission pursuant to Section 6.1(a), the Company will use commercially reasonable efforts to effect the registration of the Shares and/or Warrant Shares in accordance with the intended method of disposition thereof and, pursuant thereto, the Company shall have the following obligations:</w:t>
      </w:r>
    </w:p>
    <w:p>
      <w:pPr>
        <w:spacing w:after="0" w:line="165" w:lineRule="exact"/>
        <w:rPr>
          <w:rFonts w:ascii="Arial" w:cs="Arial" w:eastAsia="Arial" w:hAnsi="Arial"/>
          <w:sz w:val="17"/>
          <w:szCs w:val="17"/>
          <w:color w:val="auto"/>
        </w:rPr>
      </w:pPr>
    </w:p>
    <w:p>
      <w:pPr>
        <w:ind w:firstLine="1428"/>
        <w:spacing w:after="0" w:line="273" w:lineRule="auto"/>
        <w:tabs>
          <w:tab w:leader="none" w:pos="1644"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Company shall submit to the Commission, within three (3) Business Days after the Company learns that no review of the Registration Statement will be made by the Staff or that the Staff has no further comments on the Registration Statement, as the case may be, a request for acceleration of effectiveness of such Registration Statement to a time and date not later than two (2) Business Days after the submission of such request, subject to the approval of the Staff. The Company shall keep each Registration Statement effective pursuant to Rule 415 at all times with respect to each Purchaser’s Shares and/or Warrant Shares until the expiration of the Effectiveness Period. The Company shall ensure that each Registration Statement (including any amendments or supplements thereto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490" w:right="459" w:bottom="1440" w:gutter="0" w:footer="0" w:header="0"/>
        </w:sectPr>
      </w:pPr>
    </w:p>
    <w:bookmarkStart w:id="31" w:name="page32"/>
    <w:bookmarkEnd w:id="3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prospectuses contained therein) shall not contain any untrue statement of a material fact or omit to state a material fact required to be stated therein, or necessary to make the statements therein (in the case of prospectuses, in the light of the circumstances in which they were made) not misleading. Notwithstanding the registration obligations set forth in this </w:t>
      </w:r>
      <w:r>
        <w:rPr>
          <w:rFonts w:ascii="Arial" w:cs="Arial" w:eastAsia="Arial" w:hAnsi="Arial"/>
          <w:sz w:val="16"/>
          <w:szCs w:val="16"/>
          <w:u w:val="single" w:color="auto"/>
          <w:color w:val="auto"/>
        </w:rPr>
        <w:t>Section 6</w:t>
      </w:r>
      <w:r>
        <w:rPr>
          <w:rFonts w:ascii="Arial" w:cs="Arial" w:eastAsia="Arial" w:hAnsi="Arial"/>
          <w:sz w:val="16"/>
          <w:szCs w:val="16"/>
          <w:color w:val="auto"/>
        </w:rPr>
        <w:t>, in the event the Commission informs the Company that all of the Shares or the Warrant Shares cannot, as a result of the application of Rule 415, be registered for resale as a secondary offering on a single registration statement, the Company agrees to promptly (A) inform each of the holders thereof and use its commercially reasonable efforts to file amendments to the Registration Statement as required by the Commission and/or (B) withdraw the Registration Statement and file a new registration statement (a “</w:t>
      </w:r>
      <w:r>
        <w:rPr>
          <w:rFonts w:ascii="Arial" w:cs="Arial" w:eastAsia="Arial" w:hAnsi="Arial"/>
          <w:sz w:val="16"/>
          <w:szCs w:val="16"/>
          <w:i w:val="1"/>
          <w:iCs w:val="1"/>
          <w:color w:val="auto"/>
        </w:rPr>
        <w:t>New Registration</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w:t>
      </w:r>
      <w:r>
        <w:rPr>
          <w:rFonts w:ascii="Arial" w:cs="Arial" w:eastAsia="Arial" w:hAnsi="Arial"/>
          <w:sz w:val="16"/>
          <w:szCs w:val="16"/>
          <w:color w:val="auto"/>
        </w:rPr>
        <w:t>”), in either case covering the maximum number of Shares and Warrant Shares permitted to be registered by the Commission, on Form S-3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other form available to register for resale the Shares and Warrant Shares as a secondary offering;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prior to filing such amendment or New Registration Statement, the Company shall be obligated to use its commercially reasonable efforts to advocate with the Commission for the registration of all of the Shares and Warrant Shares in accordance with the SEC Guidance, including without limitation, the Manual of Publicly Available Telephone Interpretations D.29. Notwithstanding any other provision of this Agreement and subject to the payment of liquidated damages in </w:t>
      </w:r>
      <w:r>
        <w:rPr>
          <w:rFonts w:ascii="Arial" w:cs="Arial" w:eastAsia="Arial" w:hAnsi="Arial"/>
          <w:sz w:val="16"/>
          <w:szCs w:val="16"/>
          <w:u w:val="single" w:color="auto"/>
          <w:color w:val="auto"/>
        </w:rPr>
        <w:t>Section 6.1(d)</w:t>
      </w:r>
      <w:r>
        <w:rPr>
          <w:rFonts w:ascii="Arial" w:cs="Arial" w:eastAsia="Arial" w:hAnsi="Arial"/>
          <w:sz w:val="16"/>
          <w:szCs w:val="16"/>
          <w:color w:val="auto"/>
        </w:rPr>
        <w:t>, if any SEC Guidance sets forth a limitation of the number of Shares and Warrant Shares permitted to be registered on a particular Registration Statement as a secondary offering (and notwithstanding that the Company used diligent efforts to advocate with the Commission for the registration of all or a greater number of Shares and Warrant Shares), unless otherwise directed in writing by a Purchaser as to its Shares or Warrant Shares, the number of Shares or Warrant Shares to be registered on such Registration Statement will first be reduced by Shares or Warrant Shares not acquired pursuant to the Purchase Agreement (whether pursuant to registration rights or otherwise), second by holders of Warrant Shares (applied, in the case that some Warrant Shares may be registered, to the Purchaser on a pro rata basis based on the total number of unregistered Warrant Shares held by such Purchasers) and third by Shares (applied, in the case that some Shares may be registered, to the Purchasers on a pro rata basis based on the total number of unregistered Shares held by such Purchasers, subject to a determination by the Commission that certain Purchasers must be reduced first based on the number of Shares held by such Purchasers). In the event the Company amends the Registration Statement or files a New Registration Statement, as the case may be, under clauses (A) or (B)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Shares or Warrant Shares that were not registered for resale on the Registration Statement, as amended, or the New Registration Statement (the “</w:t>
      </w:r>
      <w:r>
        <w:rPr>
          <w:rFonts w:ascii="Arial" w:cs="Arial" w:eastAsia="Arial" w:hAnsi="Arial"/>
          <w:sz w:val="16"/>
          <w:szCs w:val="16"/>
          <w:i w:val="1"/>
          <w:iCs w:val="1"/>
          <w:color w:val="auto"/>
        </w:rPr>
        <w:t>Remainder Registration Statements</w:t>
      </w:r>
      <w:r>
        <w:rPr>
          <w:rFonts w:ascii="Arial" w:cs="Arial" w:eastAsia="Arial" w:hAnsi="Arial"/>
          <w:sz w:val="16"/>
          <w:szCs w:val="16"/>
          <w:color w:val="auto"/>
        </w:rPr>
        <w:t>”).</w:t>
      </w:r>
    </w:p>
    <w:p>
      <w:pPr>
        <w:spacing w:after="0" w:line="175" w:lineRule="exact"/>
        <w:rPr>
          <w:sz w:val="20"/>
          <w:szCs w:val="20"/>
          <w:color w:val="auto"/>
        </w:rPr>
      </w:pPr>
    </w:p>
    <w:p>
      <w:pPr>
        <w:ind w:right="20" w:firstLine="1428"/>
        <w:spacing w:after="0" w:line="290" w:lineRule="auto"/>
        <w:tabs>
          <w:tab w:leader="none" w:pos="1694"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shall notify the Purchasers in writing of the happening of any event, as promptly as practicable after becoming aware of such event, as a result of which the prospectus included in the Registration Statement, as then in effect, includes an untrue statement of a material fact or omission to state a material fact required to be stated therein or necessary to make the statements therein, in the light of the circumstances under which they were made, not misleading (provided that in no event shall such notice contain any material, nonpublic information), and promptly prepare a supplement or amendment to such Registration Statement to correct such untrue statement or omission. The Company shall also promptly notify the Purchasers in writing (A) of any request by the Commission for amendments or supplements to the Registration Statement or related prospectus or related information that relates to the Purchaser, and (B) of the Company’s reasonable determination that a post-effective amendment to the Registration Statement would be appropriate (provided that in no event shall such notice in (A) or (B) contain any material, nonpublic information).</w:t>
      </w:r>
    </w:p>
    <w:p>
      <w:pPr>
        <w:spacing w:after="0" w:line="165" w:lineRule="exact"/>
        <w:rPr>
          <w:rFonts w:ascii="Arial" w:cs="Arial" w:eastAsia="Arial" w:hAnsi="Arial"/>
          <w:sz w:val="16"/>
          <w:szCs w:val="16"/>
          <w:color w:val="auto"/>
        </w:rPr>
      </w:pPr>
    </w:p>
    <w:p>
      <w:pPr>
        <w:jc w:val="both"/>
        <w:ind w:right="60" w:firstLine="1428"/>
        <w:spacing w:after="0" w:line="342" w:lineRule="auto"/>
        <w:tabs>
          <w:tab w:leader="none" w:pos="1744"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shall promptly inform the Purchasers of the issuance of any stop order or other suspension of the effectiveness of the Registration Statement, and use commercially reasonable efforts to prevent the issuance of any stop order or other suspension of effectiveness of the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490" w:right="459" w:bottom="1440" w:gutter="0" w:footer="0" w:header="0"/>
        </w:sectPr>
      </w:pPr>
    </w:p>
    <w:bookmarkStart w:id="32" w:name="page33"/>
    <w:bookmarkEnd w:id="32"/>
    <w:p>
      <w:pPr>
        <w:jc w:val="both"/>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Registration Statement, or the suspension of the qualification of any of the Shares and/or Warrant Shares for sale in any jurisdiction and, if such an order or suspension is issued, to obtain the withdrawal of such order or suspension at the earliest possible moment and to notify the Purchasers of the issuance of such order and the resolution thereof or its receipt of notice of the initiation or threat of any proceeding for such purpose.</w:t>
      </w:r>
    </w:p>
    <w:p>
      <w:pPr>
        <w:spacing w:after="0" w:line="149" w:lineRule="exact"/>
        <w:rPr>
          <w:sz w:val="20"/>
          <w:szCs w:val="20"/>
          <w:color w:val="auto"/>
        </w:rPr>
      </w:pPr>
    </w:p>
    <w:p>
      <w:pPr>
        <w:ind w:right="240" w:firstLine="1428"/>
        <w:spacing w:after="0" w:line="301" w:lineRule="auto"/>
        <w:tabs>
          <w:tab w:leader="none" w:pos="1737" w:val="left"/>
        </w:tabs>
        <w:numPr>
          <w:ilvl w:val="1"/>
          <w:numId w:val="35"/>
        </w:numPr>
        <w:rPr>
          <w:rFonts w:ascii="Arial" w:cs="Arial" w:eastAsia="Arial" w:hAnsi="Arial"/>
          <w:sz w:val="16"/>
          <w:szCs w:val="16"/>
          <w:color w:val="auto"/>
        </w:rPr>
      </w:pPr>
      <w:r>
        <w:rPr>
          <w:rFonts w:ascii="Arial" w:cs="Arial" w:eastAsia="Arial" w:hAnsi="Arial"/>
          <w:sz w:val="16"/>
          <w:szCs w:val="16"/>
          <w:color w:val="auto"/>
        </w:rPr>
        <w:t>Neither the Company nor any affiliate thereof shall identify any Purchaser as an underwriter in any public disclosure or filing with the Commission or any applicable Trading Market without the prior written consent of such Purchaser, except to the extent such disclosure is required by law, request of the Staff of the Commission or Trading Market regulations, in which case the Company shall provide such Purchaser with prior written notice of such disclosure and such Purchaser will have an opportunity to withdraw from the Registration Statement.</w:t>
      </w:r>
    </w:p>
    <w:p>
      <w:pPr>
        <w:spacing w:after="0" w:line="157" w:lineRule="exact"/>
        <w:rPr>
          <w:rFonts w:ascii="Arial" w:cs="Arial" w:eastAsia="Arial" w:hAnsi="Arial"/>
          <w:sz w:val="16"/>
          <w:szCs w:val="16"/>
          <w:color w:val="auto"/>
        </w:rPr>
      </w:pPr>
    </w:p>
    <w:p>
      <w:pPr>
        <w:ind w:firstLine="987"/>
        <w:spacing w:after="0" w:line="284" w:lineRule="auto"/>
        <w:tabs>
          <w:tab w:leader="none" w:pos="1216"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Blackout Period</w:t>
      </w:r>
      <w:r>
        <w:rPr>
          <w:rFonts w:ascii="Arial" w:cs="Arial" w:eastAsia="Arial" w:hAnsi="Arial"/>
          <w:sz w:val="16"/>
          <w:szCs w:val="16"/>
          <w:color w:val="auto"/>
        </w:rPr>
        <w:t>. Notwithstanding the foregoing obligations, the Company may, upon written notice to the Purchasers, which notice shall not contain any information that is or the Company reasonably believes is material non-public information, for a reasonable period of time after effectiveness, not to exceed 30 days (each, a “</w:t>
      </w:r>
      <w:r>
        <w:rPr>
          <w:rFonts w:ascii="Arial" w:cs="Arial" w:eastAsia="Arial" w:hAnsi="Arial"/>
          <w:sz w:val="16"/>
          <w:szCs w:val="16"/>
          <w:b w:val="1"/>
          <w:bCs w:val="1"/>
          <w:i w:val="1"/>
          <w:iCs w:val="1"/>
          <w:color w:val="auto"/>
        </w:rPr>
        <w:t>Blackout Period</w:t>
      </w:r>
      <w:r>
        <w:rPr>
          <w:rFonts w:ascii="Arial" w:cs="Arial" w:eastAsia="Arial" w:hAnsi="Arial"/>
          <w:sz w:val="16"/>
          <w:szCs w:val="16"/>
          <w:color w:val="auto"/>
        </w:rPr>
        <w:t>”), delay the filing of an amendment to a Registration Statement or suspend the effectiveness or use of any Registration Statement, in the event that (i) negotiation or consummation of a transaction by the Company is pending or an event has occurred, which negotiation, consummation or event, the Company’s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xml:space="preserve">”) reasonably believes, upon the advice of legal counsel, would require additional disclosure by the Company in the Registration Statement of material information that the Company has a bona fide business purpose for preserving as confidential and the non-disclosure of which in the Registration Statement would be expected, in the reasonable determination of the Board, upon the advice of legal counsel, to cause the Registration Statement to fail to comply with applicable disclosure requirements, or (ii) an event occurs that makes any statement of a material fact made in such Registration Statement, including any document incorporated by reference therein, untrue or that requires the making of any additions or changes in the Registration Statement in order to make the statements therein not misleading; provided, however, that any Blackout Period shall terminate upon the earlier of (A) the expiration of such 30-day period or (B) the completion, resolution or public announcement of the relevant transaction or event. If the Company suspends the effectiveness of a Registration Statement pursuant to this </w:t>
      </w:r>
      <w:r>
        <w:rPr>
          <w:rFonts w:ascii="Arial" w:cs="Arial" w:eastAsia="Arial" w:hAnsi="Arial"/>
          <w:sz w:val="16"/>
          <w:szCs w:val="16"/>
          <w:u w:val="single" w:color="auto"/>
          <w:color w:val="auto"/>
        </w:rPr>
        <w:t>Section 6.1(f)</w:t>
      </w:r>
      <w:r>
        <w:rPr>
          <w:rFonts w:ascii="Arial" w:cs="Arial" w:eastAsia="Arial" w:hAnsi="Arial"/>
          <w:sz w:val="16"/>
          <w:szCs w:val="16"/>
          <w:color w:val="auto"/>
        </w:rPr>
        <w:t xml:space="preserve">, the Company shall (x) as promptly as reasonably practicable following the termination of the circumstance which entitled the Company to do so, take such actions as may be necessary to reinstate the effectiveness of such Registration Statement and give written notice to the Purchasers authorizing the Purchasers to resume offerings and sales pursuant to such Registration Statement, and (y) cause its transfer agent to deliver unlegended shares of Common Stock to a transferee of any Purchaser in accordance with the terms of this Agreement in connection with any sale of Shares and/or Warrant Shares with respect to which a Purchaser has entered into a contract for sale, and delivered a copy of the prospectus included as part of the applicable Registration Statement (unless an exemption from such prospectus delivery requirement exists), prior to the Purchaser’s receipt of the notice of a Blackout Period and for which the Purchaser has not yet settled. If, as a result thereof, the prospectus included in such Registration Statement has been amended or supplemented to comply with the requirements of the Securities Act, the Company shall enclose such revised prospectus with the notice to Purchaser given pursuant to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The Company shall be entitled to exercise its rights under this </w:t>
      </w:r>
      <w:r>
        <w:rPr>
          <w:rFonts w:ascii="Arial" w:cs="Arial" w:eastAsia="Arial" w:hAnsi="Arial"/>
          <w:sz w:val="16"/>
          <w:szCs w:val="16"/>
          <w:u w:val="single" w:color="auto"/>
          <w:color w:val="auto"/>
        </w:rPr>
        <w:t>Section 6.1(f)</w:t>
      </w:r>
      <w:r>
        <w:rPr>
          <w:rFonts w:ascii="Arial" w:cs="Arial" w:eastAsia="Arial" w:hAnsi="Arial"/>
          <w:sz w:val="16"/>
          <w:szCs w:val="16"/>
          <w:color w:val="auto"/>
        </w:rPr>
        <w:t xml:space="preserve"> not more than once in any six (6) month period; provided, however, that the aggregate number of days of all Blackout Periods hereunder shall not exceed 60 days in any twelve (12) month period. After the expiration of any Blackout Period and without further request from the Purchaser, the Company shall effect the filing (or if required amendment or supplement) of the Registration Statement, or the filing of other documents, as necessary to allow the Purchaser to resell the Shares and/or Warrant Shares as set forth herein.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490" w:right="459" w:bottom="1440" w:gutter="0" w:footer="0" w:header="0"/>
        </w:sectPr>
      </w:pPr>
    </w:p>
    <w:bookmarkStart w:id="33" w:name="page34"/>
    <w:bookmarkEnd w:id="33"/>
    <w:p>
      <w:pPr>
        <w:ind w:right="200" w:firstLine="987"/>
        <w:spacing w:after="0" w:line="279" w:lineRule="auto"/>
        <w:tabs>
          <w:tab w:leader="none" w:pos="1246"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Registration Expenses</w:t>
      </w:r>
      <w:r>
        <w:rPr>
          <w:rFonts w:ascii="Arial" w:cs="Arial" w:eastAsia="Arial" w:hAnsi="Arial"/>
          <w:sz w:val="17"/>
          <w:szCs w:val="17"/>
          <w:color w:val="auto"/>
        </w:rPr>
        <w:t xml:space="preserve">. The Company shall bear all expenses in connection with the procedures in paragraphs (a) through (d) of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the registration of the Shares and/or Warrant Shares pursuant to the Registration Statement, other than fees and expenses, if any, of counsel or other advisers to the Purchasers or underwriting discounts, brokerage fees and commissions incurred by the Purchaser, if any in connection with the offering of the Shares and/or Warrant Shares pursuant to the Registration Statement.</w:t>
      </w:r>
    </w:p>
    <w:p>
      <w:pPr>
        <w:spacing w:after="0" w:line="171" w:lineRule="exact"/>
        <w:rPr>
          <w:rFonts w:ascii="Arial" w:cs="Arial" w:eastAsia="Arial" w:hAnsi="Arial"/>
          <w:sz w:val="17"/>
          <w:szCs w:val="17"/>
          <w:color w:val="auto"/>
        </w:rPr>
      </w:pPr>
    </w:p>
    <w:p>
      <w:pPr>
        <w:ind w:right="60" w:firstLine="987"/>
        <w:spacing w:after="0" w:line="257" w:lineRule="auto"/>
        <w:tabs>
          <w:tab w:leader="none" w:pos="124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Timely Filing</w:t>
      </w:r>
      <w:r>
        <w:rPr>
          <w:rFonts w:ascii="Arial" w:cs="Arial" w:eastAsia="Arial" w:hAnsi="Arial"/>
          <w:sz w:val="18"/>
          <w:szCs w:val="18"/>
          <w:color w:val="auto"/>
        </w:rPr>
        <w:t>. In order to enable a Purchaser to sell the Shares and/or Warrant Shares under Rule 144 under the Securities Act, for so long as the Purchaser holds Shares and/or Warrant Shares, (i) the Company shall use its commercially reasonable efforts to comply with the requirements of Rule 144, including the requirements of Rule 144(c)(1) with respect to public information about the Company, and (ii) the Company covenants to timely file all reports required to be filed by the Company under the Exchange Act even if the Company is not then subject to the reporting requirements of the Exchange Act.</w:t>
      </w:r>
    </w:p>
    <w:p>
      <w:pPr>
        <w:spacing w:after="0" w:line="187" w:lineRule="exact"/>
        <w:rPr>
          <w:rFonts w:ascii="Arial" w:cs="Arial" w:eastAsia="Arial" w:hAnsi="Arial"/>
          <w:sz w:val="18"/>
          <w:szCs w:val="18"/>
          <w:color w:val="auto"/>
        </w:rPr>
      </w:pPr>
    </w:p>
    <w:p>
      <w:pPr>
        <w:ind w:right="140" w:firstLine="987"/>
        <w:spacing w:after="0" w:line="277" w:lineRule="auto"/>
        <w:tabs>
          <w:tab w:leader="none" w:pos="120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shall provide the Purchasers an opportunity to review and comment on all disclosures regarding the Purchasers and any plan of distribution proposed by them in connection with the preparation of any Registration Statement.</w:t>
      </w:r>
    </w:p>
    <w:p>
      <w:pPr>
        <w:spacing w:after="0" w:line="170" w:lineRule="exact"/>
        <w:rPr>
          <w:sz w:val="20"/>
          <w:szCs w:val="20"/>
          <w:color w:val="auto"/>
        </w:rPr>
      </w:pPr>
    </w:p>
    <w:p>
      <w:pPr>
        <w:jc w:val="both"/>
        <w:ind w:right="40" w:firstLine="440"/>
        <w:spacing w:after="0" w:line="28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Each Purchaser agrees that it will not effect any disposition of the Shares and/or Warrant Shares that would constitute a sale within the meaning of the Securities Act or pursuant to any applicable state securities laws, unless and until (a) there is then in effect a registration statement under the Securities Act covering such proposed disposition and such disposition is made in accordance with such registration statement 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(b) such disposition is otherwise permitted by law, including pursuant to the exemption from registration set forth in Rule 144 under the Securities Act.</w:t>
      </w:r>
    </w:p>
    <w:p>
      <w:pPr>
        <w:spacing w:after="0" w:line="234"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For the purpose of this </w:t>
      </w:r>
      <w:r>
        <w:rPr>
          <w:rFonts w:ascii="Arial" w:cs="Arial" w:eastAsia="Arial" w:hAnsi="Arial"/>
          <w:sz w:val="18"/>
          <w:szCs w:val="18"/>
          <w:u w:val="single" w:color="auto"/>
          <w:color w:val="auto"/>
        </w:rPr>
        <w:t>Section 6.3</w:t>
      </w:r>
      <w:r>
        <w:rPr>
          <w:rFonts w:ascii="Arial" w:cs="Arial" w:eastAsia="Arial" w:hAnsi="Arial"/>
          <w:sz w:val="18"/>
          <w:szCs w:val="18"/>
          <w:color w:val="auto"/>
        </w:rPr>
        <w:t>: (i) the term “</w:t>
      </w:r>
      <w:r>
        <w:rPr>
          <w:rFonts w:ascii="Arial" w:cs="Arial" w:eastAsia="Arial" w:hAnsi="Arial"/>
          <w:sz w:val="18"/>
          <w:szCs w:val="18"/>
          <w:b w:val="1"/>
          <w:bCs w:val="1"/>
          <w:i w:val="1"/>
          <w:iCs w:val="1"/>
          <w:color w:val="auto"/>
        </w:rPr>
        <w:t>Purchaser/Affiliate</w:t>
      </w:r>
      <w:r>
        <w:rPr>
          <w:rFonts w:ascii="Arial" w:cs="Arial" w:eastAsia="Arial" w:hAnsi="Arial"/>
          <w:sz w:val="18"/>
          <w:szCs w:val="18"/>
          <w:color w:val="auto"/>
        </w:rPr>
        <w:t>” shall mean any Affiliate of and investment adviser to the Purchaser; and (ii) the term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include any preliminary prospectus, final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xml:space="preserve">”), free writing prospectus, exhibit, supplement or amendment included in or relating to, and any document incorporated by reference in, the Registration Statement referred to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187" w:lineRule="exact"/>
        <w:rPr>
          <w:sz w:val="20"/>
          <w:szCs w:val="20"/>
          <w:color w:val="auto"/>
        </w:rPr>
      </w:pPr>
    </w:p>
    <w:p>
      <w:pPr>
        <w:ind w:firstLine="987"/>
        <w:spacing w:after="0" w:line="268" w:lineRule="auto"/>
        <w:tabs>
          <w:tab w:leader="none" w:pos="1233"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 agrees to indemnify and hold harmless the Purchasers and each Purchaser/Affiliate, against any losses, claims, damages, liabilities or expenses, joint or several, that such Purchaser or Purchaser/Affiliate incurs, under the Securities Act, the Exchange Act, or any other federal or state statutory law or regulation, or at common law or otherwise (including in settlement of any litigation, if such settlement is effected with the written consent of the Company), insofar as such losses, claims, damages, liabilities or expenses (or actions in respect thereof as contemplated below) (i) arise out of or are based upon any untrue statement or alleged untrue statement of any material fact contained in the Registration Statement, including the Prospectus, financial statements and schedules, and all other documents filed as a part thereof, as amended at the time of effectiveness of the Registration Statement, including any information deemed to be a part thereof as of the time of effectiveness pursuant to paragraph (b) of Rule 430A, or pursuant to Rules 430B, 430C or 434, or the Prospectus, in the form first filed with the Commission pursuant to Rule 424(b), or filed as part of the Registration Statement at the time of effectiveness if no Rule 424(b) filing is required or any amendment or supplement thereto, or arise out of or are based upon the omission or alleged omission to state in any of them a material fact required to be stated therein or necessary to make the statements in the Registration Statement or any amendment or supplement thereto not misleading or in the Prospectus or any amendment or supplement thereto not misleading in light of the circumstances under which they were made or (ii) arise out of or are based in whole or in part on any inaccuracy in the representations or warranties of the Company contained in this Agreement, breach of any covenant of the Company contained in this Agreement or any failure of the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490" w:right="459" w:bottom="1440" w:gutter="0" w:footer="0" w:header="0"/>
        </w:sectPr>
      </w:pPr>
    </w:p>
    <w:bookmarkStart w:id="34" w:name="page35"/>
    <w:bookmarkEnd w:id="3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Company to perform its other obligations hereunder or under law, and will promptly reimburse each Purchaser and each Purchaser/Affiliate for any legal and other out-of-pocket expenses as such expenses are reasonably incurred and documented by such Purchaser or such Purchaser/Affiliate in connection with investigating, defending or preparing to defend, settling, compromising or paying any such loss, claim, damage, liability, expense or action; provided, however, that the Company will not be liable for amounts paid in settlement of any such loss, claim, damage, liability or action if such settlement is effected without the written consent of the Company, which consent shall not be unreasonably withheld or delayed, and the Company will not be liable in any such case to the extent that any such loss, claim, damage, liability or expense arises out of or is based upon (A) an untrue statement or alleged untrue statement or omission or alleged omission made in the Registration Statement, the Prospectus or any amendment or supplement thereto made in reliance upon and in conformity with written information furnished to the Company by or on behalf of the Purchaser or any Purchaser/Affiliate expressly for use therein, or (B) a Purchaser’s failure to send or give a copy of the Prospectus or supplement (as then amended or supplemented), if required (and not exempted) to the Persons asserting an untrue statement or omission or alleged untrue statement or omission at or prior to the written confirmation of the sale of the Shares and/or Warrant Shares pursuant to the Registration Statement or (C) the use by a Purchaser of an outdated or defective Prospectus after the Company has notified such Purchaser in writing that such Prospectus is outdated or defective. Any such indemnified Purchaser shall return all payments made hereunder if it is determined, by a final, non-appealable judgment by a court or arbitral tribunal, that the losses for which such payments were made resulted from such indemnified Purchaser’s or any Purchaser/Affiliate’s gross negligence or willful misconduct.</w:t>
      </w:r>
    </w:p>
    <w:p>
      <w:pPr>
        <w:spacing w:after="0" w:line="171" w:lineRule="exact"/>
        <w:rPr>
          <w:sz w:val="20"/>
          <w:szCs w:val="20"/>
          <w:color w:val="auto"/>
        </w:rPr>
      </w:pPr>
    </w:p>
    <w:p>
      <w:pPr>
        <w:ind w:right="40" w:firstLine="987"/>
        <w:spacing w:after="0" w:line="284" w:lineRule="auto"/>
        <w:tabs>
          <w:tab w:leader="none" w:pos="1246"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Each Purchaser will severally, but not jointly, indemnify and hold harmless the Company, each of its directors, each of its officers who signed the Registration Statement, agents, and employees and each person, if any, who controls the Company within the meaning of Section 15 of the Securities Act or Section 20 of the Exchange Act, against any losses, claims, damages, liabilities or expenses that the Company, each of its directors, each of its officers who signed the Registration Statement or controlling person incurs, under the Securities Act, the Exchange Act, or any other federal or state statutory law or regulation, or at common law or otherwise (including in settlement of any litigation, but only if such settlement is effected with the written consent of such Purchaser) insofar as such losses, claims, damages, liabilities or expenses (or actions in respect thereof as contemplated below) arise out of or are based upon (i) any failure to comply with the covenants and agreements contained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respecting the sale of the Shares and/or Warrant Shares or (ii) any untrue or alleged untrue statement of any material fact contained in the Registration Statement, the Prospectus, or any amendment or supplement thereto, or arise out of or are based upon the omission or alleged omission to state therein a material fact required to be stated therein or necessary to make the statements in the Registration Statement or any amendment or supplement thereto not misleading or in the Prospectus or any amendment or supplement thereto not misleading in the light of the circumstances under which they were made, in each case to the extent, but only to the extent, that such untrue statement or alleged untrue statement or omission or alleged omission was made in the Registration Statement, the Prospectus, or any amendment or supplement thereto, in reliance upon and in conformity with written information furnished to the Company by or on behalf of such Purchaser or any Purchaser/Affiliate expressly for use therein; and will reimburse the Company, each of its directors, each of its officers who signed the Registration Statement or controlling person for any legal and other expense reasonably incurred by the Company, each of its directors, each of its officers who signed the Registration Statement or controlling person in connection with investigating, defending, settling, compromising or paying any such loss, claim, damage, liability, expense or action; provided, however, that (A) each Purchaser’s aggregate liability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exceed the amount of net proceeds received by such Purchaser on the sale of the Shares and/or Warrant Shares pursuant to the Registration Statement and (B) the Purchaser will not be liable for amounts paid in settlement of any such loss, claim, damage, liability or action if such settlement is effected without the written consent of such Purchaser which consent shall not be unreasonably withheld or delayed.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490" w:right="459" w:bottom="1440" w:gutter="0" w:footer="0" w:header="0"/>
        </w:sectPr>
      </w:pPr>
    </w:p>
    <w:bookmarkStart w:id="35" w:name="page36"/>
    <w:bookmarkEnd w:id="35"/>
    <w:p>
      <w:pPr>
        <w:ind w:left="4" w:firstLine="987"/>
        <w:spacing w:after="0" w:line="284" w:lineRule="auto"/>
        <w:tabs>
          <w:tab w:leader="none" w:pos="1240" w:val="left"/>
        </w:tabs>
        <w:numPr>
          <w:ilvl w:val="1"/>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Promptly after receipt by an indemnified party under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of notice of the threat or commencement of any action, such indemnified party will, if a claim in respect thereof is to be made against an indemnifying party under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promptly notify the indemnifying party in writing thereof, but the omission to notify the indemnifying party will not relieve it from any liability that it may have to any indemnified party for contribution or otherwise under the indemnity agreement contained in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to the extent it is not prejudiced as a result of such failure. In case any such action is brought against any indemnified party and such indemnified party seeks or intends to seek indemnity from an indemnifying party, the indemnifying party will be entitled to participate in, and, to the extent that it may wish, jointly with all other indemnifying parties similarly notified, to assume the defense thereof with counsel reasonably satisfactory to such indemnified party; provided, however, if the defendants in any such action include both the indemnified party, and the indemnifying party and the indemnified party shall have reasonably concluded, based on an opinion of counsel reasonably satisfactory to the indemnifying party, that there may be a conflict of interest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to assume the defense of such action and approval by the indemnified party of counsel, the indemnifying party will not be liable to such indemnified party under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for any legal or other expenses subsequently incurred by such indemnified party in connection with the defense thereof unless (i) the indemnified party shall have employed such counsel in connection with the assumption of legal defenses in accordance with the proviso to the preceding sentence (it being understood, however, that the indemnifying party shall not be liable for the expenses of more than one separate counsel, reasonably satisfactory to such indemnifying party, representing all of the indemnified parties who are parties to such action) or (ii) the indemnifying party shall not have employed counsel reasonably satisfactory to the indemnified party to represent the indemnified party within a reasonable time after notice of commencement of action, in each of which cases the reasonable fees and expenses of counsel shall be at the expense of the indemnifying party. In no event shall any indemnifying party be liable in respect of any amounts paid in settlement of any action unless the indemnifying party shall have approved in writing the terms of such settlement; provided that such consent shall not be unreasonably withheld. No indemnifying party shall, without the prior written consent of the indemnified party, effect any settlement of any pending or threatened proceeding in respect of which any indemnified party is or could have been a party and indemnification could have been sought hereunder by such indemnified party, unless such settlement includes an unconditional release of such indemnified party from all liability on claims that are the subject matter of such proceeding.</w:t>
      </w:r>
    </w:p>
    <w:p>
      <w:pPr>
        <w:spacing w:after="0" w:line="173" w:lineRule="exact"/>
        <w:rPr>
          <w:rFonts w:ascii="Arial" w:cs="Arial" w:eastAsia="Arial" w:hAnsi="Arial"/>
          <w:sz w:val="16"/>
          <w:szCs w:val="16"/>
          <w:color w:val="auto"/>
        </w:rPr>
      </w:pPr>
    </w:p>
    <w:p>
      <w:pPr>
        <w:ind w:left="4" w:firstLine="987"/>
        <w:spacing w:after="0" w:line="285" w:lineRule="auto"/>
        <w:tabs>
          <w:tab w:leader="none" w:pos="1250"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If the indemnification provided for in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is required by its terms but is for any reason held to be unavailable to or otherwise insufficient to hold harmless an indemnified party under paragraphs (a), (b) or (c) of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in respect to any losses, claims, damages, liabilities or expenses referred to herein, then each applicable indemnifying party shall contribute to the amount paid or payable by such indemnified party as a result of any losses, claims, damages, liabilities or expenses referred to herein (i) in such proportion as is appropriate to reflect the relative benefits received by the Company and the Purchaser from the private placement of Securities hereunder or (ii) if the allocation provided by clause</w:t>
      </w:r>
    </w:p>
    <w:p>
      <w:pPr>
        <w:spacing w:after="0" w:line="1" w:lineRule="exact"/>
        <w:rPr>
          <w:rFonts w:ascii="Arial" w:cs="Arial" w:eastAsia="Arial" w:hAnsi="Arial"/>
          <w:sz w:val="16"/>
          <w:szCs w:val="16"/>
          <w:color w:val="auto"/>
        </w:rPr>
      </w:pPr>
    </w:p>
    <w:p>
      <w:pPr>
        <w:jc w:val="both"/>
        <w:ind w:left="4" w:right="20" w:hanging="4"/>
        <w:spacing w:after="0" w:line="270" w:lineRule="auto"/>
        <w:tabs>
          <w:tab w:leader="none" w:pos="219" w:val="left"/>
        </w:tabs>
        <w:numPr>
          <w:ilvl w:val="0"/>
          <w:numId w:val="41"/>
        </w:numPr>
        <w:rPr>
          <w:rFonts w:ascii="Arial" w:cs="Arial" w:eastAsia="Arial" w:hAnsi="Arial"/>
          <w:sz w:val="17"/>
          <w:szCs w:val="17"/>
          <w:color w:val="auto"/>
        </w:rPr>
      </w:pPr>
      <w:r>
        <w:rPr>
          <w:rFonts w:ascii="Arial" w:cs="Arial" w:eastAsia="Arial" w:hAnsi="Arial"/>
          <w:sz w:val="17"/>
          <w:szCs w:val="17"/>
          <w:color w:val="auto"/>
        </w:rPr>
        <w:t>above is not permitted by applicable law, in such proportion as is appropriate to reflect not only the relative benefits referred to in clause (i) above but the relative fault of the Company and the Purchaser in connection with the statements or omissions or inaccuracies in the representations and warranties in this Agreement and/or the Registration Statement that resulted in such losses, claims, damages, liabilities or expenses, as well as any other relevant equitable considerations. The relative benefits received by the Company on the one hand and each Purchaser on the other shall be deemed to be in the same proportion as the amount paid by such Purchaser to the Company pursuant to this Agreement for the Securities purchased by such Purchaser that were sold pursuant to the Registration Statement bears to the difference (the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490" w:right="459" w:bottom="1440" w:gutter="0" w:footer="0" w:header="0"/>
        </w:sectPr>
      </w:pPr>
    </w:p>
    <w:bookmarkStart w:id="36" w:name="page37"/>
    <w:bookmarkEnd w:id="3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6"/>
          <w:szCs w:val="16"/>
          <w:b w:val="1"/>
          <w:bCs w:val="1"/>
          <w:i w:val="1"/>
          <w:iCs w:val="1"/>
          <w:u w:val="single" w:color="auto"/>
          <w:color w:val="auto"/>
        </w:rPr>
        <w:t>Difference</w:t>
      </w:r>
      <w:r>
        <w:rPr>
          <w:rFonts w:ascii="Arial" w:cs="Arial" w:eastAsia="Arial" w:hAnsi="Arial"/>
          <w:sz w:val="16"/>
          <w:szCs w:val="16"/>
          <w:color w:val="auto"/>
        </w:rPr>
        <w:t xml:space="preserve">”) between the amount such Purchaser paid for the Securities that were sold pursuant to the Registration Statement and the amount received by such Purchaser from such sale. The relative fault of the Company on the one hand and each Purchaser on the other shall be determined by reference to, among other things, whether the untrue or alleged statement of a material fact or the omission or alleged omission to state a material fact or the inaccurate or the alleged inaccurate representation and/or warranty relates to information supplied by the Company or by such Purchaser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paragraph (c) of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any legal or other fees or expenses reasonably incurred by such party in connection with investigating or defending any action or claim. The provisions set forth in paragraph (c) of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with respect to the notice of the threat or commencement of any threat or action shall apply if a claim for contribution is to be made under this paragraph (d); provided, however, that no additional notice shall be required with respect to any threat or action for which notice has been given under paragraph (c) for purposes of indemnification. The Company and the Purchaser agree that it would not be just and equitable if contribution pursuant to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were determined solely by pro rata allocation (even if the Purchaser were treated as one entity for such purpose) or by any other method of allocation which does not take account of the equitable considerations referred to in this paragraph. Notwithstanding the provisions of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no Purchaser shall be required to contribute any amount in excess of the amount by which the Difference exceeds the amount of any damages that such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Purchasers’ obligations to contribute pursuant to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are several and not joint.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NO BROKER’S FEES.</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Each of the Company and the Purchasers hereby represents that no broker, investment banker, financial advisor or other individual, corporation, general or limited partnership, limited liability company, firm, joint venture, association, enterprise, joint securities company, trust, unincorporated organization or other entity is entitled to any broker’s, finder’s, financial advisor’s or other similar fee or commission in connection with the transactions contemplated by this Agreement. The Company agrees to indemnify each Purchaser for any claims, losses or expenses incurred by such Purchaser as a result of the representation of the Company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being untrue.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COVENANTS.</w:t>
      </w:r>
    </w:p>
    <w:p>
      <w:pPr>
        <w:spacing w:after="0" w:line="121"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Form D; Blue Sky Filings</w:t>
      </w:r>
      <w:r>
        <w:rPr>
          <w:rFonts w:ascii="Arial" w:cs="Arial" w:eastAsia="Arial" w:hAnsi="Arial"/>
          <w:sz w:val="17"/>
          <w:szCs w:val="17"/>
          <w:color w:val="auto"/>
        </w:rPr>
        <w:t>. The Company shall file a Form D with respect to the Securities as required under Regulation D of the Securities Act. The Company will take such action as the Company shall reasonably determine is necessary in order to obtain an exemption from, or to qualify the Securities for, sale to the Purchasers at the Closing pursuant to this Agreement under applicable securities of “Blue Sky” laws of the states of the United States and shall provide evidence of such actions promptly upon the written request of the Purchasers.</w:t>
      </w:r>
    </w:p>
    <w:p>
      <w:pPr>
        <w:spacing w:after="0" w:line="171"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Listing of Common Stock</w:t>
      </w:r>
      <w:r>
        <w:rPr>
          <w:rFonts w:ascii="Arial" w:cs="Arial" w:eastAsia="Arial" w:hAnsi="Arial"/>
          <w:sz w:val="16"/>
          <w:szCs w:val="16"/>
          <w:color w:val="auto"/>
        </w:rPr>
        <w:t xml:space="preserve">. The Company shall prepare and file with the Trading Market an additional shares listing application covering all of the Shares and Warrant Shares and shall use its best efforts to take all steps necessary to cause all of the Shares and Warrant Shares to be approved for listing as promptly as possible thereafter. The Company shall pay all fees and expenses in connection with satisfying its obligations under this </w:t>
      </w:r>
      <w:r>
        <w:rPr>
          <w:rFonts w:ascii="Arial" w:cs="Arial" w:eastAsia="Arial" w:hAnsi="Arial"/>
          <w:sz w:val="16"/>
          <w:szCs w:val="16"/>
          <w:u w:val="single" w:color="auto"/>
          <w:color w:val="auto"/>
        </w:rPr>
        <w:t>Section 8.2</w:t>
      </w:r>
      <w:r>
        <w:rPr>
          <w:rFonts w:ascii="Arial" w:cs="Arial" w:eastAsia="Arial" w:hAnsi="Arial"/>
          <w:sz w:val="16"/>
          <w:szCs w:val="16"/>
          <w:color w:val="auto"/>
        </w:rPr>
        <w:t>. The Company agrees, if the Company applies to have the Common Stock traded on any other exchange or market, it will then include in such application all of the Shares and Warrant Shares, and will use its best efforts to take such other action as is necessary to cause all</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490" w:right="479" w:bottom="1440" w:gutter="0" w:footer="0" w:header="0"/>
        </w:sectPr>
      </w:pPr>
    </w:p>
    <w:bookmarkStart w:id="37" w:name="page38"/>
    <w:bookmarkEnd w:id="37"/>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of the Shares and Warrant Shares to be listed or quoted on such other exchange or market as promptly as possible. The Company will then take all action reasonably necessary to continue the listing and trading of its Common Stock on such other exchange or market and will comply in all respects with the Company’s reporting, filing and other obligations under the bylaws or rules of such exchange or market. The Company agrees to maintain the eligibility of the Common Stock for electronic transfer through the Depository Trust Company (“</w:t>
      </w:r>
      <w:r>
        <w:rPr>
          <w:rFonts w:ascii="Arial" w:cs="Arial" w:eastAsia="Arial" w:hAnsi="Arial"/>
          <w:sz w:val="17"/>
          <w:szCs w:val="17"/>
          <w:b w:val="1"/>
          <w:bCs w:val="1"/>
          <w:i w:val="1"/>
          <w:iCs w:val="1"/>
          <w:color w:val="auto"/>
        </w:rPr>
        <w:t>DTC</w:t>
      </w:r>
      <w:r>
        <w:rPr>
          <w:rFonts w:ascii="Arial" w:cs="Arial" w:eastAsia="Arial" w:hAnsi="Arial"/>
          <w:sz w:val="17"/>
          <w:szCs w:val="17"/>
          <w:color w:val="auto"/>
        </w:rPr>
        <w:t>”) or another established clearing corporation, including by timely payment of fees to DTC or such other established clearing corporation in connection with such electronic transfer.</w:t>
      </w:r>
    </w:p>
    <w:p>
      <w:pPr>
        <w:spacing w:after="0" w:line="176"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Non-Public Information</w:t>
      </w:r>
      <w:r>
        <w:rPr>
          <w:rFonts w:ascii="Arial" w:cs="Arial" w:eastAsia="Arial" w:hAnsi="Arial"/>
          <w:sz w:val="17"/>
          <w:szCs w:val="17"/>
          <w:color w:val="auto"/>
        </w:rPr>
        <w:t xml:space="preserve">. The Company has not provided the Purchasers with any information that will constitute material non-public information, except insofar as the existence, provisions and terms of the Agreement and other transaction documents and the proposed transactions hereunder may constitute such information. From and after the issuance of the Disclosure Document as set forth in </w:t>
      </w:r>
      <w:r>
        <w:rPr>
          <w:rFonts w:ascii="Arial" w:cs="Arial" w:eastAsia="Arial" w:hAnsi="Arial"/>
          <w:sz w:val="17"/>
          <w:szCs w:val="17"/>
          <w:u w:val="single" w:color="auto"/>
          <w:color w:val="auto"/>
        </w:rPr>
        <w:t>Section 10.14</w:t>
      </w:r>
      <w:r>
        <w:rPr>
          <w:rFonts w:ascii="Arial" w:cs="Arial" w:eastAsia="Arial" w:hAnsi="Arial"/>
          <w:sz w:val="17"/>
          <w:szCs w:val="17"/>
          <w:color w:val="auto"/>
        </w:rPr>
        <w:t>, the Company represents to the Purchasers that it shall have publicly disclosed all material, non-public information delivered to any of the Purchasers by the Company or any of its officers, directors, employees or agents in connection with the transactions contemplated by this Agreement, and each Purchaser shall no longer be subject to any confidentiality or similar obligations under any current agreement, whether written or oral, with the Company, any subsidiary of the Company or any of their respective representatives, Affiliates, officers, directors, employees or agents. To the extent that the Company delivers any material, non-public information to a Purchaser without such Purchaser’s consent, the Company hereby covenants and agrees that such Purchaser shall not have any duty of confidentiality to the Company or any of its officers, directors, agents, employees or Affiliates, provided that the Purchaser shall remain subject to applicable law. To the extent that any notice provided pursuant to this Agreement constitutes, or contains, material, non-public information regarding the Company, the Company shall simultaneously file such notice with the Commission pursuant to a Current Report on Form 8-K The Company understands and confirms that such Purchaser and its Affiliates will rely on the foregoing representations in effecting transactions in securities of the Company.</w:t>
      </w:r>
    </w:p>
    <w:p>
      <w:pPr>
        <w:spacing w:after="0" w:line="186"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Integration</w:t>
      </w:r>
      <w:r>
        <w:rPr>
          <w:rFonts w:ascii="Arial" w:cs="Arial" w:eastAsia="Arial" w:hAnsi="Arial"/>
          <w:sz w:val="16"/>
          <w:szCs w:val="16"/>
          <w:color w:val="auto"/>
        </w:rPr>
        <w:t>. The Company shall not sell, offer for sale or solicit offers to buy or otherwise negotiate in respect of any security (as defined in Section 2 of the Securities Act) that the Company believes, acting in good faith and after consultation with the Trading Market, would be integrated with the offer or sale of the Shares for purposes of the rules and regulations of the Trading Market such that it would require shareholder approval prior to the closing of such other transaction unless shareholder approval is obtained before the closing of such subsequent transaction.</w:t>
      </w:r>
    </w:p>
    <w:p>
      <w:pPr>
        <w:spacing w:after="0" w:line="157"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Legend Removal</w:t>
      </w:r>
      <w:r>
        <w:rPr>
          <w:rFonts w:ascii="Arial" w:cs="Arial" w:eastAsia="Arial" w:hAnsi="Arial"/>
          <w:sz w:val="16"/>
          <w:szCs w:val="16"/>
          <w:color w:val="auto"/>
        </w:rPr>
        <w:t xml:space="preserve">. The Company shall use its commercially reasonable efforts to facilitate the removal of the legends set forth in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when it is legally permitted to do so or to facilitate any transfer of the Shares and/or Warrant Shares under Rule 144 that may be requested by Purchasers but shall not be obligated to incur any material costs or expenses in making such efforts other than as set forth herein. The Company shall, at its sole expense, upon appropriate notice from any Purchaser stating that Shares and/or Warrant Shares have been sold pursuant to an effective registration statement, cause its transfer agent within two (2) Business Days of such request to prepare and deliver certificates or book-entry shares representing the Shares and/or Warrant Shares to be delivered to a transferee, which certificates or book-entry shares shall be free of any restrictive legends and in such denominations and registered in such names as such Purchaser may request. Further, the Company shall, at its sole expense, cause its legal counsel or other counsel satisfactory to the transfer agent (i) while the Registration Statement is effective, to issue to the transfer agent a legal opinion that the Registration Statement covering resales of the Shares and the Warrant Shares has been declared effective by the Commission under the Securities Act, and (ii) provide all other opinions as may reasonably be required by the transfer agent in connection with the removal of legends in connection with a sale made pursuant to an effective Registration Statement. In addition, a Purchaser may request that the Company remove, and the Company agrees to authorize the removal of, any legend from such Shares and/or Warrant Shares, following the delivery by a Purchaser to the Company or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490" w:right="459" w:bottom="1440" w:gutter="0" w:footer="0" w:header="0"/>
        </w:sectPr>
      </w:pPr>
    </w:p>
    <w:bookmarkStart w:id="38" w:name="page39"/>
    <w:bookmarkEnd w:id="3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the Company’s transfer agent of a legended certificate representing such Shares and/or Warrant Shares (1) following any sale of such Shares and/or Warrant Shares pursuant to Rule 144, or (2) if such Shares and/or Warrant Shares are eligible for sale under Rule 144(b)(1). If a legend removal request is made pursuant to the foregoing, the Company will, no later than two (2) Business Days following the delivery by a Purchaser to the Company or the Company’s transfer agent of a legended certificate representing such Shares and/or Warrant Shares (or a request for legend removal, in the case of Shares and/or Warrant Shares issued in book-entry form), deliver or cause to be delivered to such Purchaser a certificate representing such Shares and/or Warrant Shares that is free from all restrictive legends or an equivalent book-entry position, as requested by the Purchaser. Certificates for Shares and/or Warrant Shares free from all restrictive legends may be transmitted by the Company’s transfer agent to the Purchasers by crediting the account of the Purchaser’s prime broker with DTC as directed by such Purchaser. If a Purchaser effects a transfer of the Shares and/or Warrant Shares in accordance with this </w:t>
      </w:r>
      <w:r>
        <w:rPr>
          <w:rFonts w:ascii="Arial" w:cs="Arial" w:eastAsia="Arial" w:hAnsi="Arial"/>
          <w:sz w:val="16"/>
          <w:szCs w:val="16"/>
          <w:u w:val="single" w:color="auto"/>
          <w:color w:val="auto"/>
        </w:rPr>
        <w:t>Section 8.5</w:t>
      </w:r>
      <w:r>
        <w:rPr>
          <w:rFonts w:ascii="Arial" w:cs="Arial" w:eastAsia="Arial" w:hAnsi="Arial"/>
          <w:sz w:val="16"/>
          <w:szCs w:val="16"/>
          <w:color w:val="auto"/>
        </w:rPr>
        <w:t>, the Company shall permit the transfer and shall promptly instruct its transfer agent to issue one or more certificates or credit shares to the applicable balance accounts at DTC in such name and in such denominations as specified by such Purchaser to effect such transfer. Each Purchaser hereby agrees that the removal of the restrictive legend pursuant to this Section 8.5 is predicated upon the Company’s reliance that such Purchaser will sell any such Shares and/or Warrant Shares pursuant to either the registration requirements of the Securities Act, including any applicable prospectus delivery requirements, or an exemption therefrom, and such Purchaser shall deliver a certificate reasonably satisfactory to the Company to the foregoing effect (and the representation letter agreed to by the Purchasers and the Company in connection with the execution of this Agreement shall constitute a certificate reasonably satisfactory to the Company).</w:t>
      </w:r>
    </w:p>
    <w:p>
      <w:pPr>
        <w:spacing w:after="0" w:line="167" w:lineRule="exact"/>
        <w:rPr>
          <w:sz w:val="20"/>
          <w:szCs w:val="20"/>
          <w:color w:val="auto"/>
        </w:rPr>
      </w:pPr>
    </w:p>
    <w:p>
      <w:pPr>
        <w:ind w:right="200" w:firstLine="991"/>
        <w:spacing w:after="0" w:line="286"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Subsequent Equity Sales</w:t>
      </w:r>
      <w:r>
        <w:rPr>
          <w:rFonts w:ascii="Arial" w:cs="Arial" w:eastAsia="Arial" w:hAnsi="Arial"/>
          <w:sz w:val="17"/>
          <w:szCs w:val="17"/>
          <w:color w:val="auto"/>
        </w:rPr>
        <w:t>. From the date hereof until thirty (30) days after the Closing Date, neither the Company nor any Subsidiary shall issue, enter into any agreement to issue or announce the issuance or proposed issuance of any shares of Common Stock or Common Stock Equivalents. Notwithstanding the foregoing, this Section 8.6 shall not apply in respect of an Exempt Issuance.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NOTICES.</w:t>
      </w:r>
    </w:p>
    <w:p>
      <w:pPr>
        <w:spacing w:after="0" w:line="121" w:lineRule="exact"/>
        <w:rPr>
          <w:sz w:val="20"/>
          <w:szCs w:val="20"/>
          <w:color w:val="auto"/>
        </w:rPr>
      </w:pPr>
    </w:p>
    <w:p>
      <w:pPr>
        <w:jc w:val="both"/>
        <w:ind w:right="40" w:firstLine="440"/>
        <w:spacing w:after="0" w:line="311" w:lineRule="auto"/>
        <w:rPr>
          <w:sz w:val="20"/>
          <w:szCs w:val="20"/>
          <w:color w:val="auto"/>
        </w:rPr>
      </w:pPr>
      <w:r>
        <w:rPr>
          <w:rFonts w:ascii="Arial" w:cs="Arial" w:eastAsia="Arial" w:hAnsi="Arial"/>
          <w:sz w:val="16"/>
          <w:szCs w:val="16"/>
          <w:color w:val="auto"/>
        </w:rPr>
        <w:t>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or when so received in the case of mail or courier, and addressed as follows:</w:t>
      </w:r>
    </w:p>
    <w:p>
      <w:pPr>
        <w:spacing w:after="0" w:line="176" w:lineRule="exact"/>
        <w:rPr>
          <w:sz w:val="20"/>
          <w:szCs w:val="20"/>
          <w:color w:val="auto"/>
        </w:rPr>
      </w:pPr>
    </w:p>
    <w:p>
      <w:pPr>
        <w:ind w:left="1420" w:hanging="433"/>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Tango Therapeutics, Inc.</w:t>
      </w:r>
    </w:p>
    <w:p>
      <w:pPr>
        <w:spacing w:after="0" w:line="23" w:lineRule="exact"/>
        <w:rPr>
          <w:rFonts w:ascii="Arial" w:cs="Arial" w:eastAsia="Arial" w:hAnsi="Arial"/>
          <w:sz w:val="18"/>
          <w:szCs w:val="18"/>
          <w:color w:val="auto"/>
        </w:rPr>
      </w:pPr>
    </w:p>
    <w:p>
      <w:pPr>
        <w:ind w:left="1420" w:right="7340"/>
        <w:spacing w:after="0" w:line="292" w:lineRule="auto"/>
        <w:rPr>
          <w:rFonts w:ascii="Arial" w:cs="Arial" w:eastAsia="Arial" w:hAnsi="Arial"/>
          <w:sz w:val="18"/>
          <w:szCs w:val="18"/>
          <w:color w:val="auto"/>
        </w:rPr>
      </w:pPr>
      <w:r>
        <w:rPr>
          <w:rFonts w:ascii="Arial" w:cs="Arial" w:eastAsia="Arial" w:hAnsi="Arial"/>
          <w:sz w:val="16"/>
          <w:szCs w:val="16"/>
          <w:color w:val="auto"/>
        </w:rPr>
        <w:t>201 Brookline Ave., Suite 901 Boston, MA 02215 Telephone No.:(857) 320-4900 Attention: General Counsel E-mail: dbarry@tangotx.com</w:t>
      </w:r>
    </w:p>
    <w:p>
      <w:pPr>
        <w:spacing w:after="0" w:line="162" w:lineRule="exact"/>
        <w:rPr>
          <w:rFonts w:ascii="Arial" w:cs="Arial" w:eastAsia="Arial" w:hAnsi="Arial"/>
          <w:sz w:val="18"/>
          <w:szCs w:val="18"/>
          <w:color w:val="auto"/>
        </w:rPr>
      </w:pPr>
    </w:p>
    <w:p>
      <w:pPr>
        <w:ind w:left="1420" w:right="6000"/>
        <w:spacing w:after="0" w:line="258" w:lineRule="auto"/>
        <w:rPr>
          <w:rFonts w:ascii="Arial" w:cs="Arial" w:eastAsia="Arial" w:hAnsi="Arial"/>
          <w:sz w:val="18"/>
          <w:szCs w:val="18"/>
          <w:color w:val="auto"/>
        </w:rPr>
      </w:pPr>
      <w:r>
        <w:rPr>
          <w:rFonts w:ascii="Arial" w:cs="Arial" w:eastAsia="Arial" w:hAnsi="Arial"/>
          <w:sz w:val="18"/>
          <w:szCs w:val="18"/>
          <w:color w:val="auto"/>
        </w:rPr>
        <w:t>with a copy to (which shall not constitute notice): Goodwin Procter, LLP</w:t>
      </w:r>
    </w:p>
    <w:p>
      <w:pPr>
        <w:spacing w:after="0" w:line="1" w:lineRule="exact"/>
        <w:rPr>
          <w:rFonts w:ascii="Arial" w:cs="Arial" w:eastAsia="Arial" w:hAnsi="Arial"/>
          <w:sz w:val="18"/>
          <w:szCs w:val="18"/>
          <w:color w:val="auto"/>
        </w:rPr>
      </w:pPr>
    </w:p>
    <w:p>
      <w:pPr>
        <w:ind w:left="1420" w:right="6980"/>
        <w:spacing w:after="0" w:line="253" w:lineRule="auto"/>
        <w:rPr>
          <w:rFonts w:ascii="Arial" w:cs="Arial" w:eastAsia="Arial" w:hAnsi="Arial"/>
          <w:sz w:val="18"/>
          <w:szCs w:val="18"/>
          <w:color w:val="auto"/>
        </w:rPr>
      </w:pPr>
      <w:r>
        <w:rPr>
          <w:rFonts w:ascii="Arial" w:cs="Arial" w:eastAsia="Arial" w:hAnsi="Arial"/>
          <w:sz w:val="18"/>
          <w:szCs w:val="18"/>
          <w:color w:val="auto"/>
        </w:rPr>
        <w:t>100 Northern Ave Boston, MA 02210 · Telephone No.: (617) 570-1000 Attention: William D. Collins, Esq. E-mail: wcollins@goodwinlaw.com</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490"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or to such other Person at such other place as the Company shall designate to the Purchasers in writing; and</w:t>
      </w:r>
    </w:p>
    <w:p>
      <w:pPr>
        <w:spacing w:after="0" w:line="225" w:lineRule="exact"/>
        <w:rPr>
          <w:sz w:val="20"/>
          <w:szCs w:val="20"/>
          <w:color w:val="auto"/>
        </w:rPr>
      </w:pPr>
    </w:p>
    <w:p>
      <w:pPr>
        <w:ind w:right="80" w:firstLine="987"/>
        <w:spacing w:after="0" w:line="277" w:lineRule="auto"/>
        <w:tabs>
          <w:tab w:leader="none" w:pos="12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if to the Purchasers, to the address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or to such other Person at such other place as the Purchasers shall designate to the Company in writing.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MISCELLANEOUS.</w:t>
      </w:r>
    </w:p>
    <w:p>
      <w:pPr>
        <w:spacing w:after="0" w:line="12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 by written agreement of a Purchaser as to such Purchaser’s obligations and the Company, provided that the Company notifies each other Purchaser of such termination within one (1) calendar day of such termination (or if such termination occurs on the Closing Date, notice will be provided on the Closing Date), or (b) by any Purchaser, as to such Purchaser’s obligations hereunder only and without any effect whatsoever on the obligations between the Company and the other Purchasers, by written notice to the other parties, if the Closing has not been consummated on or before the fifth (5th) Business Day following the date hereof; provided, however, that no such termination will affect the right of any party to sue for any breach by any other party (or parties). The Company shall provide prompt notice of any such termination to each other Purchaser.</w:t>
      </w:r>
    </w:p>
    <w:p>
      <w:pPr>
        <w:spacing w:after="0" w:line="195"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Waivers and Amendments</w:t>
      </w:r>
      <w:r>
        <w:rPr>
          <w:rFonts w:ascii="Arial" w:cs="Arial" w:eastAsia="Arial" w:hAnsi="Arial"/>
          <w:sz w:val="18"/>
          <w:szCs w:val="18"/>
          <w:color w:val="auto"/>
        </w:rPr>
        <w:t>. Neither this Agreement nor any provision hereof may be changed, waived, discharged, terminated, modified or amended except upon the written consent of the Company and the Purchasers holding at least a majority of the Securities then held by Purchasers; provided that (a) if any amendment or waiver disproportionately and adversely affects a Purchaser (or group of Purchasers) in any material respect, the consent of such disproportionately affected Purchaser (or group of Purchasers) shall also be required and (b) such majority must include each Purchaser that, together with such Purchaser’s affiliates and related funds, purchased in the aggregate at least $14.9 million of Securities as Closing. Notwithstanding anything to the contrary herein, without the express written consent of the Purchaser, (i) this Agreement may not be amended, modified or waived to increase or decrease the number of Shares and/or Pre-Funded Warrants that such Purchaser is obligated to purchase hereunder or to increase or decrease the Purchase Price to be paid by such Purchaser for such Shares and/or Pre-Funded Warrants and (ii) this Section 10.2 shall not be amended, modified or waived.</w:t>
      </w:r>
    </w:p>
    <w:p>
      <w:pPr>
        <w:spacing w:after="0" w:line="196"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Headings; Interpretation</w:t>
      </w:r>
      <w:r>
        <w:rPr>
          <w:rFonts w:ascii="Arial" w:cs="Arial" w:eastAsia="Arial" w:hAnsi="Arial"/>
          <w:sz w:val="18"/>
          <w:szCs w:val="18"/>
          <w:color w:val="auto"/>
        </w:rPr>
        <w:t>. The headings of the various sections of this Agreement have been inserted for convenience of reference only and shall not be deemed to be part of this Agreement. The terms “hereof,” “herein,” “hereby” and derivative or similar words refer to this Agreement as a whole and not to any particular provision of this Agreement. Except when used together with the word “either” or otherwise for the purpose of identifying mutually exclusive alternatives, the term “or” has the inclusive meaning represented by the phrase “and/or.” All references in this Agreement to “dollars” or “$” shall mean United States dollars. Except where the context otherwise requires, wherever used the singular shall include the plural, the plural the singular, the use of any gender shall be applicable to all genders. The term “including” or “includes” means “including without limitation” or “includes without limitation.”</w:t>
      </w:r>
    </w:p>
    <w:p>
      <w:pPr>
        <w:spacing w:after="0" w:line="19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contained in this Agreement should be invalid, illegal or unenforceable in any respect, the validity, legality and enforceability of the remaining provisions contained herein shall not in any way be affected or impaired thereby.</w:t>
      </w:r>
    </w:p>
    <w:p>
      <w:pPr>
        <w:spacing w:after="0" w:line="170"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Survival</w:t>
      </w:r>
      <w:r>
        <w:rPr>
          <w:rFonts w:ascii="Arial" w:cs="Arial" w:eastAsia="Arial" w:hAnsi="Arial"/>
          <w:sz w:val="18"/>
          <w:szCs w:val="18"/>
          <w:color w:val="auto"/>
        </w:rPr>
        <w:t>. Subject to applicable statutes of limitations, the representations, warranties, agreements and covenants contained herein shall survive the Closing and the delivery of the Shares and Pre-Funded Warrants.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490" w:right="459" w:bottom="1440" w:gutter="0" w:footer="0" w:header="0"/>
        </w:sectPr>
      </w:pPr>
    </w:p>
    <w:bookmarkStart w:id="40" w:name="page41"/>
    <w:bookmarkEnd w:id="40"/>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10.6 </w:t>
      </w: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This Agreement shall be governed by and interpreted in accordance with the substantive laws of the State of New York, without regard to its or any other jurisdiction’s choice of law rules. Any and all disputes arising out of, concerning, or related to this Agreement, or to the interpretation, performance, breach or termination thereof shall be referred to and resolved by the federal courts located in New York, New York. Each party hereto hereby irrevocably waives personal service of process and consents to process being served in any such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constitute an original, but all of which, when taken together, shall constitute but one instrument, and shall become effective when one or more counterparts have been signed by each party hereto and delivered to the other party. Signatures to this Agreement transmitted by facsimile, by email in “portable document format” (“.pdf”), or by any other electronic means intended to preserve the original graphic and pictorial appearance of this Agreement shall have the same effect as physical delivery of the paper document bearing original signature.</w:t>
      </w:r>
    </w:p>
    <w:p>
      <w:pPr>
        <w:spacing w:after="0" w:line="188"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Except as otherwise expressly provided herein, the provisions hereof shall inure to the benefit of, and be binding upon, the successors, assigns, heirs, executors and administrators of the parties hereto. No party may assign this Agreement or any rights or obligations hereunder, in whole or in part, without the prior written consent of the other party, provided that a Purchaser may assign any or all of its rights under this Agreement to any Affiliate or to any Person to whom such Purchaser assigns or transfers any Securities, provided that such transferee agrees in writing to be bound, with respect to the transferred Securities, by the provisions of the Agreement that apply to such Purchaser.</w:t>
      </w:r>
    </w:p>
    <w:p>
      <w:pPr>
        <w:spacing w:after="0" w:line="16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xml:space="preserve">. This Agreement is intended for the benefit of the parties hereto and their respective successors and permitted assigns and is not for the benefit of, nor may any provision hereof be enforced by, any other Person, except as otherwise set forth in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10.9</w:t>
      </w:r>
      <w:r>
        <w:rPr>
          <w:rFonts w:ascii="Arial" w:cs="Arial" w:eastAsia="Arial" w:hAnsi="Arial"/>
          <w:sz w:val="18"/>
          <w:szCs w:val="18"/>
          <w:color w:val="auto"/>
        </w:rPr>
        <w:t>.</w:t>
      </w:r>
    </w:p>
    <w:p>
      <w:pPr>
        <w:spacing w:after="0" w:line="18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other documents and instruments delivered pursuant hereto or thereto, including the exhibits and schedules hereto or thereto, constitute the full and entire understanding and agreement between the parties hereto with regard to the subjects hereof and thereof.</w:t>
      </w:r>
    </w:p>
    <w:p>
      <w:pPr>
        <w:spacing w:after="0" w:line="184"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Independent Nature of Purchasers’ Obligations and Rights</w:t>
      </w:r>
      <w:r>
        <w:rPr>
          <w:rFonts w:ascii="Arial" w:cs="Arial" w:eastAsia="Arial" w:hAnsi="Arial"/>
          <w:sz w:val="18"/>
          <w:szCs w:val="18"/>
          <w:color w:val="auto"/>
        </w:rPr>
        <w:t>. The obligations of each Purchaser under this Agreement are several and not joint with the obligations of any other Purchaser,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490" w:right="479" w:bottom="1440" w:gutter="0" w:footer="0" w:header="0"/>
        </w:sectPr>
      </w:pPr>
    </w:p>
    <w:bookmarkStart w:id="41" w:name="page42"/>
    <w:bookmarkEnd w:id="4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 Purchaser shall be responsible in any way for the performance of the obligations of any other Purchaser under this Agreement. Nothing contained herein and no action taken by any Purchaser pursuant thereto, shall be deemed to constitute the Purchasers as a partnership, an association, a joint venture or any other kind of entity, or create a presumption that the Purchasers are in any way acting in concert or as a group, or are deemed affiliates (as such term is defined under the Exchange Act) with respect to such obligations or the transactions contemplated by this Agreement. Each Purchaser shall be entitled to independently protect and enforce its rights, including the rights arising out of this Agreement, and it shall not be necessary for any other Purchaser to be joined as an additional party in any proceeding for such purpose. Each Purchaser acknowledges that it is not relying upon any person, firm, or corporation, other than the Company and its officers and directors, in making its investment or decision to invest in the Company. Each Purchaser agrees that no Purchaser nor the respective controlling persons, officers, directors, partners, agents, or employees of any Purchaser shall be liable to any other Purchaser for any action heretofore or hereafter taken or omitted to be taken by any of them in connection with the purchase of the Securities.</w:t>
      </w:r>
    </w:p>
    <w:p>
      <w:pPr>
        <w:spacing w:after="0" w:line="185"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u w:val="single" w:color="auto"/>
          <w:color w:val="auto"/>
        </w:rPr>
        <w:t>Payment of Fees and Expenses</w:t>
      </w:r>
      <w:r>
        <w:rPr>
          <w:rFonts w:ascii="Arial" w:cs="Arial" w:eastAsia="Arial" w:hAnsi="Arial"/>
          <w:sz w:val="17"/>
          <w:szCs w:val="17"/>
          <w:color w:val="auto"/>
        </w:rPr>
        <w:t>. Except as otherwise provided herein or in the other documents or instruments contemplated hereby, each of the Company and the Purchasers shall bear its own expenses and legal fees incurred on its behalf with respect to this Agreement and the transactions contemplated hereby; provided that, at the Closing, the Company shall pay the documented and reasonable out-of-pocket legal fees and expenses of Nextech Invest Ltd. and affiliated entities (as lead investor hereunder), not to exceed $75,000 in the aggregate.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178"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Further Actions</w:t>
      </w:r>
      <w:r>
        <w:rPr>
          <w:rFonts w:ascii="Arial" w:cs="Arial" w:eastAsia="Arial" w:hAnsi="Arial"/>
          <w:sz w:val="18"/>
          <w:szCs w:val="18"/>
          <w:color w:val="auto"/>
        </w:rPr>
        <w:t>. Each party hereto agrees to execute, acknowledge, and deliver such further instruments, and to do all such other acts, as may be necessary or appropriate in order to carry out the purposes and intent of this Agreement.</w:t>
      </w:r>
    </w:p>
    <w:p>
      <w:pPr>
        <w:spacing w:after="0" w:line="170"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10.14 </w:t>
      </w:r>
      <w:r>
        <w:rPr>
          <w:rFonts w:ascii="Arial" w:cs="Arial" w:eastAsia="Arial" w:hAnsi="Arial"/>
          <w:sz w:val="16"/>
          <w:szCs w:val="16"/>
          <w:u w:val="single" w:color="auto"/>
          <w:color w:val="auto"/>
        </w:rPr>
        <w:t>Public Announcement</w:t>
      </w:r>
      <w:r>
        <w:rPr>
          <w:rFonts w:ascii="Arial" w:cs="Arial" w:eastAsia="Arial" w:hAnsi="Arial"/>
          <w:sz w:val="16"/>
          <w:szCs w:val="16"/>
          <w:color w:val="auto"/>
        </w:rPr>
        <w:t>. The Company shall by the Disclosure Time, issue a press release disclosing the material terms of the transactions contemplated hereby, and file a Current Report on Form 8-K (together, the “</w:t>
      </w:r>
      <w:r>
        <w:rPr>
          <w:rFonts w:ascii="Arial" w:cs="Arial" w:eastAsia="Arial" w:hAnsi="Arial"/>
          <w:sz w:val="16"/>
          <w:szCs w:val="16"/>
          <w:b w:val="1"/>
          <w:bCs w:val="1"/>
          <w:i w:val="1"/>
          <w:iCs w:val="1"/>
          <w:color w:val="auto"/>
        </w:rPr>
        <w:t>Disclosure Document</w:t>
      </w:r>
      <w:r>
        <w:rPr>
          <w:rFonts w:ascii="Arial" w:cs="Arial" w:eastAsia="Arial" w:hAnsi="Arial"/>
          <w:sz w:val="16"/>
          <w:szCs w:val="16"/>
          <w:color w:val="auto"/>
        </w:rPr>
        <w:t xml:space="preserve">”). No press release or, except to the extent required under applicable law, other public announcement shall be made, directly or indirectly, by any party hereto concerning the execution of this Agreement, the terms and conditions hereof or the consummation of the transactions contemplated hereby, in each case without the prior written consent of the other party hereto. Notwithstanding the foregoing, the Company may issue the Disclosure Document (after providing the Purchasers an opportunity to review and comment on such Disclosure Document, it being understood that identity of the Purchasers will be disclosed in the Agreement included as an exhibit to the Disclosure Document and as selling stockholders in the Registration Statement). The Company shall not include the name of any of the Purchasers or their Affiliates or advisers in any press release (including the Disclosure Document) or marketing materials without the prior written consent of such Purchaser, nor shall the Company include the name of any of the Purchasers or their Affiliates or advisers in any public announcement or publication (including the Disclosure Document) without the prior written consent of such Purchaser, except if such disclosure is required by law, rule, regulation or applicable Commission guidance, in which case the Company shall provide such Purchaser with prompt prior notice of such requirement so that the Purchaser may (a) seek appropriate relief to prevent or limit such disclosure, (b) furnish only that portion of the information which is legally required to be furnished or disclosed, and to the extent reasonably feasible, and (c) consult with the Company on content and timing prior to any such disclosure. Each Purchaser, severally and not jointly with the other Purchasers, covenants that until such time as the transactions contemplated by this Agreement are required to be publicly disclosed by the Company as described in this </w:t>
      </w:r>
      <w:r>
        <w:rPr>
          <w:rFonts w:ascii="Arial" w:cs="Arial" w:eastAsia="Arial" w:hAnsi="Arial"/>
          <w:sz w:val="16"/>
          <w:szCs w:val="16"/>
          <w:u w:val="single" w:color="auto"/>
          <w:color w:val="auto"/>
        </w:rPr>
        <w:t>Section 10.14</w:t>
      </w:r>
      <w:r>
        <w:rPr>
          <w:rFonts w:ascii="Arial" w:cs="Arial" w:eastAsia="Arial" w:hAnsi="Arial"/>
          <w:sz w:val="16"/>
          <w:szCs w:val="16"/>
          <w:color w:val="auto"/>
        </w:rPr>
        <w:t>, such Purchaser will maintain the confidentiality of all disclosures made to it in connection with this transaction (including the existence and terms of this transaction).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490" w:right="459" w:bottom="1440" w:gutter="0" w:footer="0" w:header="0"/>
        </w:sectPr>
      </w:pPr>
    </w:p>
    <w:bookmarkStart w:id="42" w:name="page43"/>
    <w:bookmarkEnd w:id="42"/>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10.15 </w:t>
      </w:r>
      <w:r>
        <w:rPr>
          <w:rFonts w:ascii="Arial" w:cs="Arial" w:eastAsia="Arial" w:hAnsi="Arial"/>
          <w:sz w:val="18"/>
          <w:szCs w:val="18"/>
          <w:u w:val="single" w:color="auto"/>
          <w:color w:val="auto"/>
        </w:rPr>
        <w:t>Equal Treatment of Purchasers</w:t>
      </w:r>
      <w:r>
        <w:rPr>
          <w:rFonts w:ascii="Arial" w:cs="Arial" w:eastAsia="Arial" w:hAnsi="Arial"/>
          <w:sz w:val="18"/>
          <w:szCs w:val="18"/>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such Agreement. For clarification purposes, this provision constitutes a separate right granted to each Purchaser by the Company and negotiated separately by each Purchaser and shall not in any way be construed as the Purchasers acting in concert or as a group with respect to the purchase, disposition or voting of Common Stock or otherwise.</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00"/>
          </w:cols>
          <w:pgMar w:left="440" w:top="490" w:right="659" w:bottom="1440" w:gutter="0" w:footer="0" w:header="0"/>
        </w:sectPr>
      </w:pPr>
    </w:p>
    <w:bookmarkStart w:id="43" w:name="page44"/>
    <w:bookmarkEnd w:id="43"/>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Agreement to be executed by their duly authorized representatives as of the day</w:t>
      </w:r>
      <w:r>
        <w:rPr>
          <w:rFonts w:ascii="Arial" w:cs="Arial" w:eastAsia="Arial" w:hAnsi="Arial"/>
          <w:sz w:val="18"/>
          <w:szCs w:val="18"/>
          <w:b w:val="1"/>
          <w:bCs w:val="1"/>
          <w:color w:val="auto"/>
        </w:rPr>
        <w:t xml:space="preserve"> </w:t>
      </w:r>
      <w:r>
        <w:rPr>
          <w:rFonts w:ascii="Arial" w:cs="Arial" w:eastAsia="Arial" w:hAnsi="Arial"/>
          <w:sz w:val="18"/>
          <w:szCs w:val="18"/>
          <w:color w:val="auto"/>
        </w:rPr>
        <w:t>and year first above written.</w:t>
      </w:r>
    </w:p>
    <w:p>
      <w:pPr>
        <w:spacing w:after="0" w:line="18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TANGO THERAPEUTICS, INC.</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Barbara Weber</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Stock Purchase Agreement</w:t>
      </w:r>
      <w:r>
        <w:rPr>
          <w:rFonts w:ascii="Arial" w:cs="Arial" w:eastAsia="Arial" w:hAnsi="Arial"/>
          <w:sz w:val="18"/>
          <w:szCs w:val="18"/>
          <w:color w:val="auto"/>
        </w:rPr>
        <w:t>]</w:t>
      </w:r>
    </w:p>
    <w:p>
      <w:pPr>
        <w:sectPr>
          <w:pgSz w:w="11900" w:h="16838" w:orient="portrait"/>
          <w:cols w:equalWidth="0" w:num="1">
            <w:col w:w="10800"/>
          </w:cols>
          <w:pgMar w:left="440" w:top="486" w:right="659" w:bottom="1440" w:gutter="0" w:footer="0" w:header="0"/>
        </w:sectPr>
      </w:pPr>
    </w:p>
    <w:bookmarkStart w:id="44" w:name="page45"/>
    <w:bookmarkEnd w:id="44"/>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[SIGNATURE PAGES FOR INVESTORS FOLLOW]</w:t>
      </w:r>
    </w:p>
    <w:p>
      <w:pPr>
        <w:sectPr>
          <w:pgSz w:w="11900" w:h="16838" w:orient="portrait"/>
          <w:cols w:equalWidth="0" w:num="1">
            <w:col w:w="9019"/>
          </w:cols>
          <w:pgMar w:left="1440" w:top="490"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PURCHASERS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486" w:right="144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WIRE INSTRUCTIONS</w:t>
      </w:r>
    </w:p>
    <w:p>
      <w:pPr>
        <w:sectPr>
          <w:pgSz w:w="11900" w:h="16838" w:orient="portrait"/>
          <w:cols w:equalWidth="0" w:num="1">
            <w:col w:w="9019"/>
          </w:cols>
          <w:pgMar w:left="1440" w:top="486"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D&amp;O LOCK-UPS</w:t>
      </w:r>
    </w:p>
    <w:p>
      <w:pPr>
        <w:sectPr>
          <w:pgSz w:w="11900" w:h="16838" w:orient="portrait"/>
          <w:cols w:equalWidth="0" w:num="1">
            <w:col w:w="9019"/>
          </w:cols>
          <w:pgMar w:left="1440" w:top="486"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PRE-FUNDED WARRANT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Separately filed</w:t>
      </w:r>
      <w:r>
        <w:rPr>
          <w:rFonts w:ascii="Arial" w:cs="Arial" w:eastAsia="Arial" w:hAnsi="Arial"/>
          <w:sz w:val="18"/>
          <w:szCs w:val="18"/>
          <w:b w:val="1"/>
          <w:bCs w:val="1"/>
          <w:color w:val="auto"/>
        </w:rPr>
        <w:t>]</w:t>
      </w:r>
    </w:p>
    <w:p>
      <w:pPr>
        <w:sectPr>
          <w:pgSz w:w="11900" w:h="16838" w:orient="portrait"/>
          <w:cols w:equalWidth="0" w:num="1">
            <w:col w:w="9019"/>
          </w:cols>
          <w:pgMar w:left="1440" w:top="486" w:right="1440"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OPINION</w:t>
      </w:r>
    </w:p>
    <w:p>
      <w:pPr>
        <w:sectPr>
          <w:pgSz w:w="11900" w:h="16838" w:orient="portrait"/>
          <w:cols w:equalWidth="0" w:num="1">
            <w:col w:w="9019"/>
          </w:cols>
          <w:pgMar w:left="1440" w:top="486" w:right="1440" w:bottom="1440" w:gutter="0" w:footer="0" w:header="0"/>
        </w:sectPr>
      </w:pPr>
    </w:p>
    <w:bookmarkStart w:id="50" w:name="page51"/>
    <w:bookmarkEnd w:id="5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D&amp;O LOCK-UP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Tango Therapeutics, Inc.</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August 10,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Tango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Tango Therapeutics, Inc.—Lock-Up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The undersigned understands that Tango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party to that certain Securities Purchase Agreement dated on or about the date hereof (the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providing for the sale and issuance of the Company’s Securities. Capitalized terms used herein and not otherwise defined shall have the meanings set forth in the Purchase Agreement.</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consideration of the entry into the Purchase Agreement, and of other good and valuable consideration the receipt and sufficiency of which is hereby acknowledged, the undersigned agrees that, during the period beginning on the date hereof and continuing until the date that is ninety (90) days following the Closing Date (as defined in the Purchase Agreement) (the “</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 the undersigned shall not, without the prior written consent of the Company, subject to the exceptions set forth below:</w:t>
      </w:r>
    </w:p>
    <w:p>
      <w:pPr>
        <w:spacing w:after="0" w:line="187" w:lineRule="exact"/>
        <w:rPr>
          <w:sz w:val="20"/>
          <w:szCs w:val="20"/>
          <w:color w:val="auto"/>
        </w:rPr>
      </w:pPr>
    </w:p>
    <w:p>
      <w:pPr>
        <w:ind w:firstLine="436"/>
        <w:spacing w:after="0" w:line="275" w:lineRule="auto"/>
        <w:tabs>
          <w:tab w:leader="none" w:pos="6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or otherwise transfer or dispose of, directly or indirectly, any shares of the Company’s Common Stock or any securities convertible into or exercisable or exchangeable for the Company’s Common Stock, whether now owned or hereafter acquired by the undersigned or with respect to which the undersigned has or hereafter acquires the power of disposition (the “</w:t>
      </w:r>
      <w:r>
        <w:rPr>
          <w:rFonts w:ascii="Arial" w:cs="Arial" w:eastAsia="Arial" w:hAnsi="Arial"/>
          <w:sz w:val="17"/>
          <w:szCs w:val="17"/>
          <w:b w:val="1"/>
          <w:bCs w:val="1"/>
          <w:i w:val="1"/>
          <w:iCs w:val="1"/>
          <w:color w:val="auto"/>
        </w:rPr>
        <w:t>Lock-Up Shares</w:t>
      </w:r>
      <w:r>
        <w:rPr>
          <w:rFonts w:ascii="Arial" w:cs="Arial" w:eastAsia="Arial" w:hAnsi="Arial"/>
          <w:sz w:val="17"/>
          <w:szCs w:val="17"/>
          <w:color w:val="auto"/>
        </w:rPr>
        <w:t>”), or publicly disclose the intention to make any offer, sale, pledge or disposition of any Lock-Up Shares, except as required by law; or</w:t>
      </w:r>
    </w:p>
    <w:p>
      <w:pPr>
        <w:spacing w:after="0" w:line="176" w:lineRule="exact"/>
        <w:rPr>
          <w:rFonts w:ascii="Arial" w:cs="Arial" w:eastAsia="Arial" w:hAnsi="Arial"/>
          <w:sz w:val="17"/>
          <w:szCs w:val="17"/>
          <w:color w:val="auto"/>
        </w:rPr>
      </w:pPr>
    </w:p>
    <w:p>
      <w:pPr>
        <w:ind w:right="320" w:firstLine="436"/>
        <w:spacing w:after="0" w:line="263"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of ownership of the Lock-Up Shares, whether any such transaction described in clause (1) above or this clause (2) is to be settled by delivery of Lock-Up Shares or such other securities, in cash or otherwise, in each case other than:</w:t>
      </w:r>
    </w:p>
    <w:p>
      <w:pPr>
        <w:spacing w:after="0" w:line="183" w:lineRule="exact"/>
        <w:rPr>
          <w:rFonts w:ascii="Arial" w:cs="Arial" w:eastAsia="Arial" w:hAnsi="Arial"/>
          <w:sz w:val="18"/>
          <w:szCs w:val="18"/>
          <w:color w:val="auto"/>
        </w:rPr>
      </w:pPr>
    </w:p>
    <w:p>
      <w:pPr>
        <w:ind w:left="1680" w:hanging="292"/>
        <w:spacing w:after="0"/>
        <w:tabs>
          <w:tab w:leader="none" w:pos="16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transfers as a bona fide gift or gifts,</w:t>
      </w:r>
    </w:p>
    <w:p>
      <w:pPr>
        <w:spacing w:after="0" w:line="225" w:lineRule="exact"/>
        <w:rPr>
          <w:rFonts w:ascii="Arial" w:cs="Arial" w:eastAsia="Arial" w:hAnsi="Arial"/>
          <w:sz w:val="18"/>
          <w:szCs w:val="18"/>
          <w:color w:val="auto"/>
        </w:rPr>
      </w:pPr>
    </w:p>
    <w:p>
      <w:pPr>
        <w:ind w:left="980" w:right="220" w:firstLine="408"/>
        <w:spacing w:after="0" w:line="263" w:lineRule="auto"/>
        <w:tabs>
          <w:tab w:leader="none" w:pos="1666" w:val="left"/>
        </w:tabs>
        <w:numPr>
          <w:ilvl w:val="1"/>
          <w:numId w:val="44"/>
        </w:numPr>
        <w:rPr>
          <w:rFonts w:ascii="Arial" w:cs="Arial" w:eastAsia="Arial" w:hAnsi="Arial"/>
          <w:sz w:val="18"/>
          <w:szCs w:val="18"/>
          <w:color w:val="auto"/>
        </w:rPr>
      </w:pPr>
      <w:r>
        <w:rPr>
          <w:rFonts w:ascii="Arial" w:cs="Arial" w:eastAsia="Arial" w:hAnsi="Arial"/>
          <w:sz w:val="18"/>
          <w:szCs w:val="18"/>
          <w:color w:val="auto"/>
        </w:rPr>
        <w:t>transfers or dispositions to any trust for the direct or indirect benefit of the undersigned, or the immediate family of the undersigned, provided that the trustee of the trust agrees to be bound in writing by the restrictions set forth herein, and provided further that any such transfer shall not involve a disposition for value,</w:t>
      </w:r>
    </w:p>
    <w:p>
      <w:pPr>
        <w:spacing w:after="0" w:line="183" w:lineRule="exact"/>
        <w:rPr>
          <w:rFonts w:ascii="Arial" w:cs="Arial" w:eastAsia="Arial" w:hAnsi="Arial"/>
          <w:sz w:val="18"/>
          <w:szCs w:val="18"/>
          <w:color w:val="auto"/>
        </w:rPr>
      </w:pPr>
    </w:p>
    <w:p>
      <w:pPr>
        <w:ind w:left="1680" w:hanging="292"/>
        <w:spacing w:after="0"/>
        <w:tabs>
          <w:tab w:leader="none" w:pos="16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distributions by a trust to its beneficiaries,</w:t>
      </w:r>
    </w:p>
    <w:p>
      <w:pPr>
        <w:sectPr>
          <w:pgSz w:w="11900" w:h="16838" w:orient="portrait"/>
          <w:cols w:equalWidth="0" w:num="1">
            <w:col w:w="10940"/>
          </w:cols>
          <w:pgMar w:left="440" w:top="486" w:right="519" w:bottom="1440" w:gutter="0" w:footer="0" w:header="0"/>
        </w:sectPr>
      </w:pPr>
    </w:p>
    <w:bookmarkStart w:id="51" w:name="page52"/>
    <w:bookmarkEnd w:id="51"/>
    <w:p>
      <w:pPr>
        <w:ind w:right="80" w:firstLine="408"/>
        <w:spacing w:after="0" w:line="277" w:lineRule="auto"/>
        <w:tabs>
          <w:tab w:leader="none" w:pos="696"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transfers or dispositions to any corporation, partnership, limited liability company or other entity, all of the beneficial ownership interests of which are held by undersigned,</w:t>
      </w:r>
    </w:p>
    <w:p>
      <w:pPr>
        <w:spacing w:after="0" w:line="62" w:lineRule="exact"/>
        <w:rPr>
          <w:rFonts w:ascii="Arial" w:cs="Arial" w:eastAsia="Arial" w:hAnsi="Arial"/>
          <w:sz w:val="18"/>
          <w:szCs w:val="18"/>
          <w:color w:val="auto"/>
        </w:rPr>
      </w:pPr>
    </w:p>
    <w:p>
      <w:pPr>
        <w:ind w:right="60" w:firstLine="408"/>
        <w:spacing w:after="0" w:line="277" w:lineRule="auto"/>
        <w:tabs>
          <w:tab w:leader="none" w:pos="67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transfers or dispositions by will, other testamentary document or intestate succession to the legal representative, heir, beneficiary or a member of the immediate family of undersigned,</w:t>
      </w:r>
    </w:p>
    <w:p>
      <w:pPr>
        <w:spacing w:after="0" w:line="62" w:lineRule="exact"/>
        <w:rPr>
          <w:rFonts w:ascii="Arial" w:cs="Arial" w:eastAsia="Arial" w:hAnsi="Arial"/>
          <w:sz w:val="18"/>
          <w:szCs w:val="18"/>
          <w:color w:val="auto"/>
        </w:rPr>
      </w:pPr>
    </w:p>
    <w:p>
      <w:pPr>
        <w:ind w:right="800" w:firstLine="408"/>
        <w:spacing w:after="0" w:line="342" w:lineRule="auto"/>
        <w:tabs>
          <w:tab w:leader="none" w:pos="66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transfers to partners, members or stockholders of the undersigned, or to another partnership, limited liability company, corporation or other business entity that controls, is controlled by or is under common control with the undersigned;</w:t>
      </w:r>
    </w:p>
    <w:p>
      <w:pPr>
        <w:spacing w:after="0" w:line="15" w:lineRule="exact"/>
        <w:rPr>
          <w:rFonts w:ascii="Arial" w:cs="Arial" w:eastAsia="Arial" w:hAnsi="Arial"/>
          <w:sz w:val="16"/>
          <w:szCs w:val="16"/>
          <w:color w:val="auto"/>
        </w:rPr>
      </w:pPr>
    </w:p>
    <w:p>
      <w:pPr>
        <w:ind w:right="60" w:firstLine="408"/>
        <w:spacing w:after="0" w:line="257" w:lineRule="auto"/>
        <w:tabs>
          <w:tab w:leader="none" w:pos="6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approved by the board of directors of the Company, made to all holders of Common Stock involving a change of control of the Company, provided that, in the event that such tender offer, merger, consolidation or other similar transaction is not completed, any shares of Common Stock or securities convertible into or exercisable or exchangeable for Common Stock held by the undersigned shall remain subject to the restrictions on transfer set forth herein;</w:t>
      </w:r>
    </w:p>
    <w:p>
      <w:pPr>
        <w:spacing w:after="0" w:line="79" w:lineRule="exact"/>
        <w:rPr>
          <w:rFonts w:ascii="Arial" w:cs="Arial" w:eastAsia="Arial" w:hAnsi="Arial"/>
          <w:sz w:val="18"/>
          <w:szCs w:val="18"/>
          <w:color w:val="auto"/>
        </w:rPr>
      </w:pPr>
    </w:p>
    <w:p>
      <w:pPr>
        <w:jc w:val="both"/>
        <w:ind w:right="140" w:firstLine="408"/>
        <w:spacing w:after="0" w:line="301" w:lineRule="auto"/>
        <w:tabs>
          <w:tab w:leader="none" w:pos="69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receipt by the undersigned from the Company of shares of Common Stock upon the exercise of options or the settlement of restricted stock units; provided that the Common Stock received as a result of such exercise, vesting or settlement shall remain subject to the restrictions on transfer set forth in this agreement and any filing under Section 16 of the Exchange Act made during the Lock-Up Period shall clearly indicate in the footnotes thereto that the filing relates to the circumstances described in this clause;</w:t>
      </w:r>
    </w:p>
    <w:p>
      <w:pPr>
        <w:spacing w:after="0" w:line="49" w:lineRule="exact"/>
        <w:rPr>
          <w:rFonts w:ascii="Arial" w:cs="Arial" w:eastAsia="Arial" w:hAnsi="Arial"/>
          <w:sz w:val="16"/>
          <w:szCs w:val="16"/>
          <w:color w:val="auto"/>
        </w:rPr>
      </w:pPr>
    </w:p>
    <w:p>
      <w:pPr>
        <w:ind w:firstLine="408"/>
        <w:spacing w:after="0" w:line="255" w:lineRule="auto"/>
        <w:tabs>
          <w:tab w:leader="none" w:pos="626"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transfers to the Company for the purposes of exercising (including for the payment of tax withholdings or remittance payments due as a result of such exercise) on a “net exercise” or “cashless” basis options or other equity awards or (ii) transfers for the payment of tax withholdings or remittance payments due as a result of the vesting or settlement of such restricted stock units; provided that the Common Stock issued shall remain subject to the restrictions on transfer set forth in this agreement and any filing under Section 16 of the Exchange Act made during the Lock-Up Period shall clearly indicate in the footnotes thereto that the filing relates to the circumstances described in this clause;</w:t>
      </w:r>
    </w:p>
    <w:p>
      <w:pPr>
        <w:spacing w:after="0" w:line="84" w:lineRule="exact"/>
        <w:rPr>
          <w:rFonts w:ascii="Arial" w:cs="Arial" w:eastAsia="Arial" w:hAnsi="Arial"/>
          <w:sz w:val="18"/>
          <w:szCs w:val="18"/>
          <w:color w:val="auto"/>
        </w:rPr>
      </w:pPr>
    </w:p>
    <w:p>
      <w:pPr>
        <w:ind w:right="120" w:firstLine="408"/>
        <w:spacing w:after="0" w:line="257" w:lineRule="auto"/>
        <w:tabs>
          <w:tab w:leader="none" w:pos="6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transfers to the Company pursuant to any contractual arrangement that provides for the repurchase by the Company or forfeiture of the undersigned’s Common Stock in connection with the termination of the undersigned’s service to the Company; provided that if the undersigned is required to file a report under Section 16 of the Exchange Act reporting a reduction in beneficial ownership of shares of Common Stock during the Lock-Up Period, the undersigned shall clearly indicate in the footnotes thereto that the filing relates to the termination of the undersigned’s employment or other services;</w:t>
      </w:r>
    </w:p>
    <w:p>
      <w:pPr>
        <w:spacing w:after="0" w:line="79" w:lineRule="exact"/>
        <w:rPr>
          <w:rFonts w:ascii="Arial" w:cs="Arial" w:eastAsia="Arial" w:hAnsi="Arial"/>
          <w:sz w:val="18"/>
          <w:szCs w:val="18"/>
          <w:color w:val="auto"/>
        </w:rPr>
      </w:pPr>
    </w:p>
    <w:p>
      <w:pPr>
        <w:ind w:right="260" w:firstLine="408"/>
        <w:spacing w:after="0" w:line="259" w:lineRule="auto"/>
        <w:tabs>
          <w:tab w:leader="none" w:pos="6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transfers pursuant to a plan, contract or instruction that satisfies all of the requirements of Rule 10b5-1(c)(1)(i)(B) (a “</w:t>
      </w:r>
      <w:r>
        <w:rPr>
          <w:rFonts w:ascii="Arial" w:cs="Arial" w:eastAsia="Arial" w:hAnsi="Arial"/>
          <w:sz w:val="18"/>
          <w:szCs w:val="18"/>
          <w:b w:val="1"/>
          <w:bCs w:val="1"/>
          <w:i w:val="1"/>
          <w:iCs w:val="1"/>
          <w:color w:val="auto"/>
        </w:rPr>
        <w:t>10b5-1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Trading Plan</w:t>
      </w:r>
      <w:r>
        <w:rPr>
          <w:rFonts w:ascii="Arial" w:cs="Arial" w:eastAsia="Arial" w:hAnsi="Arial"/>
          <w:sz w:val="18"/>
          <w:szCs w:val="18"/>
          <w:color w:val="auto"/>
        </w:rPr>
        <w:t>”)that is existing on the date hereof; provided that if the undersigned is required to file a report under Section 16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Act reporting such transfer during the Lock-Up Period, the undersigned shall clearly indicate in the footnotes thereto that the filing relates to a transfer in accordance with a 10b5-1 Trading Plan;</w:t>
      </w:r>
    </w:p>
    <w:p>
      <w:pPr>
        <w:spacing w:after="0" w:line="79" w:lineRule="exact"/>
        <w:rPr>
          <w:sz w:val="20"/>
          <w:szCs w:val="20"/>
          <w:color w:val="auto"/>
        </w:rPr>
      </w:pPr>
    </w:p>
    <w:p>
      <w:pPr>
        <w:ind w:right="220" w:firstLine="401"/>
        <w:spacing w:after="0" w:line="286" w:lineRule="auto"/>
        <w:rPr>
          <w:sz w:val="20"/>
          <w:szCs w:val="20"/>
          <w:color w:val="auto"/>
        </w:rPr>
      </w:pPr>
      <w:r>
        <w:rPr>
          <w:rFonts w:ascii="Arial" w:cs="Arial" w:eastAsia="Arial" w:hAnsi="Arial"/>
          <w:sz w:val="17"/>
          <w:szCs w:val="17"/>
          <w:color w:val="auto"/>
        </w:rPr>
        <w:t>provided that (x) in the case of any transfer or distribution pursuant to clauses (A)—(F), each transferee, donee or distributee shall execute and deliver to the Company a lock-up letter in the form of this letter agreement. For purposes of this agreement, “immediate family” shall mean any relationship by blood, marriage or adoption, not more remote than first cousin.</w:t>
      </w:r>
    </w:p>
    <w:p>
      <w:pPr>
        <w:sectPr>
          <w:pgSz w:w="11900" w:h="16838" w:orient="portrait"/>
          <w:cols w:equalWidth="0" w:num="1">
            <w:col w:w="10000"/>
          </w:cols>
          <w:pgMar w:left="1420" w:top="490" w:right="479" w:bottom="1440" w:gutter="0" w:footer="0" w:header="0"/>
        </w:sectPr>
      </w:pPr>
    </w:p>
    <w:bookmarkStart w:id="52" w:name="page53"/>
    <w:bookmarkEnd w:id="52"/>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undersigned hereby agrees and consents to the entry of stop transfer instructions with the Company’s transfer agent against the transfer of securities of the Company held by the undersigned during the Lock-Up Period (as may have been extended pursuant hereto), except in compliance with this Lock-Up Agreement.</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undersigned understands that, if the Purchase Agreement does not become effective prior to payment for and delivery of the securities to be sold thereunder, or if the Purchase Agreement has not been executed within thirty (30) days of the date hereof, this Lock-Up Agreement shall be terminated and the undersigned shall be released from all obligations under this Lock-Up Agreement.</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Lock-Up Agreement shall be governed by and construed in accordance with the laws of the State of New York, without regard to the conflict of laws principles thereof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0920"/>
          </w:cols>
          <w:pgMar w:left="440" w:top="490" w:right="5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Announces $80 million Private Placement Financing</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BOSTON, Mass. – August 10, 2023 – Tango Therapeutics, Inc. (NASDAQ: TNGX), a clinical-stage biotechnology company committed to discovering and delivering the next generation of precision cancer medicines, has agreed to sell approximately 15.5 million shares of its common stock (“Common Stock”) (or pre-funded warrants (“Pre-Funded Warrants”) in lieu thereof) to a select group of institutional and accredited healthcare specialist investors in a private investment in public equity (PIPE) financing, at a per share price of $5.15. The Pre-Funded Warrants will have an exercise price of $0.0001 per share of common stock, will be immediately exercisable and will remain exercisable until exercised in full. The financing is expected to close on Friday, August 11, 2023, subject to customary closing conditions. Gross proceeds from the private placement are anticipated to be approximately $80 million, before deducting any offering-related expenses.</w:t>
      </w:r>
    </w:p>
    <w:p>
      <w:pPr>
        <w:spacing w:after="0" w:line="17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financing was led by Nextech with participation from Boxer Capital, Bain Capital Life Sciences, Casdin Capital, EcoR1 Capital, Southpoint Capital, Third Rock Ventures and a large institutional investor.</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proud to have Nextech as a new investor, and to receive additional support from an outstanding group of current investors to further our mission to develop novel precision oncology treatments. This financing underscores the confidence in our near-term clinical programs, and our state-of-the-art target platform to discover and develop new drugs for people with cancer,” said Barbara Weber, M.D., President and Chief Executive Officer of Tango Therapeutics. “The additional funding strengthens our balance sheet at a time of strong momentum. Our two PRMT5 inhibitors are currently in dose escalation, and we recently demonstrated proof-of-mechanism for our lead program, TNG908. In addition, we have initiated the phase 1/2 clinical trial for TNG260, in combination with pembrolizumab in patients with checkpoint inhibitor resistant STK11-mutant cancers, and plan to initiate a fourth clinical trial in 2024.”</w:t>
      </w:r>
    </w:p>
    <w:p>
      <w:pPr>
        <w:spacing w:after="0" w:line="1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“Becoming an investor in Tango Therapeutics is consistent with Nextech’s core investment strategy. Tango is a leader in developing novel precision oncology programs based on synthetic lethality – all of which have the potential to address significant patient populations across multiple cancer types,” said Kanishka Pothula, Partner at Nextech. “We look forward to working closely with the exceptional team at Tango as these potentially transformative treatments evolve.”</w:t>
      </w:r>
    </w:p>
    <w:p>
      <w:pPr>
        <w:spacing w:after="0" w:line="187"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Proceeds from the financing are expected to enable rapid expansion across multiple tumor types for the TNG908 and TNG462 PRMT5 programs, as well as maintain funding through proof-of-concept for each of its clinical-stage programs as the Company awaits clinical data. Current cash, cash equivalents and marketable securities, in addition to proceeds from the financing, is expected to be sufficient to fund operations into 2026.</w:t>
      </w:r>
    </w:p>
    <w:p>
      <w:pPr>
        <w:sectPr>
          <w:pgSz w:w="11900" w:h="16838" w:orient="portrait"/>
          <w:cols w:equalWidth="0" w:num="1">
            <w:col w:w="11020"/>
          </w:cols>
          <w:pgMar w:left="440" w:top="121" w:right="439" w:bottom="1440" w:gutter="0" w:footer="0" w:header="0"/>
        </w:sectPr>
      </w:pPr>
    </w:p>
    <w:bookmarkStart w:id="54" w:name="page55"/>
    <w:bookmarkEnd w:id="54"/>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securities sold in this PIPE, including the shares of common stock underlying the Pre-Funded Warrants, are being made in a transaction not involving a public offering and have not been registered under the Securities Act of 1933, as amended, and may not be offered or sold in the United States except pursuant to an effective registration statement or an applicable exemption from the registration requirements. Pursuant to the securities purchase agreement, the Company has agreed to file a registration statement with the Securities and Exchange Commission registering the resale of the securities sold in the PIPE.</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 Any offering of the Common Stock or Pre-Funded Warrants described above under the resale registration statement will only be by means of a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Tango Therapeutics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Tango Therapeutics is a clinical-stage biotechnology company dedicated to discovering novel drug targets and delivering the next generation of precision medicine for the treatment of cancer. Using an approach that starts and ends with patients, Tango leverages the genetic principle of synthetic lethality to discover and develop therapies that take aim at critical targets in cancer. This includes expanding the universe of precision oncology targets into novel areas such as tumor suppressor gene loss and their contribution to the ability of cancer cells to evade immune cell killing. For more information, please visit www.tangotx.com.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statements in this press release may be considered forward-looking statements within the meaning of the Private Securities Litigation Reform Act of 1995, as amended. Forward-looking statements generally relate to future events, Tango’s future operating performance and goals, the anticipated benefits of therapies and combination therapies (that include a Tango pipeline product), Tango’s expectations, beliefs and development objectives for Tango’s product pipeline and clinical trials. In some cases, you can identify forward-looking statements by terminology such as “may”, “should”, “expect”, “intend”, “will”, “goal”, “estimate”, “anticipate”, “believe”, “predict”, “designed,” “potential” or “continue”, or the negatives of these terms or variations of them or similar terminology. For example, implicit or explicit statements concerning the following include or constitute forward-looking statements: the PIPE financing is expected to close on Friday, August 11, 2023 and gross proceeds are anticipated to be approximately $80 million, before deducting any offering-related expenses; this financing underscores the confidence in Tango’s near-term clinical programs and state-of-the-art target platform to discover and develop new drugs for people with cancer; the financing comes at a time of strong momentum; the Company plans to initiate a fourth clinical trial in 2024; Tango has the potential to address significant patient populations across multiple cancer types; Tango’s has potentially transformative treatments that will evolve; anticipated use of</w:t>
      </w:r>
    </w:p>
    <w:p>
      <w:pPr>
        <w:sectPr>
          <w:pgSz w:w="11900" w:h="16838" w:orient="portrait"/>
          <w:cols w:equalWidth="0" w:num="1">
            <w:col w:w="11000"/>
          </w:cols>
          <w:pgMar w:left="440" w:top="490" w:right="459" w:bottom="1440" w:gutter="0" w:footer="0" w:header="0"/>
        </w:sectPr>
      </w:pPr>
    </w:p>
    <w:bookmarkStart w:id="55" w:name="page56"/>
    <w:bookmarkEnd w:id="5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proceeds from the financing (the Company can maintain funding through proof-of-concept for each of its clinical-stage programs); current cash, cash equivalents and marketable securities, in addition to proceeds from the financing, is expected to be sufficient to fund operations into 2026; and; the expected benefits of the Company’s development candidates and other product candidates (as monotherapies or in combination).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Tango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the financing may not close due to failure to satisfy closing conditions (among other reasons); events may arise int eh future that require the proceeds to be spent in ways other than anticipated; Tango has limited experience conducting clinical trials (and will rely on a third party to operate its clinical trials) and may not be able to commence the clinical trial (including opening clinical trial sites, dosing the first patient, and enrolling and dosing an adequate number of clinical trial participants) when expected, may not be able to continue dose escalation on anticipated timelines, and may not generate results (including final or initial safety, efficacy data and proof-of-mechanism and proof-of-concept) in the anticipated timeframe (or at all); benefits of product candidates seen in preclinical analyses may not be evident when tested in clinical trials or when used in broader patient populations (if approved for commercial sale); Tango’s pipeline products may not be safe and/or effective in humans; addressable patient populations may be smaller than expected; Tango has a limited operating history and has not generated any revenue to date from product sales, and may never become profitable; other companies may be able to identify and develop product candidates more quickly than the Company and commercially introduce the product prior to the Company; the Company’s proprietary discovery platform is novel and may not identify any synthetic lethal targets for future development; the Company may not be able to identify development candidates on the schedule it anticipates due to technical, financial or other reasons; the Company may not be able to file INDs for development candidates on time, or at all, due to technical or financial reasons or otherwise; the Company may utilize cash resources more quickly than anticipated; Tango will need to raise capital in the future and if we are unable to raise capital when needed or on attractive terms, we would be forced to delay, scale back or discontinue some of our development programs or future commercialization efforts (which may delay filing of INDs, dosing patients, reporting clinical trial results and filing new drug applications); we may be unable to advance our preclinical development programs into and through the clinic for safety or efficacy reasons or commercialize our product candidates or we may experience significant delays in doing so as a result of factors beyond Tango’s control; Tango’s approach to the discovery and development of product candidates is novel and unproven, which makes it difficult to predict the time, cost of development, and likelihood of successfully developing any products; Tango may not identify or discover additional product candidates or may expend limited resources to pursue a particular product candidate or indication and fail to capitalize on product candidates or indications that may be more profitable or for which there is a greater likelihood of success; our products candidates may</w:t>
      </w:r>
    </w:p>
    <w:p>
      <w:pPr>
        <w:sectPr>
          <w:pgSz w:w="11900" w:h="16838" w:orient="portrait"/>
          <w:cols w:equalWidth="0" w:num="1">
            <w:col w:w="11000"/>
          </w:cols>
          <w:pgMar w:left="440" w:top="490" w:right="459" w:bottom="1440" w:gutter="0" w:footer="0" w:header="0"/>
        </w:sectPr>
      </w:pPr>
    </w:p>
    <w:bookmarkStart w:id="56" w:name="page57"/>
    <w:bookmarkEnd w:id="5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cause adverse or other undesirable side effects (or may not show requisite efficacy) that could, among other things, delay or prevent regulatory approval; our dependence on third parties for conducting clinical trials and producing drug product; our ability to obtain and maintain patent and other intellectual property protection for our technology and product candidates or the scope of intellectual property protection obtained is not sufficiently broad; and delays and other impacts on product development and clinical trials from the COVID-19 pandemic. Additional information concerning risks, uncertainties and assumptions can be found in Tango’s filings with the SEC, including the risk factors referenced in Tango’s Annual Report on Form</w:t>
      </w:r>
    </w:p>
    <w:p>
      <w:pPr>
        <w:spacing w:after="0" w:line="2"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10-K for the fiscal year ended December 31, 2022, as supplemented and/or modified by its most recent Quarterly Report on Form 10-Q. You should not place undue reliance on forward-looking statements in this presentation, which speak only as of the date they are made and are qualified in their entirety by reference to the cautionary statements herein. Tango specifically disclaims any duty to update these forward-looking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Sam Martin/Andrew Vulis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tango@argotpartners.com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Amanda Galgay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SVP, Corporate Communications, Tango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media@tangotx.com</w:t>
      </w:r>
    </w:p>
    <w:sectPr>
      <w:pgSz w:w="11900" w:h="16838" w:orient="portrait"/>
      <w:cols w:equalWidth="0" w:num="1">
        <w:col w:w="11000"/>
      </w:cols>
      <w:pgMar w:left="440" w:top="49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Roman"/>
      <w:start w:val="2"/>
    </w:lvl>
  </w:abstractNum>
  <w:abstractNum w:abstractNumId="3">
    <w:nsid w:val="8EDBDAB"/>
    <w:multiLevelType w:val="hybridMultilevel"/>
    <w:lvl w:ilvl="0">
      <w:lvlJc w:val="left"/>
      <w:lvlText w:val="(%1)"/>
      <w:numFmt w:val="lowerLetter"/>
      <w:start w:val="1"/>
    </w:lvl>
  </w:abstractNum>
  <w:abstractNum w:abstractNumId="4">
    <w:nsid w:val="79838CB2"/>
    <w:multiLevelType w:val="hybridMultilevel"/>
    <w:lvl w:ilvl="0">
      <w:lvlJc w:val="left"/>
      <w:lvlText w:val="(%1)"/>
      <w:numFmt w:val="lowerLetter"/>
      <w:start w:val="4"/>
    </w:lvl>
  </w:abstractNum>
  <w:abstractNum w:abstractNumId="5">
    <w:nsid w:val="4353D0CD"/>
    <w:multiLevelType w:val="hybridMultilevel"/>
    <w:lvl w:ilvl="0">
      <w:lvlJc w:val="left"/>
      <w:lvlText w:val="%1."/>
      <w:numFmt w:val="decimal"/>
      <w:start w:val="2"/>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decimal"/>
      <w:start w:val="5"/>
    </w:lvl>
  </w:abstractNum>
  <w:abstractNum w:abstractNumId="8">
    <w:nsid w:val="54E49EB4"/>
    <w:multiLevelType w:val="hybridMultilevel"/>
    <w:lvl w:ilvl="0">
      <w:lvlJc w:val="left"/>
      <w:lvlText w:val="(%1)"/>
      <w:numFmt w:val="lowerLetter"/>
      <w:start w:val="1"/>
    </w:lvl>
  </w:abstractNum>
  <w:abstractNum w:abstractNumId="9">
    <w:nsid w:val="71F32454"/>
    <w:multiLevelType w:val="hybridMultilevel"/>
    <w:lvl w:ilvl="0">
      <w:lvlJc w:val="left"/>
      <w:lvlText w:val="%1."/>
      <w:numFmt w:val="decimal"/>
      <w:start w:val="6"/>
    </w:lvl>
  </w:abstractNum>
  <w:abstractNum w:abstractNumId="10">
    <w:nsid w:val="2CA88611"/>
    <w:multiLevelType w:val="hybridMultilevel"/>
    <w:lvl w:ilvl="0">
      <w:lvlJc w:val="left"/>
      <w:lvlText w:val="%1."/>
      <w:numFmt w:val="decimal"/>
      <w:start w:val="7"/>
    </w:lvl>
  </w:abstractNum>
  <w:abstractNum w:abstractNumId="11">
    <w:nsid w:val="836C40E"/>
    <w:multiLevelType w:val="hybridMultilevel"/>
    <w:lvl w:ilvl="0">
      <w:lvlJc w:val="left"/>
      <w:lvlText w:val="(%1)"/>
      <w:numFmt w:val="lowerLetter"/>
      <w:start w:val="1"/>
    </w:lvl>
  </w:abstractNum>
  <w:abstractNum w:abstractNumId="12">
    <w:nsid w:val="2901D82"/>
    <w:multiLevelType w:val="hybridMultilevel"/>
    <w:lvl w:ilvl="0">
      <w:lvlJc w:val="left"/>
      <w:lvlText w:val="(%1)"/>
      <w:numFmt w:val="lowerLetter"/>
      <w:start w:val="35"/>
    </w:lvl>
  </w:abstractNum>
  <w:abstractNum w:abstractNumId="13">
    <w:nsid w:val="3A95F874"/>
    <w:multiLevelType w:val="hybridMultilevel"/>
    <w:lvl w:ilvl="0">
      <w:lvlJc w:val="left"/>
      <w:lvlText w:val="(%1)"/>
      <w:numFmt w:val="lowerLetter"/>
      <w:start w:val="2"/>
    </w:lvl>
  </w:abstractNum>
  <w:abstractNum w:abstractNumId="14">
    <w:nsid w:val="8138641"/>
    <w:multiLevelType w:val="hybridMultilevel"/>
    <w:lvl w:ilvl="0">
      <w:lvlJc w:val="left"/>
      <w:lvlText w:val="(%1)"/>
      <w:numFmt w:val="lowerLetter"/>
      <w:start w:val="5"/>
    </w:lvl>
  </w:abstractNum>
  <w:abstractNum w:abstractNumId="15">
    <w:nsid w:val="1E7FF521"/>
    <w:multiLevelType w:val="hybridMultilevel"/>
    <w:lvl w:ilvl="0">
      <w:lvlJc w:val="left"/>
      <w:lvlText w:val="%1."/>
      <w:numFmt w:val="decimal"/>
      <w:start w:val="10"/>
    </w:lvl>
  </w:abstractNum>
  <w:abstractNum w:abstractNumId="16">
    <w:nsid w:val="7C3DBD3D"/>
    <w:multiLevelType w:val="hybridMultilevel"/>
    <w:lvl w:ilvl="0">
      <w:lvlJc w:val="left"/>
      <w:lvlText w:val="%1."/>
      <w:numFmt w:val="decimal"/>
      <w:start w:val="11"/>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1)"/>
      <w:numFmt w:val="lowerLetter"/>
      <w:start w:val="2"/>
    </w:lvl>
  </w:abstractNum>
  <w:abstractNum w:abstractNumId="19">
    <w:nsid w:val="22221A70"/>
    <w:multiLevelType w:val="hybridMultilevel"/>
    <w:lvl w:ilvl="0">
      <w:lvlJc w:val="left"/>
      <w:lvlText w:val="%1."/>
      <w:numFmt w:val="decimal"/>
      <w:start w:val="12"/>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lowerRoman"/>
      <w:start w:val="2"/>
    </w:lvl>
  </w:abstractNum>
  <w:abstractNum w:abstractNumId="22">
    <w:nsid w:val="614FD4A1"/>
    <w:multiLevelType w:val="hybridMultilevel"/>
    <w:lvl w:ilvl="0">
      <w:lvlJc w:val="left"/>
      <w:lvlText w:val="(%1)"/>
      <w:numFmt w:val="lowerLetter"/>
      <w:start w:val="3"/>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4"/>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Letter"/>
      <w:start w:val="4"/>
    </w:lvl>
  </w:abstractNum>
  <w:abstractNum w:abstractNumId="27">
    <w:nsid w:val="3804823E"/>
    <w:multiLevelType w:val="hybridMultilevel"/>
    <w:lvl w:ilvl="0">
      <w:lvlJc w:val="left"/>
      <w:lvlText w:val="(%1)"/>
      <w:numFmt w:val="lowerLetter"/>
      <w:start w:val="1"/>
    </w:lvl>
    <w:lvl w:ilvl="1">
      <w:lvlJc w:val="left"/>
      <w:lvlText w:val="(%2)"/>
      <w:numFmt w:val="lowerRoman"/>
      <w:start w:val="1"/>
    </w:lvl>
  </w:abstractNum>
  <w:abstractNum w:abstractNumId="28">
    <w:nsid w:val="77465F01"/>
    <w:multiLevelType w:val="hybridMultilevel"/>
    <w:lvl w:ilvl="0">
      <w:lvlJc w:val="left"/>
      <w:lvlText w:val="(%1)"/>
      <w:numFmt w:val="lowerRoman"/>
      <w:start w:val="2"/>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1)"/>
      <w:numFmt w:val="lowerLetter"/>
      <w:start w:val="2"/>
    </w:lvl>
  </w:abstractNum>
  <w:abstractNum w:abstractNumId="31">
    <w:nsid w:val="2463B9EA"/>
    <w:multiLevelType w:val="hybridMultilevel"/>
    <w:lvl w:ilvl="0">
      <w:lvlJc w:val="left"/>
      <w:lvlText w:val="(%1)"/>
      <w:numFmt w:val="lowerLetter"/>
      <w:start w:val="1"/>
    </w:lvl>
  </w:abstractNum>
  <w:abstractNum w:abstractNumId="32">
    <w:nsid w:val="5E884ADC"/>
    <w:multiLevelType w:val="hybridMultilevel"/>
    <w:lvl w:ilvl="0">
      <w:lvlJc w:val="left"/>
      <w:lvlText w:val="(%1)"/>
      <w:numFmt w:val="lowerLetter"/>
      <w:start w:val="4"/>
    </w:lvl>
    <w:lvl w:ilvl="1">
      <w:lvlJc w:val="left"/>
      <w:lvlText w:val="(%2)"/>
      <w:numFmt w:val="lowerLetter"/>
      <w:start w:val="9"/>
    </w:lvl>
  </w:abstractNum>
  <w:abstractNum w:abstractNumId="33">
    <w:nsid w:val="51EAD36B"/>
    <w:multiLevelType w:val="hybridMultilevel"/>
    <w:lvl w:ilvl="0">
      <w:lvlJc w:val="left"/>
      <w:lvlText w:val="(%1)"/>
      <w:numFmt w:val="lowerRoman"/>
      <w:start w:val="2"/>
    </w:lvl>
  </w:abstractNum>
  <w:abstractNum w:abstractNumId="34">
    <w:nsid w:val="2D517796"/>
    <w:multiLevelType w:val="hybridMultilevel"/>
    <w:lvl w:ilvl="0">
      <w:lvlJc w:val="left"/>
      <w:lvlText w:val="%1"/>
      <w:numFmt w:val="lowerLetter"/>
      <w:start w:val="1"/>
    </w:lvl>
    <w:lvl w:ilvl="1">
      <w:lvlJc w:val="left"/>
      <w:lvlText w:val="(%2)"/>
      <w:numFmt w:val="lowerRoman"/>
      <w:start w:val="4"/>
    </w:lvl>
  </w:abstractNum>
  <w:abstractNum w:abstractNumId="35">
    <w:nsid w:val="580BD78F"/>
    <w:multiLevelType w:val="hybridMultilevel"/>
    <w:lvl w:ilvl="0">
      <w:lvlJc w:val="left"/>
      <w:lvlText w:val="(%1)"/>
      <w:numFmt w:val="lowerLetter"/>
      <w:start w:val="6"/>
    </w:lvl>
    <w:lvl w:ilvl="1">
      <w:lvlJc w:val="left"/>
      <w:lvlText w:val="%2"/>
      <w:numFmt w:val="lowerRoman"/>
      <w:start w:val="1"/>
    </w:lvl>
  </w:abstractNum>
  <w:abstractNum w:abstractNumId="36">
    <w:nsid w:val="153EA438"/>
    <w:multiLevelType w:val="hybridMultilevel"/>
    <w:lvl w:ilvl="0">
      <w:lvlJc w:val="left"/>
      <w:lvlText w:val="(%1)"/>
      <w:numFmt w:val="lowerLetter"/>
      <w:start w:val="7"/>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lowerLetter"/>
      <w:start w:val="2"/>
    </w:lvl>
  </w:abstractNum>
  <w:abstractNum w:abstractNumId="39">
    <w:nsid w:val="6A2342EC"/>
    <w:multiLevelType w:val="hybridMultilevel"/>
    <w:lvl w:ilvl="0">
      <w:lvlJc w:val="left"/>
      <w:lvlText w:val="%1"/>
      <w:numFmt w:val="lowerLetter"/>
      <w:start w:val="1"/>
    </w:lvl>
    <w:lvl w:ilvl="1">
      <w:lvlJc w:val="left"/>
      <w:lvlText w:val="(%2)"/>
      <w:numFmt w:val="lowerLetter"/>
      <w:start w:val="3"/>
    </w:lvl>
  </w:abstractNum>
  <w:abstractNum w:abstractNumId="40">
    <w:nsid w:val="2A487CB0"/>
    <w:multiLevelType w:val="hybridMultilevel"/>
    <w:lvl w:ilvl="0">
      <w:lvlJc w:val="left"/>
      <w:lvlText w:val="(%1)"/>
      <w:numFmt w:val="lowerLetter"/>
      <w:start w:val="9"/>
    </w:lvl>
    <w:lvl w:ilvl="1">
      <w:lvlJc w:val="left"/>
      <w:lvlText w:val="%2"/>
      <w:numFmt w:val="lowerLetter"/>
      <w:start w:val="1"/>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lowerLetter"/>
      <w:start w:val="2"/>
    </w:lvl>
  </w:abstractNum>
  <w:abstractNum w:abstractNumId="43">
    <w:nsid w:val="2CD89A32"/>
    <w:multiLevelType w:val="hybridMultilevel"/>
    <w:lvl w:ilvl="0">
      <w:lvlJc w:val="left"/>
      <w:lvlText w:val="(%1)"/>
      <w:numFmt w:val="decimal"/>
      <w:start w:val="1"/>
    </w:lvl>
    <w:lvl w:ilvl="1">
      <w:lvlJc w:val="left"/>
      <w:lvlText w:val="(%2)"/>
      <w:numFmt w:val="upperLetter"/>
      <w:start w:val="1"/>
    </w:lvl>
  </w:abstractNum>
  <w:abstractNum w:abstractNumId="44">
    <w:nsid w:val="57E4CCAF"/>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2023-08-10T06:44:35Z</dcterms:created>
  <dcterms:modified xsi:type="dcterms:W3CDTF">2023-08-10T06:44:35Z</dcterms:modified>
</cp:coreProperties>
</file>