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258445</wp:posOffset>
            </wp:positionV>
            <wp:extent cx="1517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March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248920</wp:posOffset>
            </wp:positionV>
            <wp:extent cx="1465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231775</wp:posOffset>
            </wp:positionV>
            <wp:extent cx="1517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2760" w:type="dxa"/>
            <w:vAlign w:val="bottom"/>
          </w:tcPr>
          <w:p>
            <w:pPr>
              <w:jc w:val="center"/>
              <w:ind w:right="123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2420" w:type="dxa"/>
            <w:vAlign w:val="bottom"/>
          </w:tcPr>
          <w:p>
            <w:pPr>
              <w:jc w:val="center"/>
              <w:ind w:left="137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35"/>
        </w:trPr>
        <w:tc>
          <w:tcPr>
            <w:tcW w:w="2760" w:type="dxa"/>
            <w:vAlign w:val="bottom"/>
          </w:tcPr>
          <w:p>
            <w:pPr>
              <w:jc w:val="center"/>
              <w:ind w:right="1271"/>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3520" w:type="dxa"/>
            <w:vAlign w:val="bottom"/>
          </w:tcPr>
          <w:p>
            <w:pPr>
              <w:ind w:left="1360"/>
              <w:spacing w:after="0" w:line="135"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20" w:type="dxa"/>
            <w:vAlign w:val="bottom"/>
          </w:tcPr>
          <w:p>
            <w:pPr>
              <w:jc w:val="center"/>
              <w:ind w:left="13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60" w:type="dxa"/>
            <w:vAlign w:val="bottom"/>
          </w:tcPr>
          <w:p>
            <w:pPr>
              <w:jc w:val="center"/>
              <w:ind w:right="125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520" w:type="dxa"/>
            <w:vAlign w:val="bottom"/>
          </w:tcPr>
          <w:p>
            <w:pPr>
              <w:ind w:left="13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20" w:type="dxa"/>
            <w:vAlign w:val="bottom"/>
          </w:tcPr>
          <w:p>
            <w:pPr>
              <w:jc w:val="center"/>
              <w:ind w:left="137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200" w:lineRule="exact"/>
        <w:rPr>
          <w:sz w:val="24"/>
          <w:szCs w:val="24"/>
          <w:color w:val="auto"/>
        </w:rPr>
      </w:pPr>
    </w:p>
    <w:p>
      <w:pPr>
        <w:sectPr>
          <w:pgSz w:w="11900" w:h="16838" w:orient="portrait"/>
          <w:cols w:equalWidth="0" w:num="1">
            <w:col w:w="11240"/>
          </w:cols>
          <w:pgMar w:left="320" w:top="1019" w:right="339" w:bottom="1440" w:gutter="0" w:footer="0" w:header="0"/>
        </w:sectPr>
      </w:pPr>
    </w:p>
    <w:p>
      <w:pPr>
        <w:spacing w:after="0" w:line="3"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201 Brookline Ave., Suite 901</w:t>
      </w:r>
    </w:p>
    <w:p>
      <w:pPr>
        <w:spacing w:after="0" w:line="28"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02215</w:t>
      </w:r>
    </w:p>
    <w:p>
      <w:pPr>
        <w:spacing w:after="0" w:line="28" w:lineRule="exact"/>
        <w:rPr>
          <w:sz w:val="24"/>
          <w:szCs w:val="24"/>
          <w:color w:val="auto"/>
        </w:rPr>
      </w:pPr>
    </w:p>
    <w:p>
      <w:pPr>
        <w:sectPr>
          <w:pgSz w:w="11900" w:h="16838" w:orient="portrait"/>
          <w:cols w:equalWidth="0" w:num="2">
            <w:col w:w="6580" w:space="720"/>
            <w:col w:w="3940"/>
          </w:cols>
          <w:pgMar w:left="320" w:top="1019" w:right="339" w:bottom="1440" w:gutter="0" w:footer="0" w:header="0"/>
          <w:type w:val="continuous"/>
        </w:sectPr>
      </w:pPr>
    </w:p>
    <w:p>
      <w:pPr>
        <w:jc w:val="center"/>
        <w:ind w:left="9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6520" w:space="720"/>
            <w:col w:w="4000"/>
          </w:cols>
          <w:pgMar w:left="320" w:top="101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244475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2"/>
              </w:rPr>
              <w:t>Trading</w:t>
            </w:r>
          </w:p>
        </w:tc>
        <w:tc>
          <w:tcPr>
            <w:tcW w:w="100" w:type="dxa"/>
            <w:vAlign w:val="bottom"/>
          </w:tcPr>
          <w:p>
            <w:pPr>
              <w:spacing w:after="0"/>
              <w:rPr>
                <w:sz w:val="12"/>
                <w:szCs w:val="12"/>
                <w:color w:val="auto"/>
              </w:rPr>
            </w:pPr>
          </w:p>
        </w:tc>
        <w:tc>
          <w:tcPr>
            <w:tcW w:w="36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6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6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222" w:lineRule="exact"/>
        <w:rPr>
          <w:sz w:val="24"/>
          <w:szCs w:val="24"/>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34" w:lineRule="exact"/>
        <w:rPr>
          <w:sz w:val="24"/>
          <w:szCs w:val="24"/>
          <w:color w:val="auto"/>
        </w:rPr>
      </w:pPr>
    </w:p>
    <w:p>
      <w:pPr>
        <w:ind w:left="9320"/>
        <w:spacing w:after="0" w:line="184"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w:t>
      </w:r>
    </w:p>
    <w:p>
      <w:pPr>
        <w:spacing w:after="0" w:line="24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On March 18, 2024, Tango Therapeutics, Inc. (Tango or the Company) issued a press release relating to its results of operations and financial condition for the quarter and year ended December 31, 2023. A copy of the press release is furnished as Exhibit 99.1 to this Current Report on Form 8-K.</w:t>
      </w:r>
    </w:p>
    <w:p>
      <w:pPr>
        <w:spacing w:after="0" w:line="18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24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9"/>
                <w:szCs w:val="19"/>
                <w:color w:val="auto"/>
              </w:rPr>
              <w:t>.</w:t>
            </w:r>
          </w:p>
        </w:tc>
        <w:tc>
          <w:tcPr>
            <w:tcW w:w="720" w:type="dxa"/>
            <w:vAlign w:val="bottom"/>
          </w:tcPr>
          <w:p>
            <w:pPr>
              <w:spacing w:after="0"/>
              <w:rPr>
                <w:sz w:val="18"/>
                <w:szCs w:val="18"/>
                <w:color w:val="auto"/>
              </w:rPr>
            </w:pP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99.1</w:t>
            </w:r>
          </w:p>
        </w:tc>
        <w:tc>
          <w:tcPr>
            <w:tcW w:w="2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9"/>
              </w:rPr>
              <w:t>Press Release issued by Tango Therapeutics, Inc. on March 18, 2024 relating to its results of operations and financial condition</w:t>
            </w: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tcBorders>
              <w:right w:val="single" w:sz="8" w:color="0000FF"/>
            </w:tcBorders>
            <w:gridSpan w:val="3"/>
            <w:shd w:val="clear" w:color="auto" w:fill="0000FF"/>
          </w:tcPr>
          <w:p>
            <w:pPr>
              <w:spacing w:after="0" w:line="20" w:lineRule="exact"/>
              <w:rPr>
                <w:sz w:val="1"/>
                <w:szCs w:val="1"/>
                <w:color w:val="auto"/>
              </w:rPr>
            </w:pPr>
          </w:p>
        </w:tc>
        <w:tc>
          <w:tcPr>
            <w:tcW w:w="6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2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0000FF"/>
              </w:rPr>
              <w:t>for the quarter ended December 31, 2023.</w:t>
            </w:r>
          </w:p>
        </w:tc>
      </w:tr>
      <w:tr>
        <w:trPr>
          <w:trHeight w:val="20"/>
        </w:trPr>
        <w:tc>
          <w:tcPr>
            <w:tcW w:w="8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300" w:type="dxa"/>
            <w:vAlign w:val="bottom"/>
            <w:tcBorders>
              <w:right w:val="single" w:sz="8" w:color="0000EE"/>
            </w:tcBorders>
            <w:gridSpan w:val="3"/>
            <w:shd w:val="clear" w:color="auto" w:fill="0000FF"/>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r>
      <w:tr>
        <w:trPr>
          <w:trHeight w:val="404"/>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203"/>
        </w:trPr>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9" w:lineRule="exact"/>
        <w:rPr>
          <w:sz w:val="20"/>
          <w:szCs w:val="20"/>
          <w:color w:val="auto"/>
        </w:rPr>
      </w:pPr>
    </w:p>
    <w:p>
      <w:pPr>
        <w:ind w:right="500" w:firstLine="50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00" w:type="dxa"/>
            <w:vAlign w:val="bottom"/>
          </w:tcPr>
          <w:p>
            <w:pPr>
              <w:spacing w:after="0"/>
              <w:rPr>
                <w:sz w:val="24"/>
                <w:szCs w:val="24"/>
                <w:color w:val="auto"/>
              </w:rPr>
            </w:pPr>
          </w:p>
        </w:tc>
        <w:tc>
          <w:tcPr>
            <w:tcW w:w="8440" w:type="dxa"/>
            <w:vAlign w:val="bottom"/>
            <w:gridSpan w:val="3"/>
          </w:tcPr>
          <w:p>
            <w:pPr>
              <w:ind w:left="74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434"/>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Dated: March 18, 2024</w:t>
            </w: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22"/>
                <w:szCs w:val="22"/>
                <w:color w:val="auto"/>
              </w:rPr>
              <w:t>By: /s/ Douglas Barry</w:t>
            </w:r>
          </w:p>
        </w:tc>
      </w:tr>
      <w:tr>
        <w:trPr>
          <w:trHeight w:val="236"/>
        </w:trPr>
        <w:tc>
          <w:tcPr>
            <w:tcW w:w="2800" w:type="dxa"/>
            <w:vAlign w:val="bottom"/>
          </w:tcPr>
          <w:p>
            <w:pPr>
              <w:spacing w:after="0"/>
              <w:rPr>
                <w:sz w:val="20"/>
                <w:szCs w:val="20"/>
                <w:color w:val="auto"/>
              </w:rPr>
            </w:pPr>
          </w:p>
        </w:tc>
        <w:tc>
          <w:tcPr>
            <w:tcW w:w="1400" w:type="dxa"/>
            <w:vAlign w:val="bottom"/>
          </w:tcPr>
          <w:p>
            <w:pPr>
              <w:ind w:left="74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540" w:type="dxa"/>
            <w:vAlign w:val="bottom"/>
            <w:tcBorders>
              <w:top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Douglas Barry</w:t>
            </w:r>
          </w:p>
        </w:tc>
        <w:tc>
          <w:tcPr>
            <w:tcW w:w="5500" w:type="dxa"/>
            <w:vAlign w:val="bottom"/>
          </w:tcPr>
          <w:p>
            <w:pPr>
              <w:spacing w:after="0"/>
              <w:rPr>
                <w:sz w:val="20"/>
                <w:szCs w:val="20"/>
                <w:color w:val="auto"/>
              </w:rPr>
            </w:pPr>
          </w:p>
        </w:tc>
      </w:tr>
      <w:tr>
        <w:trPr>
          <w:trHeight w:val="282"/>
        </w:trPr>
        <w:tc>
          <w:tcPr>
            <w:tcW w:w="2800" w:type="dxa"/>
            <w:vAlign w:val="bottom"/>
          </w:tcPr>
          <w:p>
            <w:pPr>
              <w:spacing w:after="0"/>
              <w:rPr>
                <w:sz w:val="24"/>
                <w:szCs w:val="24"/>
                <w:color w:val="auto"/>
              </w:rPr>
            </w:pPr>
          </w:p>
        </w:tc>
        <w:tc>
          <w:tcPr>
            <w:tcW w:w="8440" w:type="dxa"/>
            <w:vAlign w:val="bottom"/>
            <w:gridSpan w:val="3"/>
          </w:tcPr>
          <w:p>
            <w:pPr>
              <w:ind w:left="740"/>
              <w:spacing w:after="0"/>
              <w:rPr>
                <w:sz w:val="20"/>
                <w:szCs w:val="20"/>
                <w:color w:val="auto"/>
              </w:rPr>
            </w:pPr>
            <w:r>
              <w:rPr>
                <w:rFonts w:ascii="Times New Roman" w:cs="Times New Roman" w:eastAsia="Times New Roman" w:hAnsi="Times New Roman"/>
                <w:sz w:val="22"/>
                <w:szCs w:val="22"/>
                <w:color w:val="auto"/>
              </w:rPr>
              <w:t>Title: General Counsel</w:t>
            </w:r>
          </w:p>
        </w:tc>
      </w:tr>
      <w:tr>
        <w:trPr>
          <w:trHeight w:val="967"/>
        </w:trPr>
        <w:tc>
          <w:tcPr>
            <w:tcW w:w="28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spacing w:after="0" w:line="3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jc w:val="center"/>
        <w:ind w:right="40"/>
        <w:spacing w:after="0"/>
        <w:rPr>
          <w:sz w:val="20"/>
          <w:szCs w:val="20"/>
          <w:color w:val="auto"/>
        </w:rPr>
      </w:pPr>
      <w:r>
        <w:rPr>
          <w:rFonts w:ascii="Calibri" w:cs="Calibri" w:eastAsia="Calibri" w:hAnsi="Calibri"/>
          <w:sz w:val="22"/>
          <w:szCs w:val="22"/>
          <w:b w:val="1"/>
          <w:bCs w:val="1"/>
          <w:color w:val="auto"/>
        </w:rPr>
        <w:t>Tango Therapeutcs Reports Fourth Quarter and Full Year 2023 Financial Results</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and Provides Business Highlights</w:t>
      </w:r>
    </w:p>
    <w:p>
      <w:pPr>
        <w:spacing w:after="0" w:line="282" w:lineRule="exact"/>
        <w:rPr>
          <w:sz w:val="20"/>
          <w:szCs w:val="20"/>
          <w:color w:val="auto"/>
        </w:rPr>
      </w:pPr>
    </w:p>
    <w:p>
      <w:pPr>
        <w:ind w:left="40"/>
        <w:spacing w:after="0"/>
        <w:rPr>
          <w:sz w:val="20"/>
          <w:szCs w:val="20"/>
          <w:color w:val="auto"/>
        </w:rPr>
      </w:pPr>
      <w:r>
        <w:rPr>
          <w:rFonts w:ascii="Calibri" w:cs="Calibri" w:eastAsia="Calibri" w:hAnsi="Calibri"/>
          <w:sz w:val="21"/>
          <w:szCs w:val="21"/>
          <w:i w:val="1"/>
          <w:iCs w:val="1"/>
          <w:color w:val="auto"/>
        </w:rPr>
        <w:t>– Dose escalaton ongoing in four clinical-stage precision oncology programs; TNG908 phase 1/2 clinical data expected in 2024 –</w:t>
      </w:r>
    </w:p>
    <w:p>
      <w:pPr>
        <w:spacing w:after="0" w:line="273"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i w:val="1"/>
          <w:iCs w:val="1"/>
          <w:color w:val="auto"/>
        </w:rPr>
        <w:t>– First patent dosed in phase 1/2 clinical trial of TNG348 in patents with BRCA1/2-mutant and other HRD+ cancers –</w:t>
      </w:r>
    </w:p>
    <w:p>
      <w:pPr>
        <w:spacing w:after="0" w:line="27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i w:val="1"/>
          <w:iCs w:val="1"/>
          <w:color w:val="auto"/>
        </w:rPr>
        <w:t>– FDA Orphan Drug Designaton granted for TNG462 for the treatment of sof tssue sarcomas –</w:t>
      </w:r>
    </w:p>
    <w:p>
      <w:pPr>
        <w:spacing w:after="0" w:line="271" w:lineRule="exact"/>
        <w:rPr>
          <w:sz w:val="20"/>
          <w:szCs w:val="20"/>
          <w:color w:val="auto"/>
        </w:rPr>
      </w:pPr>
    </w:p>
    <w:p>
      <w:pPr>
        <w:ind w:left="200"/>
        <w:spacing w:after="0"/>
        <w:rPr>
          <w:sz w:val="20"/>
          <w:szCs w:val="20"/>
          <w:color w:val="auto"/>
        </w:rPr>
      </w:pPr>
      <w:r>
        <w:rPr>
          <w:rFonts w:ascii="Calibri" w:cs="Calibri" w:eastAsia="Calibri" w:hAnsi="Calibri"/>
          <w:sz w:val="22"/>
          <w:szCs w:val="22"/>
          <w:i w:val="1"/>
          <w:iCs w:val="1"/>
          <w:color w:val="auto"/>
        </w:rPr>
        <w:t>– Strong cash positon of $337 million as of December 31, 2023, combined with $42 million in proceeds from ATM in January</w:t>
      </w:r>
    </w:p>
    <w:p>
      <w:pPr>
        <w:spacing w:after="0" w:line="1" w:lineRule="exact"/>
        <w:rPr>
          <w:sz w:val="20"/>
          <w:szCs w:val="20"/>
          <w:color w:val="auto"/>
        </w:rPr>
      </w:pPr>
    </w:p>
    <w:p>
      <w:pPr>
        <w:ind w:left="1320"/>
        <w:spacing w:after="0"/>
        <w:rPr>
          <w:sz w:val="20"/>
          <w:szCs w:val="20"/>
          <w:color w:val="auto"/>
        </w:rPr>
      </w:pPr>
      <w:r>
        <w:rPr>
          <w:rFonts w:ascii="Calibri" w:cs="Calibri" w:eastAsia="Calibri" w:hAnsi="Calibri"/>
          <w:sz w:val="22"/>
          <w:szCs w:val="22"/>
          <w:i w:val="1"/>
          <w:iCs w:val="1"/>
          <w:color w:val="auto"/>
        </w:rPr>
        <w:t>2024; cash runway into late 2026 expected to fund all clinical programs through proof-of-concept –</w:t>
      </w:r>
    </w:p>
    <w:p>
      <w:pPr>
        <w:spacing w:after="0" w:line="200" w:lineRule="exact"/>
        <w:rPr>
          <w:sz w:val="20"/>
          <w:szCs w:val="20"/>
          <w:color w:val="auto"/>
        </w:rPr>
      </w:pPr>
    </w:p>
    <w:p>
      <w:pPr>
        <w:spacing w:after="0" w:line="352" w:lineRule="exact"/>
        <w:rPr>
          <w:sz w:val="20"/>
          <w:szCs w:val="20"/>
          <w:color w:val="auto"/>
        </w:rPr>
      </w:pPr>
    </w:p>
    <w:p>
      <w:pPr>
        <w:ind w:right="100"/>
        <w:spacing w:after="0" w:line="237" w:lineRule="auto"/>
        <w:rPr>
          <w:sz w:val="20"/>
          <w:szCs w:val="20"/>
          <w:color w:val="auto"/>
        </w:rPr>
      </w:pPr>
      <w:r>
        <w:rPr>
          <w:rFonts w:ascii="Calibri" w:cs="Calibri" w:eastAsia="Calibri" w:hAnsi="Calibri"/>
          <w:sz w:val="22"/>
          <w:szCs w:val="22"/>
          <w:b w:val="1"/>
          <w:bCs w:val="1"/>
          <w:color w:val="auto"/>
        </w:rPr>
        <w:t xml:space="preserve">BOSTON, Mass. – March 18, 2024 </w:t>
      </w:r>
      <w:r>
        <w:rPr>
          <w:rFonts w:ascii="Calibri" w:cs="Calibri" w:eastAsia="Calibri" w:hAnsi="Calibri"/>
          <w:sz w:val="22"/>
          <w:szCs w:val="22"/>
          <w:color w:val="auto"/>
        </w:rPr>
        <w:t>– Tango Therapeutcs, Inc. (NASDAQ: TNGX), a clinical-stage biotechnology company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commited to discovering and delivering the next generaton of precision cancer medicines, reported its fnancial results for the fourth quarter and full year ended December 31, 2023, and provided business highlights.</w:t>
      </w:r>
    </w:p>
    <w:p>
      <w:pPr>
        <w:spacing w:after="0" w:line="284" w:lineRule="exact"/>
        <w:rPr>
          <w:sz w:val="20"/>
          <w:szCs w:val="20"/>
          <w:color w:val="auto"/>
        </w:rPr>
      </w:pPr>
    </w:p>
    <w:p>
      <w:pPr>
        <w:spacing w:after="0" w:line="239" w:lineRule="auto"/>
        <w:rPr>
          <w:sz w:val="20"/>
          <w:szCs w:val="20"/>
          <w:color w:val="auto"/>
        </w:rPr>
      </w:pPr>
      <w:r>
        <w:rPr>
          <w:rFonts w:ascii="Calibri" w:cs="Calibri" w:eastAsia="Calibri" w:hAnsi="Calibri"/>
          <w:sz w:val="22"/>
          <w:szCs w:val="22"/>
          <w:color w:val="auto"/>
        </w:rPr>
        <w:t>“In 2023, we made meaningful progress developing precision oncology treatments and now have four ongoing phase 1/2 clinical trials. These treatments have the potental to reach people with a wide range of cancers, including those with MTAP-deleted solid tumors, STK11 loss-of-functon mutatons, BRCA 1/2 mutatons and other DNA damage repair defects. To support the advancement of our broad clinical portolio, we expanded our management team, adding members with expertse in regulatory afairs and clinical development,” said Barbara Weber, M.D., President and Chief Executve Ofcer of Tango Therapeutcs. “We are of to a strong start in 2024, marked by dosing the frst patent in the phase 1/2 clinical trial for TNG348, receiving Orphan Drug Designaton from the U.S. FDA for TNG462 and strengthening our cash positon. We remain on track to provide TNG908 clinical data this year."</w:t>
      </w:r>
    </w:p>
    <w:p>
      <w:pPr>
        <w:spacing w:after="0" w:line="28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Recent Business Highlights</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Pipeline Update</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TNG908 phase 1 dose escalaton ongoing</w:t>
      </w:r>
    </w:p>
    <w:p>
      <w:pPr>
        <w:spacing w:after="0" w:line="120" w:lineRule="exact"/>
        <w:rPr>
          <w:sz w:val="20"/>
          <w:szCs w:val="20"/>
          <w:color w:val="auto"/>
        </w:rPr>
      </w:pPr>
    </w:p>
    <w:p>
      <w:pPr>
        <w:ind w:left="1020" w:hanging="503"/>
        <w:spacing w:after="0" w:line="237" w:lineRule="auto"/>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Dose escalaton and patent enrollment is ongoing in the phase 1/2 clinical trial evaluatng TNG908, an MTA-cooperatve PRMT5 inhibitor, in patents with MTAP-deleted solid tumors, including glioblastoma (GBM). To date, the safety, tolerability and pharmacokinetcs profles are 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78"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MTAP deletons occur in approximately 10%-15% of all human cancers, including 40% of GBM.</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TNG462, a potentally best-in-class MTA-cooperatve PRMT5 inhibitor</w:t>
      </w:r>
    </w:p>
    <w:p>
      <w:pPr>
        <w:spacing w:after="0" w:line="120" w:lineRule="exact"/>
        <w:rPr>
          <w:sz w:val="20"/>
          <w:szCs w:val="20"/>
          <w:color w:val="auto"/>
        </w:rPr>
      </w:pPr>
    </w:p>
    <w:p>
      <w:pPr>
        <w:ind w:left="1020" w:right="40" w:hanging="503"/>
        <w:spacing w:after="0" w:line="239"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U.S. Food and Drug Administraton (FDA) granted Orphan Drug Designaton (ODD) to TNG462 in December 2023 for the treatment of sof tssue sarcomas. ODD is granted to investgatonal therapies addressing rare medical diseases or conditons that afect fewer than 200,000 people in the United States. This designaton provides for a seven-year marketng exclusivity period upon regulatory approval, as well as certain incentves, including federal grants and tax credits.</w:t>
      </w:r>
    </w:p>
    <w:p>
      <w:pPr>
        <w:spacing w:after="0" w:line="120" w:lineRule="exact"/>
        <w:rPr>
          <w:rFonts w:ascii="Times New Roman" w:cs="Times New Roman" w:eastAsia="Times New Roman" w:hAnsi="Times New Roman"/>
          <w:sz w:val="22"/>
          <w:szCs w:val="22"/>
          <w:color w:val="auto"/>
        </w:rPr>
      </w:pPr>
    </w:p>
    <w:p>
      <w:pPr>
        <w:ind w:left="1020" w:right="160" w:hanging="503"/>
        <w:spacing w:after="0" w:line="237"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Dose escalaton is ongoing in the TNG462 phase 1/2 clinical trial in patents with MTAP-deleted solid tumors except GBM, as TNG462 is not brain penetrant in preclinical models. To date, the preliminary safety, tolerability and pharmacokinetcs profles are favorable.</w:t>
      </w:r>
    </w:p>
    <w:p>
      <w:pPr>
        <w:spacing w:after="0" w:line="122" w:lineRule="exact"/>
        <w:rPr>
          <w:rFonts w:ascii="Times New Roman" w:cs="Times New Roman" w:eastAsia="Times New Roman" w:hAnsi="Times New Roman"/>
          <w:sz w:val="22"/>
          <w:szCs w:val="22"/>
          <w:color w:val="auto"/>
        </w:rPr>
      </w:pPr>
    </w:p>
    <w:p>
      <w:pPr>
        <w:ind w:left="1020" w:hanging="503"/>
        <w:spacing w:after="0" w:line="237"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TNG462 has the same mechanism of acton as TNG908, but with enhanced potency and selectvity in MTAP-deleted cell lines and patent-derived xenografs. In preclinical studies, TNG462 is 45X selectve for MTAP-deleted cancer cells versus normal cells and ~30X more potent than TNG908.</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TNG260, a frst-in-class, highly selectve CoREST complex inhibitor</w:t>
      </w:r>
    </w:p>
    <w:p>
      <w:pPr>
        <w:spacing w:after="0" w:line="120" w:lineRule="exact"/>
        <w:rPr>
          <w:sz w:val="20"/>
          <w:szCs w:val="20"/>
          <w:color w:val="auto"/>
        </w:rPr>
      </w:pPr>
    </w:p>
    <w:p>
      <w:pPr>
        <w:ind w:left="1020" w:right="60" w:hanging="503"/>
        <w:spacing w:after="0" w:line="238"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Dose escalaton is ongoing in the TNG260 phase 1/2 clinical trial evaluatng the safety, pharmacokinetcs, pharmacodynamics and efcacy of TNG260 in combinaton with pembrolizumab in patents with locally advanced or metastatc solid tumors with an STK11 loss-of-functon mutaton. To date, the preliminary safety, tolerability and pharmacokinetcs profles are favorable.</w:t>
      </w:r>
    </w:p>
    <w:p>
      <w:pPr>
        <w:spacing w:after="0" w:line="122" w:lineRule="exact"/>
        <w:rPr>
          <w:rFonts w:ascii="Times New Roman" w:cs="Times New Roman" w:eastAsia="Times New Roman" w:hAnsi="Times New Roman"/>
          <w:sz w:val="22"/>
          <w:szCs w:val="22"/>
          <w:color w:val="auto"/>
        </w:rPr>
      </w:pPr>
    </w:p>
    <w:p>
      <w:pPr>
        <w:ind w:left="1020" w:right="160" w:hanging="503"/>
        <w:spacing w:after="0" w:line="235"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STK11 mutatons occur in approximately 15% of NSCLC, 15% of cervical, 10% of carcinoma of unknown primary, 5% of breast and 3% of pancreatc cancers.</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TNG348, a novel USP1 inhibitor</w:t>
      </w:r>
    </w:p>
    <w:p>
      <w:pPr>
        <w:spacing w:after="0" w:line="122" w:lineRule="exact"/>
        <w:rPr>
          <w:sz w:val="20"/>
          <w:szCs w:val="20"/>
          <w:color w:val="auto"/>
        </w:rPr>
      </w:pPr>
    </w:p>
    <w:p>
      <w:pPr>
        <w:ind w:left="1020" w:right="240" w:hanging="503"/>
        <w:spacing w:after="0" w:line="238" w:lineRule="auto"/>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Dose escalaton is ongoing in the TNG348 phase 1/2 clinical trial evaluatng the safety, pharmacokinetcs, pharmacodynamics and efcacy of TNG348 as a single agent and in combinaton with olaparib, a PARP inhibitor, in patents with BRCA1/2-mutant and other HRD+ (homologous recombinaton defcient) cancers. The frst patent dosed was announced in January 2024.</w:t>
      </w:r>
    </w:p>
    <w:p>
      <w:pPr>
        <w:spacing w:after="0" w:line="122" w:lineRule="exact"/>
        <w:rPr>
          <w:rFonts w:ascii="Times New Roman" w:cs="Times New Roman" w:eastAsia="Times New Roman" w:hAnsi="Times New Roman"/>
          <w:sz w:val="22"/>
          <w:szCs w:val="22"/>
          <w:color w:val="auto"/>
        </w:rPr>
      </w:pPr>
    </w:p>
    <w:p>
      <w:pPr>
        <w:ind w:left="1020" w:right="100" w:hanging="503"/>
        <w:spacing w:after="0" w:line="235" w:lineRule="auto"/>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HRD+ cancers, including BRCA1/2 mutatons, represent up to 50% of ovarian cancers, 25% of breast cancers, 10% of prostate cancers and 5% of pancreatc cancers.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Upcoming Milestones</w:t>
      </w:r>
    </w:p>
    <w:p>
      <w:pPr>
        <w:spacing w:after="0" w:line="10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Clinical data from the ongoing TNG908 phase 1/2 trial are expected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Calibri" w:cs="Calibri" w:eastAsia="Calibri" w:hAnsi="Calibri"/>
          <w:sz w:val="22"/>
          <w:szCs w:val="22"/>
          <w:b w:val="1"/>
          <w:bCs w:val="1"/>
          <w:u w:val="single" w:color="auto"/>
          <w:color w:val="auto"/>
        </w:rPr>
        <w:t>Scientfc Presentatons</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American Chemical Society (ACS) Spring 2024, March 17-21, 2024, New Orleans, LA</w:t>
      </w:r>
    </w:p>
    <w:p>
      <w:pPr>
        <w:spacing w:after="0" w:line="120" w:lineRule="exact"/>
        <w:rPr>
          <w:sz w:val="20"/>
          <w:szCs w:val="20"/>
          <w:color w:val="auto"/>
        </w:rPr>
      </w:pPr>
    </w:p>
    <w:p>
      <w:pPr>
        <w:ind w:left="1020" w:right="20" w:hanging="503"/>
        <w:spacing w:after="0" w:line="237" w:lineRule="auto"/>
        <w:tabs>
          <w:tab w:leader="none" w:pos="1020" w:val="left"/>
        </w:tabs>
        <w:numPr>
          <w:ilvl w:val="0"/>
          <w:numId w:val="9"/>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March 2024, an oral presentaton of the discovery and preclinical characterizaton of TNG348 will be presented at the ACS Spring Meetng, supportng the further development and ongoing phase 1/2 clinical trial of TNG348 as a single agent and in combinaton with olaparib.</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American Associaton of Cancer Research (AACR) Annual Meetng, April 5-10, 2024, San Diego, CA</w:t>
      </w:r>
    </w:p>
    <w:p>
      <w:pPr>
        <w:spacing w:after="0" w:line="120" w:lineRule="exact"/>
        <w:rPr>
          <w:sz w:val="20"/>
          <w:szCs w:val="20"/>
          <w:color w:val="auto"/>
        </w:rPr>
      </w:pPr>
    </w:p>
    <w:p>
      <w:pPr>
        <w:ind w:left="1020" w:right="740" w:hanging="503"/>
        <w:spacing w:after="0" w:line="235" w:lineRule="auto"/>
        <w:tabs>
          <w:tab w:leader="none" w:pos="1020" w:val="left"/>
        </w:tabs>
        <w:numPr>
          <w:ilvl w:val="0"/>
          <w:numId w:val="10"/>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April 2024, seven posters will be presented highlightng preclinical data from the Company’s clinical-stage precision oncology pipeline and synthetc lethality discovery platorm.</w:t>
      </w:r>
    </w:p>
    <w:p>
      <w:pPr>
        <w:spacing w:after="0" w:line="122" w:lineRule="exact"/>
        <w:rPr>
          <w:rFonts w:ascii="Times New Roman" w:cs="Times New Roman" w:eastAsia="Times New Roman" w:hAnsi="Times New Roman"/>
          <w:sz w:val="22"/>
          <w:szCs w:val="22"/>
          <w:color w:val="auto"/>
        </w:rPr>
      </w:pPr>
    </w:p>
    <w:p>
      <w:pPr>
        <w:ind w:left="1020" w:right="100" w:hanging="503"/>
        <w:spacing w:after="0" w:line="235" w:lineRule="auto"/>
        <w:tabs>
          <w:tab w:leader="none" w:pos="1020" w:val="left"/>
        </w:tabs>
        <w:numPr>
          <w:ilvl w:val="0"/>
          <w:numId w:val="10"/>
        </w:numPr>
        <w:rPr>
          <w:rFonts w:ascii="Times New Roman" w:cs="Times New Roman" w:eastAsia="Times New Roman" w:hAnsi="Times New Roman"/>
          <w:sz w:val="22"/>
          <w:szCs w:val="22"/>
          <w:color w:val="auto"/>
        </w:rPr>
      </w:pPr>
      <w:r>
        <w:rPr>
          <w:rFonts w:ascii="Calibri" w:cs="Calibri" w:eastAsia="Calibri" w:hAnsi="Calibri"/>
          <w:sz w:val="22"/>
          <w:szCs w:val="22"/>
          <w:color w:val="auto"/>
        </w:rPr>
        <w:t>Ayushi Patel, Ph.D. from NYU Langone Health will present a minisymposium based on a Tango-NYU collaboraton to study TNG260 in STK11 mutant non-small cell lung cancer in preclinical models.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Leadership Updates: December 2023</w:t>
      </w:r>
    </w:p>
    <w:p>
      <w:pPr>
        <w:spacing w:after="0" w:line="120" w:lineRule="exact"/>
        <w:rPr>
          <w:sz w:val="20"/>
          <w:szCs w:val="20"/>
          <w:color w:val="auto"/>
        </w:rPr>
      </w:pPr>
    </w:p>
    <w:p>
      <w:pPr>
        <w:ind w:left="1020" w:hanging="503"/>
        <w:spacing w:after="0" w:line="238" w:lineRule="auto"/>
        <w:tabs>
          <w:tab w:leader="none" w:pos="1020" w:val="left"/>
        </w:tabs>
        <w:numPr>
          <w:ilvl w:val="0"/>
          <w:numId w:val="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Drew Sansone, M.S., was appointed Chief Regulatory Ofcer. Mr. Sansone brings over 25 years of pharmaceutcal regulatory experience to this newly created role. He oversees the Company’s Regulatory Afairs team. Most recently, Mr. Sansone served as Vice President and Head, Global Regulatory Afairs, Regulatory and Quality, North America at Ipsen Pharmaceutcals.</w:t>
      </w:r>
    </w:p>
    <w:p>
      <w:pPr>
        <w:spacing w:after="0" w:line="122" w:lineRule="exact"/>
        <w:rPr>
          <w:rFonts w:ascii="Times New Roman" w:cs="Times New Roman" w:eastAsia="Times New Roman" w:hAnsi="Times New Roman"/>
          <w:sz w:val="22"/>
          <w:szCs w:val="22"/>
          <w:color w:val="auto"/>
        </w:rPr>
      </w:pPr>
    </w:p>
    <w:p>
      <w:pPr>
        <w:ind w:left="1020" w:right="100" w:hanging="503"/>
        <w:spacing w:after="0" w:line="237" w:lineRule="auto"/>
        <w:tabs>
          <w:tab w:leader="none" w:pos="1020" w:val="left"/>
        </w:tabs>
        <w:numPr>
          <w:ilvl w:val="0"/>
          <w:numId w:val="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Heather DiBenedeto, M.S., was appointed Chief Development Operatons Ofcer. Ms. DiBenedeto joined Tango in July 2020 as Head of Development Operatons. She has over 25 years of drug development experience, focused in oncology.</w:t>
      </w:r>
    </w:p>
    <w:p>
      <w:pPr>
        <w:spacing w:after="0" w:line="122" w:lineRule="exact"/>
        <w:rPr>
          <w:rFonts w:ascii="Times New Roman" w:cs="Times New Roman" w:eastAsia="Times New Roman" w:hAnsi="Times New Roman"/>
          <w:sz w:val="22"/>
          <w:szCs w:val="22"/>
          <w:color w:val="auto"/>
        </w:rPr>
      </w:pPr>
    </w:p>
    <w:p>
      <w:pPr>
        <w:ind w:left="1020" w:right="20" w:hanging="503"/>
        <w:spacing w:after="0" w:line="237" w:lineRule="auto"/>
        <w:tabs>
          <w:tab w:leader="none" w:pos="1020" w:val="left"/>
        </w:tabs>
        <w:numPr>
          <w:ilvl w:val="0"/>
          <w:numId w:val="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Doug Barry, J.D., was appointed Chief Legal Ofcer. Mr. Barry, who joined Tango in July 2021 as General Counsel, will contnue to oversee the Company’s Legal, Compliance, Corporate Governance and Public Reportng functons as a publicly traded entty. Mr. Barry has practced law for more than 20 years.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Financial Results</w:t>
      </w:r>
    </w:p>
    <w:p>
      <w:pPr>
        <w:spacing w:after="0" w:line="282" w:lineRule="exact"/>
        <w:rPr>
          <w:sz w:val="20"/>
          <w:szCs w:val="20"/>
          <w:color w:val="auto"/>
        </w:rPr>
      </w:pPr>
    </w:p>
    <w:p>
      <w:pPr>
        <w:ind w:right="20"/>
        <w:spacing w:after="0" w:line="237" w:lineRule="auto"/>
        <w:rPr>
          <w:sz w:val="20"/>
          <w:szCs w:val="20"/>
          <w:color w:val="auto"/>
        </w:rPr>
      </w:pPr>
      <w:r>
        <w:rPr>
          <w:rFonts w:ascii="Calibri" w:cs="Calibri" w:eastAsia="Calibri" w:hAnsi="Calibri"/>
          <w:sz w:val="22"/>
          <w:szCs w:val="22"/>
          <w:color w:val="auto"/>
        </w:rPr>
        <w:t>As of December 31, 2023, the Company held $336.9 million in cash, cash equivalents and marketable securites. Combined with $41.7 million in net proceeds from shares sold under the Company’s at-the-market (ATM) stock ofering program in January 2024, the Company believes it is sufciently capitalized to fund operatons into late 2026.</w:t>
      </w:r>
    </w:p>
    <w:p>
      <w:pPr>
        <w:spacing w:after="0" w:line="284" w:lineRule="exact"/>
        <w:rPr>
          <w:sz w:val="20"/>
          <w:szCs w:val="20"/>
          <w:color w:val="auto"/>
        </w:rPr>
      </w:pPr>
    </w:p>
    <w:p>
      <w:pPr>
        <w:ind w:right="60"/>
        <w:spacing w:after="0" w:line="237" w:lineRule="auto"/>
        <w:rPr>
          <w:sz w:val="20"/>
          <w:szCs w:val="20"/>
          <w:color w:val="auto"/>
        </w:rPr>
      </w:pPr>
      <w:r>
        <w:rPr>
          <w:rFonts w:ascii="Calibri" w:cs="Calibri" w:eastAsia="Calibri" w:hAnsi="Calibri"/>
          <w:sz w:val="22"/>
          <w:szCs w:val="22"/>
          <w:color w:val="auto"/>
        </w:rPr>
        <w:t>Collaboraton revenue was $5.4 million for the three months ended December 31, 2023, compared to $6.4 million for the same period in 2022, and $31.5 million for the twelve months ended December 31, 2023 compared to $24.9 million for the same period in 2022.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0" w:right="399" w:bottom="1440" w:gutter="0" w:footer="0" w:header="0"/>
        </w:sectPr>
      </w:pPr>
    </w:p>
    <w:bookmarkStart w:id="6" w:name="page7"/>
    <w:bookmarkEnd w:id="6"/>
    <w:p>
      <w:pPr>
        <w:spacing w:after="0"/>
        <w:rPr>
          <w:sz w:val="20"/>
          <w:szCs w:val="20"/>
          <w:color w:val="auto"/>
        </w:rPr>
      </w:pPr>
      <w:r>
        <w:rPr>
          <w:rFonts w:ascii="Calibri" w:cs="Calibri" w:eastAsia="Calibri" w:hAnsi="Calibri"/>
          <w:sz w:val="22"/>
          <w:szCs w:val="22"/>
          <w:color w:val="auto"/>
        </w:rPr>
        <w:t>of research costs spent under the collaboraton directly afects the collaboraton revenue that is recorded in the period.</w:t>
      </w:r>
    </w:p>
    <w:p>
      <w:pPr>
        <w:spacing w:after="0" w:line="282" w:lineRule="exact"/>
        <w:rPr>
          <w:sz w:val="20"/>
          <w:szCs w:val="20"/>
          <w:color w:val="auto"/>
        </w:rPr>
      </w:pPr>
    </w:p>
    <w:p>
      <w:pPr>
        <w:ind w:right="20"/>
        <w:spacing w:after="0" w:line="237" w:lineRule="auto"/>
        <w:rPr>
          <w:sz w:val="20"/>
          <w:szCs w:val="20"/>
          <w:color w:val="auto"/>
        </w:rPr>
      </w:pPr>
      <w:r>
        <w:rPr>
          <w:rFonts w:ascii="Calibri" w:cs="Calibri" w:eastAsia="Calibri" w:hAnsi="Calibri"/>
          <w:sz w:val="22"/>
          <w:szCs w:val="22"/>
          <w:color w:val="auto"/>
        </w:rPr>
        <w:t>License revenue was $0.0 and $5.0 million for the three and twelve months ended December 31, 2023, respectvely, compared to $0.0 for both the three and twelve months ended December 31, 2022. The increase is the result of out-licensing a program to Gilead for $5.0 million during the second quarter of 2023.</w:t>
      </w:r>
    </w:p>
    <w:p>
      <w:pPr>
        <w:spacing w:after="0" w:line="284" w:lineRule="exact"/>
        <w:rPr>
          <w:sz w:val="20"/>
          <w:szCs w:val="20"/>
          <w:color w:val="auto"/>
        </w:rPr>
      </w:pPr>
    </w:p>
    <w:p>
      <w:pPr>
        <w:jc w:val="both"/>
        <w:ind w:right="240"/>
        <w:spacing w:after="0" w:line="238" w:lineRule="auto"/>
        <w:rPr>
          <w:sz w:val="20"/>
          <w:szCs w:val="20"/>
          <w:color w:val="auto"/>
        </w:rPr>
      </w:pPr>
      <w:r>
        <w:rPr>
          <w:rFonts w:ascii="Calibri" w:cs="Calibri" w:eastAsia="Calibri" w:hAnsi="Calibri"/>
          <w:sz w:val="22"/>
          <w:szCs w:val="22"/>
          <w:color w:val="auto"/>
        </w:rPr>
        <w:t>Research and development expenses were $31.3 million for the three months ended December 31, 2023, compared to $29.1 million for the same period in 2022, and $115.2 million for the twelve months ended December 31, 2023 compared to $105.9 million for the same period in 2022. The change is primarily due to increased personnel-related costs to support our research and development actvites.</w:t>
      </w:r>
    </w:p>
    <w:p>
      <w:pPr>
        <w:spacing w:after="0" w:line="285" w:lineRule="exact"/>
        <w:rPr>
          <w:sz w:val="20"/>
          <w:szCs w:val="20"/>
          <w:color w:val="auto"/>
        </w:rPr>
      </w:pPr>
    </w:p>
    <w:p>
      <w:pPr>
        <w:jc w:val="both"/>
        <w:ind w:right="460"/>
        <w:spacing w:after="0" w:line="237" w:lineRule="auto"/>
        <w:rPr>
          <w:sz w:val="20"/>
          <w:szCs w:val="20"/>
          <w:color w:val="auto"/>
        </w:rPr>
      </w:pPr>
      <w:r>
        <w:rPr>
          <w:rFonts w:ascii="Calibri" w:cs="Calibri" w:eastAsia="Calibri" w:hAnsi="Calibri"/>
          <w:sz w:val="22"/>
          <w:szCs w:val="22"/>
          <w:color w:val="auto"/>
        </w:rPr>
        <w:t>General and administratve expenses were $9.1 million for the three months ended December 31, 2023, compared to $7.9 million for the same period in 2022, and $35.5 million for the twelve months ended December 31, 2023 compared to $30.0 million for the same period in 2022. The change was primarily due to increases in personnel-related costs.</w:t>
      </w:r>
    </w:p>
    <w:p>
      <w:pPr>
        <w:spacing w:after="0" w:line="284" w:lineRule="exact"/>
        <w:rPr>
          <w:sz w:val="20"/>
          <w:szCs w:val="20"/>
          <w:color w:val="auto"/>
        </w:rPr>
      </w:pPr>
    </w:p>
    <w:p>
      <w:pPr>
        <w:ind w:right="140"/>
        <w:spacing w:after="0" w:line="237" w:lineRule="auto"/>
        <w:rPr>
          <w:sz w:val="20"/>
          <w:szCs w:val="20"/>
          <w:color w:val="auto"/>
        </w:rPr>
      </w:pPr>
      <w:r>
        <w:rPr>
          <w:rFonts w:ascii="Calibri" w:cs="Calibri" w:eastAsia="Calibri" w:hAnsi="Calibri"/>
          <w:sz w:val="22"/>
          <w:szCs w:val="22"/>
          <w:color w:val="auto"/>
        </w:rPr>
        <w:t>Net loss for the three months ended December 31, 2023 was $30.8 million, or $0.32 per share, compared to a net loss of $29.1 million, or $0.33 per share, in the same period in 2022. Net loss for the twelve months ended December 31, 2023 was $101.7 million, or $1.08 per share, compared to a net loss of $108.2 million, or $1.23 per share, in the same period in 2022.</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Tango Therapeutcs</w:t>
      </w:r>
    </w:p>
    <w:p>
      <w:pPr>
        <w:spacing w:after="0" w:line="284" w:lineRule="exact"/>
        <w:rPr>
          <w:sz w:val="20"/>
          <w:szCs w:val="20"/>
          <w:color w:val="auto"/>
        </w:rPr>
      </w:pPr>
    </w:p>
    <w:p>
      <w:pPr>
        <w:spacing w:after="0" w:line="253" w:lineRule="auto"/>
        <w:rPr>
          <w:sz w:val="20"/>
          <w:szCs w:val="20"/>
          <w:color w:val="auto"/>
        </w:rPr>
      </w:pPr>
      <w:r>
        <w:rPr>
          <w:rFonts w:ascii="Calibri" w:cs="Calibri" w:eastAsia="Calibri" w:hAnsi="Calibri"/>
          <w:sz w:val="21"/>
          <w:szCs w:val="21"/>
          <w:color w:val="auto"/>
        </w:rPr>
        <w:t>Tango Therapeutcs is a clinical-stage biotechnology company dedicated to discovering novel drug targets and delivering the next generaton of precision medicine for the treatment of cancer. Using an approach that starts and ends with patents, Tango leverages the genetc principle of synthetc lethality to discover and develop therapies that take aim at critcal targets in cancer. This includes expanding the universe of precision oncology targets into novel areas such as tumor suppressor gene loss and their contributon to the ability of cancer cells to evade immune cell killing. For more informaton, please visit www.tangotx.com.</w:t>
      </w:r>
    </w:p>
    <w:p>
      <w:pPr>
        <w:spacing w:after="0" w:line="25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282" w:lineRule="exact"/>
        <w:rPr>
          <w:sz w:val="20"/>
          <w:szCs w:val="20"/>
          <w:color w:val="auto"/>
        </w:rPr>
      </w:pPr>
    </w:p>
    <w:p>
      <w:pPr>
        <w:ind w:right="160"/>
        <w:spacing w:after="0" w:line="238" w:lineRule="auto"/>
        <w:rPr>
          <w:sz w:val="20"/>
          <w:szCs w:val="20"/>
          <w:color w:val="auto"/>
        </w:rPr>
      </w:pPr>
      <w:r>
        <w:rPr>
          <w:rFonts w:ascii="Calibri" w:cs="Calibri" w:eastAsia="Calibri" w:hAnsi="Calibri"/>
          <w:sz w:val="22"/>
          <w:szCs w:val="22"/>
          <w:color w:val="auto"/>
        </w:rPr>
        <w:t>Certain statements in this press release may be considered forward-looking statements. Forward-looking statements generally relate to future events, Tango’s future operatng performance and goals, the antcipated benefts of therapies and combinaton therapies (that include a Tango pipeline product), as well as the expectatons, beliefs and development objectves for Tango’s product pipeline and clinical trials. In some cases, you can identfy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897890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7" w:name="page8"/>
    <w:bookmarkEnd w:id="7"/>
    <w:p>
      <w:pPr>
        <w:spacing w:after="0" w:line="252" w:lineRule="auto"/>
        <w:rPr>
          <w:sz w:val="20"/>
          <w:szCs w:val="20"/>
          <w:color w:val="auto"/>
        </w:rPr>
      </w:pPr>
      <w:r>
        <w:rPr>
          <w:rFonts w:ascii="Calibri" w:cs="Calibri" w:eastAsia="Calibri" w:hAnsi="Calibri"/>
          <w:sz w:val="21"/>
          <w:szCs w:val="21"/>
          <w:color w:val="auto"/>
        </w:rPr>
        <w:t>forward-looking statements by terminology such as “may”, “should”, “expect”, “intend”, “will”, “goal”, “estmate”, “antcipate”, “believe”, “predict”, “designed,” “potental” or “contnue”, or the negatves of these terms or variatons of them or similar terminology. For example, implicit or explicit statements concerning the following include or consttute forward-looking statements: dose escalaton is ongoing in all four of Tango’s clinical trials; company is actvely enrolling patents in the company’s clinical trials; the objectves and endpoints of each of the clinical trials that are ongoing; data from the TNG908 clinical trial is expected in 2024; cash runway will last into late 2026, such amount expected to fund all clinical programs through proof-of-concept (the company is capitalized to fund operatons into late 2026); Tango is commited to discovering and delivering the next generaton of precision cancer medicines; each of the company’s four clinical stage assets have the potental to reach people with a wide range of cancers, including those with MTAP-deleted solid tumors, STK11 loss-of-functon mutatons, and BRCA 1/2 mutatons and other DNA damage repair defects; Tango is well-positoned to deliver proof-of-concept data on its four clinical programs; TNG462 is a potentally best-in-class MTA-cooperatve PRMT5 inhibitor; certain pre-clinical data support the ongoing phase 1/2 clinical trial of TNG348 as a single agent and in combinaton with olaparib; Orphan Drug Designaton (ODD) to TNG462 for the treatment of sof tssue sarcomas and potental benefts resultng from such designaton; and the expected tming of: (i) development candidate declaraton for certain targets, (ii) initatng IND-enabling studies; (iii) fling INDs; (iv) clinical trial initaton and (v) disclosing inital, interim, additonal and fnal clinical trial results; and the expected benefts of the Company's development candidates and other product candidates. Such forward-looking statements are subject to risks, uncertaintes, and other factors which could cause actual results to difer materially from those expressed or implied by such forward-looking statements. These forward-looking statements are based upon estmates and assumptons that, while considered reasonable by Tango and its management, are inherently uncertain. New risks and uncertaintes may emerge from tme to tme, and it is not possible to predict all risks and uncertaintes. Factors that may cause actual results to difer materially from current expectatons include, but are not limited to: benefts of product candidates seen in preclinical analyses may not be evident when tested in later preclinical studies or in clinical trials or when used in broader patent populatons (if approved for commercial sale); Tango has limited experience conductng clinical trials (and will rely on a third party to operate its clinical trials) and may not be able to commence the clinical trial (including opening clinical trial sites, dosing the frst patent, and contnued enrollment and dosing of an adequate number of clinical trial partcipants) when expected, may not be able to contnue dosing (and dose escalaton) on antcipated tmelines, and may not generate results (including fnal, inital or additonal safety, efcacy data and proof-of-mechanism and proof-of-concept) in the antcipated tmeframe (or at all); Tango’s pipeline products may not be safe and/or efectve in humans; Tango has a limited operatng history and has not generated any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902970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0" w:right="359" w:bottom="1440" w:gutter="0" w:footer="0" w:header="0"/>
        </w:sectPr>
      </w:pPr>
    </w:p>
    <w:bookmarkStart w:id="8" w:name="page9"/>
    <w:bookmarkEnd w:id="8"/>
    <w:p>
      <w:pPr>
        <w:spacing w:after="0"/>
        <w:rPr>
          <w:sz w:val="20"/>
          <w:szCs w:val="20"/>
          <w:color w:val="auto"/>
        </w:rPr>
      </w:pPr>
      <w:r>
        <w:rPr>
          <w:rFonts w:ascii="Calibri" w:cs="Calibri" w:eastAsia="Calibri" w:hAnsi="Calibri"/>
          <w:sz w:val="22"/>
          <w:szCs w:val="22"/>
          <w:color w:val="auto"/>
        </w:rPr>
        <w:t>to date from product sales, and may never become proftable; other companies may be able to identfy and develop product candidates more quickly than the Company and commercially introduce the product prior to the Company; the Company’s proprietary discovery platorm is novel and may not identfy any synthetc lethal targets for future development; the Company may not be able to identfy development candidates on the schedule it antcipates due to technical, fnancial or other reasons; the Company may not be able to fle INDs for development candidates on tme, or at all, due to technical or fnancial reasons or otherwise; the Company may utlize cash resources more quickly than antcipated; Tango will need to raise capital in the future and if we are unable to raise capital when needed or on atractve terms, we would be forced to delay, scale back or discontnue some of our development programs or future commercializaton eforts (which may delay fling of INDs, dosing patents, reportng clinical trial results and fling new drug applicatons); Tango’s approach to the discovery and development of product candidates is novel and unproven, which makes it difcult to predict the tme, cost of development, and likelihood of successfully developing any products; the Company may be unable to advance our preclinical development programs into and through the clinic for safety or efcacy reasons or commercialize our product candidates or we may experience signifcant delays in doing so as a result of factors beyond Tango’s control; the Company may not be able to realize the benefts of ODD or Fast Track designaton (and such designatons may not advance any antcipated approval tmelines); Tango may not identfy or discover additonal product candidates or may expend limited resources to pursue a partcular product candidate or indicaton and fail to capitalize on product candidates or indicatons that may be more proftable or for which there is a greater likelihood of success; the Company’s product candidates may cause adverse or other undesirable side efects (or may not show requisite efcacy) that could, among other things, delay or prevent regulatory approval; our dependence on third partes for conductng clinical trials and producing drug substance and drug product; and our ability to obtain and maintain patent and other intellectual property protecton for our technology and product candidates or the scope of intellectual property protecton obtained is not sufciently broad. Additonal informaton concerning risks, uncertaintes and assumptons can be found in Tango’s flings with the SEC, including the risk factors referenced in Tango’s Annual Report on Form 10-K for the fscal year ended December 31, 2022, as supplemented and/or modifed by its most recent Quarterly Report on Form 10-Q. You should not place undue reliance on forward-looking statements in this press release, which speak only as of the date they are made and are qualifed in their entrety by reference to the cautonary statements herein. Tango specifcally disclaims any duty to update these forward-looking statements.</w:t>
      </w:r>
    </w:p>
    <w:p>
      <w:pPr>
        <w:spacing w:after="0" w:line="29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Sam Martn/Andrew Vulis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Argot Partners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tango@argotpartners.com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909955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0" w:right="359" w:bottom="1440" w:gutter="0" w:footer="0" w:header="0"/>
        </w:sectPr>
      </w:pPr>
    </w:p>
    <w:bookmarkStart w:id="9" w:name="page10"/>
    <w:bookmarkEnd w:id="9"/>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Media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Amanda Brown Galgay</w:t>
      </w:r>
    </w:p>
    <w:p>
      <w:pPr>
        <w:spacing w:after="0" w:line="12" w:lineRule="exact"/>
        <w:rPr>
          <w:sz w:val="20"/>
          <w:szCs w:val="20"/>
          <w:color w:val="auto"/>
        </w:rPr>
      </w:pPr>
    </w:p>
    <w:p>
      <w:pPr>
        <w:spacing w:after="0"/>
        <w:rPr>
          <w:sz w:val="20"/>
          <w:szCs w:val="20"/>
          <w:color w:val="auto"/>
        </w:rPr>
      </w:pPr>
      <w:r>
        <w:rPr>
          <w:rFonts w:ascii="Calibri" w:cs="Calibri" w:eastAsia="Calibri" w:hAnsi="Calibri"/>
          <w:sz w:val="21"/>
          <w:szCs w:val="21"/>
          <w:color w:val="auto"/>
        </w:rPr>
        <w:t>SVP, Corporate Communicatons, Tango Therapeutcs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media@tangotx.com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 w:name="page11"/>
    <w:bookmarkEnd w:id="10"/>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Consolidated Statements of Operatons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(In thousands, except share and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4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5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54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1"/>
                <w:szCs w:val="21"/>
                <w:color w:val="auto"/>
              </w:rPr>
            </w:pPr>
          </w:p>
        </w:tc>
      </w:tr>
      <w:tr>
        <w:trPr>
          <w:trHeight w:val="23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31,527</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100" w:type="dxa"/>
            <w:vAlign w:val="bottom"/>
          </w:tcPr>
          <w:p>
            <w:pPr>
              <w:spacing w:after="0"/>
              <w:rPr>
                <w:sz w:val="20"/>
                <w:szCs w:val="20"/>
                <w:color w:val="auto"/>
              </w:rPr>
            </w:pPr>
          </w:p>
        </w:tc>
      </w:tr>
      <w:tr>
        <w:trPr>
          <w:trHeight w:val="254"/>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2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4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60" w:type="dxa"/>
            <w:vAlign w:val="bottom"/>
            <w:tcBorders>
              <w:top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26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280" w:type="dxa"/>
            <w:vAlign w:val="bottom"/>
            <w:tcBorders>
              <w:top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100" w:type="dxa"/>
            <w:vAlign w:val="bottom"/>
            <w:tcBorders>
              <w:top w:val="single" w:sz="8" w:color="CFF0FC"/>
            </w:tcBorders>
          </w:tcPr>
          <w:p>
            <w:pPr>
              <w:spacing w:after="0"/>
              <w:rPr>
                <w:sz w:val="21"/>
                <w:szCs w:val="21"/>
                <w:color w:val="auto"/>
              </w:rPr>
            </w:pPr>
          </w:p>
        </w:tc>
      </w:tr>
      <w:tr>
        <w:trPr>
          <w:trHeight w:val="250"/>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29,091</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115,198</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105,906</w:t>
            </w:r>
          </w:p>
        </w:tc>
        <w:tc>
          <w:tcPr>
            <w:tcW w:w="100" w:type="dxa"/>
            <w:vAlign w:val="bottom"/>
          </w:tcPr>
          <w:p>
            <w:pPr>
              <w:spacing w:after="0"/>
              <w:rPr>
                <w:sz w:val="22"/>
                <w:szCs w:val="22"/>
                <w:color w:val="auto"/>
              </w:rPr>
            </w:pPr>
          </w:p>
        </w:tc>
      </w:tr>
      <w:tr>
        <w:trPr>
          <w:trHeight w:val="257"/>
        </w:trPr>
        <w:tc>
          <w:tcPr>
            <w:tcW w:w="5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35,502</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40,444</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36,978</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150,700</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135,931</w:t>
            </w:r>
          </w:p>
        </w:tc>
        <w:tc>
          <w:tcPr>
            <w:tcW w:w="100" w:type="dxa"/>
            <w:vAlign w:val="bottom"/>
          </w:tcPr>
          <w:p>
            <w:pPr>
              <w:spacing w:after="0"/>
              <w:rPr>
                <w:sz w:val="21"/>
                <w:szCs w:val="21"/>
                <w:color w:val="auto"/>
              </w:rPr>
            </w:pPr>
          </w:p>
        </w:tc>
      </w:tr>
      <w:tr>
        <w:trPr>
          <w:trHeight w:val="25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(35,013 )</w:t>
            </w:r>
          </w:p>
        </w:tc>
        <w:tc>
          <w:tcPr>
            <w:tcW w:w="3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(30,567 )</w:t>
            </w: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(114,173 )</w:t>
            </w:r>
          </w:p>
        </w:tc>
        <w:tc>
          <w:tcPr>
            <w:tcW w:w="3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(111,071 )</w:t>
            </w:r>
          </w:p>
        </w:tc>
      </w:tr>
      <w:tr>
        <w:trPr>
          <w:trHeight w:val="250"/>
        </w:trPr>
        <w:tc>
          <w:tcPr>
            <w:tcW w:w="54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60" w:type="dxa"/>
            <w:vAlign w:val="bottom"/>
            <w:tcBorders>
              <w:top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6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280" w:type="dxa"/>
            <w:vAlign w:val="bottom"/>
            <w:tcBorders>
              <w:top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top w:val="single" w:sz="8" w:color="CFF0FC"/>
            </w:tcBorders>
          </w:tcPr>
          <w:p>
            <w:pPr>
              <w:spacing w:after="0"/>
              <w:rPr>
                <w:sz w:val="21"/>
                <w:szCs w:val="21"/>
                <w:color w:val="auto"/>
              </w:rPr>
            </w:pPr>
          </w:p>
        </w:tc>
      </w:tr>
      <w:tr>
        <w:trPr>
          <w:trHeight w:val="27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FF0FC"/>
          </w:tcPr>
          <w:p>
            <w:pPr>
              <w:spacing w:after="0"/>
              <w:rPr>
                <w:sz w:val="23"/>
                <w:szCs w:val="23"/>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(30,716 )</w:t>
            </w:r>
          </w:p>
        </w:tc>
        <w:tc>
          <w:tcPr>
            <w:tcW w:w="340" w:type="dxa"/>
            <w:vAlign w:val="bottom"/>
            <w:shd w:val="clear" w:color="auto" w:fill="CFF0FC"/>
          </w:tcPr>
          <w:p>
            <w:pPr>
              <w:spacing w:after="0"/>
              <w:rPr>
                <w:sz w:val="23"/>
                <w:szCs w:val="23"/>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(29,009 )</w:t>
            </w:r>
          </w:p>
        </w:tc>
        <w:tc>
          <w:tcPr>
            <w:tcW w:w="240" w:type="dxa"/>
            <w:vAlign w:val="bottom"/>
            <w:shd w:val="clear" w:color="auto" w:fill="CFF0FC"/>
          </w:tcPr>
          <w:p>
            <w:pPr>
              <w:spacing w:after="0"/>
              <w:rPr>
                <w:sz w:val="23"/>
                <w:szCs w:val="23"/>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(101,610 )</w:t>
            </w:r>
          </w:p>
        </w:tc>
        <w:tc>
          <w:tcPr>
            <w:tcW w:w="340" w:type="dxa"/>
            <w:vAlign w:val="bottom"/>
            <w:shd w:val="clear" w:color="auto" w:fill="CFF0FC"/>
          </w:tcPr>
          <w:p>
            <w:pPr>
              <w:spacing w:after="0"/>
              <w:rPr>
                <w:sz w:val="23"/>
                <w:szCs w:val="23"/>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(108,122 )</w:t>
            </w:r>
          </w:p>
        </w:tc>
      </w:tr>
      <w:tr>
        <w:trPr>
          <w:trHeight w:val="250"/>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(47 )</w:t>
            </w:r>
          </w:p>
        </w:tc>
        <w:tc>
          <w:tcPr>
            <w:tcW w:w="3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(51 )</w:t>
            </w:r>
          </w:p>
        </w:tc>
        <w:tc>
          <w:tcPr>
            <w:tcW w:w="2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(134 )</w:t>
            </w:r>
          </w:p>
        </w:tc>
        <w:tc>
          <w:tcPr>
            <w:tcW w:w="3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r>
      <w:tr>
        <w:trPr>
          <w:trHeight w:val="20"/>
        </w:trPr>
        <w:tc>
          <w:tcPr>
            <w:tcW w:w="5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(30,763 )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(29,060 )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(101,744 )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(108,176 )</w:t>
            </w:r>
          </w:p>
        </w:tc>
      </w:tr>
      <w:tr>
        <w:trPr>
          <w:trHeight w:val="20"/>
        </w:trPr>
        <w:tc>
          <w:tcPr>
            <w:tcW w:w="5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53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(0.32 )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(1.23 )</w:t>
            </w:r>
          </w:p>
        </w:tc>
      </w:tr>
      <w:tr>
        <w:trPr>
          <w:trHeight w:val="218"/>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97,223,183</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87,971,485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94,572,448</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87,820,037</w:t>
            </w:r>
          </w:p>
        </w:tc>
        <w:tc>
          <w:tcPr>
            <w:tcW w:w="100" w:type="dxa"/>
            <w:vAlign w:val="bottom"/>
            <w:shd w:val="clear" w:color="auto" w:fill="CFF0FC"/>
          </w:tcPr>
          <w:p>
            <w:pPr>
              <w:spacing w:after="0"/>
              <w:rPr>
                <w:sz w:val="21"/>
                <w:szCs w:val="21"/>
                <w:color w:val="auto"/>
              </w:rPr>
            </w:pPr>
          </w:p>
        </w:tc>
      </w:tr>
      <w:tr>
        <w:trPr>
          <w:trHeight w:val="4327"/>
        </w:trPr>
        <w:tc>
          <w:tcPr>
            <w:tcW w:w="5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-5116830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-5116830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-5116830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-5116830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-4431030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-4431030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-4431030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-4088765</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-4088765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-4088765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-4088765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-3402965</wp:posOffset>
            </wp:positionV>
            <wp:extent cx="76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-3402965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-3402965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-3402965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400" w:type="dxa"/>
            <w:vAlign w:val="bottom"/>
          </w:tcPr>
          <w:p>
            <w:pPr>
              <w:spacing w:after="0"/>
              <w:rPr>
                <w:sz w:val="13"/>
                <w:szCs w:val="13"/>
                <w:color w:val="auto"/>
              </w:rPr>
            </w:pPr>
          </w:p>
        </w:tc>
        <w:tc>
          <w:tcPr>
            <w:tcW w:w="10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3"/>
                <w:szCs w:val="13"/>
                <w:color w:val="auto"/>
              </w:rPr>
            </w:pPr>
          </w:p>
        </w:tc>
      </w:tr>
      <w:tr>
        <w:trPr>
          <w:trHeight w:val="22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shd w:val="clear" w:color="auto" w:fill="CFF0FC"/>
          </w:tcPr>
          <w:p>
            <w:pPr>
              <w:jc w:val="right"/>
              <w:ind w:right="923"/>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66,385</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59,968</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270,500</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306,165</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9"/>
                <w:szCs w:val="19"/>
                <w:color w:val="auto"/>
              </w:rPr>
            </w:pPr>
          </w:p>
        </w:tc>
      </w:tr>
      <w:tr>
        <w:trPr>
          <w:trHeight w:val="233"/>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8,797</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346,538</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375,272</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9,908</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43,508</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46,886</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100" w:type="dxa"/>
            <w:vAlign w:val="bottom"/>
            <w:shd w:val="clear" w:color="auto" w:fill="CFF0FC"/>
          </w:tcPr>
          <w:p>
            <w:pPr>
              <w:spacing w:after="0"/>
              <w:rPr>
                <w:sz w:val="20"/>
                <w:szCs w:val="20"/>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r>
      <w:tr>
        <w:trPr>
          <w:trHeight w:val="223"/>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080" w:type="dxa"/>
            <w:vAlign w:val="bottom"/>
            <w:shd w:val="clear" w:color="auto" w:fill="CFF0FC"/>
          </w:tcPr>
          <w:p>
            <w:pPr>
              <w:jc w:val="right"/>
              <w:ind w:right="923"/>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402,567</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436,470</w:t>
            </w:r>
          </w:p>
        </w:tc>
        <w:tc>
          <w:tcPr>
            <w:tcW w:w="100" w:type="dxa"/>
            <w:vAlign w:val="bottom"/>
            <w:shd w:val="clear" w:color="auto" w:fill="CFF0FC"/>
          </w:tcPr>
          <w:p>
            <w:pPr>
              <w:spacing w:after="0"/>
              <w:rPr>
                <w:sz w:val="19"/>
                <w:szCs w:val="19"/>
                <w:color w:val="auto"/>
              </w:rPr>
            </w:pPr>
          </w:p>
        </w:tc>
      </w:tr>
      <w:tr>
        <w:trPr>
          <w:trHeight w:val="221"/>
        </w:trPr>
        <w:tc>
          <w:tcPr>
            <w:tcW w:w="7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tcPr>
          <w:p>
            <w:pPr>
              <w:jc w:val="right"/>
              <w:ind w:right="923"/>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15,401</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17,495</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25,670</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31,792</w:t>
            </w:r>
          </w:p>
        </w:tc>
        <w:tc>
          <w:tcPr>
            <w:tcW w:w="100" w:type="dxa"/>
            <w:vAlign w:val="bottom"/>
            <w:shd w:val="clear" w:color="auto" w:fill="CFF0FC"/>
          </w:tcPr>
          <w:p>
            <w:pPr>
              <w:spacing w:after="0"/>
              <w:rPr>
                <w:sz w:val="20"/>
                <w:szCs w:val="20"/>
                <w:color w:val="auto"/>
              </w:rPr>
            </w:pPr>
          </w:p>
        </w:tc>
      </w:tr>
      <w:tr>
        <w:trPr>
          <w:trHeight w:val="22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payable</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r>
      <w:tr>
        <w:trPr>
          <w:trHeight w:val="230"/>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45,938</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55,545</w:t>
            </w:r>
          </w:p>
        </w:tc>
        <w:tc>
          <w:tcPr>
            <w:tcW w:w="100" w:type="dxa"/>
            <w:vAlign w:val="bottom"/>
            <w:shd w:val="clear" w:color="auto" w:fill="CFF0FC"/>
          </w:tcPr>
          <w:p>
            <w:pPr>
              <w:spacing w:after="0"/>
              <w:rPr>
                <w:sz w:val="19"/>
                <w:szCs w:val="19"/>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36,838</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39,361</w:t>
            </w:r>
          </w:p>
        </w:tc>
        <w:tc>
          <w:tcPr>
            <w:tcW w:w="100" w:type="dxa"/>
            <w:vAlign w:val="bottom"/>
          </w:tcPr>
          <w:p>
            <w:pPr>
              <w:spacing w:after="0"/>
              <w:rPr>
                <w:sz w:val="19"/>
                <w:szCs w:val="19"/>
                <w:color w:val="auto"/>
              </w:rPr>
            </w:pPr>
          </w:p>
        </w:tc>
      </w:tr>
      <w:tr>
        <w:trPr>
          <w:trHeight w:val="233"/>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0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66,683</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149,459</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186,994</w:t>
            </w:r>
          </w:p>
        </w:tc>
        <w:tc>
          <w:tcPr>
            <w:tcW w:w="100" w:type="dxa"/>
            <w:vAlign w:val="bottom"/>
          </w:tcPr>
          <w:p>
            <w:pPr>
              <w:spacing w:after="0"/>
              <w:rPr>
                <w:sz w:val="19"/>
                <w:szCs w:val="19"/>
                <w:color w:val="auto"/>
              </w:rPr>
            </w:pPr>
          </w:p>
        </w:tc>
      </w:tr>
      <w:tr>
        <w:trPr>
          <w:trHeight w:val="233"/>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253,108</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249,476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80" w:type="dxa"/>
            <w:vAlign w:val="bottom"/>
          </w:tcPr>
          <w:p>
            <w:pPr>
              <w:jc w:val="right"/>
              <w:ind w:right="923"/>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402,567</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436,470</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14"/>
        </w:trPr>
        <w:tc>
          <w:tcPr>
            <w:tcW w:w="7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-3891280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-2999740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-1525270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-1224915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endash "/>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2024-03-18T06:14:58Z</dcterms:created>
  <dcterms:modified xsi:type="dcterms:W3CDTF">2024-03-18T06:14:58Z</dcterms:modified>
</cp:coreProperties>
</file>