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857-320-4900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At the 2024 annual meeting of stockholders (the “Annual Meeting”) of Tango Therapeutics, Inc. (the “Company”), held on June 5, 2024, the stockholders of the Company approved an amendment to Company’s Second Amended and Restated Certificate of Incorporation to limit the liability of certain officers of the Company as permitted by recent amendments to Delaware law. The certificate of amendment of the Company’s Second Amended and Restated Certificate of Incorporation (the “Certificate of Amendment”), was filed with the Secretary of State of the State of Delaware on June 5, 2024 and became effective upon filing.</w:t>
      </w:r>
    </w:p>
    <w:p>
      <w:pPr>
        <w:spacing w:after="0" w:line="183"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the Certificate of Amendment, which is attached as Exhibit 3.1 to this Current Report on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200"/>
        <w:spacing w:after="0" w:line="269" w:lineRule="auto"/>
        <w:rPr>
          <w:sz w:val="20"/>
          <w:szCs w:val="20"/>
          <w:color w:val="auto"/>
        </w:rPr>
      </w:pPr>
      <w:r>
        <w:rPr>
          <w:rFonts w:ascii="Times New Roman" w:cs="Times New Roman" w:eastAsia="Times New Roman" w:hAnsi="Times New Roman"/>
          <w:sz w:val="17"/>
          <w:szCs w:val="17"/>
          <w:color w:val="auto"/>
        </w:rPr>
        <w:t>The Annual Meeting of the Company was held in a virtual-only format on June 5, 2024 at 10:00 a.m., Eastern Time via live webcast. Proxies were solicited pursuant to the Company’s proxy statement filed on April 29, 2024 with the Securities and Exchange Commission under Section 14(a) of the Securities Exchange Act of 1934, as amended (the “Proxy Statement”). As of April 9, 2024, the record date for the Annual Meeting, the number of shares of the Company’s common stock, $0.001 par value per share (“Common Stock”), outstanding and entitled to vote at the Annual Meeting was 106,735,395. The number of shares of Common Stock present or represented by valid proxy at the Annual Meeting was 100,708,013 representing</w:t>
      </w:r>
    </w:p>
    <w:p>
      <w:pPr>
        <w:spacing w:after="0" w:line="3"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94.35% of the total number of shares of Common Stock entitled to vote at the Annual Meeting, thus establishing a quorum for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the Annual Meeting, the Company’s stockholders were asked to vote on the following matters, which are described in detail in the Proxy Statement:</w:t>
      </w:r>
    </w:p>
    <w:p>
      <w:pPr>
        <w:spacing w:after="0" w:line="27" w:lineRule="exact"/>
        <w:rPr>
          <w:sz w:val="20"/>
          <w:szCs w:val="20"/>
          <w:color w:val="auto"/>
        </w:rPr>
      </w:pPr>
    </w:p>
    <w:p>
      <w:pPr>
        <w:ind w:left="224" w:hanging="224"/>
        <w:spacing w:after="0"/>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 nominees to the Company’s Board of Directors (the “Board”), each to hold office until the 2027 annual meeting of</w:t>
      </w:r>
    </w:p>
    <w:p>
      <w:pPr>
        <w:spacing w:after="0" w:line="9"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and until his or her successor is duly elected and qualified, or until his or her earlier resignation or removal (“Proposal 1”), (ii) to ratify the selection of PricewaterhouseCoopers, LLP as the Company’s independent registered public accounting firm for the fiscal year ending December 31, 2024 (“Proposal 2”) and (iii) to approve an amendment to the Company’s Second Amended and Restated Certificate of Incorporation to limit the liability of certain officers of the Company as permitted by recent amendments to Delaware law (“Proposal 3”).</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 xml:space="preserve">Proposal 1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Election of Directors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Alexis Borisy, John Ketchum and Barbara Weber, M.D. were duly elected to the Company’s Board as Class III directors. The results of the election were as follows:</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III DIRECTOR NOMINEE</w:t>
            </w:r>
          </w:p>
        </w:tc>
        <w:tc>
          <w:tcPr>
            <w:tcW w:w="8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32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91,323,366</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4,133,485</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5,251,162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John Ketchum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95,418,237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5,251,162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Barabara Weber, M.D.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93,016,008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2,440,843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 xml:space="preserve">Proposal 2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Ratify the Selection of Independent Registered Public Accounting Firm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selection of PricewaterhouseCoopers, LLP as the Company’s independent registered public accounting firm for the fiscal year ending December 31,</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 was ratified. The results of the ratification were as follows:</w:t>
      </w:r>
    </w:p>
    <w:p>
      <w:pPr>
        <w:spacing w:after="0" w:line="227"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r>
      <w:tr>
        <w:trPr>
          <w:trHeight w:val="209"/>
        </w:trPr>
        <w:tc>
          <w:tcPr>
            <w:tcW w:w="284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100,705,526</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2,363</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124</w:t>
            </w:r>
          </w:p>
        </w:tc>
      </w:tr>
    </w:tbl>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Proposal 3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Approval of an Amendment to the Company’s Second Amended and Restated Certificate of Incorporation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amendment to the Company’s Second Amended and Restated Certificate of Incorporations to limit the liability of certain officers of the Company as permitted by recent amendments to Delaware law was approved. The results of the election were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89,901,508</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5,553,824</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5,251,162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   No. </w:t>
            </w:r>
          </w:p>
        </w:tc>
        <w:tc>
          <w:tcPr>
            <w:tcW w:w="70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2"/>
                <w:szCs w:val="22"/>
                <w:color w:val="auto"/>
              </w:rPr>
            </w:pPr>
          </w:p>
        </w:tc>
        <w:tc>
          <w:tcPr>
            <w:tcW w:w="7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of the Restated Certificate of Incorporation of Tango Therapeutics, Inc.</w:t>
            </w: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820"/>
          </w:cols>
          <w:pgMar w:left="440" w:top="293" w:right="6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Douglas Barry</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Tango Therapeutics,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54" w:lineRule="exact"/>
        <w:rPr>
          <w:sz w:val="20"/>
          <w:szCs w:val="20"/>
          <w:color w:val="auto"/>
        </w:rPr>
      </w:pPr>
    </w:p>
    <w:p>
      <w:pPr>
        <w:ind w:left="4" w:right="220" w:firstLine="436"/>
        <w:spacing w:after="0" w:line="266"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May 21, 2020. An Amended and Restated Certificate of Incorporation was filed with the Secretary of State of the State of Delaware on September 2, 2020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175" w:lineRule="exact"/>
        <w:rPr>
          <w:rFonts w:ascii="Times New Roman" w:cs="Times New Roman" w:eastAsia="Times New Roman" w:hAnsi="Times New Roman"/>
          <w:sz w:val="18"/>
          <w:szCs w:val="18"/>
          <w:color w:val="auto"/>
        </w:rPr>
      </w:pPr>
    </w:p>
    <w:p>
      <w:pPr>
        <w:ind w:left="4" w:right="640" w:firstLine="436"/>
        <w:spacing w:after="0" w:line="282"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is hereby amended by adding a new Article XI to read in its entirety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OFFICER LIMITATION OF LIABILITY</w:t>
      </w:r>
    </w:p>
    <w:p>
      <w:pPr>
        <w:spacing w:after="0" w:line="225" w:lineRule="exact"/>
        <w:rPr>
          <w:sz w:val="20"/>
          <w:szCs w:val="20"/>
          <w:color w:val="auto"/>
        </w:rPr>
      </w:pPr>
    </w:p>
    <w:p>
      <w:pPr>
        <w:ind w:left="4" w:right="120" w:hanging="4"/>
        <w:spacing w:after="0" w:line="25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88" w:lineRule="exact"/>
        <w:rPr>
          <w:rFonts w:ascii="Times New Roman" w:cs="Times New Roman" w:eastAsia="Times New Roman" w:hAnsi="Times New Roman"/>
          <w:sz w:val="18"/>
          <w:szCs w:val="18"/>
          <w:color w:val="auto"/>
        </w:rPr>
      </w:pPr>
    </w:p>
    <w:p>
      <w:pPr>
        <w:jc w:val="both"/>
        <w:ind w:left="4" w:right="160" w:hanging="4"/>
        <w:spacing w:after="0" w:line="261"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Modification</w:t>
      </w:r>
      <w:r>
        <w:rPr>
          <w:rFonts w:ascii="Times New Roman" w:cs="Times New Roman" w:eastAsia="Times New Roman" w:hAnsi="Times New Roman"/>
          <w:sz w:val="18"/>
          <w:szCs w:val="18"/>
          <w:color w:val="auto"/>
        </w:rPr>
        <w:t>. 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ectPr>
          <w:pgSz w:w="11900" w:h="16838" w:orient="portrait"/>
          <w:cols w:equalWidth="0" w:num="1">
            <w:col w:w="11024"/>
          </w:cols>
          <w:pgMar w:left="436" w:top="117" w:right="439" w:bottom="1440" w:gutter="0" w:footer="0" w:header="0"/>
        </w:sectPr>
      </w:pPr>
    </w:p>
    <w:bookmarkStart w:id="5" w:name="page6"/>
    <w:bookmarkEnd w:id="5"/>
    <w:p>
      <w:pPr>
        <w:ind w:right="20" w:firstLine="440"/>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Amendment, having been duly adopted in accordance with Section 242 of the DGCL, has been duly executed by a duly authorized officer of the Corporation on this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2024.</w:t>
      </w:r>
    </w:p>
    <w:p>
      <w:pPr>
        <w:spacing w:after="0" w:line="5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Barbara Weber, M.D.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Barbara Weber, M.D.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2024-06-06T15:15:31Z</dcterms:created>
  <dcterms:modified xsi:type="dcterms:W3CDTF">2024-06-06T15:15:31Z</dcterms:modified>
</cp:coreProperties>
</file>