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Beckman Daniella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20" w:lineRule="auto"/>
        <w:rPr>
          <w:sz w:val="20"/>
          <w:szCs w:val="20"/>
          <w:color w:val="auto"/>
        </w:rPr>
      </w:pPr>
      <w:r>
        <w:rPr>
          <w:rFonts w:ascii="Times New Roman" w:cs="Times New Roman" w:eastAsia="Times New Roman" w:hAnsi="Times New Roman"/>
          <w:sz w:val="17"/>
          <w:szCs w:val="17"/>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Tango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02215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02/04/2025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4,284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2.988</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154,232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02/05/2025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3,948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3.1614</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150,284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$2.86 to $3.07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5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$3.00 to $3.245 per share. Full information regarding the number of shares sold at each price shall be provided upon request to the staff of the U.S. Securities and Exchange Commission, the Issuer, or a security holder of the Issuer.</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Barry, attorney-in- </w:t>
      </w:r>
      <w:r>
        <w:rPr>
          <w:rFonts w:ascii="Times New Roman" w:cs="Times New Roman" w:eastAsia="Times New Roman" w:hAnsi="Times New Roman"/>
          <w:sz w:val="33"/>
          <w:szCs w:val="33"/>
          <w:color w:val="0000FF"/>
          <w:vertAlign w:val="subscript"/>
        </w:rPr>
        <w:t>02/06/2025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3422"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2025-02-06T19:15:11Z</dcterms:created>
  <dcterms:modified xsi:type="dcterms:W3CDTF">2025-02-06T19:15:11Z</dcterms:modified>
</cp:coreProperties>
</file>