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57"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140" w:right="1600" w:hanging="3119"/>
        <w:spacing w:after="0" w:line="367"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85-1195036</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220" w:space="720"/>
            <w:col w:w="3300"/>
          </w:cols>
          <w:pgMar w:left="320" w:top="686"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jc w:val="center"/>
              <w:ind w:left="1058"/>
              <w:spacing w:after="0" w:line="195" w:lineRule="exact"/>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vMerge w:val="restart"/>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02215</w:t>
            </w:r>
          </w:p>
        </w:tc>
        <w:tc>
          <w:tcPr>
            <w:tcW w:w="0" w:type="dxa"/>
            <w:vAlign w:val="bottom"/>
          </w:tcPr>
          <w:p>
            <w:pPr>
              <w:spacing w:after="0"/>
              <w:rPr>
                <w:sz w:val="1"/>
                <w:szCs w:val="1"/>
                <w:color w:val="auto"/>
              </w:rPr>
            </w:pPr>
          </w:p>
        </w:tc>
      </w:tr>
      <w:tr>
        <w:trPr>
          <w:trHeight w:val="218"/>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(857) 320-4900</w:t>
            </w:r>
          </w:p>
        </w:tc>
        <w:tc>
          <w:tcPr>
            <w:tcW w:w="540" w:type="dxa"/>
            <w:vAlign w:val="bottom"/>
          </w:tcPr>
          <w:p>
            <w:pPr>
              <w:spacing w:after="0"/>
              <w:rPr>
                <w:sz w:val="14"/>
                <w:szCs w:val="14"/>
                <w:color w:val="auto"/>
              </w:rPr>
            </w:pPr>
          </w:p>
        </w:tc>
        <w:tc>
          <w:tcPr>
            <w:tcW w:w="4500" w:type="dxa"/>
            <w:vAlign w:val="bottom"/>
          </w:tcPr>
          <w:p>
            <w:pPr>
              <w:jc w:val="center"/>
              <w:ind w:right="104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256"/>
        </w:trPr>
        <w:tc>
          <w:tcPr>
            <w:tcW w:w="45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500" w:type="dxa"/>
            <w:vAlign w:val="bottom"/>
            <w:gridSpan w:val="3"/>
            <w:vMerge w:val="continue"/>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4500" w:type="dxa"/>
            <w:vAlign w:val="bottom"/>
            <w:gridSpan w:val="3"/>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00" w:type="dxa"/>
            <w:vAlign w:val="bottom"/>
            <w:vMerge w:val="restart"/>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tcPr>
          <w:p>
            <w:pPr>
              <w:jc w:val="center"/>
              <w:ind w:right="461"/>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62"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2, 2022, the registrant had 88,177,354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860" w:type="dxa"/>
            <w:vAlign w:val="bottom"/>
            <w:gridSpan w:val="9"/>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86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380" w:type="dxa"/>
            <w:vAlign w:val="bottom"/>
            <w:gridSpan w:val="8"/>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Operations and Comprehensive Loss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8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6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64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6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494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vMerge w:val="continue"/>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4"/>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49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4"/>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49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16"/>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38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698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3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54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7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83" w:lineRule="exact"/>
        <w:rPr>
          <w:sz w:val="20"/>
          <w:szCs w:val="20"/>
          <w:color w:val="auto"/>
        </w:rPr>
      </w:pPr>
    </w:p>
    <w:p>
      <w:pPr>
        <w:ind w:right="240" w:firstLine="5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These risks are described more fully in the section of this Quarterly Report on Form 10-Q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risks include, among others, the following:</w:t>
      </w:r>
    </w:p>
    <w:p>
      <w:pPr>
        <w:spacing w:after="0" w:line="41" w:lineRule="exact"/>
        <w:rPr>
          <w:sz w:val="20"/>
          <w:szCs w:val="20"/>
          <w:color w:val="auto"/>
        </w:rPr>
      </w:pPr>
    </w:p>
    <w:p>
      <w:pPr>
        <w:ind w:left="1040" w:right="60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176" w:lineRule="exact"/>
        <w:rPr>
          <w:rFonts w:ascii="Times New Roman" w:cs="Times New Roman" w:eastAsia="Times New Roman" w:hAnsi="Times New Roman"/>
          <w:sz w:val="18"/>
          <w:szCs w:val="18"/>
          <w:color w:val="auto"/>
        </w:rPr>
      </w:pPr>
    </w:p>
    <w:p>
      <w:pPr>
        <w:ind w:left="1040" w:hanging="46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98" w:lineRule="exact"/>
        <w:rPr>
          <w:rFonts w:ascii="Times New Roman" w:cs="Times New Roman" w:eastAsia="Times New Roman" w:hAnsi="Times New Roman"/>
          <w:sz w:val="18"/>
          <w:szCs w:val="18"/>
          <w:color w:val="auto"/>
        </w:rPr>
      </w:pPr>
    </w:p>
    <w:p>
      <w:pPr>
        <w:ind w:left="1040" w:right="40" w:hanging="452"/>
        <w:spacing w:after="0" w:line="250"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162" w:lineRule="exact"/>
        <w:rPr>
          <w:rFonts w:ascii="Times New Roman" w:cs="Times New Roman" w:eastAsia="Times New Roman" w:hAnsi="Times New Roman"/>
          <w:sz w:val="18"/>
          <w:szCs w:val="18"/>
          <w:color w:val="auto"/>
        </w:rPr>
      </w:pPr>
    </w:p>
    <w:p>
      <w:pPr>
        <w:ind w:left="1040" w:right="16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62" w:lineRule="exact"/>
        <w:rPr>
          <w:rFonts w:ascii="Times New Roman" w:cs="Times New Roman" w:eastAsia="Times New Roman" w:hAnsi="Times New Roman"/>
          <w:sz w:val="18"/>
          <w:szCs w:val="18"/>
          <w:color w:val="auto"/>
        </w:rPr>
      </w:pPr>
    </w:p>
    <w:p>
      <w:pPr>
        <w:ind w:left="1040" w:right="22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85" w:lineRule="exact"/>
        <w:rPr>
          <w:rFonts w:ascii="Times New Roman" w:cs="Times New Roman" w:eastAsia="Times New Roman" w:hAnsi="Times New Roman"/>
          <w:sz w:val="18"/>
          <w:szCs w:val="18"/>
          <w:color w:val="auto"/>
        </w:rPr>
      </w:pPr>
    </w:p>
    <w:p>
      <w:pPr>
        <w:ind w:left="1040" w:right="16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172" w:lineRule="exact"/>
        <w:rPr>
          <w:rFonts w:ascii="Times New Roman" w:cs="Times New Roman" w:eastAsia="Times New Roman" w:hAnsi="Times New Roman"/>
          <w:sz w:val="18"/>
          <w:szCs w:val="18"/>
          <w:color w:val="auto"/>
        </w:rPr>
      </w:pPr>
    </w:p>
    <w:p>
      <w:pPr>
        <w:ind w:left="104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62" w:lineRule="exact"/>
        <w:rPr>
          <w:rFonts w:ascii="Times New Roman" w:cs="Times New Roman" w:eastAsia="Times New Roman" w:hAnsi="Times New Roman"/>
          <w:sz w:val="18"/>
          <w:szCs w:val="18"/>
          <w:color w:val="auto"/>
        </w:rPr>
      </w:pPr>
    </w:p>
    <w:p>
      <w:pPr>
        <w:ind w:left="1040" w:right="280" w:hanging="452"/>
        <w:spacing w:after="0" w:line="279" w:lineRule="auto"/>
        <w:tabs>
          <w:tab w:leader="none" w:pos="10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top-line, and initial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3" w:lineRule="exact"/>
        <w:rPr>
          <w:rFonts w:ascii="Times New Roman" w:cs="Times New Roman" w:eastAsia="Times New Roman" w:hAnsi="Times New Roman"/>
          <w:sz w:val="17"/>
          <w:szCs w:val="17"/>
          <w:color w:val="auto"/>
        </w:rPr>
      </w:pPr>
    </w:p>
    <w:p>
      <w:pPr>
        <w:ind w:left="1040" w:hanging="452"/>
        <w:spacing w:after="0" w:line="23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71" w:lineRule="exact"/>
        <w:rPr>
          <w:rFonts w:ascii="Times New Roman" w:cs="Times New Roman" w:eastAsia="Times New Roman" w:hAnsi="Times New Roman"/>
          <w:sz w:val="18"/>
          <w:szCs w:val="18"/>
          <w:color w:val="auto"/>
        </w:rPr>
      </w:pPr>
    </w:p>
    <w:p>
      <w:pPr>
        <w:ind w:left="1040" w:right="22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62" w:lineRule="exact"/>
        <w:rPr>
          <w:rFonts w:ascii="Times New Roman" w:cs="Times New Roman" w:eastAsia="Times New Roman" w:hAnsi="Times New Roman"/>
          <w:sz w:val="18"/>
          <w:szCs w:val="18"/>
          <w:color w:val="auto"/>
        </w:rPr>
      </w:pPr>
    </w:p>
    <w:p>
      <w:pPr>
        <w:ind w:left="1040" w:right="50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85" w:lineRule="exact"/>
        <w:rPr>
          <w:rFonts w:ascii="Times New Roman" w:cs="Times New Roman" w:eastAsia="Times New Roman" w:hAnsi="Times New Roman"/>
          <w:sz w:val="18"/>
          <w:szCs w:val="18"/>
          <w:color w:val="auto"/>
        </w:rPr>
      </w:pPr>
    </w:p>
    <w:p>
      <w:pPr>
        <w:ind w:left="1040" w:right="4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72" w:lineRule="exact"/>
        <w:rPr>
          <w:rFonts w:ascii="Times New Roman" w:cs="Times New Roman" w:eastAsia="Times New Roman" w:hAnsi="Times New Roman"/>
          <w:sz w:val="18"/>
          <w:szCs w:val="18"/>
          <w:color w:val="auto"/>
        </w:rPr>
      </w:pPr>
    </w:p>
    <w:p>
      <w:pPr>
        <w:ind w:left="1040" w:right="12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3" w:name="page4"/>
    <w:bookmarkEnd w:id="3"/>
    <w:p>
      <w:pPr>
        <w:ind w:left="1040" w:right="320" w:hanging="465"/>
        <w:spacing w:after="0" w:line="23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185" w:lineRule="exact"/>
        <w:rPr>
          <w:rFonts w:ascii="Times New Roman" w:cs="Times New Roman" w:eastAsia="Times New Roman" w:hAnsi="Times New Roman"/>
          <w:sz w:val="18"/>
          <w:szCs w:val="18"/>
          <w:color w:val="auto"/>
        </w:rPr>
      </w:pPr>
    </w:p>
    <w:p>
      <w:pPr>
        <w:ind w:left="1040" w:right="180" w:hanging="452"/>
        <w:spacing w:after="0" w:line="23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71" w:lineRule="exact"/>
        <w:rPr>
          <w:rFonts w:ascii="Times New Roman" w:cs="Times New Roman" w:eastAsia="Times New Roman" w:hAnsi="Times New Roman"/>
          <w:sz w:val="18"/>
          <w:szCs w:val="18"/>
          <w:color w:val="auto"/>
        </w:rPr>
      </w:pPr>
    </w:p>
    <w:p>
      <w:pPr>
        <w:ind w:left="1040" w:right="100" w:hanging="452"/>
        <w:spacing w:after="0" w:line="23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1" w:lineRule="exact"/>
        <w:rPr>
          <w:rFonts w:ascii="Times New Roman" w:cs="Times New Roman" w:eastAsia="Times New Roman" w:hAnsi="Times New Roman"/>
          <w:sz w:val="18"/>
          <w:szCs w:val="18"/>
          <w:color w:val="auto"/>
        </w:rPr>
      </w:pPr>
    </w:p>
    <w:p>
      <w:pPr>
        <w:ind w:left="1040" w:right="440" w:hanging="452"/>
        <w:spacing w:after="0" w:line="250"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176" w:lineRule="exact"/>
        <w:rPr>
          <w:rFonts w:ascii="Times New Roman" w:cs="Times New Roman" w:eastAsia="Times New Roman" w:hAnsi="Times New Roman"/>
          <w:sz w:val="18"/>
          <w:szCs w:val="18"/>
          <w:color w:val="auto"/>
        </w:rPr>
      </w:pPr>
    </w:p>
    <w:p>
      <w:pPr>
        <w:ind w:left="1040" w:right="80" w:hanging="452"/>
        <w:spacing w:after="0" w:line="236"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172" w:lineRule="exact"/>
        <w:rPr>
          <w:rFonts w:ascii="Times New Roman" w:cs="Times New Roman" w:eastAsia="Times New Roman" w:hAnsi="Times New Roman"/>
          <w:sz w:val="18"/>
          <w:szCs w:val="18"/>
          <w:color w:val="auto"/>
        </w:rPr>
      </w:pPr>
    </w:p>
    <w:p>
      <w:pPr>
        <w:ind w:left="1040" w:right="360" w:hanging="452"/>
        <w:spacing w:after="0" w:line="250"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damages or settlement costs resulting from claims that we or our employees have violated the intellectual property rights of third parties, or are in breach of our agreements.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02" w:lineRule="exact"/>
        <w:rPr>
          <w:sz w:val="20"/>
          <w:szCs w:val="20"/>
          <w:color w:val="auto"/>
        </w:rPr>
      </w:pPr>
    </w:p>
    <w:p>
      <w:pPr>
        <w:ind w:firstLine="495"/>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78" w:lineRule="exact"/>
        <w:rPr>
          <w:sz w:val="20"/>
          <w:szCs w:val="20"/>
          <w:color w:val="auto"/>
        </w:rPr>
      </w:pPr>
    </w:p>
    <w:p>
      <w:pPr>
        <w:ind w:left="1040" w:right="60" w:hanging="452"/>
        <w:spacing w:after="0" w:line="23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IND filings, active enrollment in clinical trials, and initiation and completion of studies or clinical trials and related preparatory work, and the period during which the results of the clinical trials (including initial and final trial results) will become available;</w:t>
      </w:r>
    </w:p>
    <w:p>
      <w:pPr>
        <w:spacing w:after="0" w:line="171" w:lineRule="exact"/>
        <w:rPr>
          <w:rFonts w:ascii="Times New Roman" w:cs="Times New Roman" w:eastAsia="Times New Roman" w:hAnsi="Times New Roman"/>
          <w:sz w:val="18"/>
          <w:szCs w:val="18"/>
          <w:color w:val="auto"/>
        </w:rPr>
      </w:pPr>
    </w:p>
    <w:p>
      <w:pPr>
        <w:ind w:left="1040" w:right="30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and develop product candidates efficiently (including the advancement of development candidates on the timelines identified and the ability to identify clinical trial investigators to use our product candidates in trials);</w:t>
      </w:r>
    </w:p>
    <w:p>
      <w:pPr>
        <w:spacing w:after="0" w:line="162" w:lineRule="exact"/>
        <w:rPr>
          <w:rFonts w:ascii="Times New Roman" w:cs="Times New Roman" w:eastAsia="Times New Roman" w:hAnsi="Times New Roman"/>
          <w:sz w:val="18"/>
          <w:szCs w:val="18"/>
          <w:color w:val="auto"/>
        </w:rPr>
      </w:pPr>
    </w:p>
    <w:p>
      <w:pPr>
        <w:ind w:left="1040" w:right="4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176" w:lineRule="exact"/>
        <w:rPr>
          <w:rFonts w:ascii="Times New Roman" w:cs="Times New Roman" w:eastAsia="Times New Roman" w:hAnsi="Times New Roman"/>
          <w:sz w:val="18"/>
          <w:szCs w:val="18"/>
          <w:color w:val="auto"/>
        </w:rPr>
      </w:pPr>
    </w:p>
    <w:p>
      <w:pPr>
        <w:ind w:left="1040" w:right="8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162" w:lineRule="exact"/>
        <w:rPr>
          <w:rFonts w:ascii="Times New Roman" w:cs="Times New Roman" w:eastAsia="Times New Roman" w:hAnsi="Times New Roman"/>
          <w:sz w:val="18"/>
          <w:szCs w:val="18"/>
          <w:color w:val="auto"/>
        </w:rPr>
      </w:pPr>
    </w:p>
    <w:p>
      <w:pPr>
        <w:ind w:left="1040" w:right="220" w:hanging="452"/>
        <w:spacing w:after="0" w:line="23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2025);</w:t>
      </w:r>
    </w:p>
    <w:p>
      <w:pPr>
        <w:spacing w:after="0" w:line="172"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4" w:name="page5"/>
    <w:bookmarkEnd w:id="4"/>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198" w:lineRule="exact"/>
        <w:rPr>
          <w:rFonts w:ascii="Times New Roman" w:cs="Times New Roman" w:eastAsia="Times New Roman" w:hAnsi="Times New Roman"/>
          <w:sz w:val="18"/>
          <w:szCs w:val="18"/>
          <w:color w:val="auto"/>
        </w:rPr>
      </w:pPr>
    </w:p>
    <w:p>
      <w:pPr>
        <w:ind w:left="1040" w:right="80" w:hanging="452"/>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62" w:lineRule="exact"/>
        <w:rPr>
          <w:rFonts w:ascii="Times New Roman" w:cs="Times New Roman" w:eastAsia="Times New Roman" w:hAnsi="Times New Roman"/>
          <w:sz w:val="18"/>
          <w:szCs w:val="18"/>
          <w:color w:val="auto"/>
        </w:rPr>
      </w:pPr>
    </w:p>
    <w:p>
      <w:pPr>
        <w:ind w:left="1040" w:right="180" w:hanging="452"/>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76"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198" w:lineRule="exact"/>
        <w:rPr>
          <w:rFonts w:ascii="Times New Roman" w:cs="Times New Roman" w:eastAsia="Times New Roman" w:hAnsi="Times New Roman"/>
          <w:sz w:val="18"/>
          <w:szCs w:val="18"/>
          <w:color w:val="auto"/>
        </w:rPr>
      </w:pPr>
    </w:p>
    <w:p>
      <w:pPr>
        <w:ind w:left="1040" w:right="540" w:hanging="452"/>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pricing regulations by U.S. (such as CMS) and foreign regulatory authorities;</w:t>
      </w:r>
    </w:p>
    <w:p>
      <w:pPr>
        <w:spacing w:after="0" w:line="176"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11" w:lineRule="exact"/>
        <w:rPr>
          <w:rFonts w:ascii="Times New Roman" w:cs="Times New Roman" w:eastAsia="Times New Roman" w:hAnsi="Times New Roman"/>
          <w:sz w:val="18"/>
          <w:szCs w:val="18"/>
          <w:color w:val="auto"/>
        </w:rPr>
      </w:pPr>
    </w:p>
    <w:p>
      <w:pPr>
        <w:ind w:left="1040" w:right="100" w:hanging="452"/>
        <w:spacing w:after="0" w:line="279"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139" w:lineRule="exact"/>
        <w:rPr>
          <w:rFonts w:ascii="Times New Roman" w:cs="Times New Roman" w:eastAsia="Times New Roman" w:hAnsi="Times New Roman"/>
          <w:sz w:val="17"/>
          <w:szCs w:val="17"/>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this Quarterly Report on Form 10-Q under the section titled “Risk Factors.”</w:t>
      </w:r>
    </w:p>
    <w:p>
      <w:pPr>
        <w:spacing w:after="0" w:line="212" w:lineRule="exact"/>
        <w:rPr>
          <w:sz w:val="20"/>
          <w:szCs w:val="20"/>
          <w:color w:val="auto"/>
        </w:rPr>
      </w:pPr>
    </w:p>
    <w:p>
      <w:pPr>
        <w:ind w:firstLine="495"/>
        <w:spacing w:after="0" w:line="243"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of this Quarterly Report on Form 10-Q.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w:t>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0" w:right="439" w:bottom="1440" w:gutter="0" w:footer="0" w:header="0"/>
        </w:sectPr>
      </w:pPr>
    </w:p>
    <w:bookmarkStart w:id="5" w:name="page6"/>
    <w:bookmarkEnd w:id="5"/>
    <w:p>
      <w:pPr>
        <w:ind w:right="20"/>
        <w:spacing w:after="0" w:line="282" w:lineRule="auto"/>
        <w:rPr>
          <w:sz w:val="20"/>
          <w:szCs w:val="20"/>
          <w:color w:val="auto"/>
        </w:rPr>
      </w:pPr>
      <w:r>
        <w:rPr>
          <w:rFonts w:ascii="Times New Roman" w:cs="Times New Roman" w:eastAsia="Times New Roman" w:hAnsi="Times New Roman"/>
          <w:sz w:val="18"/>
          <w:szCs w:val="18"/>
          <w:color w:val="auto"/>
        </w:rPr>
        <w:t>all such risks. We do not undertake any obligation to update or revise any forward-looking statements, whether as a result of new information, future events or otherwise, except as may be required under applicable securities 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Corporate Website</w:t>
      </w:r>
    </w:p>
    <w:p>
      <w:pPr>
        <w:spacing w:after="0" w:line="216"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6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Further, the company intends to use its website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100,312</w:t>
            </w:r>
          </w:p>
        </w:tc>
        <w:tc>
          <w:tcPr>
            <w:tcW w:w="2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292,981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342,510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5,814</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401,674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492,338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47,757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464,156</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Income tax payable</w:t>
            </w:r>
          </w:p>
        </w:tc>
        <w:tc>
          <w:tcPr>
            <w:tcW w:w="1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51,322</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99,815</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191,084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155,408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0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6"/>
                <w:szCs w:val="16"/>
                <w:color w:val="auto"/>
              </w:rPr>
              <w:t>Preferred stock, $0.001 par value; 10,000,000 shares authorized; no shares issued</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and outstanding as of September 30, 2022 and December 31, 2021, respectively</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0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6"/>
                <w:szCs w:val="16"/>
                <w:color w:val="auto"/>
              </w:rPr>
              <w:t>Common stock, $0.001 par value; 200,000,000 shares</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00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authorized at September 30, 2022 and December 31, 2021;</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88,067,254 and 87,598,184 shares issued and outstanding as of</w:t>
            </w:r>
          </w:p>
        </w:tc>
        <w:tc>
          <w:tcPr>
            <w:tcW w:w="18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September 30, 2022 and December 31, 2021, respectively</w:t>
            </w:r>
          </w:p>
        </w:tc>
        <w:tc>
          <w:tcPr>
            <w:tcW w:w="180" w:type="dxa"/>
            <w:vAlign w:val="bottom"/>
            <w:shd w:val="clear" w:color="auto" w:fill="CFF0FC"/>
          </w:tcPr>
          <w:p>
            <w:pPr>
              <w:spacing w:after="0"/>
              <w:rPr>
                <w:sz w:val="17"/>
                <w:szCs w:val="17"/>
                <w:color w:val="auto"/>
              </w:rPr>
            </w:pPr>
          </w:p>
        </w:tc>
        <w:tc>
          <w:tcPr>
            <w:tcW w:w="12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518,292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(4,856 )</w:t>
            </w: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(765 )</w:t>
            </w: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(240,452 )</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(161,336 )</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273,072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344,747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464,156</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-3196590</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-3196590</wp:posOffset>
            </wp:positionV>
            <wp:extent cx="6032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-2150745</wp:posOffset>
            </wp:positionV>
            <wp:extent cx="6858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-2150745</wp:posOffset>
            </wp:positionV>
            <wp:extent cx="6032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-162560</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163195"/>
                    </a:xfrm>
                    <a:prstGeom prst="rect">
                      <a:avLst/>
                    </a:prstGeom>
                    <a:noFill/>
                  </pic:spPr>
                </pic:pic>
              </a:graphicData>
            </a:graphic>
          </wp:anchor>
        </w:drawing>
      </w:r>
    </w:p>
    <w:p>
      <w:pPr>
        <w:spacing w:after="0" w:line="16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20" w:right="899" w:bottom="1440" w:gutter="0" w:footer="0" w:header="0"/>
        </w:sectPr>
      </w:pPr>
    </w:p>
    <w:bookmarkStart w:id="7" w:name="page8"/>
    <w:bookmarkEnd w:id="7"/>
    <w:p>
      <w:pPr>
        <w:ind w:left="37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ind w:right="6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600" w:type="dxa"/>
            <w:vAlign w:val="bottom"/>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5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20,326</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r>
      <w:tr>
        <w:trPr>
          <w:trHeight w:val="209"/>
        </w:trPr>
        <w:tc>
          <w:tcPr>
            <w:tcW w:w="5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56,002</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00" w:type="dxa"/>
            <w:vAlign w:val="bottom"/>
          </w:tcPr>
          <w:p>
            <w:pPr>
              <w:spacing w:after="0"/>
              <w:rPr>
                <w:sz w:val="18"/>
                <w:szCs w:val="18"/>
                <w:color w:val="auto"/>
              </w:rPr>
            </w:pPr>
          </w:p>
        </w:tc>
      </w:tr>
      <w:tr>
        <w:trPr>
          <w:trHeight w:val="209"/>
        </w:trPr>
        <w:tc>
          <w:tcPr>
            <w:tcW w:w="51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36,843</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98,953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(29,923 )</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(19,569 )</w:t>
            </w:r>
          </w:p>
        </w:tc>
        <w:tc>
          <w:tcPr>
            <w:tcW w:w="14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(80,504 )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(36,206 )</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10"/>
        </w:trPr>
        <w:tc>
          <w:tcPr>
            <w:tcW w:w="51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FF0FC"/>
            </w:tcBorders>
          </w:tcPr>
          <w:p>
            <w:pPr>
              <w:spacing w:after="0"/>
              <w:rPr>
                <w:sz w:val="18"/>
                <w:szCs w:val="18"/>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(19,528</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(79,113</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(79,116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(0.33 )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(0.28 )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(0.90 )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(0.68 )</w:t>
            </w:r>
          </w:p>
        </w:tc>
      </w:tr>
      <w:tr>
        <w:trPr>
          <w:trHeight w:val="171"/>
        </w:trPr>
        <w:tc>
          <w:tcPr>
            <w:tcW w:w="51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basic and diluted</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87,892,195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70,160,663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87,868,081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53,397,557</w:t>
            </w:r>
          </w:p>
        </w:tc>
        <w:tc>
          <w:tcPr>
            <w:tcW w:w="100" w:type="dxa"/>
            <w:vAlign w:val="bottom"/>
          </w:tcPr>
          <w:p>
            <w:pPr>
              <w:spacing w:after="0"/>
              <w:rPr>
                <w:sz w:val="20"/>
                <w:szCs w:val="20"/>
                <w:color w:val="auto"/>
              </w:rPr>
            </w:pPr>
          </w:p>
        </w:tc>
      </w:tr>
      <w:tr>
        <w:trPr>
          <w:trHeight w:val="216"/>
        </w:trPr>
        <w:tc>
          <w:tcPr>
            <w:tcW w:w="5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(29,050 )</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(19,590 )</w:t>
            </w:r>
          </w:p>
        </w:tc>
        <w:tc>
          <w:tcPr>
            <w:tcW w:w="14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(79,116 )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(36,189 )</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(509 )</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(4,091 )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-2957195</wp:posOffset>
            </wp:positionV>
            <wp:extent cx="6858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-2957195</wp:posOffset>
            </wp:positionV>
            <wp:extent cx="5969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-2957195</wp:posOffset>
            </wp:positionV>
            <wp:extent cx="6032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-2957195</wp:posOffset>
            </wp:positionV>
            <wp:extent cx="6032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-2391410</wp:posOffset>
            </wp:positionV>
            <wp:extent cx="6858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-2391410</wp:posOffset>
            </wp:positionV>
            <wp:extent cx="5969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-2391410</wp:posOffset>
            </wp:positionV>
            <wp:extent cx="6032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-2391410</wp:posOffset>
            </wp:positionV>
            <wp:extent cx="6032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-1833880</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-1833880</wp:posOffset>
            </wp:positionV>
            <wp:extent cx="5969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-1833880</wp:posOffset>
            </wp:positionV>
            <wp:extent cx="6032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-1833880</wp:posOffset>
            </wp:positionV>
            <wp:extent cx="6032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-1259205</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-1259205</wp:posOffset>
            </wp:positionV>
            <wp:extent cx="5969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-1259205</wp:posOffset>
            </wp:positionV>
            <wp:extent cx="6032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-1259205</wp:posOffset>
            </wp:positionV>
            <wp:extent cx="6032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59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59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0" w:right="899" w:bottom="1440" w:gutter="0" w:footer="0" w:header="0"/>
        </w:sectPr>
      </w:pPr>
    </w:p>
    <w:bookmarkStart w:id="8" w:name="page9"/>
    <w:bookmarkEnd w:id="8"/>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STOCK AND STOCKHOLDERS’ EQUITY</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00" w:type="dxa"/>
            <w:vAlign w:val="bottom"/>
          </w:tcPr>
          <w:p>
            <w:pPr>
              <w:spacing w:after="0"/>
              <w:rPr>
                <w:sz w:val="12"/>
                <w:szCs w:val="12"/>
                <w:color w:val="auto"/>
              </w:rPr>
            </w:pPr>
          </w:p>
        </w:tc>
        <w:tc>
          <w:tcPr>
            <w:tcW w:w="1380" w:type="dxa"/>
            <w:vAlign w:val="bottom"/>
            <w:gridSpan w:val="2"/>
          </w:tcPr>
          <w:p>
            <w:pPr>
              <w:jc w:val="center"/>
              <w:ind w:right="373"/>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52"/>
        </w:trPr>
        <w:tc>
          <w:tcPr>
            <w:tcW w:w="2580" w:type="dxa"/>
            <w:vAlign w:val="bottom"/>
          </w:tcPr>
          <w:p>
            <w:pPr>
              <w:spacing w:after="0"/>
              <w:rPr>
                <w:sz w:val="13"/>
                <w:szCs w:val="13"/>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33"/>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1560" w:type="dxa"/>
            <w:vAlign w:val="bottom"/>
            <w:tcBorders>
              <w:bottom w:val="single" w:sz="8" w:color="auto"/>
            </w:tcBorders>
            <w:gridSpan w:val="3"/>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200" w:type="dxa"/>
            <w:vAlign w:val="bottom"/>
          </w:tcPr>
          <w:p>
            <w:pPr>
              <w:spacing w:after="0"/>
              <w:rPr>
                <w:sz w:val="13"/>
                <w:szCs w:val="13"/>
                <w:color w:val="auto"/>
              </w:rPr>
            </w:pPr>
          </w:p>
        </w:tc>
        <w:tc>
          <w:tcPr>
            <w:tcW w:w="1380" w:type="dxa"/>
            <w:vAlign w:val="bottom"/>
            <w:gridSpan w:val="2"/>
          </w:tcPr>
          <w:p>
            <w:pPr>
              <w:jc w:val="center"/>
              <w:ind w:right="333"/>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20" w:type="dxa"/>
            <w:vAlign w:val="bottom"/>
          </w:tcPr>
          <w:p>
            <w:pPr>
              <w:spacing w:after="0"/>
              <w:rPr>
                <w:sz w:val="13"/>
                <w:szCs w:val="13"/>
                <w:color w:val="auto"/>
              </w:rPr>
            </w:pPr>
          </w:p>
        </w:tc>
        <w:tc>
          <w:tcPr>
            <w:tcW w:w="1340" w:type="dxa"/>
            <w:vAlign w:val="bottom"/>
            <w:gridSpan w:val="2"/>
          </w:tcPr>
          <w:p>
            <w:pPr>
              <w:jc w:val="right"/>
              <w:ind w:right="493"/>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700"/>
              <w:spacing w:after="0" w:line="136" w:lineRule="exact"/>
              <w:rPr>
                <w:sz w:val="20"/>
                <w:szCs w:val="20"/>
                <w:color w:val="auto"/>
              </w:rPr>
            </w:pPr>
            <w:r>
              <w:rPr>
                <w:rFonts w:ascii="Times New Roman" w:cs="Times New Roman" w:eastAsia="Times New Roman" w:hAnsi="Times New Roman"/>
                <w:sz w:val="12"/>
                <w:szCs w:val="12"/>
                <w:b w:val="1"/>
                <w:bCs w:val="1"/>
                <w:color w:val="auto"/>
              </w:rPr>
              <w:t>Capital</w:t>
            </w:r>
          </w:p>
        </w:tc>
        <w:tc>
          <w:tcPr>
            <w:tcW w:w="200" w:type="dxa"/>
            <w:vAlign w:val="bottom"/>
          </w:tcPr>
          <w:p>
            <w:pPr>
              <w:spacing w:after="0"/>
              <w:rPr>
                <w:sz w:val="12"/>
                <w:szCs w:val="12"/>
                <w:color w:val="auto"/>
              </w:rPr>
            </w:pPr>
          </w:p>
        </w:tc>
        <w:tc>
          <w:tcPr>
            <w:tcW w:w="1380" w:type="dxa"/>
            <w:vAlign w:val="bottom"/>
            <w:gridSpan w:val="2"/>
          </w:tcPr>
          <w:p>
            <w:pPr>
              <w:jc w:val="center"/>
              <w:ind w:right="333"/>
              <w:spacing w:after="0" w:line="136"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220" w:type="dxa"/>
            <w:vAlign w:val="bottom"/>
          </w:tcPr>
          <w:p>
            <w:pPr>
              <w:spacing w:after="0"/>
              <w:rPr>
                <w:sz w:val="12"/>
                <w:szCs w:val="12"/>
                <w:color w:val="auto"/>
              </w:rPr>
            </w:pPr>
          </w:p>
        </w:tc>
        <w:tc>
          <w:tcPr>
            <w:tcW w:w="1340" w:type="dxa"/>
            <w:vAlign w:val="bottom"/>
            <w:gridSpan w:val="2"/>
          </w:tcPr>
          <w:p>
            <w:pPr>
              <w:jc w:val="right"/>
              <w:ind w:right="653"/>
              <w:spacing w:after="0" w:line="13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87,598,184</w:t>
            </w: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506,760</w:t>
            </w: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(161,336</w:t>
            </w:r>
          </w:p>
        </w:tc>
        <w:tc>
          <w:tcPr>
            <w:tcW w:w="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344,747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111,315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34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5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Business combination and PIPE financing,</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(8 )</w:t>
            </w:r>
          </w:p>
        </w:tc>
        <w:tc>
          <w:tcPr>
            <w:tcW w:w="200" w:type="dxa"/>
            <w:vAlign w:val="bottom"/>
          </w:tcPr>
          <w:p>
            <w:pPr>
              <w:spacing w:after="0"/>
              <w:rPr>
                <w:sz w:val="11"/>
                <w:szCs w:val="11"/>
                <w:color w:val="auto"/>
              </w:rPr>
            </w:pPr>
          </w:p>
        </w:tc>
        <w:tc>
          <w:tcPr>
            <w:tcW w:w="138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340" w:type="dxa"/>
            <w:vAlign w:val="bottom"/>
            <w:gridSpan w:val="2"/>
            <w:vMerge w:val="restart"/>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costs</w:t>
            </w: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(2,645 )</w:t>
            </w: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(2,645 )</w:t>
            </w:r>
          </w:p>
        </w:tc>
        <w:tc>
          <w:tcPr>
            <w:tcW w:w="0" w:type="dxa"/>
            <w:vAlign w:val="bottom"/>
          </w:tcPr>
          <w:p>
            <w:pPr>
              <w:spacing w:after="0"/>
              <w:rPr>
                <w:sz w:val="1"/>
                <w:szCs w:val="1"/>
                <w:color w:val="auto"/>
              </w:rPr>
            </w:pPr>
          </w:p>
        </w:tc>
      </w:tr>
      <w:tr>
        <w:trPr>
          <w:trHeight w:val="174"/>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38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3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(25,208 )</w:t>
            </w:r>
          </w:p>
        </w:tc>
        <w:tc>
          <w:tcPr>
            <w:tcW w:w="20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(25,208 )</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87,709,499</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510,222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(186,544</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320,356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58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common stock from exercise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288,450</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340" w:type="dxa"/>
            <w:vAlign w:val="bottom"/>
            <w:gridSpan w:val="2"/>
            <w:vMerge w:val="restart"/>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options and employee stock purchase plan</w:t>
            </w: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38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(937 )</w:t>
            </w:r>
          </w:p>
        </w:tc>
        <w:tc>
          <w:tcPr>
            <w:tcW w:w="220" w:type="dxa"/>
            <w:vAlign w:val="bottom"/>
          </w:tcPr>
          <w:p>
            <w:pPr>
              <w:spacing w:after="0"/>
              <w:rPr>
                <w:sz w:val="15"/>
                <w:szCs w:val="15"/>
                <w:color w:val="auto"/>
              </w:rPr>
            </w:pPr>
          </w:p>
        </w:tc>
        <w:tc>
          <w:tcPr>
            <w:tcW w:w="134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(937 )</w:t>
            </w: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(24,858 )</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(24,858 )</w:t>
            </w: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87,997,949</w:t>
            </w:r>
          </w:p>
        </w:tc>
        <w:tc>
          <w:tcPr>
            <w:tcW w:w="240" w:type="dxa"/>
            <w:vAlign w:val="bottom"/>
          </w:tcPr>
          <w:p>
            <w:pPr>
              <w:spacing w:after="0"/>
              <w:rPr>
                <w:sz w:val="14"/>
                <w:szCs w:val="14"/>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2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514,365</w:t>
            </w:r>
          </w:p>
        </w:tc>
        <w:tc>
          <w:tcPr>
            <w:tcW w:w="22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(4,347 )</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(211,402 )</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58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common stock from exercise of</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69,305</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38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340" w:type="dxa"/>
            <w:vAlign w:val="bottom"/>
            <w:gridSpan w:val="2"/>
            <w:vMerge w:val="restart"/>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options and employee stock purchase plan</w:t>
            </w:r>
          </w:p>
        </w:tc>
        <w:tc>
          <w:tcPr>
            <w:tcW w:w="11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gridSpan w:val="2"/>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gridSpan w:val="2"/>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34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(509 )</w:t>
            </w:r>
          </w:p>
        </w:tc>
        <w:tc>
          <w:tcPr>
            <w:tcW w:w="2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(509 )</w:t>
            </w:r>
          </w:p>
        </w:tc>
        <w:tc>
          <w:tcPr>
            <w:tcW w:w="0" w:type="dxa"/>
            <w:vAlign w:val="bottom"/>
          </w:tcPr>
          <w:p>
            <w:pPr>
              <w:spacing w:after="0"/>
              <w:rPr>
                <w:sz w:val="1"/>
                <w:szCs w:val="1"/>
                <w:color w:val="auto"/>
              </w:rPr>
            </w:pPr>
          </w:p>
        </w:tc>
      </w:tr>
      <w:tr>
        <w:trPr>
          <w:trHeight w:val="174"/>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38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34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(29,050 )</w:t>
            </w:r>
          </w:p>
        </w:tc>
        <w:tc>
          <w:tcPr>
            <w:tcW w:w="20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(29,050 )</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88,067,254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518,292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(4,856</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(240,452</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273,072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-1379220</wp:posOffset>
            </wp:positionV>
            <wp:extent cx="480060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00600" cy="22288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-822325</wp:posOffset>
            </wp:positionV>
            <wp:extent cx="7683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-822325</wp:posOffset>
            </wp:positionV>
            <wp:extent cx="6858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-822325</wp:posOffset>
            </wp:positionV>
            <wp:extent cx="6858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-822325</wp:posOffset>
            </wp:positionV>
            <wp:extent cx="6858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-822325</wp:posOffset>
            </wp:positionV>
            <wp:extent cx="685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-25400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-25400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3"/>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540" w:type="dxa"/>
            <w:vAlign w:val="bottom"/>
            <w:tcBorders>
              <w:bottom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80" w:type="dxa"/>
            <w:vAlign w:val="bottom"/>
          </w:tcPr>
          <w:p>
            <w:pPr>
              <w:spacing w:after="0"/>
              <w:rPr>
                <w:sz w:val="13"/>
                <w:szCs w:val="13"/>
                <w:color w:val="auto"/>
              </w:rPr>
            </w:pPr>
          </w:p>
        </w:tc>
        <w:tc>
          <w:tcPr>
            <w:tcW w:w="102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97"/>
              <w:spacing w:after="0" w:line="146"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57"/>
              <w:spacing w:after="0" w:line="146" w:lineRule="exact"/>
              <w:rPr>
                <w:sz w:val="20"/>
                <w:szCs w:val="20"/>
                <w:color w:val="auto"/>
              </w:rPr>
            </w:pPr>
            <w:r>
              <w:rPr>
                <w:rFonts w:ascii="Times New Roman" w:cs="Times New Roman" w:eastAsia="Times New Roman" w:hAnsi="Times New Roman"/>
                <w:sz w:val="13"/>
                <w:szCs w:val="13"/>
                <w:b w:val="1"/>
                <w:bCs w:val="1"/>
                <w:color w:val="auto"/>
                <w:w w:val="94"/>
              </w:rPr>
              <w:t>Income (Loss)</w:t>
            </w:r>
          </w:p>
        </w:tc>
        <w:tc>
          <w:tcPr>
            <w:tcW w:w="80" w:type="dxa"/>
            <w:vAlign w:val="bottom"/>
          </w:tcPr>
          <w:p>
            <w:pPr>
              <w:spacing w:after="0"/>
              <w:rPr>
                <w:sz w:val="13"/>
                <w:szCs w:val="13"/>
                <w:color w:val="auto"/>
              </w:rPr>
            </w:pPr>
          </w:p>
        </w:tc>
        <w:tc>
          <w:tcPr>
            <w:tcW w:w="1020" w:type="dxa"/>
            <w:vAlign w:val="bottom"/>
            <w:gridSpan w:val="2"/>
          </w:tcPr>
          <w:p>
            <w:pPr>
              <w:jc w:val="right"/>
              <w:ind w:right="417"/>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6"/>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40,372,133</w:t>
            </w:r>
          </w:p>
        </w:tc>
        <w:tc>
          <w:tcPr>
            <w:tcW w:w="220" w:type="dxa"/>
            <w:vAlign w:val="bottom"/>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141,644</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(103,101</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Series B redeemable</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36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convertible preferred stock, net</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issuance costs of $0.1 million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22,686,025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29,990</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(22,686,025 )</w:t>
            </w:r>
          </w:p>
        </w:tc>
        <w:tc>
          <w:tcPr>
            <w:tcW w:w="10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(29,990 )</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7,706,861</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29,982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304,080</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Vesting of restricted common</w:t>
            </w: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(12,106 )</w:t>
            </w: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(12,106 )</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right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48,383,074</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173,017</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(115,207</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36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210,748</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324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77"/>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57"/>
              <w:spacing w:after="0" w:line="14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Vesting of restricted common</w:t>
            </w: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(30 )</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(4,493 )</w:t>
            </w: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(4,493 )</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right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48,593,822</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174,540</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(119,700</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54,891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360" w:type="dxa"/>
            <w:vAlign w:val="bottom"/>
          </w:tcPr>
          <w:p>
            <w:pPr>
              <w:ind w:left="20"/>
              <w:spacing w:after="0" w:line="89" w:lineRule="exact"/>
              <w:rPr>
                <w:sz w:val="20"/>
                <w:szCs w:val="20"/>
                <w:color w:val="auto"/>
              </w:rPr>
            </w:pPr>
            <w:r>
              <w:rPr>
                <w:rFonts w:ascii="Times New Roman" w:cs="Times New Roman" w:eastAsia="Times New Roman" w:hAnsi="Times New Roman"/>
                <w:sz w:val="10"/>
                <w:szCs w:val="10"/>
                <w:color w:val="auto"/>
              </w:rPr>
              <w:t>Shares issued in Business Combination and</w:t>
            </w: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PIPE</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Financing, net of issuance costs of $15.6</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million</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38,880,436</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326,462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326,501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69,744</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(19,590 )</w:t>
            </w: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(19,590 )</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2021</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right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87,544,002</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504,625</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(139,290</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365,413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-1662430</wp:posOffset>
            </wp:positionV>
            <wp:extent cx="515175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51755" cy="12890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-925195</wp:posOffset>
            </wp:positionV>
            <wp:extent cx="5151755" cy="377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51755" cy="3771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-24765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-7620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-24765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(79,116 )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(36,189 )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(204 )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(6,000 )</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(1,299 )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(3,222 )</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Right-of-use asset</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(10,125 )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(703 )</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(12,449 )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(8,326 )</w:t>
            </w:r>
          </w:p>
        </w:tc>
      </w:tr>
      <w:tr>
        <w:trPr>
          <w:trHeight w:val="210"/>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(80,814</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(6,651 )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(114,947 )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(267,976 )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(138,227 )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preferred stock, net of issuance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00" w:type="dxa"/>
            <w:vAlign w:val="bottom"/>
          </w:tcPr>
          <w:p>
            <w:pPr>
              <w:spacing w:after="0"/>
              <w:rPr>
                <w:sz w:val="18"/>
                <w:szCs w:val="18"/>
                <w:color w:val="auto"/>
              </w:rPr>
            </w:pPr>
          </w:p>
        </w:tc>
      </w:tr>
      <w:tr>
        <w:trPr>
          <w:trHeight w:val="171"/>
        </w:trPr>
        <w:tc>
          <w:tcPr>
            <w:tcW w:w="77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 purchase of shares</w:t>
            </w: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under ESPP</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Combination and PIPE Financing, gross proceeds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342,113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Business Combination and PIPE Financing transaction costs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(8 )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(15,615 )</w:t>
            </w:r>
          </w:p>
        </w:tc>
      </w:tr>
      <w:tr>
        <w:trPr>
          <w:trHeight w:val="210"/>
        </w:trPr>
        <w:tc>
          <w:tcPr>
            <w:tcW w:w="772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357,445</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(40,722 )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176,593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145,024</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104,302</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leases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Conversion of Preferred Shares to Common Shares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166,534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from obtaining right-of-use assets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Remeasurement of right-of-use asset and lease liabilities due to lease modification</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-2642870</wp:posOffset>
            </wp:positionV>
            <wp:extent cx="6858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-2642870</wp:posOffset>
            </wp:positionV>
            <wp:extent cx="6858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-1691005</wp:posOffset>
            </wp:positionV>
            <wp:extent cx="6858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-1691005</wp:posOffset>
            </wp:positionV>
            <wp:extent cx="6858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-1125220</wp:posOffset>
            </wp:positionV>
            <wp:extent cx="68580" cy="282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-1125220</wp:posOffset>
            </wp:positionV>
            <wp:extent cx="68580" cy="282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282575"/>
                    </a:xfrm>
                    <a:prstGeom prst="rect">
                      <a:avLst/>
                    </a:prstGeom>
                    <a:noFill/>
                  </pic:spPr>
                </pic:pic>
              </a:graphicData>
            </a:graphic>
          </wp:anchor>
        </w:drawing>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 w:name="page12"/>
    <w:bookmarkEnd w:id="11"/>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Tango Therapeutics, Inc. (“Tango” or the “Company”)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right="80" w:firstLine="554"/>
        <w:spacing w:after="0" w:line="247"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was incorporated in Delaware on May 21, 2020. On April 13, 2021, the Company, BCTG Merger Sub Inc., a Delaware corporation, and Tango Therapeutics, Inc. (now known as Tango Therapeutics Sub, Inc. or “Old Tango”) signed a definitive merger agreement (the "Merger Agreement").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BCTG was renamed Tango Therapeutics, Inc.</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9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and nine months ended September 30, 2022 and 2021 are not necessarily indicative of the results for the year ending December 31, 2022, any other interim periods, or any future year or period. The unaudited condensed consolidated financial statements for the three and nine months ended September 30, 2022 and 2021 have been prepared on the same basis as and should be read in conjunction with the audited consolidated financial statements and notes included in the Company’s Annual Report on Form 10-K for the year ended December 31, 2021 as filed with the SEC on March 28, 2022.</w:t>
      </w:r>
    </w:p>
    <w:p>
      <w:pPr>
        <w:spacing w:after="0" w:line="19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4"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color w:val="auto"/>
        </w:rPr>
        <w:t xml:space="preserve">There have been no significant changes from the significant accounting policies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audited consolidated financial statements and notes included in the Company’s Annual Report on Form 10-K for the year ended December 31, 2021.</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6"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 w:name="page13"/>
    <w:bookmarkEnd w:id="12"/>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On August 10, 2021 (the "Closing Date"), BCTG, a Delaware corporation and now predecessor of the Company, consummated the Business Combination, pursuant to the Merger Agreement, by and among BCTG, BCTG Merger Sub Inc., a Delaware corporation ("BCTG Merger Sub"), and Old Tango. Prior to consummation of the Business Combination, Old Tango changed its name from “Tango Therapeutics, Inc.” to “Tango Therapeutics Sub, Inc.” and in connection with the Business Combination, BCTG changed its name to “Tango Therapeutics, Inc.” (the former name of Old Tango). Pursuant to the Merger Agreement, on the Closing Date, BCTG Merger Sub merged with and into Old Tango, or the Merger, with Old Tango surviving the Merger as a wholly-owned subsidiary of BCTG, and (as noted above) BCTG changed its name to “Tango Therapeutics, Inc.”, or New Tango.</w:t>
      </w:r>
    </w:p>
    <w:p>
      <w:pPr>
        <w:spacing w:after="0" w:line="195"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Pursuant to the terms and conditions of the Merger Agreement, the aggregate consideration paid to Old Tango equity holders upon the closing of the Merger was 55,000,000 shares of New Tango common stock. Subsequent to the closing of the Business Combination, New Tango entered into subscription agreements with certain investors ("PIPE Investors") pursuant to which the PIPE Investors purchased 18,610,000 shares of New Tango common stock at $10.00 per share, for aggregate gross proceeds of $186.1 million, under the PIPE Financing.</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elements of the net proceeds from the Business Combination and PIPE Financing transaction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Recapitalization</w:t>
            </w: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BCTG's Trust Account and cash (net of redemptions)</w:t>
            </w: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156,013</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 and advisory fees paid</w:t>
            </w: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(15,844 )</w:t>
            </w:r>
          </w:p>
        </w:tc>
      </w:tr>
      <w:tr>
        <w:trPr>
          <w:trHeight w:val="210"/>
        </w:trPr>
        <w:tc>
          <w:tcPr>
            <w:tcW w:w="7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proceeds from the Business Combination and PIPE Financing</w:t>
            </w: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326,269</w:t>
            </w:r>
          </w:p>
        </w:tc>
        <w:tc>
          <w:tcPr>
            <w:tcW w:w="100" w:type="dxa"/>
            <w:vAlign w:val="bottom"/>
            <w:tcBorders>
              <w:top w:val="single" w:sz="8" w:color="CCEEFF"/>
            </w:tcBorders>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non-cash net assets assumed from BCTG</w:t>
            </w: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contributions from Business Combination and PIPE Financing</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326,272</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7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outstanding immediately following the consummation of the Business Combination and PIPE Financing transaction:</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8560" w:type="dxa"/>
            <w:vAlign w:val="bottom"/>
          </w:tcPr>
          <w:p>
            <w:pPr>
              <w:spacing w:after="0"/>
              <w:rPr>
                <w:sz w:val="16"/>
                <w:szCs w:val="16"/>
                <w:color w:val="auto"/>
              </w:rPr>
            </w:pPr>
          </w:p>
        </w:tc>
        <w:tc>
          <w:tcPr>
            <w:tcW w:w="2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BCTG common shares outstanding prior to the Business Combination</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21,377,250</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redemption of BCTG shares</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(1,106,814 )</w:t>
            </w: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of BCTG outstanding as of the Business Combination</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20,270,436</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pursuant to the PIPE Financing</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18,610,000</w:t>
            </w:r>
          </w:p>
        </w:tc>
        <w:tc>
          <w:tcPr>
            <w:tcW w:w="100" w:type="dxa"/>
            <w:vAlign w:val="bottom"/>
          </w:tcPr>
          <w:p>
            <w:pPr>
              <w:spacing w:after="0"/>
              <w:rPr>
                <w:sz w:val="18"/>
                <w:szCs w:val="18"/>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 and PIPE Financing shares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38,880,436</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Old Tango common shares (after preferred shares were converted 1-for-1 for common shares)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48,593,803</w:t>
            </w:r>
          </w:p>
        </w:tc>
        <w:tc>
          <w:tcPr>
            <w:tcW w:w="100" w:type="dxa"/>
            <w:vAlign w:val="bottom"/>
          </w:tcPr>
          <w:p>
            <w:pPr>
              <w:spacing w:after="0"/>
              <w:rPr>
                <w:sz w:val="18"/>
                <w:szCs w:val="18"/>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Business Combination consummation</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87,474,239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merger consideration of 55,000,000 shares of New Tango common stock issued to Old Tango equity holders consists of 48,593,803 shares issued in exchange for Old Tango common and preferred shares outstanding, included in the table above, as well as 6,406,197 shares issued in exchange for the Old Tango unvested restricted stock awards and unexercised stock options outstanding immediately prior to the effective time of the Business Combination.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Retroactive Application of Recapitalization</w:t>
      </w:r>
    </w:p>
    <w:p>
      <w:pPr>
        <w:spacing w:after="0" w:line="216"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As discussed above, the Business Combination with BCTG, which was consummated on August 10, 2021, is accounted for as a reverse recapitalization of equity structure. Under the reverse recapitalization model, the Business Combination was treated as Old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Old Tango’s stockholders possess a majority of the voting power of the combined company, the combined company comprises all of the ongoing operations of Old Tango, the combined company comprises a majority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governing body of Old Tango, and the combined company’s senior management comprises all of the senior management of Old Tango.</w:t>
      </w:r>
    </w:p>
    <w:p>
      <w:pPr>
        <w:spacing w:after="0" w:line="225" w:lineRule="exact"/>
        <w:rPr>
          <w:sz w:val="20"/>
          <w:szCs w:val="20"/>
          <w:color w:val="auto"/>
        </w:rPr>
      </w:pPr>
    </w:p>
    <w:p>
      <w:pPr>
        <w:ind w:right="800" w:firstLine="509"/>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contain recasted stockholders' equity balances resulting from the retroactive application of reverse recapitalization accounting in accordance with U.S. GAAP.</w:t>
      </w:r>
    </w:p>
    <w:p>
      <w:pPr>
        <w:spacing w:after="0" w:line="16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upon the closing of the Business Combination on August 10, 2021 (the “Effective Time”), each share of Old Tango’s redeemable convertible preferred stock (the “Preferred Stock”) issued and outstanding immediately prior to the Effective Time was converted into a share of the Company’s common stock using the exchange ratio of 0.34.</w:t>
      </w:r>
    </w:p>
    <w:p>
      <w:pPr>
        <w:spacing w:after="0" w:line="16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All common shares, as well as previously issued share options and restricted stock awards (“RSAs”), presented in the accompanying unaudited recasted condensed consolidated statements of redeemable convertible preferred stock and stockholders' equity and/or in the related notes are presented on an as-converted basis, converted at the ratio of 0.34. The basic and diluted weighted-average shares of common stock outstanding for the three and nine months ended September 30, 2021 has been retroactively converted using the exchange ratio of 0.34. The historical proceeds from the issuance of preferred stock, less the par value of the historical preferred shares that were converted into common shares using the 0.34 ratio at the Effective Time, have been reclassified to additional paid in capital for the three and nine months ended September 30, 2021.</w:t>
      </w:r>
    </w:p>
    <w:p>
      <w:pPr>
        <w:spacing w:after="0" w:line="176" w:lineRule="exact"/>
        <w:rPr>
          <w:sz w:val="20"/>
          <w:szCs w:val="20"/>
          <w:color w:val="auto"/>
        </w:rPr>
      </w:pPr>
    </w:p>
    <w:p>
      <w:pPr>
        <w:ind w:left="520" w:right="8700" w:hanging="512"/>
        <w:spacing w:after="0" w:line="524" w:lineRule="auto"/>
        <w:tabs>
          <w:tab w:leader="none" w:pos="5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Collaboration Agreements </w:t>
      </w:r>
      <w:r>
        <w:rPr>
          <w:rFonts w:ascii="Times New Roman" w:cs="Times New Roman" w:eastAsia="Times New Roman" w:hAnsi="Times New Roman"/>
          <w:sz w:val="17"/>
          <w:szCs w:val="17"/>
          <w:b w:val="1"/>
          <w:bCs w:val="1"/>
          <w:i w:val="1"/>
          <w:iCs w:val="1"/>
          <w:color w:val="auto"/>
        </w:rPr>
        <w:t>2018 Gilead Agreement</w:t>
      </w:r>
    </w:p>
    <w:p>
      <w:pPr>
        <w:spacing w:after="0" w:line="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17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75"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 xml:space="preserve">The Company assessed this arrangement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9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Gilead Agreement</w:t>
      </w:r>
    </w:p>
    <w:p>
      <w:pPr>
        <w:spacing w:after="0" w:line="21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August 2020, Gilead made an equity investment of $20.0 million into the Company as a participant in the Company’s Series B-1 preferred stock offering. At the time of the original investment, as well as of the September 30, 2022 balance sheet date, Gilead maintains an ownership of less than 10% of the Company's common stock and is thus not considered to be a related party to the Company.</w:t>
      </w:r>
    </w:p>
    <w:p>
      <w:pPr>
        <w:spacing w:after="0" w:line="16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initial target discovery and validation research and development efforts begun under the 2018 Gilead Agreement. Under the Gilead Agreement:</w:t>
      </w:r>
    </w:p>
    <w:p>
      <w:pPr>
        <w:spacing w:after="0" w:line="117" w:lineRule="exact"/>
        <w:rPr>
          <w:sz w:val="20"/>
          <w:szCs w:val="20"/>
          <w:color w:val="auto"/>
        </w:rPr>
      </w:pPr>
    </w:p>
    <w:p>
      <w:pPr>
        <w:ind w:left="1020" w:right="3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40" w:lineRule="exact"/>
        <w:rPr>
          <w:rFonts w:ascii="Times New Roman" w:cs="Times New Roman" w:eastAsia="Times New Roman" w:hAnsi="Times New Roman"/>
          <w:sz w:val="18"/>
          <w:szCs w:val="18"/>
          <w:color w:val="auto"/>
        </w:rPr>
      </w:pPr>
    </w:p>
    <w:p>
      <w:pPr>
        <w:ind w:left="1020" w:right="7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6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54"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6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48"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extension, and clinical, regulatory, and commercial milestones and royalties on future sales of commercialized products, if any.</w:t>
      </w:r>
    </w:p>
    <w:p>
      <w:pPr>
        <w:spacing w:after="0" w:line="176"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186"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extensions is paid to the Company in equal quarterly installment payments over an agreed upon payment schedule. Although future research installment payments are not payable in the event of scientific failure, the Company determined that the variable consideration of $12.0 million for each of the extensions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81"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April 2021, Gilead licensed a program for an $11.0 million license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September 30, 2022. The total transaction price was comprised of the $50.0 million upfront payment pursuant to the 2018 Gilead Agreement, the $125.0 million upfront payment pursuant to the Gilead Agreement, the $12.0 million payment pursuant to the research extension fee in December 2020, and the $12.0 million payment pursuant to the research extension fee in September 2021. During the nine months ended September 30, 2022 and 2021, the Company recognized $18.4 million and $20.3 million, respectively, of collaboration revenue associated with the Gilead agreements based on performance completed during each period.</w:t>
      </w:r>
    </w:p>
    <w:p>
      <w:pPr>
        <w:spacing w:after="0" w:line="18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ind w:right="20"/>
        <w:spacing w:after="0" w:line="250" w:lineRule="auto"/>
        <w:rPr>
          <w:sz w:val="20"/>
          <w:szCs w:val="20"/>
          <w:color w:val="auto"/>
        </w:rPr>
      </w:pPr>
      <w:r>
        <w:rPr>
          <w:rFonts w:ascii="Times New Roman" w:cs="Times New Roman" w:eastAsia="Times New Roman" w:hAnsi="Times New Roman"/>
          <w:sz w:val="18"/>
          <w:szCs w:val="18"/>
          <w:color w:val="auto"/>
        </w:rPr>
        <w:t>research and development activities that the Company is responsible for, are resolved or other changes in circumstances occur. As of September 30, 2022 and December 31, 2021, the Company had short-term deferred revenue of $28.5 million and $26.0 million, respectively, and long-term deferred revenue of $99.8 million and $114.7 million, respectively, related to the Gilead collaboration. The remaining long-term revenue is expected to be recognized proportionally to the completed obligations over an expected remaining contractual term of approximately 4.9 years.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as revenue are recorded as deferred revenue on the Company’s unaudited condensed consolidated balance sheets. As of September 30, 2022,</w:t>
      </w:r>
    </w:p>
    <w:p>
      <w:pPr>
        <w:spacing w:after="0"/>
        <w:rPr>
          <w:sz w:val="20"/>
          <w:szCs w:val="20"/>
          <w:color w:val="auto"/>
        </w:rPr>
      </w:pPr>
      <w:r>
        <w:rPr>
          <w:rFonts w:ascii="Times New Roman" w:cs="Times New Roman" w:eastAsia="Times New Roman" w:hAnsi="Times New Roman"/>
          <w:sz w:val="18"/>
          <w:szCs w:val="18"/>
          <w:color w:val="auto"/>
        </w:rPr>
        <w:t>$8.0 million of the $12.0 million ongoing research extension fee total from September 2021 had been received, $2.0 million had been recorded as accounts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and the remaining $2.0 million was determined to be conditional upon the satisfaction of additional research obligations, and thus a contract</w:t>
      </w:r>
    </w:p>
    <w:p>
      <w:pPr>
        <w:spacing w:after="0"/>
        <w:rPr>
          <w:sz w:val="20"/>
          <w:szCs w:val="20"/>
          <w:color w:val="auto"/>
        </w:rPr>
      </w:pPr>
      <w:r>
        <w:rPr>
          <w:rFonts w:ascii="Times New Roman" w:cs="Times New Roman" w:eastAsia="Times New Roman" w:hAnsi="Times New Roman"/>
          <w:sz w:val="18"/>
          <w:szCs w:val="18"/>
          <w:color w:val="auto"/>
        </w:rPr>
        <w:t>asset. The contract asset balance is presented net of the deferred revenue contract liability.</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Agreements are recorded as research and development expense.</w:t>
      </w:r>
    </w:p>
    <w:p>
      <w:pPr>
        <w:spacing w:after="0" w:line="20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tcBorders>
              <w:bottom w:val="single" w:sz="8" w:color="auto"/>
            </w:tcBorders>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center"/>
              <w:ind w:lef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00" w:type="dxa"/>
            <w:vAlign w:val="bottom"/>
          </w:tcPr>
          <w:p>
            <w:pPr>
              <w:spacing w:after="0"/>
              <w:rPr>
                <w:sz w:val="18"/>
                <w:szCs w:val="18"/>
                <w:color w:val="auto"/>
              </w:rPr>
            </w:pPr>
          </w:p>
        </w:tc>
      </w:tr>
      <w:tr>
        <w:trPr>
          <w:trHeight w:val="216"/>
        </w:trPr>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64,402</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64,402</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206,206</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206,206</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86,775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86,775</w:t>
            </w:r>
          </w:p>
        </w:tc>
        <w:tc>
          <w:tcPr>
            <w:tcW w:w="100" w:type="dxa"/>
            <w:vAlign w:val="bottom"/>
          </w:tcPr>
          <w:p>
            <w:pPr>
              <w:spacing w:after="0"/>
              <w:rPr>
                <w:sz w:val="18"/>
                <w:szCs w:val="18"/>
                <w:color w:val="auto"/>
              </w:rPr>
            </w:pPr>
          </w:p>
        </w:tc>
      </w:tr>
      <w:tr>
        <w:trPr>
          <w:trHeight w:val="249"/>
        </w:trPr>
        <w:tc>
          <w:tcPr>
            <w:tcW w:w="5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5,871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357,383</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34"/>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tcBorders>
              <w:bottom w:val="single" w:sz="8" w:color="auto"/>
            </w:tcBorders>
            <w:gridSpan w:val="5"/>
          </w:tcPr>
          <w:p>
            <w:pPr>
              <w:jc w:val="center"/>
              <w:ind w:right="593"/>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20" w:type="dxa"/>
            <w:vAlign w:val="bottom"/>
          </w:tcPr>
          <w:p>
            <w:pPr>
              <w:spacing w:after="0"/>
              <w:rPr>
                <w:sz w:val="18"/>
                <w:szCs w:val="18"/>
                <w:color w:val="auto"/>
              </w:rPr>
            </w:pP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center"/>
              <w:ind w:lef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100" w:type="dxa"/>
            <w:vAlign w:val="bottom"/>
          </w:tcPr>
          <w:p>
            <w:pPr>
              <w:spacing w:after="0"/>
              <w:rPr>
                <w:sz w:val="18"/>
                <w:szCs w:val="18"/>
                <w:color w:val="auto"/>
              </w:rPr>
            </w:pPr>
          </w:p>
        </w:tc>
      </w:tr>
      <w:tr>
        <w:trPr>
          <w:trHeight w:val="216"/>
        </w:trPr>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100" w:type="dxa"/>
            <w:vAlign w:val="bottom"/>
          </w:tcPr>
          <w:p>
            <w:pPr>
              <w:spacing w:after="0"/>
              <w:rPr>
                <w:sz w:val="18"/>
                <w:szCs w:val="18"/>
                <w:color w:val="auto"/>
              </w:rPr>
            </w:pPr>
          </w:p>
        </w:tc>
      </w:tr>
      <w:tr>
        <w:trPr>
          <w:trHeight w:val="249"/>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380,943</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443,187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-1610995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-1593850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-1610995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-1593850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-1610995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-1593850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-1610995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nine months ended September 30, 2022.</w:t>
      </w:r>
    </w:p>
    <w:p>
      <w:pPr>
        <w:spacing w:after="0" w:line="20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2022</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740" w:type="dxa"/>
            <w:vAlign w:val="bottom"/>
          </w:tcPr>
          <w:p>
            <w:pPr>
              <w:jc w:val="center"/>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r>
      <w:tr>
        <w:trPr>
          <w:trHeight w:val="189"/>
        </w:trPr>
        <w:tc>
          <w:tcPr>
            <w:tcW w:w="5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2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209,709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(3,503 )</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206,206</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2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88,128</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(1,353 )</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86,775</w:t>
            </w:r>
          </w:p>
        </w:tc>
        <w:tc>
          <w:tcPr>
            <w:tcW w:w="100" w:type="dxa"/>
            <w:vAlign w:val="bottom"/>
            <w:shd w:val="clear" w:color="auto" w:fill="CFF0FC"/>
          </w:tcPr>
          <w:p>
            <w:pPr>
              <w:spacing w:after="0"/>
              <w:rPr>
                <w:sz w:val="18"/>
                <w:szCs w:val="18"/>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297,837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(4,856 )</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292,981</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5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79"/>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740" w:type="dxa"/>
            <w:vAlign w:val="bottom"/>
          </w:tcPr>
          <w:p>
            <w:pPr>
              <w:jc w:val="center"/>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r>
      <w:tr>
        <w:trPr>
          <w:trHeight w:val="189"/>
        </w:trPr>
        <w:tc>
          <w:tcPr>
            <w:tcW w:w="5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right"/>
              <w:ind w:right="699"/>
              <w:spacing w:after="0"/>
              <w:rPr>
                <w:sz w:val="20"/>
                <w:szCs w:val="20"/>
                <w:color w:val="auto"/>
              </w:rPr>
            </w:pPr>
            <w:r>
              <w:rPr>
                <w:rFonts w:ascii="Times New Roman" w:cs="Times New Roman" w:eastAsia="Times New Roman" w:hAnsi="Times New Roman"/>
                <w:sz w:val="13"/>
                <w:szCs w:val="13"/>
                <w:b w:val="1"/>
                <w:bCs w:val="1"/>
                <w:color w:val="auto"/>
                <w:w w:val="72"/>
              </w:rPr>
              <w:t>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2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(577 )</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2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55,576</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(189 )</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100" w:type="dxa"/>
            <w:vAlign w:val="bottom"/>
            <w:shd w:val="clear" w:color="auto" w:fill="CFF0FC"/>
          </w:tcPr>
          <w:p>
            <w:pPr>
              <w:spacing w:after="0"/>
              <w:rPr>
                <w:sz w:val="18"/>
                <w:szCs w:val="18"/>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343,275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0" w:type="dxa"/>
            <w:vAlign w:val="bottom"/>
          </w:tcPr>
          <w:p>
            <w:pPr>
              <w:jc w:val="right"/>
              <w:ind w:right="24"/>
              <w:spacing w:after="0"/>
              <w:rPr>
                <w:sz w:val="20"/>
                <w:szCs w:val="20"/>
                <w:color w:val="auto"/>
              </w:rPr>
            </w:pPr>
            <w:r>
              <w:rPr>
                <w:rFonts w:ascii="Times New Roman" w:cs="Times New Roman" w:eastAsia="Times New Roman" w:hAnsi="Times New Roman"/>
                <w:sz w:val="4"/>
                <w:szCs w:val="4"/>
                <w:color w:val="auto"/>
                <w:w w:val="97"/>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(766 )</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342,510</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-1431290</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-1431290</wp:posOffset>
            </wp:positionV>
            <wp:extent cx="6032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-1431290</wp:posOffset>
            </wp:positionV>
            <wp:extent cx="6032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-1431290</wp:posOffset>
            </wp:positionV>
            <wp:extent cx="6032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-170815</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5969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032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7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holds marketable debt securities with an aggregate fair value of $40.8 million as of September 30, 2022 with contractual maturity dates greater than one year.</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an unrealized loss position:</w:t>
      </w: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11"/>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7"/>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260" w:type="dxa"/>
            <w:vAlign w:val="bottom"/>
            <w:gridSpan w:val="3"/>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243,064</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(3,322 )</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253,881</w:t>
            </w:r>
          </w:p>
        </w:tc>
        <w:tc>
          <w:tcPr>
            <w:tcW w:w="20" w:type="dxa"/>
            <w:vAlign w:val="bottom"/>
            <w:shd w:val="clear" w:color="auto" w:fill="CFF0FC"/>
          </w:tcPr>
          <w:p>
            <w:pPr>
              <w:spacing w:after="0"/>
              <w:rPr>
                <w:sz w:val="18"/>
                <w:szCs w:val="18"/>
                <w:color w:val="auto"/>
              </w:rPr>
            </w:pPr>
          </w:p>
        </w:tc>
        <w:tc>
          <w:tcPr>
            <w:tcW w:w="56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63,785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(1,353 )</w:t>
            </w:r>
          </w:p>
        </w:tc>
      </w:tr>
      <w:tr>
        <w:trPr>
          <w:trHeight w:val="250"/>
        </w:trPr>
        <w:tc>
          <w:tcPr>
            <w:tcW w:w="3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306,849</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33,807</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340,656</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520"/>
        </w:trPr>
        <w:tc>
          <w:tcPr>
            <w:tcW w:w="3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9"/>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8"/>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8"/>
                <w:szCs w:val="18"/>
                <w:color w:val="auto"/>
              </w:rPr>
            </w:pPr>
          </w:p>
        </w:tc>
      </w:tr>
      <w:tr>
        <w:trPr>
          <w:trHeight w:val="209"/>
        </w:trPr>
        <w:tc>
          <w:tcPr>
            <w:tcW w:w="3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274,318</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274,318</w:t>
            </w:r>
          </w:p>
        </w:tc>
        <w:tc>
          <w:tcPr>
            <w:tcW w:w="560" w:type="dxa"/>
            <w:vAlign w:val="bottom"/>
            <w:gridSpan w:val="4"/>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50"/>
        </w:trPr>
        <w:tc>
          <w:tcPr>
            <w:tcW w:w="3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329,705</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329,705</w:t>
            </w:r>
          </w:p>
        </w:tc>
        <w:tc>
          <w:tcPr>
            <w:tcW w:w="280" w:type="dxa"/>
            <w:vAlign w:val="bottom"/>
            <w:tcBorders>
              <w:bottom w:val="single" w:sz="8" w:color="CFF0FC"/>
            </w:tcBorders>
            <w:gridSpan w:val="3"/>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-1259205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-1242060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-1259205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-1242060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-1259205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-1242060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-1259205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-1242060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-1259205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-1242060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-1259205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-1242060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-24765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Company holds investment grade marketable securities considered to be in an unrealized loss position. Although these marketable securities are held at an unrealized loss position at September 30, 2022, the Company does not intend to sell the marketable securities prior to the value of the securities being recovered. Further,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As a result, the Company did not record any impairments to marketable securities or reserves for credit losses related to its marketable debt securities during the periods then ended. Marketable securities include $0.3 million in accrued interest at September 30, 2022 and $0.2 million in accrued interest at December 31, 2021.</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7" w:name="page18"/>
    <w:bookmarkEnd w:id="17"/>
    <w:p>
      <w:pPr>
        <w:ind w:left="520" w:right="7500" w:hanging="512"/>
        <w:spacing w:after="0" w:line="495" w:lineRule="auto"/>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Operating Leases</w:t>
      </w:r>
    </w:p>
    <w:p>
      <w:pPr>
        <w:spacing w:after="0" w:line="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July 2017, the Company entered into a lease of office and laboratory space at 100 Binney Street in Cambridge, Massachusetts. The lease commenced in March 2018 and lease payments commenced in June 2018. This lease had an original term of eight years with an option to extend for one additional three-year period. The lease agreement required the Company to provide a letter of credit for $0.6 million that is collateralized with cash that is recorded as restricted cash in the accompanying balance sheets.</w:t>
      </w:r>
    </w:p>
    <w:p>
      <w:pPr>
        <w:spacing w:after="0" w:line="177"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In November 2021, the Company entered into a lease termination agreement for the leased office and laboratory space at 100 Binney Street in Cambridge, Massachusetts. The lease termination agreement is a modification of the original lease agreement that provides for, among other things, the acceleration of the expiration of the original term of the lease from June 30, 2026 to an earlier lease termination date of September 30, 2022. The execution of the lease termination agreement resulted in reductions to the associated lease liability and right-of-use asset balances of $5.3 million and $5.2 million, respectively, in the fourth quarter of 2021. The $0.6 million letter of credit associated with the lease and recorded as restricted cash on the balance sheet as of September 30, 2022 has not yet been returned to the Company.</w:t>
      </w:r>
    </w:p>
    <w:p>
      <w:pPr>
        <w:spacing w:after="0" w:line="180"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September 2019, the Company entered into a new lease for office and laboratory space at 201 Brookline Avenue in Boston, Massachusetts. The lease, as amended and restated in November 2021, has a non-cancelable term of ten years with an option to extend for up to two additional five-year periods. As of September 30, 2022, the space continues to undergo construction, however, the lease commenced for accounting purposes in August 2022. The Company is not deemed to be the accounting owner of the construction project due to the nature of the work being performed and the Company’s lack of control over the project, however, the lease agreement does provide for initial tenant improvement allowances of up to $12.7 million.</w:t>
      </w:r>
    </w:p>
    <w:p>
      <w:pPr>
        <w:spacing w:after="0" w:line="195"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Upon commencement of the 201 Brookline Avenue lease, the Company recorded an operating lease liability in the amount of $37.9 million and related operating lease right-of-use asset in the amount of $48.0 million. Payments totaling $10.1 million for tenant improvements, and net of tenant improvement allowance reimbursements, made prior to the lease commencement date were reclassified as an increase to the right-of-use asset upon the commencement of the lease. Additional estimated future tenant improvement allowance reimbursements of $1.4 million are expected to result in an increase to the lease liability balance in future periods, upon receipt. The fixed annual rent payable under the lease is $5.1 million, increasing by 3% annually from the rent commencement date. The minimum rent payments to be paid over the 10-year term of the lease total $61.0 million. The additional rental payments associated with the renewal option were not included in the calculation of the operating lease right-of-use asset and associated operating lease liability as the renewal was not considered probable of occurring. The discount rate applied to the lease payments is 8.0%.</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as of September 30, 2022 and December 31, 2021 consists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8"/>
                <w:szCs w:val="18"/>
                <w:color w:val="auto"/>
              </w:rPr>
            </w:pPr>
          </w:p>
        </w:tc>
      </w:tr>
      <w:tr>
        <w:trPr>
          <w:trHeight w:val="210"/>
        </w:trPr>
        <w:tc>
          <w:tcPr>
            <w:tcW w:w="5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(3,194 )</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(2,529 )</w:t>
            </w:r>
          </w:p>
        </w:tc>
      </w:tr>
      <w:tr>
        <w:trPr>
          <w:trHeight w:val="250"/>
        </w:trPr>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$1.0 million and $0.6 million for the nine months ended September 30, 2022 and 2021, respectively.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as of September 30, 2022 and December 31, 2021 include the following:</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tcBorders>
              <w:bottom w:val="single" w:sz="8" w:color="auto"/>
            </w:tcBorders>
            <w:gridSpan w:val="3"/>
          </w:tcPr>
          <w:p>
            <w:pPr>
              <w:jc w:val="center"/>
              <w:ind w:right="736"/>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4"/>
                <w:szCs w:val="14"/>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320" w:type="dxa"/>
            <w:vAlign w:val="bottom"/>
            <w:gridSpan w:val="2"/>
            <w:shd w:val="clear" w:color="auto" w:fill="CFF0FC"/>
          </w:tcPr>
          <w:p>
            <w:pPr>
              <w:jc w:val="center"/>
              <w:ind w:left="1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8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32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As of September 30, 2022 and 2021, the Company maintained a restricted cash balance of $4.0 million and $2.3 million, respectively, all of which was related to security deposits associated with the Company’s facility leases. The cash will remain restricted in accordance with the lease agreements absent the event of a lease termination or modification. The reconciliation of cash and cash equivalents and restricted cash to amounts presented in the condensed consolidated statements of cash flows are as follows:</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r>
      <w:tr>
        <w:trPr>
          <w:trHeight w:val="187"/>
        </w:trPr>
        <w:tc>
          <w:tcPr>
            <w:tcW w:w="5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tcBorders>
              <w:bottom w:val="single" w:sz="8" w:color="auto"/>
            </w:tcBorders>
            <w:gridSpan w:val="3"/>
          </w:tcPr>
          <w:p>
            <w:pPr>
              <w:jc w:val="center"/>
              <w:ind w:right="697"/>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100,312</w:t>
            </w:r>
          </w:p>
        </w:tc>
        <w:tc>
          <w:tcPr>
            <w:tcW w:w="3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204,974</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Pr>
          <w:p>
            <w:pPr>
              <w:spacing w:after="0"/>
              <w:rPr>
                <w:sz w:val="18"/>
                <w:szCs w:val="18"/>
                <w:color w:val="auto"/>
              </w:rPr>
            </w:pPr>
          </w:p>
        </w:tc>
      </w:tr>
      <w:tr>
        <w:trPr>
          <w:trHeight w:val="250"/>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104,302</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76" w:lineRule="exact"/>
        <w:rPr>
          <w:sz w:val="20"/>
          <w:szCs w:val="20"/>
          <w:color w:val="auto"/>
        </w:rPr>
      </w:pPr>
    </w:p>
    <w:p>
      <w:pPr>
        <w:ind w:left="520" w:right="8120" w:hanging="512"/>
        <w:spacing w:after="0" w:line="524" w:lineRule="auto"/>
        <w:tabs>
          <w:tab w:leader="none" w:pos="5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Other Funding Commitments</w:t>
      </w:r>
    </w:p>
    <w:p>
      <w:pPr>
        <w:spacing w:after="0" w:line="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As of September 30, 2022, the Company had ongoing preclinical and clinical studies. The Company enters into contracts in the normal course of business with contract research organizations in connection with the operation and preparation for clinical trials, professional consultants for expert advice, and other vendors for clinical supply manufacturing or other preclinical services. These contracts are generally cancellable, with notice, at the Company's option and do not have significant cancellation penalties.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1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September 30, 2022,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19" w:name="page20"/>
    <w:bookmarkEnd w:id="19"/>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March 2021, Old Tango sold 22,686,025 additional shares of Series B stock at a price of $1.32 per share upon the achievement of specified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milestones in connection with the second tranche of the Series B stock purchase agreement. Proceeds from this issuance totaled $30.0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issuance costs associated with the March 2021 issuance of Series B preferred stock was less than $0.1 million.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Redeemable Convertible Preferred Stock</w:t>
      </w:r>
    </w:p>
    <w:p>
      <w:pPr>
        <w:spacing w:after="0" w:line="216"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Pursuant to the terms of the Merger Agreement, upon the Effective Time, each share of Old Tango’s Preferred Stock issued and outstanding immediately prior to the Effective Time was converted into a share of Old Tango’s common stock and subsequently converted into shares of New Tango common stock using an exchange ratio of 0.34. A retroactive adjustment has been applied to all periods presented to reflect the Business Combination and reverse recapitalization, therefore, resulting in no outstanding Preferred Stock as of September 30, 2022 and 2021. Refer to Note 3 for additional discussion.</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1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September 30, 2022. The shares of preferred stock are currently undesignated.</w:t>
      </w:r>
    </w:p>
    <w:p>
      <w:pPr>
        <w:spacing w:after="0" w:line="165" w:lineRule="exact"/>
        <w:rPr>
          <w:sz w:val="20"/>
          <w:szCs w:val="20"/>
          <w:color w:val="auto"/>
        </w:rPr>
      </w:pPr>
    </w:p>
    <w:p>
      <w:pPr>
        <w:ind w:left="520" w:right="8600" w:hanging="512"/>
        <w:spacing w:after="0" w:line="524" w:lineRule="auto"/>
        <w:tabs>
          <w:tab w:leader="none" w:pos="5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Incentive Plan</w:t>
      </w:r>
    </w:p>
    <w:p>
      <w:pPr>
        <w:spacing w:after="0" w:line="1" w:lineRule="exact"/>
        <w:rPr>
          <w:sz w:val="20"/>
          <w:szCs w:val="20"/>
          <w:color w:val="auto"/>
        </w:rPr>
      </w:pPr>
    </w:p>
    <w:p>
      <w:pPr>
        <w:jc w:val="both"/>
        <w:ind w:right="440" w:firstLine="509"/>
        <w:spacing w:after="0" w:line="250" w:lineRule="auto"/>
        <w:rPr>
          <w:sz w:val="20"/>
          <w:szCs w:val="20"/>
          <w:color w:val="auto"/>
        </w:rPr>
      </w:pPr>
      <w:r>
        <w:rPr>
          <w:rFonts w:ascii="Times New Roman" w:cs="Times New Roman" w:eastAsia="Times New Roman" w:hAnsi="Times New Roman"/>
          <w:sz w:val="18"/>
          <w:szCs w:val="18"/>
          <w:color w:val="auto"/>
        </w:rPr>
        <w:t>In March 2017, Old Tango's stockholders approved the 2017 Stock Option and Grant Plan, pursuant to which Old Tango issued stock options, restricted stock awards (“RSAs”), unrestricted stock awards, restricted stock units, or any combination of the forgoing to eligible employees, officers, directors, consultants, or other key persons who provide services to the Company.</w:t>
      </w:r>
    </w:p>
    <w:p>
      <w:pPr>
        <w:spacing w:after="0" w:line="190"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The 2021 Stock Option and Incentive Plan (the “2021 Plan”) became effective upon the closing of the Business Combination and replaced the 2017 Stock Option and Grant Plan. The 2021 Plan allows the Company to make equity and equity-based incentive awards to officers, employees, non-employee directors, and consultants. As of September 30, 2022, the Company had 6,703,227 shares available for future issuance under the 2021 Plan.</w:t>
      </w:r>
    </w:p>
    <w:p>
      <w:pPr>
        <w:spacing w:after="0" w:line="190"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in its accompanying condensed consolidated statements of operations: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3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18"/>
                <w:szCs w:val="18"/>
                <w:color w:val="auto"/>
              </w:rPr>
            </w:pPr>
          </w:p>
        </w:tc>
      </w:tr>
      <w:tr>
        <w:trPr>
          <w:trHeight w:val="250"/>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16"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the Business Combination, upon the Closing Date, each option to purchase Old Tango’s common stock became an option to purchase shares of common stock of the surviving entity and was subsequently adjusted using an exchange ratio of 0.34. A retroactive adjustment has been applied to all periods presented to reflect the Business Combination and reverse recapitalization as discussed further in Note 3.</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nine months ended September 30, 2022:</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152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jc w:val="cente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9"/>
              <w:spacing w:after="0" w:line="160"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2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88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9,372,993</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5.59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51,415,394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4,512,800</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(426,517 )</w:t>
            </w: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1.95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(758,187 )</w:t>
            </w: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September 30, 2022</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12,701,089</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6.52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4,914,346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exercisable as of September 30,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4,072,871</w:t>
            </w:r>
          </w:p>
        </w:tc>
        <w:tc>
          <w:tcPr>
            <w:tcW w:w="260" w:type="dxa"/>
            <w:vAlign w:val="bottom"/>
          </w:tcPr>
          <w:p>
            <w:pPr>
              <w:spacing w:after="0"/>
              <w:rPr>
                <w:sz w:val="20"/>
                <w:szCs w:val="20"/>
                <w:color w:val="auto"/>
              </w:rPr>
            </w:pPr>
          </w:p>
        </w:tc>
        <w:tc>
          <w:tcPr>
            <w:tcW w:w="880" w:type="dxa"/>
            <w:vAlign w:val="bottom"/>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4.26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total unrecognized compensation expense related to stock options was $39.7 million, which the Company expects to recognize over a remaining weighted-average period of 2.7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upon the closing of the Business Combination. During the nine months ended September 30, 2022, the Company issued 42,553 shares of common stock under the 2021 ESPP.</w:t>
      </w:r>
    </w:p>
    <w:p>
      <w:pPr>
        <w:spacing w:after="0" w:line="186"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1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ectPr>
          <w:pgSz w:w="11900" w:h="16838" w:orient="portrait"/>
          <w:cols w:equalWidth="0" w:num="1">
            <w:col w:w="11200"/>
          </w:cols>
          <w:pgMar w:left="320" w:top="540" w:right="379" w:bottom="1440" w:gutter="0" w:footer="0" w:header="0"/>
        </w:sectPr>
      </w:pPr>
    </w:p>
    <w:p>
      <w:pPr>
        <w:spacing w:after="0" w:line="2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16510</wp:posOffset>
            </wp:positionV>
            <wp:extent cx="1714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15875</wp:posOffset>
            </wp:positionV>
            <wp:extent cx="1714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8" w:lineRule="exact"/>
        <w:rPr>
          <w:sz w:val="20"/>
          <w:szCs w:val="20"/>
          <w:color w:val="auto"/>
        </w:rPr>
      </w:pPr>
    </w:p>
    <w:p>
      <w:pPr>
        <w:ind w:left="5500"/>
        <w:spacing w:after="0"/>
        <w:tabs>
          <w:tab w:leader="none" w:pos="69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16510</wp:posOffset>
            </wp:positionV>
            <wp:extent cx="16630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15875</wp:posOffset>
            </wp:positionV>
            <wp:extent cx="16630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8" w:lineRule="exact"/>
        <w:rPr>
          <w:sz w:val="20"/>
          <w:szCs w:val="20"/>
          <w:color w:val="auto"/>
        </w:rPr>
      </w:pPr>
    </w:p>
    <w:p>
      <w:pPr>
        <w:ind w:left="260"/>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5" w:lineRule="exact"/>
        <w:rPr>
          <w:sz w:val="20"/>
          <w:szCs w:val="20"/>
          <w:color w:val="auto"/>
        </w:rPr>
      </w:pPr>
    </w:p>
    <w:p>
      <w:pPr>
        <w:sectPr>
          <w:pgSz w:w="11900" w:h="16838" w:orient="portrait"/>
          <w:cols w:equalWidth="0" w:num="2">
            <w:col w:w="7500" w:space="640"/>
            <w:col w:w="3060"/>
          </w:cols>
          <w:pgMar w:left="320" w:top="540" w:right="37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(29,050 )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(19,590 )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(79,116 )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(36,189 )</w:t>
            </w: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44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Weighted-average common stock outstanding – basic</w:t>
            </w: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87,892,195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70,160,663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87,868,081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53,397,557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88" w:lineRule="exact"/>
        <w:rPr>
          <w:sz w:val="20"/>
          <w:szCs w:val="20"/>
          <w:color w:val="auto"/>
        </w:rPr>
      </w:pPr>
    </w:p>
    <w:tbl>
      <w:tblPr>
        <w:tblLayout w:type="fixed"/>
        <w:tblInd w:w="124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2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15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12,701,089</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8,826,897</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22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r>
      <w:tr>
        <w:trPr>
          <w:trHeight w:val="209"/>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12,701,089</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8,827,110</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-8255</wp:posOffset>
            </wp:positionV>
            <wp:extent cx="59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1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The Company’s effective income tax rate was 0.0% and 0.3% for the three months ended September 30, 2022 and 2021, respectively, and 0.0% and 0.7% for the nine months ended September 30, 2022 and 2021, respectively. The income tax provision was $0 thousand and $62 thousand for the three months ended September 30, 2022 and 2021, respectively, and the income tax provision was $3 thousand and $115 thousand for the nine months ended September 30, 2022 and 2021, respectively. The change in the provision for income taxes for the three and nine months ended September 30, 2022 compared to the three and nine months ended September 30, 2021 was primarily due to taxable deferred revenue in 2021 partially offset by the utilization of federal and state net operating losses and federal and state tax credits. For 2022, the Company assessed the new requirement to capitalize and amortize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type w:val="continuous"/>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research and experimentation expenditures for U.S. tax purposes, which became effective as of January 1, 2022. The Company is forecasting a taxable loss position in 2022 for which no tax benefit is recorded due to the valuation allowance maintained against the Company’s deferred tax assets.</w:t>
      </w:r>
    </w:p>
    <w:p>
      <w:pPr>
        <w:spacing w:after="0" w:line="14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and nine months ended September 30, 2022 and 2021 differed from the federal statutory rate primarily due to the valuation allowance maintained against the Company’s deferred tax assets.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firstLine="495"/>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2021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73"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Unless otherwise indicated, references in this Management’s Discussion and Analysis of Financial Condition and Results of Operations section to “Tango,” “we,” “us,” “our” and other similar terms refer to our wholly-owned subsidiary Tango Therapeutics Sub, Inc. and its subsidiary prior to the closing of the business combination with BCTG Acquisition Corp. and to Tango Therapeutics, Inc. and its consolidated subsidiaries after giving effect to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86"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Our lead program, TNG908, a protein arginine methyl transferase 5 (PRMT5) inhibitor is synthetic lethal with MTAP deletion,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In the first quarter of 2022, the U.S. Food and Drug Administration (FDA) cleared the Investigational New Drug (IND) application for the Phase 1/2 clinical trial and granted Fast Track designation to TNG908. Additionally, in the third quarter of 2022, the FDA granted Orphan Drug Designation to TNG908 for the treatment of malignant peripheral nerve sheath tumors (MPNST). A clinical trial application for TNG908 was approved by the National Agency for the Safety of Medicines in France in the fourth quarter of 2022. Patients are actively being enrolled in the Phase 1/2 clinical trial which is evaluating safety and efficacy in multiple indications, with specific cohorts for non-small cell lung cancer, MPNST, mesothelioma and cholangiocarcinoma, with glioblastoma planned for the dose expansion phase. The clinical trial also includes a histology-agnostic cohort for all other MTAP-deleted solid tumors. We expect to have initial safety and efficacy data in the first half of 2023.</w:t>
      </w:r>
    </w:p>
    <w:p>
      <w:pPr>
        <w:spacing w:after="0" w:line="186"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Given the large number of patients with MTAP-deleted cancers, we are investing in our PRMT5 franchise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We plan to file an IND for TNG462 in the first half of 2023. The clinical development path for TNG462 is expected to be similar to TNG908, evaluating safety and efficacy in multiple tumor types in a Phase 1/2 clinical trial. Glioblastoma will be excluded from the clinical trial as TNG462 does not cross the blood-brain barrier in preclinical non-human primate models.</w:t>
      </w:r>
    </w:p>
    <w:p>
      <w:pPr>
        <w:spacing w:after="0" w:line="180" w:lineRule="exact"/>
        <w:rPr>
          <w:sz w:val="20"/>
          <w:szCs w:val="20"/>
          <w:color w:val="auto"/>
        </w:rPr>
      </w:pPr>
    </w:p>
    <w:p>
      <w:pPr>
        <w:jc w:val="both"/>
        <w:ind w:right="200" w:firstLine="509"/>
        <w:spacing w:after="0" w:line="256" w:lineRule="auto"/>
        <w:rPr>
          <w:sz w:val="20"/>
          <w:szCs w:val="20"/>
          <w:color w:val="auto"/>
        </w:rPr>
      </w:pPr>
      <w:r>
        <w:rPr>
          <w:rFonts w:ascii="Times New Roman" w:cs="Times New Roman" w:eastAsia="Times New Roman" w:hAnsi="Times New Roman"/>
          <w:sz w:val="17"/>
          <w:szCs w:val="17"/>
          <w:color w:val="auto"/>
        </w:rPr>
        <w:t>TNG260 is a first-in-class, Co-repressor of Repressor Element-1 Silencing Transcription (CoREST) inhibitor, which reverses the immune evasion effect of serine-threonine kinase 11 (STK11) loss-of-function mutations. In syngeneic models with an STK11 mutation and an intact immune system, the combination of TNG260 with an anti</w:t>
      </w:r>
      <w:r>
        <w:rPr>
          <w:rFonts w:ascii="Calibri" w:cs="Calibri" w:eastAsia="Calibri" w:hAnsi="Calibri"/>
          <w:sz w:val="17"/>
          <w:szCs w:val="17"/>
          <w:color w:val="auto"/>
        </w:rPr>
        <w:t>-</w:t>
      </w:r>
      <w:r>
        <w:rPr>
          <w:rFonts w:ascii="Times New Roman" w:cs="Times New Roman" w:eastAsia="Times New Roman" w:hAnsi="Times New Roman"/>
          <w:sz w:val="17"/>
          <w:szCs w:val="17"/>
          <w:color w:val="auto"/>
        </w:rPr>
        <w:t>PD1 antibody resulted in sustained complete tumor regressions and the induction of immune memory against 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implantation of tumors. We expect to file an IND for TNG260 in the first half 2023.</w:t>
      </w:r>
    </w:p>
    <w:p>
      <w:pPr>
        <w:spacing w:after="0" w:line="20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the fourth quarter of 2022, we declared TNG348 as a development candidate. TNG348 is a novel ubiquitin-specific protease 1 (USP1) inhibitor that is being developed for treatment of BRCA1 and BRCA2-mutant cancers.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studies for USP1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3" w:name="page24"/>
    <w:bookmarkEnd w:id="23"/>
    <w:p>
      <w:pPr>
        <w:ind w:right="160"/>
        <w:spacing w:after="0" w:line="270" w:lineRule="auto"/>
        <w:rPr>
          <w:sz w:val="20"/>
          <w:szCs w:val="20"/>
          <w:color w:val="auto"/>
        </w:rPr>
      </w:pPr>
      <w:r>
        <w:rPr>
          <w:rFonts w:ascii="Times New Roman" w:cs="Times New Roman" w:eastAsia="Times New Roman" w:hAnsi="Times New Roman"/>
          <w:sz w:val="17"/>
          <w:szCs w:val="17"/>
          <w:color w:val="auto"/>
        </w:rPr>
        <w:t>inhibition have shown single agent efficacy in BRCA1 and BRCA2-mutant cell-line and patient derived xenografts, including those that are intrinsically resistant to PARP inhibition. These preclinical data further demonstrate that TNG348 is synergistic with PARP inhibition across a panel of human ovarian and breast cancer cell lines, including both PARP inhibitor resistant and sensitive lines. We expect this molecule to have both single agent activity in PARPi-naïve and PARPi-resistant BRCA1/2 mutant cancers and to synergize with PARP inhibitors. We expect to file an IND for this program in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1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On April 13, 2021, the Company, BCTG Merger Sub Inc., a Delaware corporation, and Tango Therapeutics, Inc. (now known as Tango Therapeutics Sub, Inc., or “Old Tango”) signed a definitive merger agreement, or the Merger Agreement, memorializing the terms of BCTG’s acquisition of 100% of Old Tango’s issued and outstanding equity securities in exchange for $550.0 million worth of consideration in the form of BCTG common stock, or the Business Combination. The Business Combination was approved on August 9, 2021 by shareholders of BCTG, resulting in BCTG acquiring 100% of our issued and outstanding equity securities on August 10, 2021. Upon the closing of the Business Combination, BCTG Merger Sub Inc. merged with and into Tango, with Tango as the surviving company in the Merger, and BCTG changed its name to “Tango Therapeutics, Inc.”, or New Tango. For additional information on the Business Combination, see Note 3 to the unaudited condensed consolidated financial statements included elsewhere in this Quarterly Report on Form 10-Q.</w:t>
      </w:r>
    </w:p>
    <w:p>
      <w:pPr>
        <w:spacing w:after="0" w:line="186"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We received gross proceeds of $167.1 million upon the closing of the Business Combination. Simultaneous with the closing of the Business Combination, Tango entered into agreements with certain investors, the PIPE Investors, pursuant to which these PIPE Investors purchased 18,610,000 shares of our common stock at $10.00 per share, for aggregate gross proceeds of $186.1 million, upon the closing of the PIPE financing. Total transaction costs and redemptions totaled $26.9 million, resulting in total net proceeds of $326.3 million.</w:t>
      </w:r>
    </w:p>
    <w:p>
      <w:pPr>
        <w:spacing w:after="0" w:line="191"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conversion ratio of 0.34. At the effective time of the Business Combination, each option to purchase Old Tango common stock became an option to purchase shares of New Tango common stock, subject to adjustment in accordance with the exchange ratio.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Since the Company's (Old Tango's)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Sciences, Inc., or Gilead. Since inception, we have raised an aggregate of $166.9 million of gross proceeds from the sale of our preferred shares, $342.1 million in gross proceeds through the closing of the Business Combination and PIPE Financing transactions (as described above) and another $218.1 million through our collaboration with Gilead.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September 30, 2022 of $393.3 million will enable us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our operating expenses and capital expenditure requirements at least into 2025. Since inception, we have incurred significant operating losses. For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2022 and 2021, our net losses were $79.1 million and $36.2 million, respectively. We had an accumulated deficit of</w:t>
      </w:r>
    </w:p>
    <w:p>
      <w:pPr>
        <w:spacing w:after="0" w:line="234" w:lineRule="auto"/>
        <w:rPr>
          <w:sz w:val="20"/>
          <w:szCs w:val="20"/>
          <w:color w:val="auto"/>
        </w:rPr>
      </w:pPr>
      <w:r>
        <w:rPr>
          <w:rFonts w:ascii="Times New Roman" w:cs="Times New Roman" w:eastAsia="Times New Roman" w:hAnsi="Times New Roman"/>
          <w:sz w:val="18"/>
          <w:szCs w:val="18"/>
          <w:color w:val="auto"/>
        </w:rPr>
        <w:t>$240.5 million as of September 30, 2022. We expect to continue to incur significant and increasing expenses and operating losses for the foreseeable future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advance our product candidates through preclinical and clinical development and seek regulatory approvals, manufacture drug product and drug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maintain and expand our intellectual property portfolio. We also expect to hire additional personnel, pay for accounting, audit, legal, regulatory and</w:t>
      </w:r>
    </w:p>
    <w:p>
      <w:pPr>
        <w:spacing w:after="0" w:line="234" w:lineRule="auto"/>
        <w:rPr>
          <w:sz w:val="20"/>
          <w:szCs w:val="20"/>
          <w:color w:val="auto"/>
        </w:rPr>
      </w:pPr>
      <w:r>
        <w:rPr>
          <w:rFonts w:ascii="Times New Roman" w:cs="Times New Roman" w:eastAsia="Times New Roman" w:hAnsi="Times New Roman"/>
          <w:sz w:val="18"/>
          <w:szCs w:val="18"/>
          <w:color w:val="auto"/>
        </w:rPr>
        <w:t>consulting services, and pay costs associated with maintaining compliance with Nasdaq listing rules and the requirements of the U.S. Securities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or SEC, director and officer liability insurance, investor and public relations activities and other expenses associated with operating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public company. Our net losses may fluctuate significantly from quarter-to-quarter and year-to-year, depending on the timing of our preclinical studies,</w:t>
      </w:r>
    </w:p>
    <w:p>
      <w:pPr>
        <w:spacing w:after="0"/>
        <w:rPr>
          <w:sz w:val="20"/>
          <w:szCs w:val="20"/>
          <w:color w:val="auto"/>
        </w:rPr>
      </w:pPr>
      <w:r>
        <w:rPr>
          <w:rFonts w:ascii="Times New Roman" w:cs="Times New Roman" w:eastAsia="Times New Roman" w:hAnsi="Times New Roman"/>
          <w:sz w:val="18"/>
          <w:szCs w:val="18"/>
          <w:color w:val="auto"/>
        </w:rPr>
        <w:t>our clinical trials, and our expenditures on other research and development activities.</w:t>
      </w:r>
    </w:p>
    <w:p>
      <w:pPr>
        <w:spacing w:after="0" w:line="19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ind w:right="40"/>
        <w:spacing w:after="0" w:line="250" w:lineRule="auto"/>
        <w:rPr>
          <w:sz w:val="20"/>
          <w:szCs w:val="20"/>
          <w:color w:val="auto"/>
        </w:rPr>
      </w:pPr>
      <w:r>
        <w:rPr>
          <w:rFonts w:ascii="Times New Roman" w:cs="Times New Roman" w:eastAsia="Times New Roman" w:hAnsi="Times New Roman"/>
          <w:sz w:val="18"/>
          <w:szCs w:val="18"/>
          <w:color w:val="auto"/>
        </w:rPr>
        <w:t>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9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14"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69"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August 2020, the 2018 Gilead Agreement was expanded into a broader collaboration via an amended and restated research collaboration and license agreement, or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91"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In December 2020 and September 2021, Gilead elected to extend two programs for research extension fees totaling $24.0 million, which was added to our estimate of the transaction price to total $199.0 million. A total of $4.0 million of fees related to the research extensions have not been received as of September 30, 2022 as these were determined to be conditional upon the satisfaction of additional research obligations, and thus a contract asset, however, we determined that achievement of the entire research extension fees was probable and that a significant reversal in the amount of cumulative revenue recognized would not occur.</w:t>
      </w:r>
    </w:p>
    <w:p>
      <w:pPr>
        <w:spacing w:after="0" w:line="1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April 2021, Gilead licensed a program for an $11.0 million fee. The $11.0 million license fee was received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6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$68.7 million has been recognized as collaboration revenue related to the upfront and research extension payments from the Gilead agreements.</w:t>
      </w:r>
    </w:p>
    <w:p>
      <w:pPr>
        <w:spacing w:after="0" w:line="17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During the three months ended September 30, 2022 and 2021, we recognized $6.9 million and $6.8 million, respectively, and during the nine months ended September 30, 2022 and 2021 we recognized $18.4 million and $20.3 million, respectively, of collaboration revenue associated with the Gilead agreements based on performance completed during each period.</w:t>
      </w:r>
    </w:p>
    <w:p>
      <w:pPr>
        <w:spacing w:after="0" w:line="190" w:lineRule="exact"/>
        <w:rPr>
          <w:sz w:val="20"/>
          <w:szCs w:val="20"/>
          <w:color w:val="auto"/>
        </w:rPr>
      </w:pPr>
    </w:p>
    <w:p>
      <w:pPr>
        <w:jc w:val="both"/>
        <w:ind w:right="280" w:firstLine="509"/>
        <w:spacing w:after="0" w:line="250" w:lineRule="auto"/>
        <w:rPr>
          <w:sz w:val="20"/>
          <w:szCs w:val="20"/>
          <w:color w:val="auto"/>
        </w:rPr>
      </w:pPr>
      <w:r>
        <w:rPr>
          <w:rFonts w:ascii="Times New Roman" w:cs="Times New Roman" w:eastAsia="Times New Roman" w:hAnsi="Times New Roman"/>
          <w:sz w:val="18"/>
          <w:szCs w:val="18"/>
          <w:color w:val="auto"/>
        </w:rPr>
        <w:t>Refer to Note 4 to our unaudited condensed consolidated financial statements and related notes appearing elsewhere in this Quarterly Report on Form 10-Q and our audited consolidated financial statements and related notes for the year ended December 31, 2021 included in our Annual Report on Form 10-K for additional information regarding our revenue recognition accounting policy and our collaboration agreement with Gilead.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68" w:lineRule="exact"/>
        <w:rPr>
          <w:sz w:val="20"/>
          <w:szCs w:val="20"/>
          <w:color w:val="auto"/>
        </w:rPr>
      </w:pPr>
    </w:p>
    <w:p>
      <w:pPr>
        <w:ind w:left="1020" w:right="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4"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utilities and insurance.</w:t>
      </w:r>
    </w:p>
    <w:p>
      <w:pPr>
        <w:spacing w:after="0" w:line="212"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69" w:lineRule="exact"/>
        <w:rPr>
          <w:sz w:val="20"/>
          <w:szCs w:val="20"/>
          <w:color w:val="auto"/>
        </w:rPr>
      </w:pPr>
    </w:p>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3"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59" w:lineRule="exact"/>
        <w:rPr>
          <w:sz w:val="20"/>
          <w:szCs w:val="20"/>
          <w:color w:val="auto"/>
        </w:rPr>
      </w:pPr>
    </w:p>
    <w:tbl>
      <w:tblPr>
        <w:tblLayout w:type="fixed"/>
        <w:tblInd w:w="76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210"/>
        </w:trPr>
        <w:tc>
          <w:tcPr>
            <w:tcW w:w="4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6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Pr>
          <w:p>
            <w:pPr>
              <w:spacing w:after="0"/>
              <w:rPr>
                <w:sz w:val="19"/>
                <w:szCs w:val="19"/>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19,118</w:t>
            </w:r>
          </w:p>
        </w:tc>
        <w:tc>
          <w:tcPr>
            <w:tcW w:w="100" w:type="dxa"/>
            <w:vAlign w:val="bottom"/>
            <w:shd w:val="clear" w:color="auto" w:fill="CFF0FC"/>
          </w:tcPr>
          <w:p>
            <w:pPr>
              <w:spacing w:after="0"/>
              <w:rPr>
                <w:sz w:val="18"/>
                <w:szCs w:val="18"/>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20,704</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Pr>
          <w:p>
            <w:pPr>
              <w:spacing w:after="0"/>
              <w:rPr>
                <w:sz w:val="18"/>
                <w:szCs w:val="18"/>
                <w:color w:val="auto"/>
              </w:rPr>
            </w:pPr>
          </w:p>
        </w:tc>
      </w:tr>
      <w:tr>
        <w:trPr>
          <w:trHeight w:val="250"/>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76,815</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-24765</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6" w:name="page27"/>
    <w:bookmarkEnd w:id="26"/>
    <w:p>
      <w:pPr>
        <w:ind w:right="20"/>
        <w:spacing w:after="0" w:line="250" w:lineRule="auto"/>
        <w:rPr>
          <w:sz w:val="20"/>
          <w:szCs w:val="20"/>
          <w:color w:val="auto"/>
        </w:rPr>
      </w:pPr>
      <w:r>
        <w:rPr>
          <w:rFonts w:ascii="Times New Roman" w:cs="Times New Roman" w:eastAsia="Times New Roman" w:hAnsi="Times New Roman"/>
          <w:sz w:val="18"/>
          <w:szCs w:val="18"/>
          <w:color w:val="auto"/>
        </w:rPr>
        <w:t>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with the commencement and continuation of our clinical trials. We anticipate that our expenses will increase substantially, particularly due to the numerous risks and uncertainties associated with developing product candidates, including the uncertainty of:</w:t>
      </w:r>
    </w:p>
    <w:p>
      <w:pPr>
        <w:spacing w:after="0" w:line="69" w:lineRule="exact"/>
        <w:rPr>
          <w:sz w:val="20"/>
          <w:szCs w:val="20"/>
          <w:color w:val="auto"/>
        </w:rPr>
      </w:pPr>
    </w:p>
    <w:p>
      <w:pPr>
        <w:ind w:left="1140" w:right="580" w:hanging="383"/>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12"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clinical trials, we could be required to expend significant additional financial resources and time on the completion of clinical development of that product candidate.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9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consists of miscellaneous expense unrelated to our core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both the three and nine months ended September 30, 2022 and for the three and nine months ended September 30, 2021.</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2022 and 2021:</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3380" w:type="dxa"/>
            <w:vAlign w:val="bottom"/>
            <w:gridSpan w:val="6"/>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24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(29,923</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(19,569</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(50 )</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6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3"/>
              </w:rPr>
              <w:t>(29,050 )</w:t>
            </w:r>
          </w:p>
        </w:tc>
        <w:tc>
          <w:tcPr>
            <w:tcW w:w="18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(19,528 )</w:t>
            </w: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(9,522 )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(62 )</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3"/>
              </w:rPr>
              <w:t>(29,050 )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(19,590 )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(9,460 )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-1851025</wp:posOffset>
            </wp:positionV>
            <wp:extent cx="6858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-1851025</wp:posOffset>
            </wp:positionV>
            <wp:extent cx="60325"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-1851025</wp:posOffset>
            </wp:positionV>
            <wp:extent cx="60325"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-1285240</wp:posOffset>
            </wp:positionV>
            <wp:extent cx="6858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-1285240</wp:posOffset>
            </wp:positionV>
            <wp:extent cx="60325"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-1285240</wp:posOffset>
            </wp:positionV>
            <wp:extent cx="60325"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-436245</wp:posOffset>
            </wp:positionV>
            <wp:extent cx="68580"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-436245</wp:posOffset>
            </wp:positionV>
            <wp:extent cx="60325"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-436245</wp:posOffset>
            </wp:positionV>
            <wp:extent cx="60325"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-153670</wp:posOffset>
            </wp:positionV>
            <wp:extent cx="6858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-153670</wp:posOffset>
            </wp:positionV>
            <wp:extent cx="6032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15430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Collaboration revenue of $6.9 million and $6.8 million for the three months ended September 30, 2022 and 2021, respectively, was derived from the Gilead collaboration. The increase of $0.1 million was due to greater research costs incurred under the collaboration during the three months ended September 30, 2022 resulting in higher collaboration revenue recognized.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 was $28.7 million for the three months ended September 30, 2022 compared to $21.9 million for the three months ended September 30, 2021. The increase of $6.8 million was primarily due to increased expenses relating to the advancement of our TNG462 and TNG260 programs. Facilities costs increased $1.3 million primarily due to expenses incurred related to the new lease at 201 Brookline Avenue in Boston, MA.</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was $8.1 million for the three months ended September 30, 2022 compared to $4.4 million for the three months ended September 30, 2021. The increase of $3.7 million was primarily due to a $1.9 million increase in personnel-related costs due to an increase in share-based compensation expense and additional headcount.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Interest income was $0.4 million for the three months ended September 30, 2022 compared to $0.1 million for the three months ended September 30, 2021. Interest income were not significant for each of the three months ended September 30, 2022 and 2021.</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Other income, net was $0.5 million for the three months ended September 30, 2022 compared to other expense, net of less than $0.1 million for the three months ended September 30, 2021. Other income and other expense were not significant for both the three months ended September 30, 2022 and 2021.</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1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Provision for income taxes was $0 for the three months ended September 30, 2022 compared to less than $0.1 million for the three months ended September 30, 2021. The tax provision in the period ended September 30, 2021 is primarily attributable to taxable deferred revenue partially offset by the utilization of federal and state net operating losses and federal and state tax credits.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2022 and 2021:</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3380" w:type="dxa"/>
            <w:vAlign w:val="bottom"/>
            <w:gridSpan w:val="6"/>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24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(1,877 )</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860" w:type="dxa"/>
            <w:vAlign w:val="bottom"/>
          </w:tcPr>
          <w:p>
            <w:pPr>
              <w:spacing w:after="0"/>
              <w:rPr>
                <w:sz w:val="18"/>
                <w:szCs w:val="18"/>
                <w:color w:val="auto"/>
              </w:rPr>
            </w:pP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(11,000 )</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98,953</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3"/>
              </w:rPr>
              <w:t>(80,504 )</w:t>
            </w:r>
          </w:p>
        </w:tc>
        <w:tc>
          <w:tcPr>
            <w:tcW w:w="18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(36,206 )</w:t>
            </w: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(44,298 )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(167 )</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8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(79,113</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(115 )</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(79,116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-1705610</wp:posOffset>
            </wp:positionV>
            <wp:extent cx="68580"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-1705610</wp:posOffset>
            </wp:positionV>
            <wp:extent cx="60325"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-1705610</wp:posOffset>
            </wp:positionV>
            <wp:extent cx="60325" cy="146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-1139825</wp:posOffset>
            </wp:positionV>
            <wp:extent cx="6858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-1139825</wp:posOffset>
            </wp:positionV>
            <wp:extent cx="60325" cy="146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-1139825</wp:posOffset>
            </wp:positionV>
            <wp:extent cx="60325"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-582295</wp:posOffset>
            </wp:positionV>
            <wp:extent cx="6858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-582295</wp:posOffset>
            </wp:positionV>
            <wp:extent cx="60325"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Collaboration revenue of $18.4 million and $20.3 million for the nine months ended September 30, 2022 and 2021, respectively, was derived from the Gilead collaboration. The decrease of $1.9 million was due to lower research costs incurred under the collaboration during the nine months ended September 30, 2022 resulting in lower collaboration revenue recognized.</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600" w:firstLine="509"/>
        <w:spacing w:after="0" w:line="250" w:lineRule="auto"/>
        <w:rPr>
          <w:sz w:val="20"/>
          <w:szCs w:val="20"/>
          <w:color w:val="auto"/>
        </w:rPr>
      </w:pPr>
      <w:r>
        <w:rPr>
          <w:rFonts w:ascii="Times New Roman" w:cs="Times New Roman" w:eastAsia="Times New Roman" w:hAnsi="Times New Roman"/>
          <w:sz w:val="18"/>
          <w:szCs w:val="18"/>
          <w:color w:val="auto"/>
        </w:rPr>
        <w:t>License revenue of $0 and $11.0 million for the nine months ended September 30, 2022 and 2021, respectively, was derived from the Gilead collaboration. The decrease of $11.0 million is primarily due to Gilead licensing a program for $11.0 million during the second quarter of 2021 as compared to no programs being licensed during the nine months ended September 30, 2022.</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expense was $76.8 million for the nine months ended September 30, 2022 compared to $56.0 million for the nine months ended September 30, 2021. The increase of $20.8 million was primarily due to increased expenses relating to the advancement of our TNG462 and TNG260 programs. Personnel-related costs increased $4.5 million primarily due to an increase of share-based compensation expense and additional headcount to support our research and development activities. Additionally, facilities costs increased $1.3 million primarily due to expenses incurred related to the new lease at 201 Brookline Avenue in Boston, MA.</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was $22.1 million for the nine months ended September 30, 2022 compared to $11.5 million for the nine months ended September 30, 2021. The increase of $10.6 million was primarily due to a $6.3 million increase in personnel-related costs due to an increase in share-based compensation expense and additional headcount. Insurance costs increased $2.2 million due to becoming a public company.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Interest income was $0.9 million for the nine months ended September 30, 2022 compared to $0.3 million for the nine months ended September 30, 2021. Interest income was not significant for each of the nine months ended September 30, 2022 and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right="300" w:firstLine="509"/>
        <w:spacing w:after="0" w:line="296" w:lineRule="auto"/>
        <w:rPr>
          <w:sz w:val="20"/>
          <w:szCs w:val="20"/>
          <w:color w:val="auto"/>
        </w:rPr>
      </w:pPr>
      <w:r>
        <w:rPr>
          <w:rFonts w:ascii="Times New Roman" w:cs="Times New Roman" w:eastAsia="Times New Roman" w:hAnsi="Times New Roman"/>
          <w:sz w:val="17"/>
          <w:szCs w:val="17"/>
          <w:color w:val="auto"/>
        </w:rPr>
        <w:t>Other income, net was $0.5 million for the nine months ended September 30, 2022 compared to other expense, net of $0.2 million for the nine months ended September 30, 2021. Other income and other expense were not significant for both the nine months ended September 30, 2022 and 2021.</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Provision for income taxes was less than $0.1 million for the nine months ended September 30, 2022 compared to $0.1 million for the nine months ended September 30, 2021. The tax provision recorded in each period is primarily attributable to taxable deferred revenue partially offset by the utilization of federal and state net operating losses and federal and state tax credits.</w:t>
      </w:r>
    </w:p>
    <w:p>
      <w:pPr>
        <w:spacing w:after="0" w:line="186"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approximately $166.9 million of gross proceeds from the private placement of preferred shares, $342.1 million of gross proceeds from the Business Combination and PIPE Financing transactions, and $218.1 million through the collaboration with Gilead. As of September 30, 2022, we had cash and cash equivalents and marketable securities of $393.3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1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September 30, 2022 of $393.3 million will enable us to fund our operating expenses and capital expenditure requirements at least into 2025. We have based this estimate on assumptions that may prove to be wrong, and we could expend our capital resources sooner than we expect.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nine month periods presented:</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0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(80,814 )</w:t>
            </w:r>
          </w:p>
        </w:tc>
        <w:tc>
          <w:tcPr>
            <w:tcW w:w="40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(42,625 )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(38,189 )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(138,227 )</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357,445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(356,357 )</w:t>
            </w:r>
          </w:p>
        </w:tc>
        <w:tc>
          <w:tcPr>
            <w:tcW w:w="0" w:type="dxa"/>
            <w:vAlign w:val="bottom"/>
          </w:tcPr>
          <w:p>
            <w:pPr>
              <w:spacing w:after="0"/>
              <w:rPr>
                <w:sz w:val="1"/>
                <w:szCs w:val="1"/>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 xml:space="preserve">(40,722 </w:t>
            </w:r>
            <w:r>
              <w:rPr>
                <w:rFonts w:ascii="Times New Roman" w:cs="Times New Roman" w:eastAsia="Times New Roman" w:hAnsi="Times New Roman"/>
                <w:sz w:val="18"/>
                <w:szCs w:val="18"/>
                <w:color w:val="auto"/>
                <w:highlight w:val="white"/>
              </w:rPr>
              <w:t>)</w:t>
            </w:r>
          </w:p>
        </w:tc>
        <w:tc>
          <w:tcPr>
            <w:tcW w:w="4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176,593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(217,315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 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194"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was $80.8 million for the nine months ended September 30, 2022 compared to net cash used in operating activities of $42.6 million for the nine months ended September 30, 2021. The increase in net cash used in operating activities for the nine months ended September 30, 2022 was primarily due to an increase to the net loss as a direct result of higher operating expenses related to the advancement of our programs and personnel-related costs. The increase was partially offset by higher non-cash expenses, including stock compensation.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was $39.0 million for the nine months ended September 30, 2022 compared to net cash used in investing activities of $138.2 million for the nine months ended September 30, 2021. The increase in net cash provided by investing activities was primarily due to a decrease in purchases of marketable securities partially offset by increased sales and maturities of marketable securities as compared to the nine months ended September 30, 2021.</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was $1.0 million for the nine months ended September 30, 2022 compared to net cash provided by financing activities of $357.4 million for the nine months ended September 30, 2021. The decrease in net cash provided by financing activities was a result of net proceeds of $326.5 million received upon the closing of the Business Combination and PIPE Financing in August 2021, as well as $30.0 million in proceeds related to the issuance of shares of redeemable convertible Series B preferred stock in March 2021. The cash provided by financing activities for the nine months ended September 30, 2022 was the result of cash provided from the exercises of stock options and ESPP purchases.</w:t>
      </w:r>
    </w:p>
    <w:p>
      <w:pPr>
        <w:spacing w:after="0" w:line="195"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On September 1, 2022, we filed a Form S-3 Registration Statement and an accompanying prospectus for an at-the-market, or ATM, offering program and entered into a sales agreement with Jefferies LLC, relating to shares of our common stock. Pursuant to the terms of the sales agreement, we may offer and sell shares of common stock, having an aggregate price of up to $100 million from time to time. During the nine months ended September 30, 2022, we did not make any sales under the ATM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September 30, 2022 and the effects that such obligations are expected to have on our liquidity and cash flows in future periods:</w:t>
      </w:r>
    </w:p>
    <w:p>
      <w:pPr>
        <w:spacing w:after="0" w:line="155"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60" w:type="dxa"/>
            <w:vAlign w:val="bottom"/>
          </w:tcPr>
          <w:p>
            <w:pPr>
              <w:spacing w:after="0"/>
              <w:rPr>
                <w:sz w:val="11"/>
                <w:szCs w:val="11"/>
                <w:color w:val="auto"/>
              </w:rPr>
            </w:pPr>
          </w:p>
        </w:tc>
        <w:tc>
          <w:tcPr>
            <w:tcW w:w="10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61,351</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-153670</wp:posOffset>
            </wp:positionV>
            <wp:extent cx="6858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-153670</wp:posOffset>
            </wp:positionV>
            <wp:extent cx="6858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-153670</wp:posOffset>
            </wp:positionV>
            <wp:extent cx="60325"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-153670</wp:posOffset>
            </wp:positionV>
            <wp:extent cx="60325"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-153670</wp:posOffset>
            </wp:positionV>
            <wp:extent cx="5969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154305"/>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commitment amounts in the table above reflect the minimum payments due under our operating lease for office and laboratory space at our 201 Brookline Avenue, Boston, Massachusetts location. These commitments are also recognized as operating lease liabilities in our balance sheet at September 30, 2022. The fixed annual rent payable under the lease is $5.1 million, increasing by 3% annually from the rent commencement date.</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14"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September 30, 2022.</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September 30, 2022 and December 31, 2021, we were unable to estimate the timing or likelihood of achieving these milestones or generating future product sales. Refer to Note 9 of our audited consolidated financial statements and related notes for the year ended December 31, 2021 included in our Annual Report on Form 10-K for a description of our license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1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32" w:name="page33"/>
    <w:bookmarkEnd w:id="32"/>
    <w:p>
      <w:pPr>
        <w:ind w:right="200"/>
        <w:spacing w:after="0" w:line="247" w:lineRule="auto"/>
        <w:rPr>
          <w:sz w:val="20"/>
          <w:szCs w:val="20"/>
          <w:color w:val="auto"/>
        </w:rPr>
      </w:pPr>
      <w:r>
        <w:rPr>
          <w:rFonts w:ascii="Times New Roman" w:cs="Times New Roman" w:eastAsia="Times New Roman" w:hAnsi="Times New Roman"/>
          <w:sz w:val="18"/>
          <w:szCs w:val="18"/>
          <w:color w:val="auto"/>
        </w:rPr>
        <w:t>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our Annual Report on Form 10-K for the year ended December 31, 2021, we believe that the following accounting policies are those most critical to the judgments and estimates used in the preparation of our financial statements.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1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46" w:lineRule="exact"/>
        <w:rPr>
          <w:sz w:val="20"/>
          <w:szCs w:val="20"/>
          <w:color w:val="auto"/>
        </w:rPr>
      </w:pPr>
    </w:p>
    <w:p>
      <w:pPr>
        <w:ind w:right="120" w:firstLine="509"/>
        <w:spacing w:after="0" w:line="241"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205"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8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3" w:name="page34"/>
    <w:bookmarkEnd w:id="33"/>
    <w:p>
      <w:pPr>
        <w:ind w:right="160"/>
        <w:spacing w:after="0" w:line="250" w:lineRule="auto"/>
        <w:rPr>
          <w:sz w:val="20"/>
          <w:szCs w:val="20"/>
          <w:color w:val="auto"/>
        </w:rPr>
      </w:pPr>
      <w:r>
        <w:rPr>
          <w:rFonts w:ascii="Times New Roman" w:cs="Times New Roman" w:eastAsia="Times New Roman" w:hAnsi="Times New Roman"/>
          <w:sz w:val="18"/>
          <w:szCs w:val="18"/>
          <w:color w:val="auto"/>
        </w:rPr>
        <w:t>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9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77"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69"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20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16" w:lineRule="exact"/>
        <w:rPr>
          <w:sz w:val="20"/>
          <w:szCs w:val="20"/>
          <w:color w:val="auto"/>
        </w:rPr>
      </w:pPr>
    </w:p>
    <w:p>
      <w:pPr>
        <w:jc w:val="both"/>
        <w:ind w:right="600" w:firstLine="509"/>
        <w:spacing w:after="0" w:line="258" w:lineRule="auto"/>
        <w:rPr>
          <w:sz w:val="20"/>
          <w:szCs w:val="20"/>
          <w:color w:val="auto"/>
        </w:rPr>
      </w:pPr>
      <w:r>
        <w:rPr>
          <w:rFonts w:ascii="Times New Roman" w:cs="Times New Roman" w:eastAsia="Times New Roman" w:hAnsi="Times New Roman"/>
          <w:sz w:val="18"/>
          <w:szCs w:val="18"/>
          <w:color w:val="auto"/>
        </w:rPr>
        <w:t>We estimate the fair value of our stock option awards using the Black 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4" w:name="page35"/>
    <w:bookmarkEnd w:id="34"/>
    <w:p>
      <w:pPr>
        <w:ind w:right="100"/>
        <w:spacing w:after="0" w:line="247" w:lineRule="auto"/>
        <w:rPr>
          <w:sz w:val="20"/>
          <w:szCs w:val="20"/>
          <w:color w:val="auto"/>
        </w:rPr>
      </w:pPr>
      <w:r>
        <w:rPr>
          <w:rFonts w:ascii="Times New Roman" w:cs="Times New Roman" w:eastAsia="Times New Roman" w:hAnsi="Times New Roman"/>
          <w:sz w:val="18"/>
          <w:szCs w:val="18"/>
          <w:color w:val="auto"/>
        </w:rPr>
        <w:t>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The fair value of each share of common stock underlying stock-based awards is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180"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p>
    <w:p>
      <w:pPr>
        <w:spacing w:after="0" w:line="16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 xml:space="preserve">Prior to the consummation of the Business Combination, as there was not a public market for our common stock prior to becoming publicly traded in August 2021,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Our common stock valuations were prepared using either an option pricing method, or 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95"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6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1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private entities. As an emerging growth company, we may take advantage of certain exemptions and reduced reporting requirements under the JOBS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conditions, as an emerging growth company:</w:t>
      </w:r>
    </w:p>
    <w:p>
      <w:pPr>
        <w:spacing w:after="0" w:line="85" w:lineRule="exact"/>
        <w:rPr>
          <w:sz w:val="20"/>
          <w:szCs w:val="20"/>
          <w:color w:val="auto"/>
        </w:rPr>
      </w:pPr>
    </w:p>
    <w:p>
      <w:pPr>
        <w:ind w:left="1020" w:right="4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 in our periodic reports and registration statements;</w:t>
      </w:r>
    </w:p>
    <w:p>
      <w:pPr>
        <w:spacing w:after="0" w:line="6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12"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2025, (ii) the last day of the fiscal year in which we have total annual gross revenues of $1.235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95"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1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had cash, cash equivalents and marketable securities of $393.3 million and $485.3 million as of September 30, 2022 and December 31, 2021, respectively, which consisted of cash, money market funds, U.S. Treasury bills and U.S. government agency bonds. Interest income is sensitive to changes in the general level of interest rates. Due to the short-term duration of our investment portfolio and the low risk profile of our investments, we believe an immediate 1%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1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Our operations may be subject to inflation in the future. 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36" w:name="page37"/>
    <w:bookmarkEnd w:id="36"/>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However, if inflation remains at current levels for an extended period of time, or increases, our costs are likely to increase, which may negatively impact our margins and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September 30,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16" w:lineRule="exact"/>
        <w:rPr>
          <w:sz w:val="20"/>
          <w:szCs w:val="20"/>
          <w:color w:val="auto"/>
        </w:rPr>
      </w:pPr>
    </w:p>
    <w:p>
      <w:pPr>
        <w:ind w:right="80" w:firstLine="8"/>
        <w:spacing w:after="0" w:line="243"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occurred during the quarter ended September 30, 2022 that materially affected, or were reasonably likely to materially affect, the Company’s internal control over financial reporting.</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7" w:name="page38"/>
    <w:bookmarkEnd w:id="3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6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0"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other information in this Quarterly Report on Form 10-Q,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precision oncology company with a limited operating history.</w:t>
      </w:r>
    </w:p>
    <w:p>
      <w:pPr>
        <w:spacing w:after="0" w:line="108"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first investigational new drug, or IND, application, for TNG908, was cleared by the FDA in the first quarter of 2022. Other than TNG908, all of our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our stockholders’ equity and working capital.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08" w:lineRule="exact"/>
        <w:rPr>
          <w:sz w:val="20"/>
          <w:szCs w:val="20"/>
          <w:color w:val="auto"/>
        </w:rPr>
      </w:pPr>
    </w:p>
    <w:p>
      <w:pPr>
        <w:ind w:right="160" w:firstLine="576"/>
        <w:spacing w:after="0" w:line="246"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For the nine months ended September 30, 2022, our net loss was $79.1 million. As of September 30, 2022, we had an accumulated deficit of $240.5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1" w:lineRule="exact"/>
        <w:rPr>
          <w:sz w:val="20"/>
          <w:szCs w:val="20"/>
          <w:color w:val="auto"/>
        </w:rPr>
      </w:pPr>
    </w:p>
    <w:p>
      <w:pPr>
        <w:ind w:right="100" w:firstLine="576"/>
        <w:spacing w:after="0" w:line="250"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77" w:lineRule="exact"/>
        <w:rPr>
          <w:sz w:val="20"/>
          <w:szCs w:val="20"/>
          <w:color w:val="auto"/>
        </w:rPr>
      </w:pPr>
    </w:p>
    <w:p>
      <w:pPr>
        <w:ind w:firstLine="230"/>
        <w:spacing w:after="0" w:line="266" w:lineRule="auto"/>
        <w:rPr>
          <w:sz w:val="20"/>
          <w:szCs w:val="20"/>
          <w:color w:val="auto"/>
        </w:rPr>
      </w:pPr>
      <w:r>
        <w:rPr>
          <w:rFonts w:ascii="Times New Roman" w:cs="Times New Roman" w:eastAsia="Times New Roman" w:hAnsi="Times New Roman"/>
          <w:sz w:val="18"/>
          <w:szCs w:val="18"/>
          <w:color w:val="auto"/>
        </w:rPr>
        <w:t>the timing and success or failure of ongoing and future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39" w:name="page40"/>
    <w:bookmarkEnd w:id="39"/>
    <w:p>
      <w:pPr>
        <w:ind w:right="100" w:firstLine="230"/>
        <w:spacing w:after="0" w:line="254" w:lineRule="auto"/>
        <w:rPr>
          <w:sz w:val="20"/>
          <w:szCs w:val="20"/>
          <w:color w:val="auto"/>
        </w:rPr>
      </w:pPr>
      <w:r>
        <w:rPr>
          <w:rFonts w:ascii="Times New Roman" w:cs="Times New Roman" w:eastAsia="Times New Roman" w:hAnsi="Times New Roman"/>
          <w:sz w:val="18"/>
          <w:szCs w:val="18"/>
          <w:color w:val="auto"/>
        </w:rPr>
        <w:t>our ability to obtain INDs for our pipeline product candidates, successfully open clinical trial sites and recruit and retain subjects for clinical trials, and any delays caused by difficulties in such efforts;</w:t>
      </w:r>
    </w:p>
    <w:p>
      <w:pPr>
        <w:spacing w:after="0" w:line="234" w:lineRule="auto"/>
        <w:rPr>
          <w:sz w:val="20"/>
          <w:szCs w:val="20"/>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ind w:right="600" w:firstLine="230"/>
        <w:spacing w:after="0" w:line="242" w:lineRule="auto"/>
        <w:rPr>
          <w:sz w:val="20"/>
          <w:szCs w:val="20"/>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and any future product candidates and research-stage programs, which may change from time to time;</w:t>
      </w:r>
    </w:p>
    <w:p>
      <w:pPr>
        <w:spacing w:after="0" w:line="1" w:lineRule="exact"/>
        <w:rPr>
          <w:sz w:val="20"/>
          <w:szCs w:val="20"/>
          <w:color w:val="auto"/>
        </w:rPr>
      </w:pPr>
    </w:p>
    <w:p>
      <w:pPr>
        <w:ind w:right="100" w:firstLine="230"/>
        <w:spacing w:after="0" w:line="241" w:lineRule="auto"/>
        <w:rPr>
          <w:sz w:val="20"/>
          <w:szCs w:val="20"/>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our ability to attract, hire and retain qualified personnel;</w:t>
      </w:r>
    </w:p>
    <w:p>
      <w:pPr>
        <w:spacing w:after="0" w:line="234" w:lineRule="auto"/>
        <w:rPr>
          <w:sz w:val="20"/>
          <w:szCs w:val="20"/>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34" w:lineRule="auto"/>
        <w:rPr>
          <w:sz w:val="20"/>
          <w:szCs w:val="20"/>
          <w:color w:val="auto"/>
        </w:rPr>
      </w:pPr>
      <w:r>
        <w:rPr>
          <w:rFonts w:ascii="Times New Roman" w:cs="Times New Roman" w:eastAsia="Times New Roman" w:hAnsi="Times New Roman"/>
          <w:sz w:val="18"/>
          <w:szCs w:val="18"/>
          <w:color w:val="auto"/>
        </w:rPr>
        <w:t>the level of demand for our product candidates should they receive regulatory approval, which may vary significantly;</w:t>
      </w:r>
    </w:p>
    <w:p>
      <w:pPr>
        <w:ind w:right="800" w:firstLine="230"/>
        <w:spacing w:after="0" w:line="242" w:lineRule="auto"/>
        <w:rPr>
          <w:sz w:val="20"/>
          <w:szCs w:val="20"/>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 w:lineRule="exact"/>
        <w:rPr>
          <w:sz w:val="20"/>
          <w:szCs w:val="20"/>
          <w:color w:val="auto"/>
        </w:rPr>
      </w:pPr>
    </w:p>
    <w:p>
      <w:pPr>
        <w:ind w:left="240" w:right="2240"/>
        <w:spacing w:after="0" w:line="243" w:lineRule="auto"/>
        <w:rPr>
          <w:sz w:val="20"/>
          <w:szCs w:val="20"/>
          <w:color w:val="auto"/>
        </w:rPr>
      </w:pPr>
      <w:r>
        <w:rPr>
          <w:rFonts w:ascii="Times New Roman" w:cs="Times New Roman" w:eastAsia="Times New Roman" w:hAnsi="Times New Roman"/>
          <w:sz w:val="18"/>
          <w:szCs w:val="18"/>
          <w:color w:val="auto"/>
        </w:rPr>
        <w:t>the changing and volatile U.S. and global economic environments, including as a result of the COVID-19 pandemic; and future accounting pronouncements or changes in our accounting policies.</w:t>
      </w:r>
    </w:p>
    <w:p>
      <w:pPr>
        <w:spacing w:after="0" w:line="195"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The individual or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08"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complete our planned preclinical studies for our novel precision oncology development programs;</w:t>
      </w:r>
    </w:p>
    <w:p>
      <w:pPr>
        <w:spacing w:after="0" w:line="15" w:lineRule="exact"/>
        <w:rPr>
          <w:sz w:val="20"/>
          <w:szCs w:val="20"/>
          <w:color w:val="auto"/>
        </w:rPr>
      </w:pPr>
    </w:p>
    <w:p>
      <w:pPr>
        <w:ind w:left="240" w:right="1740"/>
        <w:spacing w:after="0" w:line="242" w:lineRule="auto"/>
        <w:rPr>
          <w:sz w:val="20"/>
          <w:szCs w:val="20"/>
          <w:color w:val="auto"/>
        </w:rPr>
      </w:pPr>
      <w:r>
        <w:rPr>
          <w:rFonts w:ascii="Times New Roman" w:cs="Times New Roman" w:eastAsia="Times New Roman" w:hAnsi="Times New Roman"/>
          <w:sz w:val="18"/>
          <w:szCs w:val="18"/>
          <w:color w:val="auto"/>
        </w:rPr>
        <w:t>timely file INDs for our programs, and obtain clearance of these INDs to allow for commencement of such future clinical trials; timely patient enrollment and patient dosing in our TNG908 clinical trial;</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successfully complete our TNG908 clinical trial and any future clinical trials;</w:t>
      </w:r>
    </w:p>
    <w:p>
      <w:pPr>
        <w:ind w:left="240" w:right="340"/>
        <w:spacing w:after="0" w:line="242" w:lineRule="auto"/>
        <w:rPr>
          <w:sz w:val="20"/>
          <w:szCs w:val="20"/>
          <w:color w:val="auto"/>
        </w:rPr>
      </w:pPr>
      <w:r>
        <w:rPr>
          <w:rFonts w:ascii="Times New Roman" w:cs="Times New Roman" w:eastAsia="Times New Roman" w:hAnsi="Times New Roman"/>
          <w:sz w:val="18"/>
          <w:szCs w:val="18"/>
          <w:color w:val="auto"/>
        </w:rPr>
        <w:t>initiate and successfully complete all safety and efficacy studies required to obtain U.S. and foreign regulatory approval for our product candidates; make and maintain arrangements with third-party manufacturers for clinical supply and commercial manufacturing;</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rPr>
          <w:sz w:val="20"/>
          <w:szCs w:val="20"/>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7" w:lineRule="exact"/>
        <w:rPr>
          <w:sz w:val="20"/>
          <w:szCs w:val="20"/>
          <w:color w:val="auto"/>
        </w:rPr>
      </w:pPr>
    </w:p>
    <w:p>
      <w:pPr>
        <w:ind w:left="240" w:right="1520"/>
        <w:spacing w:after="0" w:line="235" w:lineRule="auto"/>
        <w:rPr>
          <w:sz w:val="20"/>
          <w:szCs w:val="20"/>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 position our products to effectively compete with other therapies;</w:t>
      </w:r>
    </w:p>
    <w:p>
      <w:pPr>
        <w:spacing w:after="0" w:line="1" w:lineRule="exact"/>
        <w:rPr>
          <w:sz w:val="20"/>
          <w:szCs w:val="20"/>
          <w:color w:val="auto"/>
        </w:rPr>
      </w:pPr>
    </w:p>
    <w:p>
      <w:pPr>
        <w:ind w:left="240" w:right="3020"/>
        <w:spacing w:after="0" w:line="242" w:lineRule="auto"/>
        <w:rPr>
          <w:sz w:val="20"/>
          <w:szCs w:val="20"/>
          <w:color w:val="auto"/>
        </w:rPr>
      </w:pPr>
      <w:r>
        <w:rPr>
          <w:rFonts w:ascii="Times New Roman" w:cs="Times New Roman" w:eastAsia="Times New Roman" w:hAnsi="Times New Roman"/>
          <w:sz w:val="18"/>
          <w:szCs w:val="18"/>
          <w:color w:val="auto"/>
        </w:rPr>
        <w:t>obtain and maintain healthcare coverage and adequate reimbursement for our products, if and when approved; enforce and defend intellectual property rights and claims;</w:t>
      </w:r>
    </w:p>
    <w:p>
      <w:pPr>
        <w:spacing w:after="0" w:line="1" w:lineRule="exact"/>
        <w:rPr>
          <w:sz w:val="20"/>
          <w:szCs w:val="20"/>
          <w:color w:val="auto"/>
        </w:rPr>
      </w:pPr>
    </w:p>
    <w:p>
      <w:pPr>
        <w:ind w:right="420" w:firstLine="230"/>
        <w:spacing w:after="0" w:line="241" w:lineRule="auto"/>
        <w:rPr>
          <w:sz w:val="20"/>
          <w:szCs w:val="20"/>
          <w:color w:val="auto"/>
        </w:rPr>
      </w:pPr>
      <w:r>
        <w:rPr>
          <w:rFonts w:ascii="Times New Roman" w:cs="Times New Roman" w:eastAsia="Times New Roman" w:hAnsi="Times New Roman"/>
          <w:sz w:val="18"/>
          <w:szCs w:val="18"/>
          <w:color w:val="auto"/>
        </w:rPr>
        <w:t>implement measures to help minimize the risk and disruption of COVID-19 to our employees as well as patients and subjects to be enrolled in our clinical trials;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193"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If we do not achieve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or we may be required to sell or license assets to third parties on terms that are not favorable to us, if at all.</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40" w:name="page41"/>
    <w:bookmarkEnd w:id="40"/>
    <w:p>
      <w:pPr>
        <w:ind w:firstLine="576"/>
        <w:spacing w:after="0" w:line="243" w:lineRule="auto"/>
        <w:rPr>
          <w:sz w:val="20"/>
          <w:szCs w:val="20"/>
          <w:color w:val="auto"/>
        </w:rPr>
      </w:pPr>
      <w:r>
        <w:rPr>
          <w:rFonts w:ascii="Times New Roman" w:cs="Times New Roman" w:eastAsia="Times New Roman" w:hAnsi="Times New Roman"/>
          <w:sz w:val="18"/>
          <w:szCs w:val="18"/>
          <w:color w:val="auto"/>
        </w:rPr>
        <w:t>Further, our most advanced program is a PRMT5 inhibitor, TNG908. Given the large number of patients with MTAP-deleted cancers, we are investing in our PRMT5 franchise beyond TNG908 with the goal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The clinical development path for TNG462 is expected to be similar to TNG908, evaluating safety and efficacy in multiple tumor types in a future Phase 1/2 clinical trial. Glioblastoma will be excluded from the clinical trial as TNG462 does not cross the blood-brain barrier in preclinical non-human primate models. If clinical evaluation of TNG462 supports this hypothesis, we may elect to promote TNG462 as our lead PRMT5 inhibitor, which may result in a delay to our development timeline for the lead PRMT5 program of approximately 12 to 18 months (in this case, we could continue clinical development of TNG908, however, the focus would be on glioblastoma, which constitutes only a subset of the larger MTAP-deleted cancer patient population). If we elect to promote this next-generation compound, it may result in the delay in receiving potential revenue from product sales, if approved by regulatory authorities.</w:t>
      </w:r>
    </w:p>
    <w:p>
      <w:pPr>
        <w:spacing w:after="0" w:line="2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37" w:lineRule="exact"/>
        <w:rPr>
          <w:sz w:val="20"/>
          <w:szCs w:val="20"/>
          <w:color w:val="auto"/>
        </w:rPr>
      </w:pPr>
    </w:p>
    <w:p>
      <w:pPr>
        <w:ind w:right="20" w:firstLine="576"/>
        <w:spacing w:after="0" w:line="262" w:lineRule="auto"/>
        <w:rPr>
          <w:sz w:val="20"/>
          <w:szCs w:val="20"/>
          <w:color w:val="auto"/>
        </w:rPr>
      </w:pPr>
      <w:r>
        <w:rPr>
          <w:rFonts w:ascii="Times New Roman" w:cs="Times New Roman" w:eastAsia="Times New Roman" w:hAnsi="Times New Roman"/>
          <w:sz w:val="17"/>
          <w:szCs w:val="17"/>
          <w:color w:val="auto"/>
        </w:rPr>
        <w:t>The development of pharmaceutical products is capital-intensive. We are currently advancing our precision oncology programs through clinical and preclinical development. We received FDA clearance of our IND application for TNG908 in the first quarter of 2022 and we are actively enrolling patients in the TNG908 Phase 1/2 clinical trial, which is evaluating safety and efficacy in multiple indications. We plan to file an IND for TNG462, our next generation PRMT5 inhibitor, in the first half of 2023. Additionally, we plan to file an IND for TNG260, our selective CoREST inhibitor, in the first half of 2023. We also plan to file an IND for TNG348, our USP1 inhibitor, in 2023. Consequently, we expect our expenses to significantly increase in connection with our ongoing activities, particularly as we continue the research and development of, initiate and complete clinical trials of, and seek regulatory approval for, our product candidates. As a result, we will be required to raise substantial additional funding in the future in order to continue our operations.</w:t>
      </w:r>
    </w:p>
    <w:p>
      <w:pPr>
        <w:spacing w:after="0" w:line="59" w:lineRule="exact"/>
        <w:rPr>
          <w:sz w:val="20"/>
          <w:szCs w:val="20"/>
          <w:color w:val="auto"/>
        </w:rPr>
      </w:pPr>
    </w:p>
    <w:p>
      <w:pPr>
        <w:ind w:right="400" w:firstLine="576"/>
        <w:spacing w:after="0" w:line="245" w:lineRule="auto"/>
        <w:rPr>
          <w:sz w:val="20"/>
          <w:szCs w:val="20"/>
          <w:color w:val="auto"/>
        </w:rPr>
      </w:pPr>
      <w:r>
        <w:rPr>
          <w:rFonts w:ascii="Times New Roman" w:cs="Times New Roman" w:eastAsia="Times New Roman" w:hAnsi="Times New Roman"/>
          <w:sz w:val="18"/>
          <w:szCs w:val="18"/>
          <w:color w:val="auto"/>
        </w:rPr>
        <w:t>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81" w:lineRule="exact"/>
        <w:rPr>
          <w:sz w:val="20"/>
          <w:szCs w:val="20"/>
          <w:color w:val="auto"/>
        </w:rPr>
      </w:pPr>
    </w:p>
    <w:p>
      <w:pPr>
        <w:ind w:right="160" w:firstLine="584"/>
        <w:spacing w:after="0" w:line="258"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will fund our projected operating requirements at least into 2025. However, our future capital requirements will depend on and could increase significantly as a result of many factors (which may result in exhausting such cash resources prior to 2025), including: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progress, results and costs of product discovery, preclinical and clinical development, and clinical trials for our product candidates;</w:t>
      </w:r>
    </w:p>
    <w:p>
      <w:pPr>
        <w:spacing w:after="0" w:line="27" w:lineRule="exact"/>
        <w:rPr>
          <w:sz w:val="20"/>
          <w:szCs w:val="20"/>
          <w:color w:val="auto"/>
        </w:rPr>
      </w:pPr>
    </w:p>
    <w:p>
      <w:pPr>
        <w:ind w:left="240" w:right="320"/>
        <w:spacing w:after="0" w:line="235" w:lineRule="auto"/>
        <w:rPr>
          <w:sz w:val="20"/>
          <w:szCs w:val="20"/>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the COVID-19 pandemic; the scope, prioritization and number of our research and development programs;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ind w:right="80" w:firstLine="230"/>
        <w:spacing w:after="0" w:line="241" w:lineRule="auto"/>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agreements or any additional collaboration agreements we may establish;</w:t>
      </w:r>
    </w:p>
    <w:p>
      <w:pPr>
        <w:spacing w:after="0" w:line="1" w:lineRule="exact"/>
        <w:rPr>
          <w:sz w:val="20"/>
          <w:szCs w:val="20"/>
          <w:color w:val="auto"/>
        </w:rPr>
      </w:pPr>
    </w:p>
    <w:p>
      <w:pPr>
        <w:ind w:right="240" w:firstLine="230"/>
        <w:spacing w:after="0"/>
        <w:rPr>
          <w:sz w:val="20"/>
          <w:szCs w:val="20"/>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the costs of preparing, filing and prosecuting patent applications, maintaining and enforcing our intellectual property rights and defending intellectual property-related claims;</w:t>
      </w:r>
    </w:p>
    <w:p>
      <w:pPr>
        <w:ind w:left="240" w:right="4520"/>
        <w:spacing w:after="0" w:line="249" w:lineRule="auto"/>
        <w:rPr>
          <w:sz w:val="20"/>
          <w:szCs w:val="20"/>
          <w:color w:val="auto"/>
        </w:rPr>
      </w:pPr>
      <w:r>
        <w:rPr>
          <w:rFonts w:ascii="Times New Roman" w:cs="Times New Roman" w:eastAsia="Times New Roman" w:hAnsi="Times New Roman"/>
          <w:sz w:val="17"/>
          <w:szCs w:val="17"/>
          <w:color w:val="auto"/>
        </w:rPr>
        <w:t>the extent to which we acquire or in-license other product candidates and technologies; the costs of securing manufacturing arrangements for clinical and commercial production;</w:t>
      </w:r>
    </w:p>
    <w:p>
      <w:pPr>
        <w:spacing w:after="0" w:line="1" w:lineRule="exact"/>
        <w:rPr>
          <w:sz w:val="20"/>
          <w:szCs w:val="20"/>
          <w:color w:val="auto"/>
        </w:rPr>
      </w:pPr>
    </w:p>
    <w:p>
      <w:pPr>
        <w:ind w:left="240" w:right="1380"/>
        <w:spacing w:after="0" w:line="243" w:lineRule="auto"/>
        <w:rPr>
          <w:sz w:val="20"/>
          <w:szCs w:val="20"/>
          <w:color w:val="auto"/>
        </w:rPr>
      </w:pPr>
      <w:r>
        <w:rPr>
          <w:rFonts w:ascii="Times New Roman" w:cs="Times New Roman" w:eastAsia="Times New Roman" w:hAnsi="Times New Roman"/>
          <w:sz w:val="18"/>
          <w:szCs w:val="18"/>
          <w:color w:val="auto"/>
        </w:rPr>
        <w:t>our ability to hire and retain skilled scientific and operational personnel to meet our development, clinical and commercial objectives; costs related to the development of any companion diagnostics we may use in the future; and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225" w:lineRule="exact"/>
        <w:rPr>
          <w:sz w:val="20"/>
          <w:szCs w:val="20"/>
          <w:color w:val="auto"/>
        </w:rPr>
      </w:pPr>
    </w:p>
    <w:p>
      <w:pPr>
        <w:ind w:right="80" w:firstLine="576"/>
        <w:spacing w:after="0" w:line="24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181"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As a result of disruptions in the financial markets in general, and the recent decrease in biopharmaceutical stock prices and market capitalizations in particular, as well as the ongoing COVID-19 pandemic, equity and debt financing may be more difficult to obtain and may have a material adverse effect on our ability to meet our fundraising needs. We cannot guarantee that future financing will be available in sufficient amounts or on terms acceptable to us, if at all.</w:t>
      </w:r>
    </w:p>
    <w:p>
      <w:pPr>
        <w:spacing w:after="0" w:line="195" w:lineRule="exact"/>
        <w:rPr>
          <w:sz w:val="20"/>
          <w:szCs w:val="20"/>
          <w:color w:val="auto"/>
        </w:rPr>
      </w:pPr>
    </w:p>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81"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3" w:lineRule="exact"/>
        <w:rPr>
          <w:sz w:val="20"/>
          <w:szCs w:val="20"/>
          <w:color w:val="auto"/>
        </w:rPr>
      </w:pPr>
    </w:p>
    <w:p>
      <w:pPr>
        <w:ind w:right="80" w:firstLine="576"/>
        <w:spacing w:after="0" w:line="24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one or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92" w:lineRule="exact"/>
        <w:rPr>
          <w:sz w:val="20"/>
          <w:szCs w:val="20"/>
          <w:color w:val="auto"/>
        </w:rPr>
      </w:pPr>
    </w:p>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Precision Oncology and Other Programs and Product Candidates</w:t>
      </w:r>
    </w:p>
    <w:p>
      <w:pPr>
        <w:spacing w:after="0" w:line="2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37" w:lineRule="exact"/>
        <w:rPr>
          <w:sz w:val="20"/>
          <w:szCs w:val="20"/>
          <w:color w:val="auto"/>
        </w:rPr>
      </w:pPr>
    </w:p>
    <w:p>
      <w:pPr>
        <w:ind w:right="160" w:firstLine="576"/>
        <w:spacing w:after="0" w:line="246" w:lineRule="auto"/>
        <w:rPr>
          <w:sz w:val="20"/>
          <w:szCs w:val="20"/>
          <w:color w:val="auto"/>
        </w:rPr>
      </w:pPr>
      <w:r>
        <w:rPr>
          <w:rFonts w:ascii="Times New Roman" w:cs="Times New Roman" w:eastAsia="Times New Roman" w:hAnsi="Times New Roman"/>
          <w:sz w:val="18"/>
          <w:szCs w:val="18"/>
          <w:color w:val="auto"/>
        </w:rPr>
        <w:t>We have not yet demonstrated our ability to successfully register, initiate, enroll and complete clinical trials, including large-scale, pivotal clinical trials, obtain regulatory approvals, manufacture a commercial scale product or arrange for a third party to do so on our behalf, or conduct sales and marketing activities necessary for successful commercialization. We received FDA clearance of our IND application for TNG908 in the first quarter of 2022 and we are actively enrolling patients in the TNG908 Phase 1/2 clinical trial, which is evaluating safety and efficacy in multiple indications. Other than TNG908,</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spacing w:after="0" w:line="242" w:lineRule="auto"/>
        <w:rPr>
          <w:sz w:val="20"/>
          <w:szCs w:val="20"/>
          <w:color w:val="auto"/>
        </w:rPr>
      </w:pPr>
      <w:r>
        <w:rPr>
          <w:rFonts w:ascii="Times New Roman" w:cs="Times New Roman" w:eastAsia="Times New Roman" w:hAnsi="Times New Roman"/>
          <w:sz w:val="18"/>
          <w:szCs w:val="18"/>
          <w:color w:val="auto"/>
        </w:rPr>
        <w:t>our programs are still in preclinical development and may never advance to clinical development. We plan to file an IND for TNG462, our next generation PRMT5 inhibitor, in the first half of 2023. Additionally, we plan to file an IND for TNG260, our selective CoREST inhibitor, in the first half of 2023, and an IND for TNG348, our USP1 inhibitor, in 2023. We may not be able to file such INDs or INDs for any of our other product candidates on the timelines we expect, if at all. Further, timelines for developing and filing INDs are subject to significant uncertainties and projected timelines can be improved upon or delayed. For example, we extended the timeline for filing an IND for our USP1 inhibitor program as we continued work on a development candidate, TNG348, that has improved pharmaceutical properties. Moreover, we cannot be sure that submission of an IND will result in the U.S. Food and Drug Administration, or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 Marketing Authorization Application, or MAA, to the European Medicines Agency, or EMA, or other marketing applications to regulatory authorities in other jurisdictions, for each product candidate and, consequently, the regulatory approval of each product candidate. While the IND for our lead program, TNG908, was cleared by the FDA, it is possible that an adequate number of patients may not be enrolled on a timely basis, or at all, and the study may not be completed (and preliminary, initial or final trial results may not be available) on time. Similarly, future clinical trials may not begin on time or be completed on schedule, if at all.</w:t>
      </w:r>
    </w:p>
    <w:p>
      <w:pPr>
        <w:spacing w:after="0" w:line="136" w:lineRule="exact"/>
        <w:rPr>
          <w:sz w:val="20"/>
          <w:szCs w:val="20"/>
          <w:color w:val="auto"/>
        </w:rPr>
      </w:pPr>
    </w:p>
    <w:p>
      <w:pPr>
        <w:ind w:firstLine="585"/>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61" w:lineRule="exact"/>
        <w:rPr>
          <w:sz w:val="20"/>
          <w:szCs w:val="20"/>
          <w:color w:val="auto"/>
        </w:rPr>
      </w:pPr>
    </w:p>
    <w:p>
      <w:pPr>
        <w:ind w:left="240" w:right="5860"/>
        <w:spacing w:after="0" w:line="253" w:lineRule="auto"/>
        <w:rPr>
          <w:sz w:val="20"/>
          <w:szCs w:val="20"/>
          <w:color w:val="auto"/>
        </w:rPr>
      </w:pPr>
      <w:r>
        <w:rPr>
          <w:rFonts w:ascii="Times New Roman" w:cs="Times New Roman" w:eastAsia="Times New Roman" w:hAnsi="Times New Roman"/>
          <w:sz w:val="18"/>
          <w:szCs w:val="18"/>
          <w:color w:val="auto"/>
        </w:rPr>
        <w:t>be delayed in obtaining regulatory approval for our product candidates; not obtain regulatory approval at all;</w:t>
      </w:r>
    </w:p>
    <w:p>
      <w:pPr>
        <w:ind w:left="240" w:right="3200"/>
        <w:spacing w:after="0" w:line="235" w:lineRule="auto"/>
        <w:rPr>
          <w:sz w:val="20"/>
          <w:szCs w:val="20"/>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 continue to be subject to post-marketing testing requirements;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product removed from the market after obtaining regulatory approval.</w:t>
      </w:r>
    </w:p>
    <w:p>
      <w:pPr>
        <w:spacing w:after="0" w:line="30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68"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as large as we anticipate, large enough to allow us to successfully obtain approval for each such mutation and commercialize our product candidates and achieve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08" w:lineRule="exact"/>
        <w:rPr>
          <w:sz w:val="20"/>
          <w:szCs w:val="20"/>
          <w:color w:val="auto"/>
        </w:rPr>
      </w:pPr>
    </w:p>
    <w:p>
      <w:pPr>
        <w:ind w:right="120" w:firstLine="576"/>
        <w:spacing w:after="0" w:line="245" w:lineRule="auto"/>
        <w:rPr>
          <w:sz w:val="20"/>
          <w:szCs w:val="20"/>
          <w:color w:val="auto"/>
        </w:rPr>
      </w:pPr>
      <w:r>
        <w:rPr>
          <w:rFonts w:ascii="Times New Roman" w:cs="Times New Roman" w:eastAsia="Times New Roman" w:hAnsi="Times New Roman"/>
          <w:sz w:val="18"/>
          <w:szCs w:val="18"/>
          <w:color w:val="auto"/>
        </w:rPr>
        <w:t>Our preclinical studies, our TNG908 clinical trial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(or be indicative of safety and efficacy if commercialized and used in a</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3" w:name="page44"/>
    <w:bookmarkEnd w:id="43"/>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broader population).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clinical trials may not be successful.</w:t>
      </w:r>
    </w:p>
    <w:p>
      <w:pPr>
        <w:spacing w:after="0" w:line="27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60"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8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7"/>
          <w:szCs w:val="17"/>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29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initial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0"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initial data from our current and future clinical trials, which is based on a preliminary analysis of then-available data, and the results and related findings and conclusions are subject to change following a more comprehensive review of the data and as results from additional clinical trial participants become available and trial participants spend additional time on therapy. For example, we may report responses in certain patients that are unconfirmed at the time and which do not ultimately result in confirmed responses to treatment after follow-up evaluations. We may also make assumptions, estimations, calculations and conclusions as part of our analyses of data, and we may not have received or had the opportunity to fully and carefully evaluate all data. As a result, the interim, top-line or initial results that we report may differ from future results of the same trials, or different conclusions or considerations may qualify such results, once additional data have been received and fully evaluated. Initial, interim or top-line data also remain subject to audit and verification procedures that may result in the final data being materially different from the interim data we previously published. As a result, initial, interim and top-line data should be viewed with caution until the final data are available. In addition, we may report interim analyses of only certain endpoints rather than all endpoints. Interim data from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4" w:name="page45"/>
    <w:bookmarkEnd w:id="44"/>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 and may cause the price of our common stock to fluctuate or decline.</w:t>
      </w:r>
    </w:p>
    <w:p>
      <w:pPr>
        <w:spacing w:after="0" w:line="169" w:lineRule="exact"/>
        <w:rPr>
          <w:sz w:val="20"/>
          <w:szCs w:val="20"/>
          <w:color w:val="auto"/>
        </w:rPr>
      </w:pPr>
    </w:p>
    <w:p>
      <w:pPr>
        <w:ind w:right="200" w:firstLine="576"/>
        <w:spacing w:after="0" w:line="250"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77"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If the initial,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294" w:lineRule="exact"/>
        <w:rPr>
          <w:sz w:val="20"/>
          <w:szCs w:val="20"/>
          <w:color w:val="auto"/>
        </w:rPr>
      </w:pPr>
    </w:p>
    <w:p>
      <w:pPr>
        <w:ind w:right="1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0"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272" w:lineRule="exact"/>
        <w:rPr>
          <w:sz w:val="20"/>
          <w:szCs w:val="20"/>
          <w:color w:val="auto"/>
        </w:rPr>
      </w:pPr>
    </w:p>
    <w:p>
      <w:pPr>
        <w:ind w:firstLine="230"/>
        <w:spacing w:after="0" w:line="254" w:lineRule="auto"/>
        <w:rPr>
          <w:sz w:val="20"/>
          <w:szCs w:val="20"/>
          <w:color w:val="auto"/>
        </w:rPr>
      </w:pPr>
      <w:r>
        <w:rPr>
          <w:rFonts w:ascii="Times New Roman" w:cs="Times New Roman" w:eastAsia="Times New Roman" w:hAnsi="Times New Roman"/>
          <w:sz w:val="18"/>
          <w:szCs w:val="18"/>
          <w:color w:val="auto"/>
        </w:rPr>
        <w:t>we may receive feedback from regulatory authorities that require us to modify the design or implementation of our preclinical studies or clinical trials or to delay or terminate a clinical trial;</w:t>
      </w:r>
    </w:p>
    <w:p>
      <w:pPr>
        <w:ind w:right="180" w:firstLine="230"/>
        <w:spacing w:after="0" w:line="241" w:lineRule="auto"/>
        <w:rPr>
          <w:sz w:val="20"/>
          <w:szCs w:val="20"/>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 w:lineRule="exact"/>
        <w:rPr>
          <w:sz w:val="20"/>
          <w:szCs w:val="20"/>
          <w:color w:val="auto"/>
        </w:rPr>
      </w:pPr>
    </w:p>
    <w:p>
      <w:pPr>
        <w:ind w:right="440" w:firstLine="230"/>
        <w:spacing w:after="0" w:line="235" w:lineRule="auto"/>
        <w:rPr>
          <w:sz w:val="20"/>
          <w:szCs w:val="20"/>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1" w:lineRule="exact"/>
        <w:rPr>
          <w:sz w:val="20"/>
          <w:szCs w:val="20"/>
          <w:color w:val="auto"/>
        </w:rPr>
      </w:pPr>
    </w:p>
    <w:p>
      <w:pPr>
        <w:jc w:val="both"/>
        <w:ind w:right="140" w:firstLine="230"/>
        <w:spacing w:after="0"/>
        <w:rPr>
          <w:sz w:val="20"/>
          <w:szCs w:val="20"/>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ind w:right="540" w:firstLine="230"/>
        <w:spacing w:after="0" w:line="241"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tumor types or indications;</w:t>
      </w:r>
    </w:p>
    <w:p>
      <w:pPr>
        <w:spacing w:after="0" w:line="1" w:lineRule="exact"/>
        <w:rPr>
          <w:sz w:val="20"/>
          <w:szCs w:val="20"/>
          <w:color w:val="auto"/>
        </w:rPr>
      </w:pPr>
    </w:p>
    <w:p>
      <w:pPr>
        <w:ind w:right="200" w:firstLine="230"/>
        <w:spacing w:after="0"/>
        <w:rPr>
          <w:sz w:val="20"/>
          <w:szCs w:val="20"/>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ind w:right="20" w:firstLine="230"/>
        <w:spacing w:after="0"/>
        <w:rPr>
          <w:sz w:val="20"/>
          <w:szCs w:val="20"/>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ind w:right="20" w:firstLine="185"/>
        <w:spacing w:after="0" w:line="235" w:lineRule="auto"/>
        <w:rPr>
          <w:sz w:val="20"/>
          <w:szCs w:val="20"/>
          <w:color w:val="auto"/>
        </w:rPr>
      </w:pPr>
      <w:r>
        <w:rPr>
          <w:rFonts w:ascii="Times New Roman" w:cs="Times New Roman" w:eastAsia="Times New Roman" w:hAnsi="Times New Roman"/>
          <w:sz w:val="18"/>
          <w:szCs w:val="18"/>
          <w:color w:val="auto"/>
        </w:rPr>
        <w:t>our clinical trial sites or investigators may deviate from the clinical trial protocol or drop out of the trial, which may require that we add new clinical trial sites or investigators;</w:t>
      </w:r>
    </w:p>
    <w:p>
      <w:pPr>
        <w:spacing w:after="0" w:line="1" w:lineRule="exact"/>
        <w:rPr>
          <w:sz w:val="20"/>
          <w:szCs w:val="20"/>
          <w:color w:val="auto"/>
        </w:rPr>
      </w:pPr>
    </w:p>
    <w:p>
      <w:pPr>
        <w:jc w:val="both"/>
        <w:ind w:right="320" w:firstLine="230"/>
        <w:spacing w:after="0"/>
        <w:rPr>
          <w:sz w:val="20"/>
          <w:szCs w:val="20"/>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234" w:lineRule="auto"/>
        <w:rPr>
          <w:sz w:val="20"/>
          <w:szCs w:val="20"/>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rPr>
          <w:sz w:val="20"/>
          <w:szCs w:val="20"/>
          <w:color w:val="auto"/>
        </w:rPr>
      </w:pPr>
      <w:r>
        <w:rPr>
          <w:rFonts w:ascii="Times New Roman" w:cs="Times New Roman" w:eastAsia="Times New Roman" w:hAnsi="Times New Roman"/>
          <w:sz w:val="18"/>
          <w:szCs w:val="18"/>
          <w:color w:val="auto"/>
        </w:rPr>
        <w:t>clinical trials of our product candidates may be delayed due to complications associated with the evolving COVID-19 pandemic;</w:t>
      </w:r>
    </w:p>
    <w:p>
      <w:pPr>
        <w:spacing w:after="0" w:line="7" w:lineRule="exact"/>
        <w:rPr>
          <w:sz w:val="20"/>
          <w:szCs w:val="20"/>
          <w:color w:val="auto"/>
        </w:rPr>
      </w:pPr>
    </w:p>
    <w:p>
      <w:pPr>
        <w:ind w:right="280" w:firstLine="230"/>
        <w:spacing w:after="0" w:line="245" w:lineRule="auto"/>
        <w:rPr>
          <w:sz w:val="20"/>
          <w:szCs w:val="20"/>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5" w:name="page46"/>
    <w:bookmarkEnd w:id="45"/>
    <w:p>
      <w:pPr>
        <w:ind w:right="340" w:firstLine="230"/>
        <w:spacing w:after="0" w:line="247" w:lineRule="auto"/>
        <w:rPr>
          <w:sz w:val="20"/>
          <w:szCs w:val="20"/>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7" w:lineRule="exact"/>
        <w:rPr>
          <w:sz w:val="20"/>
          <w:szCs w:val="20"/>
          <w:color w:val="auto"/>
        </w:rPr>
      </w:pPr>
    </w:p>
    <w:p>
      <w:pPr>
        <w:ind w:right="300" w:firstLine="230"/>
        <w:spacing w:after="0" w:line="245" w:lineRule="auto"/>
        <w:rPr>
          <w:sz w:val="20"/>
          <w:szCs w:val="20"/>
          <w:color w:val="auto"/>
        </w:rPr>
      </w:pPr>
      <w:r>
        <w:rPr>
          <w:rFonts w:ascii="Times New Roman" w:cs="Times New Roman" w:eastAsia="Times New Roman" w:hAnsi="Times New Roman"/>
          <w:sz w:val="18"/>
          <w:szCs w:val="18"/>
          <w:color w:val="auto"/>
        </w:rPr>
        <w:t>regulatory developments with respect to our competitors’ products, including any developments, litigation or public concern about the safety of such products.</w:t>
      </w:r>
    </w:p>
    <w:p>
      <w:pPr>
        <w:spacing w:after="0" w:line="180" w:lineRule="exact"/>
        <w:rPr>
          <w:sz w:val="20"/>
          <w:szCs w:val="20"/>
          <w:color w:val="auto"/>
        </w:rPr>
      </w:pPr>
    </w:p>
    <w:p>
      <w:pPr>
        <w:ind w:right="80" w:firstLine="576"/>
        <w:spacing w:after="0" w:line="24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5"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Moreover, principal investigators for our current or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1"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current or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8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3"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8"/>
          <w:szCs w:val="18"/>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are orphan indications that have small populations, our ability to enroll eligible patients may be limited or may result in slower enrollment than we anticipate. For example, following the FDA's clearance of our IND application for the Phase 1/2 clinical trial of TNG908, we and our third-party CRO have initiated multiple clinical trial sites, and we are actively enrolling patients in the trial. While we expect to continue to enroll patients in our TNG908 clinical trial, we may experience slower than expected enrollment, due to limited site resources resulting from COVID-19, limited trial populations due to competitive trials or other factors beyond our control. Delays in enrollment may effect the timing of results from the TNG908 Phase 1/2 trials (as well as the timing for dose escalation and dose expansion) and therefore the regulatory approval (if any) for TNG908 may extend beyond the period we have targeted or beyond the timeline expected by investors.</w:t>
      </w:r>
    </w:p>
    <w:p>
      <w:pPr>
        <w:spacing w:after="0" w:line="186" w:lineRule="exact"/>
        <w:rPr>
          <w:sz w:val="20"/>
          <w:szCs w:val="20"/>
          <w:color w:val="auto"/>
        </w:rPr>
      </w:pPr>
    </w:p>
    <w:p>
      <w:pPr>
        <w:ind w:right="40" w:firstLine="584"/>
        <w:spacing w:after="0" w:line="250" w:lineRule="auto"/>
        <w:rPr>
          <w:sz w:val="20"/>
          <w:szCs w:val="20"/>
          <w:color w:val="auto"/>
        </w:rPr>
      </w:pPr>
      <w:r>
        <w:rPr>
          <w:rFonts w:ascii="Times New Roman" w:cs="Times New Roman" w:eastAsia="Times New Roman" w:hAnsi="Times New Roman"/>
          <w:sz w:val="18"/>
          <w:szCs w:val="18"/>
          <w:color w:val="auto"/>
        </w:rPr>
        <w:t>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also rely on the willingness and ability of clinicians to screen their patients for biomarkers to indicate which patients may be eligible for enrollment in our clinical trials.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ind w:firstLine="576"/>
        <w:spacing w:after="0" w:line="247"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(for example, three INDs have been cleared by the FDA for clinical trials of MTA-cooperative PRMT5 inhibitors for the treatment of cancer patients, such trials have already enrolled patients and those trials are using some of the same clinical trial sites that we use). Furthermore, as noted above, our ability to enroll patients may be significantly delayed by the ongoing COVID-19 pandemic (including due to lack of resources and personnel at trial sites), and we cannot accurately predict the extent and scope of such delays at this point.</w:t>
      </w:r>
    </w:p>
    <w:p>
      <w:pPr>
        <w:spacing w:after="0" w:line="180" w:lineRule="exact"/>
        <w:rPr>
          <w:sz w:val="20"/>
          <w:szCs w:val="20"/>
          <w:color w:val="auto"/>
        </w:rPr>
      </w:pPr>
    </w:p>
    <w:p>
      <w:pPr>
        <w:ind w:right="80" w:firstLine="576"/>
        <w:spacing w:after="0" w:line="245" w:lineRule="auto"/>
        <w:rPr>
          <w:sz w:val="20"/>
          <w:szCs w:val="20"/>
          <w:color w:val="auto"/>
        </w:rPr>
      </w:pPr>
      <w:r>
        <w:rPr>
          <w:rFonts w:ascii="Times New Roman" w:cs="Times New Roman" w:eastAsia="Times New Roman" w:hAnsi="Times New Roman"/>
          <w:sz w:val="18"/>
          <w:szCs w:val="18"/>
          <w:color w:val="auto"/>
        </w:rPr>
        <w:t>In addition to the competitive trial environment, the eligibility criteria of our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reporting initial and final trial results and obtaining regulatory approval of potential products may be delayed.</w:t>
      </w:r>
    </w:p>
    <w:p>
      <w:pPr>
        <w:spacing w:after="0" w:line="181"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severity of the disease under investigation;</w:t>
      </w:r>
    </w:p>
    <w:p>
      <w:pPr>
        <w:spacing w:after="0" w:line="27" w:lineRule="exact"/>
        <w:rPr>
          <w:sz w:val="20"/>
          <w:szCs w:val="20"/>
          <w:color w:val="auto"/>
        </w:rPr>
      </w:pPr>
    </w:p>
    <w:p>
      <w:pPr>
        <w:ind w:left="240" w:right="3900"/>
        <w:spacing w:after="0" w:line="235" w:lineRule="auto"/>
        <w:rPr>
          <w:sz w:val="20"/>
          <w:szCs w:val="20"/>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 the ability to monitor patients adequately during and after treatment;</w:t>
      </w:r>
    </w:p>
    <w:p>
      <w:pPr>
        <w:spacing w:after="0" w:line="1" w:lineRule="exact"/>
        <w:rPr>
          <w:sz w:val="20"/>
          <w:szCs w:val="20"/>
          <w:color w:val="auto"/>
        </w:rPr>
      </w:pPr>
    </w:p>
    <w:p>
      <w:pPr>
        <w:ind w:left="240" w:right="4000"/>
        <w:spacing w:after="0" w:line="242" w:lineRule="auto"/>
        <w:rPr>
          <w:sz w:val="20"/>
          <w:szCs w:val="20"/>
          <w:color w:val="auto"/>
        </w:rPr>
      </w:pPr>
      <w:r>
        <w:rPr>
          <w:rFonts w:ascii="Times New Roman" w:cs="Times New Roman" w:eastAsia="Times New Roman" w:hAnsi="Times New Roman"/>
          <w:sz w:val="18"/>
          <w:szCs w:val="18"/>
          <w:color w:val="auto"/>
        </w:rPr>
        <w:t>the ability to recruit clinical trial investigators with the appropriate competencies and experience; reporting of the initial results of any of our clinical trials; and</w:t>
      </w:r>
    </w:p>
    <w:p>
      <w:pPr>
        <w:spacing w:after="0" w:line="1" w:lineRule="exact"/>
        <w:rPr>
          <w:sz w:val="20"/>
          <w:szCs w:val="20"/>
          <w:color w:val="auto"/>
        </w:rPr>
      </w:pPr>
    </w:p>
    <w:p>
      <w:pPr>
        <w:ind w:right="480" w:firstLine="230"/>
        <w:spacing w:after="0" w:line="243" w:lineRule="auto"/>
        <w:rPr>
          <w:sz w:val="20"/>
          <w:szCs w:val="20"/>
          <w:color w:val="auto"/>
        </w:rPr>
      </w:pPr>
      <w:r>
        <w:rPr>
          <w:rFonts w:ascii="Times New Roman" w:cs="Times New Roman" w:eastAsia="Times New Roman" w:hAnsi="Times New Roman"/>
          <w:sz w:val="18"/>
          <w:szCs w:val="18"/>
          <w:color w:val="auto"/>
        </w:rPr>
        <w:t>factors we may not be able to control, including the impacts of the COVID-19 pandemic, that may limit patients, principal investigators or staff or clinical site availability.</w:t>
      </w:r>
    </w:p>
    <w:p>
      <w:pPr>
        <w:spacing w:after="0" w:line="28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60"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Certain of our current product candidates and any future product candidates may have the potential to be administered in combination with existing standards of care such as checkpoint inhibitor immunotherapies, chemotherapies, targeted therapies or radiotherapy.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80" w:lineRule="exact"/>
        <w:rPr>
          <w:sz w:val="20"/>
          <w:szCs w:val="20"/>
          <w:color w:val="auto"/>
        </w:rPr>
      </w:pPr>
    </w:p>
    <w:p>
      <w:pPr>
        <w:ind w:right="60" w:firstLine="576"/>
        <w:spacing w:after="0" w:line="250" w:lineRule="auto"/>
        <w:rPr>
          <w:sz w:val="20"/>
          <w:szCs w:val="20"/>
          <w:color w:val="auto"/>
        </w:rPr>
      </w:pPr>
      <w:r>
        <w:rPr>
          <w:rFonts w:ascii="Times New Roman" w:cs="Times New Roman" w:eastAsia="Times New Roman" w:hAnsi="Times New Roman"/>
          <w:sz w:val="18"/>
          <w:szCs w:val="18"/>
          <w:color w:val="auto"/>
        </w:rPr>
        <w:t>Any failure to maintain or enter into new successful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91"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other therapy and not our current product candidates and any future product candidates. Even if successful, such trials may cause delays in the time to obtain regulatory approval, thereby limiting any exclusive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7" w:name="page48"/>
    <w:bookmarkEnd w:id="47"/>
    <w:p>
      <w:pPr>
        <w:ind w:right="40"/>
        <w:spacing w:after="0" w:line="247" w:lineRule="auto"/>
        <w:rPr>
          <w:sz w:val="20"/>
          <w:szCs w:val="20"/>
          <w:color w:val="auto"/>
        </w:rPr>
      </w:pPr>
      <w:r>
        <w:rPr>
          <w:rFonts w:ascii="Times New Roman" w:cs="Times New Roman" w:eastAsia="Times New Roman" w:hAnsi="Times New Roman"/>
          <w:sz w:val="18"/>
          <w:szCs w:val="18"/>
          <w:color w:val="auto"/>
        </w:rPr>
        <w:t>periods we have to market the product candidate.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80"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29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66"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0"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9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50"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We received clearance of our IND application for TNG908 in the first quarter of 2022 and we are actively enrolling patients in our Phase 1/2 clinical trial. We also plan to file an IND for TNG462, our next generation PRMT5 inhibitor, in the first half of 2023. Additionally, we plan to file an IND for TNG260, our selective CoREST inhibitor, in the first half of 2023. We also plan to file an IND for TNG348, our USP1 inhibitor, in 2023. However, we may not be able to file such INDs or INDs for future product candidates for our precision oncology or other programs on the timelines we expect. We have in the past, for example, extended the timeline for filing an IND for our USP1 inhibitor program as we continued to work on the development candidate that has improved pharmacologic properties.</w:t>
      </w:r>
    </w:p>
    <w:p>
      <w:pPr>
        <w:spacing w:after="0" w:line="72" w:lineRule="exact"/>
        <w:rPr>
          <w:sz w:val="20"/>
          <w:szCs w:val="20"/>
          <w:color w:val="auto"/>
        </w:rPr>
      </w:pPr>
    </w:p>
    <w:p>
      <w:pPr>
        <w:ind w:right="80" w:firstLine="576"/>
        <w:spacing w:after="0" w:line="247" w:lineRule="auto"/>
        <w:rPr>
          <w:sz w:val="20"/>
          <w:szCs w:val="20"/>
          <w:color w:val="auto"/>
        </w:rPr>
      </w:pPr>
      <w:r>
        <w:rPr>
          <w:rFonts w:ascii="Times New Roman" w:cs="Times New Roman" w:eastAsia="Times New Roman" w:hAnsi="Times New Roman"/>
          <w:sz w:val="18"/>
          <w:szCs w:val="18"/>
          <w:color w:val="auto"/>
        </w:rPr>
        <w:t>Further,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28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8" w:name="page49"/>
    <w:bookmarkEnd w:id="48"/>
    <w:p>
      <w:pPr>
        <w:ind w:firstLine="576"/>
        <w:spacing w:after="0" w:line="24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(the latter can be expensive to defend and result in significant damages and harm to our reputation). While we do have insurance to cover certain product liability claims, including in connection with injury during clinical trials, the coverage may not be sufficient to cover all expenses related to any injury and we may be required to pay damages from our own resources and the amount of such damages may be significant.</w:t>
      </w:r>
    </w:p>
    <w:p>
      <w:pPr>
        <w:spacing w:after="0" w:line="128"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114"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our clinical trial for TNG908 or in any of our other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38"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60" w:lineRule="exact"/>
        <w:rPr>
          <w:sz w:val="20"/>
          <w:szCs w:val="20"/>
          <w:color w:val="auto"/>
        </w:rPr>
      </w:pPr>
    </w:p>
    <w:p>
      <w:pPr>
        <w:ind w:right="240" w:firstLine="576"/>
        <w:spacing w:after="0" w:line="250"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is compelling biological rationale. We explore new programs based on extensive preclinical data analysis which sometimes cannot predict efficacy or safety in humans.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9" w:name="page50"/>
    <w:bookmarkEnd w:id="49"/>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32"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and to identify clinical trial investigators to use our product candidates in trials.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303"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5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plan to conduct certain clinical trials outside the United States, and these jurisdictions may include countries in Europe, Australia or other foreign jurisdictions. For example, a clinical trial application for TNG908 was approved by the National Agency for the Safety of Medicines in France in the fourth quarter of 2022.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301"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81"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8"/>
          <w:szCs w:val="18"/>
          <w:color w:val="auto"/>
        </w:rPr>
        <w:t>The ongoing success of businesses in the biopharmaceutical industry depend, to a large extent, on the ability to continue to introduce new products, especially as exclusivity rights to given therapies or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screening technology and research programs may initially show promise in identifying potential indications and/or product candidates, yet fail to yield results for clinical development for a number of reasons, including:</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50" w:name="page51"/>
    <w:bookmarkEnd w:id="50"/>
    <w:p>
      <w:pPr>
        <w:ind w:right="180" w:firstLine="230"/>
        <w:spacing w:after="0" w:line="254" w:lineRule="auto"/>
        <w:rPr>
          <w:sz w:val="20"/>
          <w:szCs w:val="20"/>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 (or the development of a chemical compound or formulation that has the desired effect cannot be developed);</w:t>
      </w:r>
    </w:p>
    <w:p>
      <w:pPr>
        <w:ind w:right="100" w:firstLine="230"/>
        <w:spacing w:after="0" w:line="241" w:lineRule="auto"/>
        <w:rPr>
          <w:sz w:val="20"/>
          <w:szCs w:val="20"/>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1" w:lineRule="exact"/>
        <w:rPr>
          <w:sz w:val="20"/>
          <w:szCs w:val="20"/>
          <w:color w:val="auto"/>
        </w:rPr>
      </w:pPr>
    </w:p>
    <w:p>
      <w:pPr>
        <w:ind w:firstLine="230"/>
        <w:spacing w:after="0"/>
        <w:rPr>
          <w:sz w:val="20"/>
          <w:szCs w:val="20"/>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98" w:lineRule="exact"/>
        <w:rPr>
          <w:sz w:val="20"/>
          <w:szCs w:val="20"/>
          <w:color w:val="auto"/>
        </w:rPr>
      </w:pPr>
    </w:p>
    <w:p>
      <w:pPr>
        <w:ind w:right="100" w:firstLine="576"/>
        <w:spacing w:after="0" w:line="245"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94" w:lineRule="exact"/>
        <w:rPr>
          <w:sz w:val="20"/>
          <w:szCs w:val="20"/>
          <w:color w:val="auto"/>
        </w:rPr>
      </w:pPr>
    </w:p>
    <w:p>
      <w:pPr>
        <w:ind w:right="120" w:firstLine="576"/>
        <w:spacing w:after="0" w:line="250"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94" w:lineRule="exact"/>
        <w:rPr>
          <w:sz w:val="20"/>
          <w:szCs w:val="20"/>
          <w:color w:val="auto"/>
        </w:rPr>
      </w:pPr>
    </w:p>
    <w:p>
      <w:pPr>
        <w:jc w:val="both"/>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We received clearance of our IND application for TNG908 in the first quarter of 2022 and we are actively enrolling patients in our Phase 1/2 clinical trial, otherwise, all of our product candidates are in discovery or preclinical development.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76"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71" w:lineRule="exact"/>
        <w:rPr>
          <w:sz w:val="20"/>
          <w:szCs w:val="20"/>
          <w:color w:val="auto"/>
        </w:rPr>
      </w:pPr>
    </w:p>
    <w:p>
      <w:pPr>
        <w:ind w:left="240" w:right="2100"/>
        <w:spacing w:after="0" w:line="266" w:lineRule="auto"/>
        <w:rPr>
          <w:sz w:val="20"/>
          <w:szCs w:val="20"/>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we may not be able to enroll a sufficient number of patients in our clinical studies;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1" w:name="page52"/>
    <w:bookmarkEnd w:id="51"/>
    <w:p>
      <w:pPr>
        <w:ind w:right="580" w:firstLine="230"/>
        <w:spacing w:after="0" w:line="254" w:lineRule="auto"/>
        <w:rPr>
          <w:sz w:val="20"/>
          <w:szCs w:val="20"/>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ind w:right="520" w:firstLine="230"/>
        <w:spacing w:after="0" w:line="241" w:lineRule="auto"/>
        <w:rPr>
          <w:sz w:val="20"/>
          <w:szCs w:val="20"/>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34" w:lineRule="auto"/>
        <w:rPr>
          <w:sz w:val="20"/>
          <w:szCs w:val="20"/>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ind w:right="280" w:firstLine="230"/>
        <w:spacing w:after="0" w:line="242" w:lineRule="auto"/>
        <w:rPr>
          <w:sz w:val="20"/>
          <w:szCs w:val="20"/>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1" w:lineRule="exact"/>
        <w:rPr>
          <w:sz w:val="20"/>
          <w:szCs w:val="20"/>
          <w:color w:val="auto"/>
        </w:rPr>
      </w:pPr>
    </w:p>
    <w:p>
      <w:pPr>
        <w:ind w:right="280" w:firstLine="230"/>
        <w:spacing w:after="0" w:line="234" w:lineRule="auto"/>
        <w:rPr>
          <w:sz w:val="20"/>
          <w:szCs w:val="20"/>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 w:lineRule="exact"/>
        <w:rPr>
          <w:sz w:val="20"/>
          <w:szCs w:val="20"/>
          <w:color w:val="auto"/>
        </w:rPr>
      </w:pPr>
    </w:p>
    <w:p>
      <w:pPr>
        <w:ind w:right="340" w:firstLine="230"/>
        <w:spacing w:after="0" w:line="258" w:lineRule="auto"/>
        <w:rPr>
          <w:sz w:val="20"/>
          <w:szCs w:val="20"/>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169" w:lineRule="exact"/>
        <w:rPr>
          <w:sz w:val="20"/>
          <w:szCs w:val="20"/>
          <w:color w:val="auto"/>
        </w:rPr>
      </w:pPr>
    </w:p>
    <w:p>
      <w:pPr>
        <w:ind w:right="240" w:firstLine="576"/>
        <w:spacing w:after="0" w:line="246"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5" w:lineRule="exact"/>
        <w:rPr>
          <w:sz w:val="20"/>
          <w:szCs w:val="20"/>
          <w:color w:val="auto"/>
        </w:rPr>
      </w:pPr>
    </w:p>
    <w:p>
      <w:pPr>
        <w:ind w:right="740" w:firstLine="576"/>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37"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Beginning in 2020 and continuing through the date of this filing, a novel strain of a virus named SARS-CoV-2 (severe acute respiratory syndrome coronavirus 2), or coronavirus, which causes COVID-19 has spread across the world. Despite progress with distribution and administration of vaccines, COVID-19 and its effects continue to evolve, and countries continue to respond with the implementation of various responses, including government-imposed quarantines, travel restrictions and other public health safety measures. The extent to which the coronavirus impacts our operations or those of our third-party partners, including our preclinical studies and clinical trial operations, will depend on future developments, which are highly uncertain and cannot be predicted with confidence and could adversely impact our preclinical or clinical trial operations in the United States and our future clinical trial sites in foreign jurisdictions, including our ability to recruit and retain patients and principal investigators and site staff who, as healthcare providers, may have heightened exposure to COVID-19 if an outbreak occurs in their geography.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expect that we will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3"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Additionally, timely enrollment in planned clinical trials and the reporting of clinical trial results is dependent upon clinical trial sites which could be adversely affected by global health matters, such as pandemics. We plan to conduct clinical trials for our product candidates in geographies which are currently affected by the COVID-19 pandemic, including our clinical trial for TNG908, a Phase 1/2 clinical trial in which we are actively enrolling patients in the United States and have begun the process of enrolling patients in France (the impact of the COVID-19 pandemic on the resources at clinical trial sites, among other factors, may impact the enrollment and progression (including dose escalation and dose expansion) of the Phase 1/2 trial for TNG908 and any future clinical trials we may conduct). Some factors from the COVID-19 pandemic that may delay or otherwise adversely affect enrollment in the clinical trials of our product candidates, including TNG908, as well as our business generally, include: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2" w:name="page53"/>
    <w:bookmarkEnd w:id="52"/>
    <w:p>
      <w:pPr>
        <w:ind w:firstLine="230"/>
        <w:spacing w:after="0" w:line="243" w:lineRule="auto"/>
        <w:rPr>
          <w:sz w:val="20"/>
          <w:szCs w:val="20"/>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 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negative effect on the operations of our third-party manufacturers;</w:t>
      </w:r>
    </w:p>
    <w:p>
      <w:pPr>
        <w:spacing w:after="0" w:line="7" w:lineRule="exact"/>
        <w:rPr>
          <w:sz w:val="20"/>
          <w:szCs w:val="20"/>
          <w:color w:val="auto"/>
        </w:rPr>
      </w:pPr>
    </w:p>
    <w:p>
      <w:pPr>
        <w:ind w:right="220" w:firstLine="230"/>
        <w:spacing w:after="0" w:line="235" w:lineRule="auto"/>
        <w:rPr>
          <w:sz w:val="20"/>
          <w:szCs w:val="20"/>
          <w:color w:val="auto"/>
        </w:rPr>
      </w:pPr>
      <w:r>
        <w:rPr>
          <w:rFonts w:ascii="Times New Roman" w:cs="Times New Roman" w:eastAsia="Times New Roman" w:hAnsi="Times New Roman"/>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1" w:lineRule="exact"/>
        <w:rPr>
          <w:sz w:val="20"/>
          <w:szCs w:val="20"/>
          <w:color w:val="auto"/>
        </w:rPr>
      </w:pPr>
    </w:p>
    <w:p>
      <w:pPr>
        <w:ind w:right="140" w:firstLine="185"/>
        <w:spacing w:after="0" w:line="241" w:lineRule="auto"/>
        <w:rPr>
          <w:sz w:val="20"/>
          <w:szCs w:val="20"/>
          <w:color w:val="auto"/>
        </w:rPr>
      </w:pPr>
      <w:r>
        <w:rPr>
          <w:rFonts w:ascii="Times New Roman" w:cs="Times New Roman" w:eastAsia="Times New Roman" w:hAnsi="Times New Roman"/>
          <w:sz w:val="18"/>
          <w:szCs w:val="18"/>
          <w:color w:val="auto"/>
        </w:rPr>
        <w:t>staffing shortages at clinical trial sites, both healthcare professionals (e.g. physicians, nurses) and support staff, caused by the COVID-19 pandemic and the challenges of finding replacements may adversely impact the timing and on-going performance of a clinical trial;</w:t>
      </w:r>
    </w:p>
    <w:p>
      <w:pPr>
        <w:spacing w:after="0" w:line="1" w:lineRule="exact"/>
        <w:rPr>
          <w:sz w:val="20"/>
          <w:szCs w:val="20"/>
          <w:color w:val="auto"/>
        </w:rPr>
      </w:pPr>
    </w:p>
    <w:p>
      <w:pPr>
        <w:ind w:right="360" w:firstLine="230"/>
        <w:spacing w:after="0" w:line="235" w:lineRule="auto"/>
        <w:rPr>
          <w:sz w:val="20"/>
          <w:szCs w:val="20"/>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and disruptions to or delays in ongoing laboratory experiments;</w:t>
      </w:r>
    </w:p>
    <w:p>
      <w:pPr>
        <w:spacing w:after="0" w:line="1" w:lineRule="exact"/>
        <w:rPr>
          <w:sz w:val="20"/>
          <w:szCs w:val="20"/>
          <w:color w:val="auto"/>
        </w:rPr>
      </w:pPr>
    </w:p>
    <w:p>
      <w:pPr>
        <w:ind w:right="600" w:firstLine="230"/>
        <w:spacing w:after="0" w:line="242" w:lineRule="auto"/>
        <w:rPr>
          <w:sz w:val="20"/>
          <w:szCs w:val="20"/>
          <w:color w:val="auto"/>
        </w:rPr>
      </w:pPr>
      <w:r>
        <w:rPr>
          <w:rFonts w:ascii="Times New Roman" w:cs="Times New Roman" w:eastAsia="Times New Roman" w:hAnsi="Times New Roman"/>
          <w:sz w:val="18"/>
          <w:szCs w:val="18"/>
          <w:color w:val="auto"/>
        </w:rPr>
        <w:t>operations, staffing shortages, travel limitations, global supply chain delays or mass transit disruptions, any of which could adversely impact our business operations or delay necessary interactions with local regulators, ethics committees and other important agencies and contractors;</w:t>
      </w:r>
    </w:p>
    <w:p>
      <w:pPr>
        <w:spacing w:after="0" w:line="1" w:lineRule="exact"/>
        <w:rPr>
          <w:sz w:val="20"/>
          <w:szCs w:val="20"/>
          <w:color w:val="auto"/>
        </w:rPr>
      </w:pPr>
    </w:p>
    <w:p>
      <w:pPr>
        <w:ind w:right="180" w:firstLine="230"/>
        <w:spacing w:after="0" w:line="241" w:lineRule="auto"/>
        <w:rPr>
          <w:sz w:val="20"/>
          <w:szCs w:val="20"/>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93" w:lineRule="exact"/>
        <w:rPr>
          <w:sz w:val="20"/>
          <w:szCs w:val="20"/>
          <w:color w:val="auto"/>
        </w:rPr>
      </w:pPr>
    </w:p>
    <w:p>
      <w:pPr>
        <w:ind w:right="20" w:firstLine="576"/>
        <w:spacing w:after="0" w:line="264" w:lineRule="auto"/>
        <w:rPr>
          <w:sz w:val="20"/>
          <w:szCs w:val="20"/>
          <w:color w:val="auto"/>
        </w:rPr>
      </w:pPr>
      <w:r>
        <w:rPr>
          <w:rFonts w:ascii="Times New Roman" w:cs="Times New Roman" w:eastAsia="Times New Roman" w:hAnsi="Times New Roman"/>
          <w:sz w:val="17"/>
          <w:szCs w:val="17"/>
          <w:color w:val="auto"/>
        </w:rPr>
        <w:t>Our employees, including our lab personnel, are currently working at our office headquarters. We have, in the past,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w:t>
      </w:r>
      <w:r>
        <w:rPr>
          <w:rFonts w:ascii="Times New Roman" w:cs="Times New Roman" w:eastAsia="Times New Roman" w:hAnsi="Times New Roman"/>
          <w:sz w:val="17"/>
          <w:szCs w:val="17"/>
          <w:color w:val="FF0000"/>
        </w:rPr>
        <w:t>.</w:t>
      </w:r>
      <w:r>
        <w:rPr>
          <w:rFonts w:ascii="Times New Roman" w:cs="Times New Roman" w:eastAsia="Times New Roman" w:hAnsi="Times New Roman"/>
          <w:sz w:val="17"/>
          <w:szCs w:val="17"/>
          <w:color w:val="auto"/>
        </w:rPr>
        <w:t xml:space="preserve"> We cannot presently predict the scope and severity of the planned and potential shutdowns or disruptions of businesses and government agencies, such as the SEC or FDA.</w:t>
      </w:r>
    </w:p>
    <w:p>
      <w:pPr>
        <w:spacing w:after="0" w:line="180"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8"/>
          <w:szCs w:val="18"/>
          <w:color w:val="auto"/>
        </w:rPr>
        <w:t>These and other factors arising from COVID-19 (and any future variant of the COVID-19 virus)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operations and financial condition and our clinical trials.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1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37"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Specifically, with respect to TNG908 (for which we recently received FDA clearance of our IND application), we are aware that Mirati Therapeutics, Inc. and Amgen each have a clinical MTA-cooperative PRMT5 inhibitor program that have commenced clinical trials, using the same mechanism of action as TNG908 (and there are other indirect competitors in the PRMT5 inhibition space as well).</w:t>
      </w:r>
    </w:p>
    <w:p>
      <w:pPr>
        <w:spacing w:after="0" w:line="72" w:lineRule="exact"/>
        <w:rPr>
          <w:sz w:val="20"/>
          <w:szCs w:val="20"/>
          <w:color w:val="auto"/>
        </w:rPr>
      </w:pPr>
    </w:p>
    <w:p>
      <w:pPr>
        <w:ind w:right="280" w:firstLine="576"/>
        <w:spacing w:after="0" w:line="258" w:lineRule="auto"/>
        <w:rPr>
          <w:sz w:val="20"/>
          <w:szCs w:val="20"/>
          <w:color w:val="auto"/>
        </w:rPr>
      </w:pPr>
      <w:r>
        <w:rPr>
          <w:rFonts w:ascii="Times New Roman" w:cs="Times New Roman" w:eastAsia="Times New Roman" w:hAnsi="Times New Roman"/>
          <w:sz w:val="18"/>
          <w:szCs w:val="18"/>
          <w:color w:val="auto"/>
        </w:rPr>
        <w:t>We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3" w:name="page54"/>
    <w:bookmarkEnd w:id="53"/>
    <w:p>
      <w:pPr>
        <w:ind w:right="360"/>
        <w:spacing w:after="0" w:line="250" w:lineRule="auto"/>
        <w:rPr>
          <w:sz w:val="20"/>
          <w:szCs w:val="20"/>
          <w:color w:val="auto"/>
        </w:rPr>
      </w:pPr>
      <w:r>
        <w:rPr>
          <w:rFonts w:ascii="Times New Roman" w:cs="Times New Roman" w:eastAsia="Times New Roman" w:hAnsi="Times New Roman"/>
          <w:sz w:val="18"/>
          <w:szCs w:val="18"/>
          <w:color w:val="auto"/>
        </w:rPr>
        <w:t>pharmaceutical companies and biotechnology companies of various sizes, such as Amgen.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0" w:lineRule="exact"/>
        <w:rPr>
          <w:sz w:val="20"/>
          <w:szCs w:val="20"/>
          <w:color w:val="auto"/>
        </w:rPr>
      </w:pPr>
    </w:p>
    <w:p>
      <w:pPr>
        <w:ind w:right="140" w:firstLine="576"/>
        <w:spacing w:after="0" w:line="24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114"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barriers to entry do not remain in place, other companies may be able to more directly or effectively compete with us.</w:t>
      </w:r>
    </w:p>
    <w:p>
      <w:pPr>
        <w:spacing w:after="0" w:line="119" w:lineRule="exact"/>
        <w:rPr>
          <w:sz w:val="20"/>
          <w:szCs w:val="20"/>
          <w:color w:val="auto"/>
        </w:rPr>
      </w:pPr>
    </w:p>
    <w:p>
      <w:pPr>
        <w:ind w:right="160" w:firstLine="576"/>
        <w:spacing w:after="0" w:line="24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novel competition that utilize the same mechanism of action and availability of reimbursement from government and other third-party payors.</w:t>
      </w:r>
    </w:p>
    <w:p>
      <w:pPr>
        <w:spacing w:after="0" w:line="218" w:lineRule="exact"/>
        <w:rPr>
          <w:sz w:val="20"/>
          <w:szCs w:val="20"/>
          <w:color w:val="auto"/>
        </w:rPr>
      </w:pPr>
    </w:p>
    <w:p>
      <w:pPr>
        <w:ind w:right="20" w:firstLine="4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50" w:lineRule="exact"/>
        <w:rPr>
          <w:sz w:val="20"/>
          <w:szCs w:val="20"/>
          <w:color w:val="auto"/>
        </w:rPr>
      </w:pPr>
    </w:p>
    <w:p>
      <w:pPr>
        <w:ind w:right="40" w:firstLine="576"/>
        <w:spacing w:after="0" w:line="260" w:lineRule="auto"/>
        <w:rPr>
          <w:sz w:val="20"/>
          <w:szCs w:val="20"/>
          <w:color w:val="auto"/>
        </w:rPr>
      </w:pPr>
      <w:r>
        <w:rPr>
          <w:rFonts w:ascii="Times New Roman" w:cs="Times New Roman" w:eastAsia="Times New Roman" w:hAnsi="Times New Roman"/>
          <w:sz w:val="17"/>
          <w:szCs w:val="17"/>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a genetic alteration which occurs in 10% to 15% of all human tumors, including NSCLC, mesothelioma, cholangiocarcinoma, and GBM, as well as indications where there are limited treatment options with no standard of care, including MPNST. Our next-generation PRMT5 product candidate, TNG462, is being developed for the same patient population as TNG908 with the exception of GMB as TNG462 does not cross the blood-brain barrier in preclinical non-human primate models. Additionally, TNG260 is a first-in-class, CoREST inhibitor, which reverses the immune evasion effect of serine-threonine kinase 11 (STK11) loss-of-function mutations. STK11 loss-of-function mutations are a genetic alteration in approximately 15% of NSCLC, 15% of cervical cancers, 10% carcinoma of unknown primary, 5% of breast cancers and 3% of pancreatic cancers. TNG348 is a strong synthetic lethal target for BRCA1/2 mutations, which are present in approximately 15% of ovarian cancers, 10% of breast cancers, 10% of prostate cancers, 5% of endometrial cancers and 5% of pancreatic cancers. Our projections of both the number of people who have these diseases, as well as the subset of people with these diseases who have the potential to benefit from treatment with our programs and product candidates, are based on our estimates.</w:t>
      </w:r>
    </w:p>
    <w:p>
      <w:pPr>
        <w:spacing w:after="0" w:line="100" w:lineRule="exact"/>
        <w:rPr>
          <w:sz w:val="20"/>
          <w:szCs w:val="20"/>
          <w:color w:val="auto"/>
        </w:rPr>
      </w:pPr>
    </w:p>
    <w:p>
      <w:pPr>
        <w:ind w:right="160" w:firstLine="576"/>
        <w:spacing w:after="0" w:line="246"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ind w:right="300"/>
        <w:spacing w:after="0" w:line="266" w:lineRule="auto"/>
        <w:rPr>
          <w:sz w:val="20"/>
          <w:szCs w:val="20"/>
          <w:color w:val="auto"/>
        </w:rPr>
      </w:pPr>
      <w:r>
        <w:rPr>
          <w:rFonts w:ascii="Times New Roman" w:cs="Times New Roman" w:eastAsia="Times New Roman" w:hAnsi="Times New Roman"/>
          <w:sz w:val="18"/>
          <w:szCs w:val="18"/>
          <w:color w:val="auto"/>
        </w:rPr>
        <w:t>efforts to identify additional product candidates. Due to our limited resources and capital, we must prioritize development of certain product candidates, which may prove to be the wrong choice and may adversely affect our business.</w:t>
      </w:r>
    </w:p>
    <w:p>
      <w:pPr>
        <w:spacing w:after="0" w:line="28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5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potential future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21"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83" w:lineRule="exact"/>
        <w:rPr>
          <w:sz w:val="20"/>
          <w:szCs w:val="20"/>
          <w:color w:val="auto"/>
        </w:rPr>
      </w:pPr>
    </w:p>
    <w:p>
      <w:pPr>
        <w:ind w:right="620" w:firstLine="230"/>
        <w:spacing w:after="0" w:line="246" w:lineRule="auto"/>
        <w:rPr>
          <w:sz w:val="20"/>
          <w:szCs w:val="20"/>
          <w:color w:val="auto"/>
        </w:rPr>
      </w:pPr>
      <w:r>
        <w:rPr>
          <w:rFonts w:ascii="Times New Roman" w:cs="Times New Roman" w:eastAsia="Times New Roman" w:hAnsi="Times New Roman"/>
          <w:sz w:val="18"/>
          <w:szCs w:val="18"/>
          <w:color w:val="auto"/>
        </w:rPr>
        <w:t>the efficacy of our current product candidates and any future product candidates as single agents and in combination with marketed combination therapies or other therapies that are also pending regulatory approval;</w:t>
      </w:r>
    </w:p>
    <w:p>
      <w:pPr>
        <w:spacing w:after="0"/>
        <w:rPr>
          <w:sz w:val="20"/>
          <w:szCs w:val="20"/>
          <w:color w:val="auto"/>
        </w:rPr>
      </w:pPr>
      <w:r>
        <w:rPr>
          <w:rFonts w:ascii="Times New Roman" w:cs="Times New Roman" w:eastAsia="Times New Roman" w:hAnsi="Times New Roman"/>
          <w:sz w:val="18"/>
          <w:szCs w:val="18"/>
          <w:color w:val="auto"/>
        </w:rPr>
        <w:t>the commercial success of the checkpoint blockade drugs with which certain of our products may be co-administered;</w:t>
      </w:r>
    </w:p>
    <w:p>
      <w:pPr>
        <w:spacing w:after="0" w:line="7" w:lineRule="exact"/>
        <w:rPr>
          <w:sz w:val="20"/>
          <w:szCs w:val="20"/>
          <w:color w:val="auto"/>
        </w:rPr>
      </w:pPr>
    </w:p>
    <w:p>
      <w:pPr>
        <w:ind w:right="220" w:firstLine="230"/>
        <w:spacing w:after="0" w:line="235" w:lineRule="auto"/>
        <w:rPr>
          <w:sz w:val="20"/>
          <w:szCs w:val="20"/>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 or those products with which they may be co-administered;</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ind w:right="120" w:firstLine="230"/>
        <w:spacing w:after="0" w:line="242" w:lineRule="auto"/>
        <w:rPr>
          <w:sz w:val="20"/>
          <w:szCs w:val="20"/>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 changes in the standard of care for the targeted indications of our current product candidates and any future product candidates, which could reduce the marketing impact of any claims that we could make following FDA approval or approval by comparable foreign regulatory authorities, if obtained;</w:t>
      </w:r>
    </w:p>
    <w:p>
      <w:pPr>
        <w:ind w:right="120" w:firstLine="230"/>
        <w:spacing w:after="0" w:line="235" w:lineRule="auto"/>
        <w:rPr>
          <w:sz w:val="20"/>
          <w:szCs w:val="20"/>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 (including the number of doses required in a given period) and any products with which they are co-administered;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7" w:lineRule="exact"/>
        <w:rPr>
          <w:sz w:val="20"/>
          <w:szCs w:val="20"/>
          <w:color w:val="auto"/>
        </w:rPr>
      </w:pPr>
    </w:p>
    <w:p>
      <w:pPr>
        <w:ind w:right="700" w:firstLine="230"/>
        <w:spacing w:after="0" w:line="235" w:lineRule="auto"/>
        <w:rPr>
          <w:sz w:val="20"/>
          <w:szCs w:val="20"/>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234" w:lineRule="auto"/>
        <w:rPr>
          <w:sz w:val="20"/>
          <w:szCs w:val="20"/>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rPr>
          <w:sz w:val="20"/>
          <w:szCs w:val="20"/>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7" w:lineRule="exact"/>
        <w:rPr>
          <w:sz w:val="20"/>
          <w:szCs w:val="20"/>
          <w:color w:val="auto"/>
        </w:rPr>
      </w:pPr>
    </w:p>
    <w:p>
      <w:pPr>
        <w:ind w:firstLine="230"/>
        <w:spacing w:after="0" w:line="235" w:lineRule="auto"/>
        <w:rPr>
          <w:sz w:val="20"/>
          <w:szCs w:val="20"/>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1" w:lineRule="exact"/>
        <w:rPr>
          <w:sz w:val="20"/>
          <w:szCs w:val="20"/>
          <w:color w:val="auto"/>
        </w:rPr>
      </w:pPr>
    </w:p>
    <w:p>
      <w:pPr>
        <w:ind w:left="240" w:right="1280"/>
        <w:spacing w:after="0" w:line="241" w:lineRule="auto"/>
        <w:rPr>
          <w:sz w:val="20"/>
          <w:szCs w:val="20"/>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 our ability to offer our current product candidates and any future product candidates for sale at competitive prices;</w:t>
      </w:r>
    </w:p>
    <w:p>
      <w:pPr>
        <w:spacing w:after="0" w:line="1" w:lineRule="exact"/>
        <w:rPr>
          <w:sz w:val="20"/>
          <w:szCs w:val="20"/>
          <w:color w:val="auto"/>
        </w:rPr>
      </w:pPr>
    </w:p>
    <w:p>
      <w:pPr>
        <w:ind w:left="240" w:right="2840"/>
        <w:spacing w:after="0" w:line="245" w:lineRule="auto"/>
        <w:rPr>
          <w:sz w:val="20"/>
          <w:szCs w:val="20"/>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the extent and strength of our third-party manufacturer and supplier support;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5" w:name="page56"/>
    <w:bookmarkEnd w:id="55"/>
    <w:p>
      <w:pPr>
        <w:ind w:right="980" w:firstLine="230"/>
        <w:spacing w:after="0" w:line="254" w:lineRule="auto"/>
        <w:rPr>
          <w:sz w:val="20"/>
          <w:szCs w:val="20"/>
          <w:color w:val="auto"/>
        </w:rPr>
      </w:pPr>
      <w:r>
        <w:rPr>
          <w:rFonts w:ascii="Times New Roman" w:cs="Times New Roman" w:eastAsia="Times New Roman" w:hAnsi="Times New Roman"/>
          <w:sz w:val="18"/>
          <w:szCs w:val="18"/>
          <w:color w:val="auto"/>
        </w:rPr>
        <w:t>the actions of companies that market any products with which our current product candidates and any future product candidates may be co-administered;</w:t>
      </w:r>
    </w:p>
    <w:p>
      <w:pPr>
        <w:spacing w:after="0" w:line="234" w:lineRule="auto"/>
        <w:rPr>
          <w:sz w:val="20"/>
          <w:szCs w:val="20"/>
          <w:color w:val="auto"/>
        </w:rPr>
      </w:pPr>
      <w:r>
        <w:rPr>
          <w:rFonts w:ascii="Times New Roman" w:cs="Times New Roman" w:eastAsia="Times New Roman" w:hAnsi="Times New Roman"/>
          <w:sz w:val="18"/>
          <w:szCs w:val="18"/>
          <w:color w:val="auto"/>
        </w:rPr>
        <w:t>the approval of other new products;</w:t>
      </w:r>
    </w:p>
    <w:p>
      <w:pPr>
        <w:ind w:right="520" w:firstLine="230"/>
        <w:spacing w:after="0" w:line="242" w:lineRule="auto"/>
        <w:rPr>
          <w:sz w:val="20"/>
          <w:szCs w:val="20"/>
          <w:color w:val="auto"/>
        </w:rPr>
      </w:pPr>
      <w:r>
        <w:rPr>
          <w:rFonts w:ascii="Times New Roman" w:cs="Times New Roman" w:eastAsia="Times New Roman" w:hAnsi="Times New Roman"/>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product liability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1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81"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Phase 1/2 clinical trial of TNG908, and for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number of reasons, including elements of the design or execution of the trials or safety concerns or other trial results.</w:t>
      </w:r>
    </w:p>
    <w:p>
      <w:pPr>
        <w:spacing w:after="0" w:line="114" w:lineRule="exact"/>
        <w:rPr>
          <w:sz w:val="20"/>
          <w:szCs w:val="20"/>
          <w:color w:val="auto"/>
        </w:rPr>
      </w:pPr>
    </w:p>
    <w:p>
      <w:pPr>
        <w:ind w:right="60" w:firstLine="576"/>
        <w:spacing w:after="0" w:line="242" w:lineRule="auto"/>
        <w:rPr>
          <w:sz w:val="20"/>
          <w:szCs w:val="20"/>
          <w:color w:val="auto"/>
        </w:rPr>
      </w:pPr>
      <w:r>
        <w:rPr>
          <w:rFonts w:ascii="Times New Roman" w:cs="Times New Roman" w:eastAsia="Times New Roman" w:hAnsi="Times New Roman"/>
          <w:sz w:val="18"/>
          <w:szCs w:val="18"/>
          <w:color w:val="auto"/>
        </w:rPr>
        <w:t>We are likely to have certain information rights with respect to the investigator-sponsored trials, including access to and the ability to use and reference the data, including for our own regulatory filings.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19" w:lineRule="exact"/>
        <w:rPr>
          <w:sz w:val="20"/>
          <w:szCs w:val="20"/>
          <w:color w:val="auto"/>
        </w:rPr>
      </w:pPr>
    </w:p>
    <w:p>
      <w:pPr>
        <w:ind w:right="180" w:firstLine="576"/>
        <w:spacing w:after="0" w:line="246" w:lineRule="auto"/>
        <w:rPr>
          <w:sz w:val="20"/>
          <w:szCs w:val="20"/>
          <w:color w:val="auto"/>
        </w:rPr>
      </w:pPr>
      <w:r>
        <w:rPr>
          <w:rFonts w:ascii="Times New Roman" w:cs="Times New Roman" w:eastAsia="Times New Roman" w:hAnsi="Times New Roman"/>
          <w:sz w:val="18"/>
          <w:szCs w:val="18"/>
          <w:color w:val="auto"/>
        </w:rPr>
        <w:t>We rely and expect to continue to rely heavily on third parties for execution of clinical trials for our product candidates and control only certain aspects of their activities (and such control may be based on contractual provisions that may be breached by the third-party). For example, for the Phase 1/2 clinical trial of TNG908, we expect to rely on one CRO for the conduct of the trial and one manufacturer to manufacture the study drug to be used during the course of the trial. We are responsible for ensuring that each of our clinical trials and the study drug is conducted and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112" w:lineRule="exact"/>
        <w:rPr>
          <w:sz w:val="20"/>
          <w:szCs w:val="20"/>
          <w:color w:val="auto"/>
        </w:rPr>
      </w:pPr>
    </w:p>
    <w:p>
      <w:pPr>
        <w:ind w:right="120" w:firstLine="576"/>
        <w:spacing w:after="0" w:line="241"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current or future clinical trials will comply with GCPs. In addition, our clinical trials generally must be conducted with product candidates produced under current Good Manufacturing Practice, or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ClinicalTrials.gov, within certain timeframes. Failure to do so can result in fines, adverse publicity and civil and criminal sanctions.</w:t>
      </w:r>
    </w:p>
    <w:p>
      <w:pPr>
        <w:spacing w:after="0" w:line="144" w:lineRule="exact"/>
        <w:rPr>
          <w:sz w:val="20"/>
          <w:szCs w:val="20"/>
          <w:color w:val="auto"/>
        </w:rPr>
      </w:pPr>
    </w:p>
    <w:p>
      <w:pPr>
        <w:ind w:right="80" w:firstLine="576"/>
        <w:spacing w:after="0" w:line="245" w:lineRule="auto"/>
        <w:rPr>
          <w:sz w:val="20"/>
          <w:szCs w:val="20"/>
          <w:color w:val="auto"/>
        </w:rPr>
      </w:pPr>
      <w:r>
        <w:rPr>
          <w:rFonts w:ascii="Times New Roman" w:cs="Times New Roman" w:eastAsia="Times New Roman" w:hAnsi="Times New Roman"/>
          <w:sz w:val="18"/>
          <w:szCs w:val="18"/>
          <w:color w:val="auto"/>
        </w:rPr>
        <w:t>Although we have designed our Phase 1/2 clinical trial of TNG908 and intend to design the future clinical trials for our product candidates, the operational details of these trials will be executed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81" w:lineRule="exact"/>
        <w:rPr>
          <w:sz w:val="20"/>
          <w:szCs w:val="20"/>
          <w:color w:val="auto"/>
        </w:rPr>
      </w:pPr>
    </w:p>
    <w:p>
      <w:pPr>
        <w:ind w:right="100" w:firstLine="576"/>
        <w:spacing w:after="0" w:line="24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81"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investigators (or clinical trial sites) and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299"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50" w:lineRule="exact"/>
        <w:rPr>
          <w:sz w:val="20"/>
          <w:szCs w:val="20"/>
          <w:color w:val="auto"/>
        </w:rPr>
      </w:pPr>
    </w:p>
    <w:p>
      <w:pPr>
        <w:ind w:right="500" w:firstLine="576"/>
        <w:spacing w:after="0" w:line="266"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the existing collaboration that we have with Gilead, are subject to numerous risks, which include the following:</w:t>
      </w:r>
    </w:p>
    <w:p>
      <w:pPr>
        <w:spacing w:after="0" w:line="68" w:lineRule="exact"/>
        <w:rPr>
          <w:sz w:val="20"/>
          <w:szCs w:val="20"/>
          <w:color w:val="auto"/>
        </w:rPr>
      </w:pPr>
    </w:p>
    <w:p>
      <w:pPr>
        <w:ind w:right="260" w:firstLine="230"/>
        <w:spacing w:after="0" w:line="246" w:lineRule="auto"/>
        <w:rPr>
          <w:sz w:val="20"/>
          <w:szCs w:val="20"/>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ind w:firstLine="230"/>
        <w:spacing w:after="0" w:line="242" w:lineRule="auto"/>
        <w:rPr>
          <w:sz w:val="20"/>
          <w:szCs w:val="20"/>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1" w:lineRule="exact"/>
        <w:rPr>
          <w:sz w:val="20"/>
          <w:szCs w:val="20"/>
          <w:color w:val="auto"/>
        </w:rPr>
      </w:pPr>
    </w:p>
    <w:p>
      <w:pPr>
        <w:ind w:right="280" w:firstLine="230"/>
        <w:spacing w:after="0"/>
        <w:rPr>
          <w:sz w:val="20"/>
          <w:szCs w:val="20"/>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ind w:right="160" w:firstLine="230"/>
        <w:spacing w:after="0" w:line="241" w:lineRule="auto"/>
        <w:rPr>
          <w:sz w:val="20"/>
          <w:szCs w:val="20"/>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1" w:lineRule="exact"/>
        <w:rPr>
          <w:sz w:val="20"/>
          <w:szCs w:val="20"/>
          <w:color w:val="auto"/>
        </w:rPr>
      </w:pPr>
    </w:p>
    <w:p>
      <w:pPr>
        <w:ind w:right="160" w:firstLine="230"/>
        <w:spacing w:after="0" w:line="235" w:lineRule="auto"/>
        <w:rPr>
          <w:sz w:val="20"/>
          <w:szCs w:val="20"/>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1" w:lineRule="exact"/>
        <w:rPr>
          <w:sz w:val="20"/>
          <w:szCs w:val="20"/>
          <w:color w:val="auto"/>
        </w:rPr>
      </w:pPr>
    </w:p>
    <w:p>
      <w:pPr>
        <w:ind w:right="260" w:firstLine="230"/>
        <w:spacing w:after="0"/>
        <w:rPr>
          <w:sz w:val="20"/>
          <w:szCs w:val="20"/>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collaborators might not properly maintain or defend our intellectual property rights or might use our intellectual property improperly or in a way that jeopardizes our intellectual property or the potential commercial benefit of our product candidates or exposes us to potential liability;</w:t>
      </w:r>
    </w:p>
    <w:p>
      <w:pPr>
        <w:ind w:right="620" w:firstLine="230"/>
        <w:spacing w:after="0" w:line="243" w:lineRule="auto"/>
        <w:rPr>
          <w:sz w:val="20"/>
          <w:szCs w:val="20"/>
          <w:color w:val="auto"/>
        </w:rPr>
      </w:pPr>
      <w:r>
        <w:rPr>
          <w:rFonts w:ascii="Times New Roman" w:cs="Times New Roman" w:eastAsia="Times New Roman" w:hAnsi="Times New Roman"/>
          <w:sz w:val="18"/>
          <w:szCs w:val="18"/>
          <w:color w:val="auto"/>
        </w:rPr>
        <w:t>disputes might arise regarding the ownership of inventions and know-how resulting from the joint creation or use of intellectual property by our collaborators and us and our partners or with those we engage in connection with sponsored research;</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57" w:name="page58"/>
    <w:bookmarkEnd w:id="57"/>
    <w:p>
      <w:pPr>
        <w:ind w:right="120" w:firstLine="230"/>
        <w:spacing w:after="0" w:line="254" w:lineRule="auto"/>
        <w:rPr>
          <w:sz w:val="20"/>
          <w:szCs w:val="20"/>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jc w:val="both"/>
        <w:ind w:right="180" w:firstLine="230"/>
        <w:spacing w:after="0"/>
        <w:rPr>
          <w:sz w:val="20"/>
          <w:szCs w:val="20"/>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 disputes might arise between a collaborator and us that could cause a delay or termination of the collaboration or result in costly litigation that diverts management attention and resources; and</w:t>
      </w:r>
    </w:p>
    <w:p>
      <w:pPr>
        <w:ind w:firstLine="230"/>
        <w:spacing w:after="0" w:line="243" w:lineRule="auto"/>
        <w:rPr>
          <w:sz w:val="20"/>
          <w:szCs w:val="20"/>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114" w:lineRule="exact"/>
        <w:rPr>
          <w:sz w:val="20"/>
          <w:szCs w:val="20"/>
          <w:color w:val="auto"/>
        </w:rPr>
      </w:pPr>
    </w:p>
    <w:p>
      <w:pPr>
        <w:ind w:right="580" w:firstLine="576"/>
        <w:spacing w:after="0" w:line="250"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77" w:lineRule="exact"/>
        <w:rPr>
          <w:sz w:val="20"/>
          <w:szCs w:val="20"/>
          <w:color w:val="auto"/>
        </w:rPr>
      </w:pPr>
    </w:p>
    <w:p>
      <w:pPr>
        <w:ind w:right="140" w:firstLine="576"/>
        <w:spacing w:after="0" w:line="247" w:lineRule="auto"/>
        <w:rPr>
          <w:sz w:val="20"/>
          <w:szCs w:val="20"/>
          <w:color w:val="auto"/>
        </w:rPr>
      </w:pPr>
      <w:r>
        <w:rPr>
          <w:rFonts w:ascii="Times New Roman" w:cs="Times New Roman" w:eastAsia="Times New Roman" w:hAnsi="Times New Roman"/>
          <w:sz w:val="18"/>
          <w:szCs w:val="18"/>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80"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25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0" w:lineRule="exact"/>
        <w:rPr>
          <w:sz w:val="20"/>
          <w:szCs w:val="20"/>
          <w:color w:val="auto"/>
        </w:rPr>
      </w:pPr>
    </w:p>
    <w:p>
      <w:pPr>
        <w:ind w:right="40" w:firstLine="576"/>
        <w:spacing w:after="0" w:line="257" w:lineRule="auto"/>
        <w:rPr>
          <w:sz w:val="20"/>
          <w:szCs w:val="20"/>
          <w:color w:val="auto"/>
        </w:rPr>
      </w:pPr>
      <w:r>
        <w:rPr>
          <w:rFonts w:ascii="Times New Roman" w:cs="Times New Roman" w:eastAsia="Times New Roman" w:hAnsi="Times New Roman"/>
          <w:sz w:val="17"/>
          <w:szCs w:val="17"/>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to manufacture our preclinical and clinical products and we exercise limited direct control over this manufacturer (and it would be time consuming and expensive to move production to a new manufacturer, if we were able to do so at all). This reliance on third parties increases the risk that we will not have sufficient quantities of our product candidates or products or such quantities at an acceptable cost or quality, which could delay, prevent or impair our development or</w:t>
      </w:r>
    </w:p>
    <w:p>
      <w:pPr>
        <w:spacing w:after="0" w:line="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commercialization efforts. For example, we rely on a limited number of CROs to perform certain chemistry-related work on our preclinical product candidates. One such CRO is located in Ukraine, which was invaded by Russia in February 2022 and, as a result, their work on our behalf of was interrupted. Another CRO, with operations in Shanghai, was impacted when lock-down procedures were recently implemented due to COVID-19 and was unable to operate at full capacity. Events such as those in Ukraine and China may delay development of our future product candidates, and such delay may materially impact the timing for moving products into development candidate stage and IND-enabling studies, as well as initiating trials.</w:t>
      </w:r>
    </w:p>
    <w:p>
      <w:pPr>
        <w:spacing w:after="0" w:line="123"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8" w:name="page59"/>
    <w:bookmarkEnd w:id="58"/>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7"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77" w:lineRule="exact"/>
        <w:rPr>
          <w:sz w:val="20"/>
          <w:szCs w:val="20"/>
          <w:color w:val="auto"/>
        </w:rPr>
      </w:pPr>
    </w:p>
    <w:p>
      <w:pPr>
        <w:ind w:right="400" w:firstLine="576"/>
        <w:spacing w:after="0" w:line="266"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third-party manufacturers or do so on acceptable terms. Reliance on third-party manufacturers entails additional risks, including:</w:t>
      </w:r>
    </w:p>
    <w:p>
      <w:pPr>
        <w:spacing w:after="0" w:line="68" w:lineRule="exact"/>
        <w:rPr>
          <w:sz w:val="20"/>
          <w:szCs w:val="20"/>
          <w:color w:val="auto"/>
        </w:rPr>
      </w:pPr>
    </w:p>
    <w:p>
      <w:pPr>
        <w:ind w:left="700" w:right="5080" w:firstLine="8"/>
        <w:spacing w:after="0" w:line="246" w:lineRule="auto"/>
        <w:rPr>
          <w:sz w:val="20"/>
          <w:szCs w:val="20"/>
          <w:color w:val="auto"/>
        </w:rPr>
      </w:pPr>
      <w:r>
        <w:rPr>
          <w:rFonts w:ascii="Times New Roman" w:cs="Times New Roman" w:eastAsia="Times New Roman" w:hAnsi="Times New Roman"/>
          <w:sz w:val="18"/>
          <w:szCs w:val="18"/>
          <w:color w:val="auto"/>
        </w:rPr>
        <w:t>reliance on the third party for regulatory compliance and quality assurance; the possible breach of the manufacturing agreement by the third party;</w:t>
      </w:r>
    </w:p>
    <w:p>
      <w:pPr>
        <w:ind w:left="480"/>
        <w:spacing w:after="0"/>
        <w:rPr>
          <w:sz w:val="20"/>
          <w:szCs w:val="20"/>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93"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36" w:lineRule="exact"/>
        <w:rPr>
          <w:sz w:val="20"/>
          <w:szCs w:val="20"/>
          <w:color w:val="auto"/>
        </w:rPr>
      </w:pPr>
    </w:p>
    <w:p>
      <w:pPr>
        <w:ind w:right="20" w:firstLine="621"/>
        <w:spacing w:after="0" w:line="250"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90" w:lineRule="exact"/>
        <w:rPr>
          <w:sz w:val="20"/>
          <w:szCs w:val="20"/>
          <w:color w:val="auto"/>
        </w:rPr>
      </w:pPr>
    </w:p>
    <w:p>
      <w:pPr>
        <w:ind w:right="380" w:firstLine="576"/>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37" w:lineRule="exact"/>
        <w:rPr>
          <w:sz w:val="20"/>
          <w:szCs w:val="20"/>
          <w:color w:val="auto"/>
        </w:rPr>
      </w:pPr>
    </w:p>
    <w:p>
      <w:pPr>
        <w:ind w:right="60" w:firstLine="576"/>
        <w:spacing w:after="0" w:line="242" w:lineRule="auto"/>
        <w:rPr>
          <w:sz w:val="20"/>
          <w:szCs w:val="20"/>
          <w:color w:val="auto"/>
        </w:rPr>
      </w:pPr>
      <w:r>
        <w:rPr>
          <w:rFonts w:ascii="Times New Roman" w:cs="Times New Roman" w:eastAsia="Times New Roman" w:hAnsi="Times New Roman"/>
          <w:sz w:val="18"/>
          <w:szCs w:val="18"/>
          <w:color w:val="auto"/>
        </w:rPr>
        <w:t>The active pharmaceutical ingredients, or API, and drug product we expect to use in all of our product candidates are supplied to us from single-source suppliers. In some cases, both the API and drug product are manufactured and supplied by the same single-source (as is the case with respect to the supply of TNG908 for use in our Phase 1/2 clinical trial). Our ability to successfully develop our product candidates, and to ultimately supply our commercial products in quantities sufficient to meet the market demand (and to meet requirements in connection with our planned clinical trials), depends in part on our ability to obtain the API and drug product for these products in accordance with regulatory requirements and in sufficient quantities for clinical testing and commercialization. We are also unable to predict how changing global economic conditions or global health concerns such as the ongoing COVID-19 pandemic, as well as potential supply chain disruptions or cost increases related thereto, will affect our third-party suppliers and manufacturers. Any negative impact of such matters on our third-party suppliers and manufacturers may also have an adverse impact on our results of operations or financial condition.</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9" w:name="page60"/>
    <w:bookmarkEnd w:id="59"/>
    <w:p>
      <w:pPr>
        <w:ind w:right="340" w:firstLine="576"/>
        <w:spacing w:after="0" w:line="247"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0"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and drug product used in our product candidates,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284"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3" w:lineRule="exact"/>
        <w:rPr>
          <w:sz w:val="20"/>
          <w:szCs w:val="20"/>
          <w:color w:val="auto"/>
        </w:rPr>
      </w:pPr>
    </w:p>
    <w:p>
      <w:pPr>
        <w:ind w:right="200" w:firstLine="576"/>
        <w:spacing w:after="0" w:line="250"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90" w:lineRule="exact"/>
        <w:rPr>
          <w:sz w:val="20"/>
          <w:szCs w:val="20"/>
          <w:color w:val="auto"/>
        </w:rPr>
      </w:pPr>
    </w:p>
    <w:p>
      <w:pPr>
        <w:ind w:right="80" w:firstLine="576"/>
        <w:spacing w:after="0" w:line="24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as well as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7" w:lineRule="exact"/>
        <w:rPr>
          <w:sz w:val="20"/>
          <w:szCs w:val="20"/>
          <w:color w:val="auto"/>
        </w:rPr>
      </w:pPr>
    </w:p>
    <w:p>
      <w:pPr>
        <w:ind w:right="520" w:firstLine="576"/>
        <w:spacing w:after="0" w:line="258" w:lineRule="auto"/>
        <w:rPr>
          <w:sz w:val="20"/>
          <w:szCs w:val="20"/>
          <w:color w:val="auto"/>
        </w:rPr>
      </w:pPr>
      <w:r>
        <w:rPr>
          <w:rFonts w:ascii="Times New Roman" w:cs="Times New Roman" w:eastAsia="Times New Roman" w:hAnsi="Times New Roman"/>
          <w:sz w:val="18"/>
          <w:szCs w:val="18"/>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9"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195" w:lineRule="exact"/>
        <w:rPr>
          <w:sz w:val="20"/>
          <w:szCs w:val="20"/>
          <w:color w:val="auto"/>
        </w:rPr>
      </w:pPr>
    </w:p>
    <w:p>
      <w:pPr>
        <w:ind w:right="40" w:firstLine="576"/>
        <w:spacing w:after="0" w:line="244"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of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allowed to expire by the other party. Any such termination or expiration would adversely affect us financially and could harm our business reputation.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6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 As of the date of the filing of this Quarterly Report on Form 10-Q, we have multiple filed patent applications for our product candidates.</w:t>
      </w:r>
    </w:p>
    <w:p>
      <w:pPr>
        <w:spacing w:after="0" w:line="201"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for technologies and inventions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the intellectual property protections we may obtain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81"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United States. For example,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86"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1" w:name="page62"/>
    <w:bookmarkEnd w:id="61"/>
    <w:p>
      <w:pPr>
        <w:jc w:val="center"/>
        <w:ind w:right="120"/>
        <w:spacing w:after="0"/>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w:t>
      </w:r>
    </w:p>
    <w:p>
      <w:pPr>
        <w:spacing w:after="0" w:line="2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87"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United States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challenging our patent rights or the patent rights of others from whom we license or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83"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0" w:lineRule="exact"/>
        <w:rPr>
          <w:sz w:val="20"/>
          <w:szCs w:val="20"/>
          <w:color w:val="auto"/>
        </w:rPr>
      </w:pPr>
    </w:p>
    <w:p>
      <w:pPr>
        <w:ind w:right="280" w:firstLine="576"/>
        <w:spacing w:after="0" w:line="264" w:lineRule="auto"/>
        <w:rPr>
          <w:sz w:val="20"/>
          <w:szCs w:val="20"/>
          <w:color w:val="auto"/>
        </w:rPr>
      </w:pPr>
      <w:r>
        <w:rPr>
          <w:rFonts w:ascii="Times New Roman" w:cs="Times New Roman" w:eastAsia="Times New Roman" w:hAnsi="Times New Roman"/>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8"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8"/>
          <w:szCs w:val="18"/>
          <w:color w:val="auto"/>
        </w:rPr>
        <w:t>Even if they are unchallenged,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the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80" w:lineRule="exact"/>
        <w:rPr>
          <w:sz w:val="20"/>
          <w:szCs w:val="20"/>
          <w:color w:val="auto"/>
        </w:rPr>
      </w:pPr>
    </w:p>
    <w:p>
      <w:pPr>
        <w:ind w:right="300" w:firstLine="576"/>
        <w:spacing w:after="0" w:line="250"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2" w:name="page63"/>
    <w:bookmarkEnd w:id="62"/>
    <w:p>
      <w:pPr>
        <w:jc w:val="both"/>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0"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08"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Further we have not, and may not, register for trademark protection in every potential jurisdiction where we may conduct business or sell products (if approved). During the trademark registration process, we have in the past received and may in the future receive Office Actions from the USPTO or from comparable agencies in foreign jurisdictions objecting to the registration of our trademark. Although we may be given an opportunity to respond to those objections, we may be unable to overcome such objections.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do not seek registered trademarks, or establish name recognition based on our trademarks and trade names, we may not be able to compete effectively and our business may be adversely affected.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63" w:name="page64"/>
    <w:bookmarkEnd w:id="63"/>
    <w:p>
      <w:pPr>
        <w:ind w:right="100" w:firstLine="576"/>
        <w:spacing w:after="0" w:line="246"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79"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or disclosures.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or proprietary information to third parties, we will not be able to establish or maintain a competitive advantage in our market, which could materially adversely affect our business, financial condition, results of operations and future prospects.</w:t>
      </w:r>
    </w:p>
    <w:p>
      <w:pPr>
        <w:spacing w:after="0" w:line="114" w:lineRule="exact"/>
        <w:rPr>
          <w:sz w:val="20"/>
          <w:szCs w:val="20"/>
          <w:color w:val="auto"/>
        </w:rPr>
      </w:pPr>
    </w:p>
    <w:p>
      <w:pPr>
        <w:ind w:right="100" w:firstLine="576"/>
        <w:spacing w:after="0" w:line="245"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14"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among other things,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and consultants, the agreements provide that all inventions conceived by the individual, and which are related to our current or planned business or research and development or made during normal working hours (or during the course of performing services in the case of consultants), on our premises or using our equipment or proprietary information, are our exclusive property. Although we require all of our employees and consultants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04"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0"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(and we may not be able to prevent the commercialization of the competitor product).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4" w:name="page65"/>
    <w:bookmarkEnd w:id="64"/>
    <w:p>
      <w:pPr>
        <w:spacing w:after="0" w:line="262" w:lineRule="auto"/>
        <w:rPr>
          <w:sz w:val="20"/>
          <w:szCs w:val="20"/>
          <w:color w:val="auto"/>
        </w:rPr>
      </w:pPr>
      <w:r>
        <w:rPr>
          <w:rFonts w:ascii="Times New Roman" w:cs="Times New Roman" w:eastAsia="Times New Roman" w:hAnsi="Times New Roman"/>
          <w:sz w:val="17"/>
          <w:szCs w:val="17"/>
          <w:color w:val="auto"/>
        </w:rPr>
        <w:t>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and may negatively impact our stock price.</w:t>
      </w:r>
    </w:p>
    <w:p>
      <w:pPr>
        <w:spacing w:after="0" w:line="99"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 current patent applications)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w:t>
      </w:r>
    </w:p>
    <w:p>
      <w:pPr>
        <w:spacing w:after="0" w:line="118"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0" w:lineRule="exact"/>
        <w:rPr>
          <w:sz w:val="20"/>
          <w:szCs w:val="20"/>
          <w:color w:val="auto"/>
        </w:rPr>
      </w:pPr>
    </w:p>
    <w:p>
      <w:pPr>
        <w:ind w:right="60" w:firstLine="576"/>
        <w:spacing w:after="0" w:line="246"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37"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research and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initiate and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9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resources to such disputes, such disputes could adversely impact our business reputation and/or protection of our proprietary technology.</w:t>
      </w:r>
    </w:p>
    <w:p>
      <w:pPr>
        <w:spacing w:after="0" w:line="121"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87"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If such actions are successful, the third party may be able to, among other things, prevent launch of a product (which may happen only after the significant expense of development and clinical trials).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202" w:lineRule="exact"/>
        <w:rPr>
          <w:sz w:val="20"/>
          <w:szCs w:val="20"/>
          <w:color w:val="auto"/>
        </w:rPr>
      </w:pPr>
    </w:p>
    <w:p>
      <w:pPr>
        <w:ind w:right="640" w:firstLine="576"/>
        <w:spacing w:after="0" w:line="266"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right="140" w:firstLine="230"/>
        <w:spacing w:after="0" w:line="254" w:lineRule="auto"/>
        <w:rPr>
          <w:sz w:val="20"/>
          <w:szCs w:val="20"/>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ind w:right="220" w:firstLine="230"/>
        <w:spacing w:after="0"/>
        <w:rPr>
          <w:sz w:val="20"/>
          <w:szCs w:val="20"/>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ind w:right="580" w:firstLine="230"/>
        <w:spacing w:after="0"/>
        <w:rPr>
          <w:sz w:val="20"/>
          <w:szCs w:val="20"/>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w:t>
      </w:r>
    </w:p>
    <w:p>
      <w:pPr>
        <w:ind w:right="500" w:firstLine="230"/>
        <w:spacing w:after="0" w:line="239" w:lineRule="auto"/>
        <w:rPr>
          <w:sz w:val="20"/>
          <w:szCs w:val="20"/>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ind w:right="420" w:firstLine="230"/>
        <w:spacing w:after="0" w:line="245" w:lineRule="auto"/>
        <w:rPr>
          <w:sz w:val="20"/>
          <w:szCs w:val="20"/>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66" w:name="page67"/>
    <w:bookmarkEnd w:id="66"/>
    <w:p>
      <w:pPr>
        <w:ind w:firstLine="230"/>
        <w:spacing w:after="0" w:line="250" w:lineRule="auto"/>
        <w:rPr>
          <w:sz w:val="20"/>
          <w:szCs w:val="20"/>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64"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80" w:lineRule="exact"/>
        <w:rPr>
          <w:sz w:val="20"/>
          <w:szCs w:val="20"/>
          <w:color w:val="auto"/>
        </w:rPr>
      </w:pPr>
    </w:p>
    <w:p>
      <w:pPr>
        <w:ind w:right="20" w:firstLine="576"/>
        <w:spacing w:after="0"/>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United States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216"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launch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that event, we would be unable to further develop and commercialize our current or future product candidates, which could harm our business significantly.</w:t>
      </w:r>
    </w:p>
    <w:p>
      <w:pPr>
        <w:spacing w:after="0" w:line="329"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81" w:lineRule="exact"/>
        <w:rPr>
          <w:sz w:val="20"/>
          <w:szCs w:val="20"/>
          <w:color w:val="auto"/>
        </w:rPr>
      </w:pPr>
    </w:p>
    <w:p>
      <w:pPr>
        <w:ind w:right="60" w:firstLine="576"/>
        <w:spacing w:after="0" w:line="242"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88"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ind w:right="100" w:firstLine="576"/>
        <w:spacing w:after="0" w:line="24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37"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Like many companies in the biopharmaceutical industry we have, and may in the future, receive offers to license or acquire certain technologies or intellectual property rights from third parties in connection with the manufacturing and/or commercializing product candidates.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8" w:name="page69"/>
    <w:bookmarkEnd w:id="68"/>
    <w:p>
      <w:pPr>
        <w:ind w:right="560"/>
        <w:spacing w:after="0" w:line="282" w:lineRule="auto"/>
        <w:rPr>
          <w:sz w:val="20"/>
          <w:szCs w:val="20"/>
          <w:color w:val="auto"/>
        </w:rPr>
      </w:pPr>
      <w:r>
        <w:rPr>
          <w:rFonts w:ascii="Times New Roman" w:cs="Times New Roman" w:eastAsia="Times New Roman" w:hAnsi="Times New Roman"/>
          <w:sz w:val="18"/>
          <w:szCs w:val="18"/>
          <w:color w:val="auto"/>
        </w:rPr>
        <w:t>giving our competitors access to the same technologies licensed to us. Any of the foregoing could harm our competitive position, business, financial condition, results of operations and prospects.</w:t>
      </w:r>
    </w:p>
    <w:p>
      <w:pPr>
        <w:spacing w:after="0" w:line="252"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63" w:lineRule="exact"/>
        <w:rPr>
          <w:sz w:val="20"/>
          <w:szCs w:val="20"/>
          <w:color w:val="auto"/>
        </w:rPr>
      </w:pPr>
    </w:p>
    <w:p>
      <w:pPr>
        <w:ind w:right="100" w:firstLine="576"/>
        <w:spacing w:after="0" w:line="244" w:lineRule="auto"/>
        <w:rPr>
          <w:sz w:val="20"/>
          <w:szCs w:val="20"/>
          <w:color w:val="auto"/>
        </w:rPr>
      </w:pPr>
      <w:r>
        <w:rPr>
          <w:rFonts w:ascii="Times New Roman" w:cs="Times New Roman" w:eastAsia="Times New Roman" w:hAnsi="Times New Roman"/>
          <w:sz w:val="18"/>
          <w:szCs w:val="18"/>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82"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7" w:lineRule="exact"/>
        <w:rPr>
          <w:sz w:val="20"/>
          <w:szCs w:val="20"/>
          <w:color w:val="auto"/>
        </w:rPr>
      </w:pPr>
    </w:p>
    <w:p>
      <w:pPr>
        <w:ind w:right="240" w:firstLine="230"/>
        <w:spacing w:after="0" w:line="235" w:lineRule="auto"/>
        <w:rPr>
          <w:sz w:val="20"/>
          <w:szCs w:val="20"/>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7" w:lineRule="exact"/>
        <w:rPr>
          <w:sz w:val="20"/>
          <w:szCs w:val="20"/>
          <w:color w:val="auto"/>
        </w:rPr>
      </w:pPr>
    </w:p>
    <w:p>
      <w:pPr>
        <w:ind w:firstLine="230"/>
        <w:spacing w:after="0" w:line="235" w:lineRule="auto"/>
        <w:rPr>
          <w:sz w:val="20"/>
          <w:szCs w:val="20"/>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priority of invention of any patented technology; and</w:t>
      </w:r>
    </w:p>
    <w:p>
      <w:pPr>
        <w:spacing w:after="0" w:line="7" w:lineRule="exact"/>
        <w:rPr>
          <w:sz w:val="20"/>
          <w:szCs w:val="20"/>
          <w:color w:val="auto"/>
        </w:rPr>
      </w:pPr>
    </w:p>
    <w:p>
      <w:pPr>
        <w:ind w:right="600" w:firstLine="230"/>
        <w:spacing w:after="0" w:line="245" w:lineRule="auto"/>
        <w:rPr>
          <w:sz w:val="20"/>
          <w:szCs w:val="20"/>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future licensors and us and our partners.</w:t>
      </w:r>
    </w:p>
    <w:p>
      <w:pPr>
        <w:spacing w:after="0" w:line="126" w:lineRule="exact"/>
        <w:rPr>
          <w:sz w:val="20"/>
          <w:szCs w:val="20"/>
          <w:color w:val="auto"/>
        </w:rPr>
      </w:pPr>
    </w:p>
    <w:p>
      <w:pPr>
        <w:ind w:right="20" w:firstLine="584"/>
        <w:spacing w:after="0" w:line="24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31"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80" w:lineRule="exact"/>
        <w:rPr>
          <w:sz w:val="20"/>
          <w:szCs w:val="20"/>
          <w:color w:val="auto"/>
        </w:rPr>
      </w:pPr>
    </w:p>
    <w:p>
      <w:pPr>
        <w:ind w:right="180" w:firstLine="576"/>
        <w:spacing w:after="0" w:line="244" w:lineRule="auto"/>
        <w:rPr>
          <w:sz w:val="20"/>
          <w:szCs w:val="20"/>
          <w:color w:val="auto"/>
        </w:rPr>
      </w:pPr>
      <w:r>
        <w:rPr>
          <w:rFonts w:ascii="Times New Roman" w:cs="Times New Roman" w:eastAsia="Times New Roman" w:hAnsi="Times New Roman"/>
          <w:sz w:val="18"/>
          <w:szCs w:val="18"/>
          <w:color w:val="auto"/>
        </w:rPr>
        <w:t>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9" w:name="page70"/>
    <w:bookmarkEnd w:id="69"/>
    <w:p>
      <w:pPr>
        <w:ind w:right="100"/>
        <w:spacing w:after="0" w:line="242" w:lineRule="auto"/>
        <w:rPr>
          <w:sz w:val="20"/>
          <w:szCs w:val="20"/>
          <w:color w:val="auto"/>
        </w:rPr>
      </w:pPr>
      <w:r>
        <w:rPr>
          <w:rFonts w:ascii="Times New Roman" w:cs="Times New Roman" w:eastAsia="Times New Roman" w:hAnsi="Times New Roman"/>
          <w:sz w:val="18"/>
          <w:szCs w:val="18"/>
          <w:color w:val="auto"/>
        </w:rPr>
        <w:t xml:space="preserve">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and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172"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08"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An adverse determination in any such submission or proceeding could reduce the scope or enforceability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22" w:lineRule="exact"/>
        <w:rPr>
          <w:sz w:val="20"/>
          <w:szCs w:val="20"/>
          <w:color w:val="auto"/>
        </w:rPr>
      </w:pPr>
    </w:p>
    <w:p>
      <w:pPr>
        <w:jc w:val="both"/>
        <w:ind w:right="100" w:firstLine="576"/>
        <w:spacing w:after="0" w:line="250" w:lineRule="auto"/>
        <w:rPr>
          <w:sz w:val="20"/>
          <w:szCs w:val="20"/>
          <w:color w:val="auto"/>
        </w:rPr>
      </w:pPr>
      <w:r>
        <w:rPr>
          <w:rFonts w:ascii="Times New Roman" w:cs="Times New Roman" w:eastAsia="Times New Roman" w:hAnsi="Times New Roman"/>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0" w:name="page71"/>
    <w:bookmarkEnd w:id="70"/>
    <w:p>
      <w:pPr>
        <w:ind w:right="220" w:firstLine="576"/>
        <w:spacing w:after="0" w:line="247"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w:t>
      </w:r>
    </w:p>
    <w:p>
      <w:pPr>
        <w:spacing w:after="0" w:line="203"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0"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25" w:lineRule="exact"/>
        <w:rPr>
          <w:sz w:val="20"/>
          <w:szCs w:val="20"/>
          <w:color w:val="auto"/>
        </w:rPr>
      </w:pPr>
    </w:p>
    <w:p>
      <w:pPr>
        <w:ind w:right="60" w:firstLine="576"/>
        <w:spacing w:after="0" w:line="247"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3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37"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27" w:lineRule="exact"/>
        <w:rPr>
          <w:sz w:val="20"/>
          <w:szCs w:val="20"/>
          <w:color w:val="auto"/>
        </w:rPr>
      </w:pPr>
    </w:p>
    <w:p>
      <w:pPr>
        <w:ind w:right="220" w:firstLine="230"/>
        <w:spacing w:after="0" w:line="235" w:lineRule="auto"/>
        <w:rPr>
          <w:sz w:val="20"/>
          <w:szCs w:val="20"/>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1" w:lineRule="exact"/>
        <w:rPr>
          <w:sz w:val="20"/>
          <w:szCs w:val="20"/>
          <w:color w:val="auto"/>
        </w:rPr>
      </w:pPr>
    </w:p>
    <w:p>
      <w:pPr>
        <w:jc w:val="both"/>
        <w:ind w:right="280" w:firstLine="230"/>
        <w:spacing w:after="0"/>
        <w:rPr>
          <w:sz w:val="20"/>
          <w:szCs w:val="20"/>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rPr>
          <w:sz w:val="20"/>
          <w:szCs w:val="20"/>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1" w:name="page72"/>
    <w:bookmarkEnd w:id="71"/>
    <w:p>
      <w:pPr>
        <w:ind w:right="40" w:firstLine="230"/>
        <w:spacing w:after="0" w:line="254"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234"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ind w:right="560" w:firstLine="230"/>
        <w:spacing w:after="0" w:line="242" w:lineRule="auto"/>
        <w:rPr>
          <w:sz w:val="20"/>
          <w:szCs w:val="20"/>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1" w:lineRule="exact"/>
        <w:rPr>
          <w:sz w:val="20"/>
          <w:szCs w:val="20"/>
          <w:color w:val="auto"/>
        </w:rPr>
      </w:pPr>
    </w:p>
    <w:p>
      <w:pPr>
        <w:jc w:val="both"/>
        <w:ind w:right="480" w:firstLine="230"/>
        <w:spacing w:after="0"/>
        <w:rPr>
          <w:sz w:val="20"/>
          <w:szCs w:val="20"/>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234" w:lineRule="auto"/>
        <w:rPr>
          <w:sz w:val="20"/>
          <w:szCs w:val="20"/>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ind w:right="260" w:firstLine="230"/>
        <w:spacing w:after="0" w:line="241" w:lineRule="auto"/>
        <w:rPr>
          <w:sz w:val="20"/>
          <w:szCs w:val="20"/>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 w:lineRule="exact"/>
        <w:rPr>
          <w:sz w:val="20"/>
          <w:szCs w:val="20"/>
          <w:color w:val="auto"/>
        </w:rPr>
      </w:pPr>
    </w:p>
    <w:p>
      <w:pPr>
        <w:ind w:firstLine="230"/>
        <w:spacing w:after="0" w:line="235" w:lineRule="auto"/>
        <w:rPr>
          <w:sz w:val="20"/>
          <w:szCs w:val="20"/>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1" w:lineRule="exact"/>
        <w:rPr>
          <w:sz w:val="20"/>
          <w:szCs w:val="20"/>
          <w:color w:val="auto"/>
        </w:rPr>
      </w:pPr>
    </w:p>
    <w:p>
      <w:pPr>
        <w:ind w:left="240" w:right="3520"/>
        <w:spacing w:after="0" w:line="242" w:lineRule="auto"/>
        <w:rPr>
          <w:sz w:val="20"/>
          <w:szCs w:val="20"/>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 we may not develop or in-license additional proprietary technologies that are patentable;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12"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20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30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0"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date of filing,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2" w:name="page73"/>
    <w:bookmarkEnd w:id="72"/>
    <w:p>
      <w:pPr>
        <w:ind w:right="100"/>
        <w:spacing w:after="0" w:line="258" w:lineRule="auto"/>
        <w:rPr>
          <w:sz w:val="20"/>
          <w:szCs w:val="20"/>
          <w:color w:val="auto"/>
        </w:rPr>
      </w:pPr>
      <w:r>
        <w:rPr>
          <w:rFonts w:ascii="Times New Roman" w:cs="Times New Roman" w:eastAsia="Times New Roman" w:hAnsi="Times New Roman"/>
          <w:sz w:val="18"/>
          <w:szCs w:val="18"/>
          <w:color w:val="auto"/>
        </w:rPr>
        <w:t>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7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37"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 In the third quarter of 2022, the FDA granted Orphan Drug Designation to TNG908 for the treatment of malignant peripheral nerve sheath tumors (MPNST).</w:t>
      </w:r>
    </w:p>
    <w:p>
      <w:pPr>
        <w:spacing w:after="0" w:line="186"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95" w:lineRule="exact"/>
        <w:rPr>
          <w:sz w:val="20"/>
          <w:szCs w:val="20"/>
          <w:color w:val="auto"/>
        </w:rPr>
      </w:pPr>
    </w:p>
    <w:p>
      <w:pPr>
        <w:ind w:right="160" w:firstLine="576"/>
        <w:spacing w:after="0" w:line="246"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exclusivity period in the European Union can be reduced to six years if a product no longer meets the criteria for orphan drug designation or if the product is sufficiently profitable so that market exclusivity is no longer justified.</w:t>
      </w:r>
    </w:p>
    <w:p>
      <w:pPr>
        <w:spacing w:after="0" w:line="181"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25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81" w:lineRule="exact"/>
        <w:rPr>
          <w:sz w:val="20"/>
          <w:szCs w:val="20"/>
          <w:color w:val="auto"/>
        </w:rPr>
      </w:pPr>
    </w:p>
    <w:p>
      <w:pPr>
        <w:ind w:right="120" w:firstLine="576"/>
        <w:spacing w:after="0" w:line="245"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3" w:name="page74"/>
    <w:bookmarkEnd w:id="73"/>
    <w:p>
      <w:pPr>
        <w:spacing w:after="0" w:line="244" w:lineRule="auto"/>
        <w:rPr>
          <w:sz w:val="20"/>
          <w:szCs w:val="20"/>
          <w:color w:val="auto"/>
        </w:rPr>
      </w:pPr>
      <w:r>
        <w:rPr>
          <w:rFonts w:ascii="Times New Roman" w:cs="Times New Roman" w:eastAsia="Times New Roman" w:hAnsi="Times New Roman"/>
          <w:sz w:val="18"/>
          <w:szCs w:val="18"/>
          <w:color w:val="auto"/>
        </w:rPr>
        <w:t>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85"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We may also seek fast track designation for some of our product candidates and, in the case of TNG908, we were granted fast track designation by the FDA in the first quarter of 2022. 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2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81"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3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37" w:lineRule="exact"/>
        <w:rPr>
          <w:sz w:val="20"/>
          <w:szCs w:val="20"/>
          <w:color w:val="auto"/>
        </w:rPr>
      </w:pPr>
    </w:p>
    <w:p>
      <w:pPr>
        <w:ind w:right="40" w:firstLine="576"/>
        <w:spacing w:after="0" w:line="257" w:lineRule="auto"/>
        <w:rPr>
          <w:sz w:val="20"/>
          <w:szCs w:val="20"/>
          <w:color w:val="auto"/>
        </w:rPr>
      </w:pPr>
      <w:r>
        <w:rPr>
          <w:rFonts w:ascii="Times New Roman" w:cs="Times New Roman" w:eastAsia="Times New Roman" w:hAnsi="Times New Roman"/>
          <w:sz w:val="17"/>
          <w:szCs w:val="17"/>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74" w:name="page75"/>
    <w:bookmarkEnd w:id="74"/>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government agencies or the EMA or comparable foreign regulatory authorities,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80" w:lineRule="exact"/>
        <w:rPr>
          <w:sz w:val="20"/>
          <w:szCs w:val="20"/>
          <w:color w:val="auto"/>
        </w:rPr>
      </w:pPr>
    </w:p>
    <w:p>
      <w:pPr>
        <w:ind w:right="120" w:firstLine="576"/>
        <w:spacing w:after="0" w:line="246" w:lineRule="auto"/>
        <w:rPr>
          <w:sz w:val="20"/>
          <w:szCs w:val="20"/>
          <w:color w:val="auto"/>
        </w:rPr>
      </w:pPr>
      <w:r>
        <w:rPr>
          <w:rFonts w:ascii="Times New Roman" w:cs="Times New Roman" w:eastAsia="Times New Roman" w:hAnsi="Times New Roman"/>
          <w:sz w:val="18"/>
          <w:szCs w:val="18"/>
          <w:color w:val="auto"/>
        </w:rPr>
        <w:t>The ability of the FDA, the EMA or comparable foreign regulatory authorities to review and approve new products can be affected by a variety of factors, including government budget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27"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5"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Disruptions at the FDA, the EMA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12" w:lineRule="exact"/>
        <w:rPr>
          <w:sz w:val="20"/>
          <w:szCs w:val="20"/>
          <w:color w:val="auto"/>
        </w:rPr>
      </w:pPr>
    </w:p>
    <w:p>
      <w:pPr>
        <w:ind w:right="180" w:firstLine="576"/>
        <w:spacing w:after="0" w:line="246" w:lineRule="auto"/>
        <w:rPr>
          <w:sz w:val="20"/>
          <w:szCs w:val="20"/>
          <w:color w:val="auto"/>
        </w:rPr>
      </w:pPr>
      <w:r>
        <w:rPr>
          <w:rFonts w:ascii="Times New Roman" w:cs="Times New Roman" w:eastAsia="Times New Roman" w:hAnsi="Times New Roman"/>
          <w:sz w:val="18"/>
          <w:szCs w:val="18"/>
          <w:color w:val="auto"/>
        </w:rPr>
        <w:t>Separately, since March 2020 when foreign and domestic inspections were largely placed on hold due to the COVID-19 pandemic, the FDA has been working to resume pre-pandemic levels of inspection activities, including routine surveillance, bioresearch monitoring and pre-approval inspections on a prioritized basis.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w:t>
      </w:r>
    </w:p>
    <w:p>
      <w:pPr>
        <w:spacing w:after="0" w:line="114" w:lineRule="exact"/>
        <w:rPr>
          <w:sz w:val="20"/>
          <w:szCs w:val="20"/>
          <w:color w:val="auto"/>
        </w:rPr>
      </w:pPr>
    </w:p>
    <w:p>
      <w:pPr>
        <w:ind w:right="560" w:firstLine="576"/>
        <w:spacing w:after="0" w:line="266" w:lineRule="auto"/>
        <w:rPr>
          <w:sz w:val="20"/>
          <w:szCs w:val="20"/>
          <w:color w:val="auto"/>
        </w:rPr>
      </w:pPr>
      <w:r>
        <w:rPr>
          <w:rFonts w:ascii="Times New Roman" w:cs="Times New Roman" w:eastAsia="Times New Roman" w:hAnsi="Times New Roman"/>
          <w:sz w:val="18"/>
          <w:szCs w:val="18"/>
          <w:color w:val="auto"/>
        </w:rPr>
        <w:t>In 2020 and in 2021, a number of companies announced receipt of complete response letters due to the FDA’s inability to complete required inspections for their applications.</w:t>
      </w:r>
    </w:p>
    <w:p>
      <w:pPr>
        <w:spacing w:after="0" w:line="95"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8"/>
          <w:szCs w:val="18"/>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and other regulatory authorities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and statutes could impact our business in the future by requiring, for example: (i) changes to our manufacturing arrangements; (ii) changes to the method in which drug prices are determined for Medicare and Medicaid participants or other potential patients in the U.S. (or by which drug prices are determined in other countries and regions), (iii) additions or modifications to product labeling (if, and when, a product is approved for sale); (iv) the recall or discontinuation of our products (if any products are approved by applicable regulatory authorities); or (v) additional record-keeping requirements. If any such changes were to be imposed, they could adversely affect the operation of our business. For additional information, see section entitled “</w:t>
      </w:r>
      <w:r>
        <w:rPr>
          <w:rFonts w:ascii="Times New Roman" w:cs="Times New Roman" w:eastAsia="Times New Roman" w:hAnsi="Times New Roman"/>
          <w:sz w:val="18"/>
          <w:szCs w:val="18"/>
          <w:i w:val="1"/>
          <w:iCs w:val="1"/>
          <w:color w:val="auto"/>
        </w:rPr>
        <w:t>Business – Current and future healthcare reform legislation</w:t>
      </w:r>
      <w:r>
        <w:rPr>
          <w:rFonts w:ascii="Times New Roman" w:cs="Times New Roman" w:eastAsia="Times New Roman" w:hAnsi="Times New Roman"/>
          <w:sz w:val="18"/>
          <w:szCs w:val="18"/>
          <w:color w:val="auto"/>
        </w:rPr>
        <w:t>” as set forth in the Annual Report on Form 10-K for the fiscal year ended December 31, 2021.</w:t>
      </w:r>
    </w:p>
    <w:p>
      <w:pPr>
        <w:spacing w:after="0" w:line="181" w:lineRule="exact"/>
        <w:rPr>
          <w:sz w:val="20"/>
          <w:szCs w:val="20"/>
          <w:color w:val="auto"/>
        </w:rPr>
      </w:pPr>
    </w:p>
    <w:p>
      <w:pPr>
        <w:ind w:right="80" w:firstLine="584"/>
        <w:spacing w:after="0" w:line="250"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Patient Protection and Affordable Care Act, as amended by the Health Care and Education Reconciliation Act of 2010, or ACA. On June 17, 2021, the U.S. Supreme Court dismissed the most recent judicial challenge to the ACA brought by several states without specifically ruling on the constitutionality of the ACA. Prior to the Supreme Court's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75" w:name="page76"/>
    <w:bookmarkEnd w:id="75"/>
    <w:p>
      <w:pPr>
        <w:ind w:right="60"/>
        <w:spacing w:after="0" w:line="247" w:lineRule="auto"/>
        <w:rPr>
          <w:sz w:val="20"/>
          <w:szCs w:val="20"/>
          <w:color w:val="auto"/>
        </w:rPr>
      </w:pPr>
      <w:r>
        <w:rPr>
          <w:rFonts w:ascii="Times New Roman" w:cs="Times New Roman" w:eastAsia="Times New Roman" w:hAnsi="Times New Roman"/>
          <w:sz w:val="18"/>
          <w:szCs w:val="18"/>
          <w:color w:val="auto"/>
        </w:rPr>
        <w:t>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80"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may not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August 2022, the Inflation Reduction Act of 2022 (the “IRA”) was signed into law. The IRA includes several provisions that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The effect of IRA on our business and the healthcare industry in general is not yet known.</w:t>
      </w:r>
    </w:p>
    <w:p>
      <w:pPr>
        <w:spacing w:after="0" w:line="185"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201"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8"/>
          <w:szCs w:val="18"/>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90"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and other government programs may result in a similar reduction in payments from private payers. In addition, individual states in the United States have also increasingly passed legislation and</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6" w:name="page77"/>
    <w:bookmarkEnd w:id="76"/>
    <w:p>
      <w:pPr>
        <w:ind w:right="220"/>
        <w:spacing w:after="0" w:line="258" w:lineRule="auto"/>
        <w:rPr>
          <w:sz w:val="20"/>
          <w:szCs w:val="20"/>
          <w:color w:val="auto"/>
        </w:rPr>
      </w:pPr>
      <w:r>
        <w:rPr>
          <w:rFonts w:ascii="Times New Roman" w:cs="Times New Roman" w:eastAsia="Times New Roman" w:hAnsi="Times New Roman"/>
          <w:sz w:val="18"/>
          <w:szCs w:val="18"/>
          <w:color w:val="auto"/>
        </w:rPr>
        <w:t>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9"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These laws, and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281"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81"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w:t>
      </w:r>
      <w:r>
        <w:rPr>
          <w:rFonts w:ascii="Times New Roman" w:cs="Times New Roman" w:eastAsia="Times New Roman" w:hAnsi="Times New Roman"/>
          <w:sz w:val="18"/>
          <w:szCs w:val="18"/>
          <w:color w:val="FF0000"/>
        </w:rPr>
        <w:t>may</w:t>
      </w:r>
      <w:r>
        <w:rPr>
          <w:rFonts w:ascii="Times New Roman" w:cs="Times New Roman" w:eastAsia="Times New Roman" w:hAnsi="Times New Roman"/>
          <w:sz w:val="18"/>
          <w:szCs w:val="18"/>
          <w:color w:val="auto"/>
        </w:rPr>
        <w:t xml:space="preserve"> obtain regulatory approval. Our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section entitled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healthcare laws" </w:t>
      </w:r>
      <w:r>
        <w:rPr>
          <w:rFonts w:ascii="Times New Roman" w:cs="Times New Roman" w:eastAsia="Times New Roman" w:hAnsi="Times New Roman"/>
          <w:sz w:val="18"/>
          <w:szCs w:val="18"/>
          <w:color w:val="auto"/>
        </w:rPr>
        <w:t>as set forth in the Annual Report on Form 10-K for the fiscal year ended December 31, 2021.</w:t>
      </w:r>
    </w:p>
    <w:p>
      <w:pPr>
        <w:spacing w:after="0" w:line="181"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2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7"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0"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7" w:name="page78"/>
    <w:bookmarkEnd w:id="77"/>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80"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pharmacovigilance reporting obligations.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240" w:right="280"/>
        <w:spacing w:after="0" w:line="254" w:lineRule="auto"/>
        <w:rPr>
          <w:sz w:val="20"/>
          <w:szCs w:val="20"/>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 manufacturing delays and supply disruptions where regulatory inspections identify observations of noncompliance requiring remediation;</w:t>
      </w:r>
    </w:p>
    <w:p>
      <w:pPr>
        <w:ind w:right="340" w:firstLine="230"/>
        <w:spacing w:after="0" w:line="241" w:lineRule="auto"/>
        <w:rPr>
          <w:sz w:val="20"/>
          <w:szCs w:val="20"/>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imposition of a REMS which may include distribution or use restrictions;</w:t>
      </w:r>
    </w:p>
    <w:p>
      <w:pPr>
        <w:ind w:left="240" w:right="4080"/>
        <w:spacing w:after="0" w:line="241" w:lineRule="auto"/>
        <w:rPr>
          <w:sz w:val="20"/>
          <w:szCs w:val="20"/>
          <w:color w:val="auto"/>
        </w:rPr>
      </w:pPr>
      <w:r>
        <w:rPr>
          <w:rFonts w:ascii="Times New Roman" w:cs="Times New Roman" w:eastAsia="Times New Roman" w:hAnsi="Times New Roman"/>
          <w:sz w:val="18"/>
          <w:szCs w:val="18"/>
          <w:color w:val="auto"/>
        </w:rPr>
        <w:t>requirements to conduct additional post-market clinical trials to assess the safety of the product; clinical trial holds;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fines, warning letters or other regulatory enforcement action;</w:t>
      </w:r>
    </w:p>
    <w:p>
      <w:pPr>
        <w:ind w:left="240" w:right="480"/>
        <w:spacing w:after="0" w:line="234" w:lineRule="auto"/>
        <w:rPr>
          <w:sz w:val="20"/>
          <w:szCs w:val="20"/>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 product seizure or detention, or refusal to permit the import or export of products;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injunctions or the imposition of civil or criminal penalties.</w:t>
      </w:r>
    </w:p>
    <w:p>
      <w:pPr>
        <w:spacing w:after="0" w:line="205" w:lineRule="exact"/>
        <w:rPr>
          <w:sz w:val="20"/>
          <w:szCs w:val="20"/>
          <w:color w:val="auto"/>
        </w:rPr>
      </w:pPr>
    </w:p>
    <w:p>
      <w:pPr>
        <w:ind w:right="20" w:firstLine="584"/>
        <w:spacing w:after="0" w:line="250"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08"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We are conducting and plan to conduct additional clinical trials and enroll subjects in our current or future clinical trials, and therefore we will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While we have commenced the process of implementing procedures to comply with the GDPR, compliance with these regulations will be a rigorous and time-intensive process that we expect will increase our cost of doing business and require us to change certain of our business practices, and despite those efforts, there is a risk that we may be subject to fines and penalties, litigation, and reputational harm in connection with our European activities. Further, many countries interpret the application of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provisions of the GDPR in different manner, making compliance in certain countries and across the European Union challenging.</w:t>
      </w:r>
    </w:p>
    <w:p>
      <w:pPr>
        <w:spacing w:after="0" w:line="32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0"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1" w:lineRule="exact"/>
        <w:rPr>
          <w:sz w:val="20"/>
          <w:szCs w:val="20"/>
          <w:color w:val="auto"/>
        </w:rPr>
      </w:pPr>
    </w:p>
    <w:p>
      <w:pPr>
        <w:jc w:val="both"/>
        <w:ind w:right="60" w:firstLine="576"/>
        <w:spacing w:after="0" w:line="25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1"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1" w:lineRule="exact"/>
        <w:rPr>
          <w:sz w:val="20"/>
          <w:szCs w:val="20"/>
          <w:color w:val="auto"/>
        </w:rPr>
      </w:pPr>
    </w:p>
    <w:p>
      <w:pPr>
        <w:jc w:val="both"/>
        <w:ind w:right="140" w:firstLine="576"/>
        <w:spacing w:after="0" w:line="258"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Anticipated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08"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clinical trial and commercialization strategies.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1" w:lineRule="exact"/>
        <w:rPr>
          <w:sz w:val="20"/>
          <w:szCs w:val="20"/>
          <w:color w:val="auto"/>
        </w:rPr>
      </w:pPr>
    </w:p>
    <w:p>
      <w:pPr>
        <w:ind w:right="60" w:firstLine="576"/>
        <w:spacing w:after="0" w:line="244" w:lineRule="auto"/>
        <w:rPr>
          <w:sz w:val="20"/>
          <w:szCs w:val="20"/>
          <w:color w:val="auto"/>
        </w:rPr>
      </w:pPr>
      <w:r>
        <w:rPr>
          <w:rFonts w:ascii="Times New Roman" w:cs="Times New Roman" w:eastAsia="Times New Roman" w:hAnsi="Times New Roman"/>
          <w:sz w:val="18"/>
          <w:szCs w:val="18"/>
          <w:color w:val="auto"/>
        </w:rPr>
        <w:t>Recruiting and retaining qualified scientific, clinical, medical,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provide evidence of safety and efficacy of our product candidates in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clinical trials, or delays experienced in such clinical trials, may make it more challenging to recruit and retain qualified scientific personnel.</w:t>
      </w:r>
    </w:p>
    <w:p>
      <w:pPr>
        <w:spacing w:after="0" w:line="225" w:lineRule="exact"/>
        <w:rPr>
          <w:sz w:val="20"/>
          <w:szCs w:val="20"/>
          <w:color w:val="auto"/>
        </w:rPr>
      </w:pPr>
    </w:p>
    <w:p>
      <w:pPr>
        <w:ind w:right="140" w:firstLine="576"/>
        <w:spacing w:after="0" w:line="246"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Boston and Cambridge, Massachusetts.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37" w:lineRule="exact"/>
        <w:rPr>
          <w:sz w:val="20"/>
          <w:szCs w:val="20"/>
          <w:color w:val="auto"/>
        </w:rPr>
      </w:pPr>
    </w:p>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collect and use a variety of personal data, such as names, mailing addresses, email addresses, phone numbers. In addition, in connection with our Phase 1/2 clinical trial, we (and our third party processors assisting with the clinical trial) will have access to, and may store, clinical and health information of the patients participating in the trial.</w:t>
      </w:r>
    </w:p>
    <w:p>
      <w:pPr>
        <w:spacing w:after="0" w:line="69"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the compounds we are developing, our screening platform technology,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w:t>
      </w:r>
    </w:p>
    <w:p>
      <w:pPr>
        <w:spacing w:after="0" w:line="186" w:lineRule="exact"/>
        <w:rPr>
          <w:sz w:val="20"/>
          <w:szCs w:val="20"/>
          <w:color w:val="auto"/>
        </w:rPr>
      </w:pPr>
    </w:p>
    <w:p>
      <w:pPr>
        <w:ind w:right="240" w:firstLine="450"/>
        <w:spacing w:after="0" w:line="264" w:lineRule="auto"/>
        <w:rPr>
          <w:sz w:val="20"/>
          <w:szCs w:val="20"/>
          <w:color w:val="auto"/>
        </w:rPr>
      </w:pPr>
      <w:r>
        <w:rPr>
          <w:rFonts w:ascii="Times New Roman" w:cs="Times New Roman" w:eastAsia="Times New Roman" w:hAnsi="Times New Roman"/>
          <w:sz w:val="17"/>
          <w:szCs w:val="17"/>
          <w:color w:val="auto"/>
        </w:rPr>
        <w:t>Further, a new California privacy law, the California Privacy Rights Act, or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Additionally, some observers have noted that the CCPA and CPRA could mark the beginning of a trend toward more stringent privacy legislation in the U.S., which could increase our potential liability and adversely affect our business.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0" w:name="page81"/>
    <w:bookmarkEnd w:id="80"/>
    <w:p>
      <w:pPr>
        <w:ind w:right="140"/>
        <w:spacing w:after="0" w:line="247" w:lineRule="auto"/>
        <w:rPr>
          <w:sz w:val="20"/>
          <w:szCs w:val="20"/>
          <w:color w:val="auto"/>
        </w:rPr>
      </w:pPr>
      <w:r>
        <w:rPr>
          <w:rFonts w:ascii="Times New Roman" w:cs="Times New Roman" w:eastAsia="Times New Roman" w:hAnsi="Times New Roman"/>
          <w:sz w:val="18"/>
          <w:szCs w:val="18"/>
          <w:color w:val="auto"/>
        </w:rPr>
        <w:t>Already, in the United States, we have witnessed significant developments at the state level. For example, on March 2, 2021, Virginia enacted the Consumer Data Protection Act (the “CDPA”) and, on July 8, 2021, Colorado’s governor signed the Colorado Privacy Act (“CPA”), into law. The CDPA and the CPA will both become effective January 1, 2023. While the CDPA and CPA incorporate many similar concepts of the CCPA and CPRA, there are also several key differences in the scope, application, and enforcement of the law that will change the operational practices of regulated businesses. The new laws will, among other things, impact how regulated businesses collect and process personal sensitive data, conduct data protection assessments, transfer personal data to affiliates, and respond to consumer rights requests.</w:t>
      </w:r>
    </w:p>
    <w:p>
      <w:pPr>
        <w:spacing w:after="0" w:line="180" w:lineRule="exact"/>
        <w:rPr>
          <w:sz w:val="20"/>
          <w:szCs w:val="20"/>
          <w:color w:val="auto"/>
        </w:rPr>
      </w:pPr>
    </w:p>
    <w:p>
      <w:pPr>
        <w:ind w:right="300" w:firstLine="450"/>
        <w:spacing w:after="0" w:line="244" w:lineRule="auto"/>
        <w:rPr>
          <w:sz w:val="20"/>
          <w:szCs w:val="20"/>
          <w:color w:val="auto"/>
        </w:rPr>
      </w:pPr>
      <w:r>
        <w:rPr>
          <w:rFonts w:ascii="Times New Roman" w:cs="Times New Roman" w:eastAsia="Times New Roman" w:hAnsi="Times New Roman"/>
          <w:sz w:val="18"/>
          <w:szCs w:val="18"/>
          <w:color w:val="auto"/>
        </w:rPr>
        <w:t>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82" w:lineRule="exact"/>
        <w:rPr>
          <w:sz w:val="20"/>
          <w:szCs w:val="20"/>
          <w:color w:val="auto"/>
        </w:rPr>
      </w:pPr>
    </w:p>
    <w:p>
      <w:pPr>
        <w:ind w:right="40" w:firstLine="270"/>
        <w:spacing w:after="0" w:line="241" w:lineRule="auto"/>
        <w:rPr>
          <w:sz w:val="20"/>
          <w:szCs w:val="20"/>
          <w:color w:val="auto"/>
        </w:rPr>
      </w:pPr>
      <w:r>
        <w:rPr>
          <w:rFonts w:ascii="Times New Roman" w:cs="Times New Roman" w:eastAsia="Times New Roman" w:hAnsi="Times New Roman"/>
          <w:sz w:val="18"/>
          <w:szCs w:val="18"/>
          <w:color w:val="auto"/>
        </w:rPr>
        <w:t>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In addition, further to the U.K.’s exit from the EU on January 31, 2020, the GDPR ceased to apply in the U.K. at the end of the transition period on December 31, 2020. However, as of January 1, 2021, the U.K.’s European Union (Withdrawal) Act 2018 incorporated the U.K. GDPR into U.K. law.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such as the U.S. The UK government has confirmed that personal data transfers from the UK to the EEA remain free flowing.</w:t>
      </w:r>
    </w:p>
    <w:p>
      <w:pPr>
        <w:spacing w:after="0" w:line="192" w:lineRule="exact"/>
        <w:rPr>
          <w:sz w:val="20"/>
          <w:szCs w:val="20"/>
          <w:color w:val="auto"/>
        </w:rPr>
      </w:pPr>
    </w:p>
    <w:p>
      <w:pPr>
        <w:ind w:right="20" w:firstLine="540"/>
        <w:spacing w:after="0" w:line="242" w:lineRule="auto"/>
        <w:rPr>
          <w:sz w:val="20"/>
          <w:szCs w:val="20"/>
          <w:color w:val="auto"/>
        </w:rPr>
      </w:pPr>
      <w:r>
        <w:rPr>
          <w:rFonts w:ascii="Times New Roman" w:cs="Times New Roman" w:eastAsia="Times New Roman" w:hAnsi="Times New Roman"/>
          <w:sz w:val="18"/>
          <w:szCs w:val="18"/>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Information Commissioner’s Office, or ICO, has recently introduced new mechanisms for international transfers of personal data originating from the U.K. (an International Data Transfer Agreement, or IDTA, along with a separate addendum to the EU SCCs), which are in force as of March 21, 2022, to replace the old form EU SCCs for U.K. transfers. The new IDTA or the U.K. addendum must be used for any new contract entered into as of September 21, 2022 and implemented in existing contracts that incorporate the prior version of the SCCs by March 21, 2024. Implementing these new safeguards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88" w:lineRule="exact"/>
        <w:rPr>
          <w:sz w:val="20"/>
          <w:szCs w:val="20"/>
          <w:color w:val="auto"/>
        </w:rPr>
      </w:pPr>
    </w:p>
    <w:p>
      <w:pPr>
        <w:ind w:firstLine="315"/>
        <w:spacing w:after="0" w:line="250"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77" w:lineRule="exact"/>
        <w:rPr>
          <w:sz w:val="20"/>
          <w:szCs w:val="20"/>
          <w:color w:val="auto"/>
        </w:rPr>
      </w:pPr>
    </w:p>
    <w:p>
      <w:pPr>
        <w:ind w:right="120" w:firstLine="576"/>
        <w:spacing w:after="0" w:line="250" w:lineRule="auto"/>
        <w:rPr>
          <w:sz w:val="20"/>
          <w:szCs w:val="20"/>
          <w:color w:val="auto"/>
        </w:rPr>
      </w:pPr>
      <w:r>
        <w:rPr>
          <w:rFonts w:ascii="Times New Roman" w:cs="Times New Roman" w:eastAsia="Times New Roman" w:hAnsi="Times New Roman"/>
          <w:sz w:val="18"/>
          <w:szCs w:val="18"/>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our CRO operating our trials, or our potential collaborators obtain information, as well as the providers who share this information with us, may contractually limit our ability to use and disclose the information. Claims that we or such third-party have violated individuals’ privacy rights, failed to comply with</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1" w:name="page82"/>
    <w:bookmarkEnd w:id="81"/>
    <w:p>
      <w:pPr>
        <w:ind w:right="120"/>
        <w:spacing w:after="0" w:line="282" w:lineRule="auto"/>
        <w:rPr>
          <w:sz w:val="20"/>
          <w:szCs w:val="20"/>
          <w:color w:val="auto"/>
        </w:rPr>
      </w:pPr>
      <w:r>
        <w:rPr>
          <w:rFonts w:ascii="Times New Roman" w:cs="Times New Roman" w:eastAsia="Times New Roman" w:hAnsi="Times New Roman"/>
          <w:sz w:val="18"/>
          <w:szCs w:val="18"/>
          <w:color w:val="auto"/>
        </w:rPr>
        <w:t>data protection laws, or breached our contractual obligations, even if we are not found liable, could be expensive and time-consuming to defend and could result in adverse publicity that could harm our business.</w:t>
      </w:r>
    </w:p>
    <w:p>
      <w:pPr>
        <w:spacing w:after="0" w:line="252"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3"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As of September 30, 2022, we had 109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6" w:lineRule="exact"/>
        <w:rPr>
          <w:sz w:val="20"/>
          <w:szCs w:val="20"/>
          <w:color w:val="auto"/>
        </w:rPr>
      </w:pPr>
    </w:p>
    <w:p>
      <w:pPr>
        <w:ind w:right="120" w:firstLine="576"/>
        <w:spacing w:after="0" w:line="244"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4" w:lineRule="exact"/>
        <w:rPr>
          <w:sz w:val="20"/>
          <w:szCs w:val="20"/>
          <w:color w:val="auto"/>
        </w:rPr>
      </w:pPr>
    </w:p>
    <w:p>
      <w:pPr>
        <w:ind w:right="8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63"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8"/>
          <w:szCs w:val="18"/>
          <w:color w:val="auto"/>
        </w:rPr>
        <w:t>Based on our common stock outstanding as of September 30, 2022,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08" w:lineRule="exact"/>
        <w:rPr>
          <w:sz w:val="20"/>
          <w:szCs w:val="20"/>
          <w:color w:val="auto"/>
        </w:rPr>
      </w:pPr>
    </w:p>
    <w:p>
      <w:pPr>
        <w:ind w:right="100" w:firstLine="576"/>
        <w:spacing w:after="0" w:line="244" w:lineRule="auto"/>
        <w:rPr>
          <w:sz w:val="20"/>
          <w:szCs w:val="20"/>
          <w:color w:val="auto"/>
        </w:rPr>
      </w:pPr>
      <w:r>
        <w:rPr>
          <w:rFonts w:ascii="Times New Roman" w:cs="Times New Roman" w:eastAsia="Times New Roman" w:hAnsi="Times New Roman"/>
          <w:sz w:val="18"/>
          <w:szCs w:val="18"/>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77" w:lineRule="exact"/>
        <w:rPr>
          <w:sz w:val="20"/>
          <w:szCs w:val="20"/>
          <w:color w:val="auto"/>
        </w:rPr>
      </w:pPr>
    </w:p>
    <w:p>
      <w:pPr>
        <w:ind w:right="100" w:firstLine="576"/>
        <w:spacing w:after="0" w:line="250" w:lineRule="auto"/>
        <w:rPr>
          <w:sz w:val="20"/>
          <w:szCs w:val="20"/>
          <w:color w:val="auto"/>
        </w:rPr>
      </w:pPr>
      <w:r>
        <w:rPr>
          <w:rFonts w:ascii="Times New Roman" w:cs="Times New Roman" w:eastAsia="Times New Roman" w:hAnsi="Times New Roman"/>
          <w:sz w:val="18"/>
          <w:szCs w:val="18"/>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2" w:name="page83"/>
    <w:bookmarkEnd w:id="82"/>
    <w:p>
      <w:pPr>
        <w:ind w:right="140"/>
        <w:spacing w:after="0" w:line="250" w:lineRule="auto"/>
        <w:rPr>
          <w:sz w:val="20"/>
          <w:szCs w:val="20"/>
          <w:color w:val="auto"/>
        </w:rPr>
      </w:pPr>
      <w:r>
        <w:rPr>
          <w:rFonts w:ascii="Times New Roman" w:cs="Times New Roman" w:eastAsia="Times New Roman" w:hAnsi="Times New Roman"/>
          <w:sz w:val="18"/>
          <w:szCs w:val="18"/>
          <w:color w:val="auto"/>
        </w:rPr>
        <w:t>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281" w:lineRule="exact"/>
        <w:rPr>
          <w:sz w:val="20"/>
          <w:szCs w:val="20"/>
          <w:color w:val="auto"/>
        </w:rPr>
      </w:pPr>
    </w:p>
    <w:p>
      <w:pPr>
        <w:ind w:right="8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3" w:lineRule="exact"/>
        <w:rPr>
          <w:sz w:val="20"/>
          <w:szCs w:val="20"/>
          <w:color w:val="auto"/>
        </w:rPr>
      </w:pPr>
    </w:p>
    <w:p>
      <w:pPr>
        <w:ind w:right="260" w:firstLine="58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right="340" w:firstLine="230"/>
        <w:spacing w:after="0" w:line="245" w:lineRule="auto"/>
        <w:rPr>
          <w:sz w:val="20"/>
          <w:szCs w:val="20"/>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 a prohibition on stockholder action through written consent, which requires that all stockholder actions be taken at a meeting of our stockholders; 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 advance notice requirements for stockholder proposals and nominations for election to our board of directors;</w:t>
      </w:r>
    </w:p>
    <w:p>
      <w:pPr>
        <w:spacing w:after="0" w:line="1" w:lineRule="exact"/>
        <w:rPr>
          <w:sz w:val="20"/>
          <w:szCs w:val="20"/>
          <w:color w:val="auto"/>
        </w:rPr>
      </w:pPr>
    </w:p>
    <w:p>
      <w:pPr>
        <w:ind w:firstLine="230"/>
        <w:spacing w:after="0"/>
        <w:rPr>
          <w:sz w:val="20"/>
          <w:szCs w:val="20"/>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ind w:right="520" w:firstLine="230"/>
        <w:spacing w:after="0" w:line="235" w:lineRule="auto"/>
        <w:rPr>
          <w:sz w:val="20"/>
          <w:szCs w:val="20"/>
          <w:color w:val="auto"/>
        </w:rPr>
      </w:pPr>
      <w:r>
        <w:rPr>
          <w:rFonts w:ascii="Times New Roman" w:cs="Times New Roman" w:eastAsia="Times New Roman" w:hAnsi="Times New Roman"/>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1" w:lineRule="exact"/>
        <w:rPr>
          <w:sz w:val="20"/>
          <w:szCs w:val="20"/>
          <w:color w:val="auto"/>
        </w:rPr>
      </w:pPr>
    </w:p>
    <w:p>
      <w:pPr>
        <w:ind w:right="520" w:firstLine="230"/>
        <w:spacing w:after="0" w:line="258" w:lineRule="auto"/>
        <w:rPr>
          <w:sz w:val="20"/>
          <w:szCs w:val="20"/>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69"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8"/>
          <w:szCs w:val="18"/>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37"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02"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bylaws may impose additional litigation costs on stockholders in pursuing any such claims. Additionally, these forum selection clauses may limit our stockholders’ ability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83" w:name="page84"/>
    <w:bookmarkEnd w:id="83"/>
    <w:p>
      <w:pPr>
        <w:ind w:right="40"/>
        <w:spacing w:after="0" w:line="244" w:lineRule="auto"/>
        <w:rPr>
          <w:sz w:val="20"/>
          <w:szCs w:val="20"/>
          <w:color w:val="auto"/>
        </w:rPr>
      </w:pPr>
      <w:r>
        <w:rPr>
          <w:rFonts w:ascii="Times New Roman" w:cs="Times New Roman" w:eastAsia="Times New Roman" w:hAnsi="Times New Roman"/>
          <w:sz w:val="18"/>
          <w:szCs w:val="18"/>
          <w:color w:val="auto"/>
        </w:rPr>
        <w:t>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3"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29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63"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97"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0" w:lineRule="exact"/>
        <w:rPr>
          <w:sz w:val="20"/>
          <w:szCs w:val="20"/>
          <w:color w:val="auto"/>
        </w:rPr>
      </w:pPr>
    </w:p>
    <w:p>
      <w:pPr>
        <w:ind w:right="260" w:firstLine="576"/>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4" w:name="page85"/>
    <w:bookmarkEnd w:id="84"/>
    <w:p>
      <w:pPr>
        <w:ind w:right="180"/>
        <w:spacing w:after="0" w:line="282" w:lineRule="auto"/>
        <w:rPr>
          <w:sz w:val="20"/>
          <w:szCs w:val="20"/>
          <w:color w:val="auto"/>
        </w:rPr>
      </w:pPr>
      <w:r>
        <w:rPr>
          <w:rFonts w:ascii="Times New Roman" w:cs="Times New Roman" w:eastAsia="Times New Roman" w:hAnsi="Times New Roman"/>
          <w:sz w:val="18"/>
          <w:szCs w:val="18"/>
          <w:color w:val="auto"/>
        </w:rPr>
        <w:t>may preclude us from paying dividends. As a result, capital appreciation, if any, of our common stock will be your sole source of gain for the foreseeable future.</w:t>
      </w:r>
    </w:p>
    <w:p>
      <w:pPr>
        <w:spacing w:after="0" w:line="252"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63" w:lineRule="exact"/>
        <w:rPr>
          <w:sz w:val="20"/>
          <w:szCs w:val="20"/>
          <w:color w:val="auto"/>
        </w:rPr>
      </w:pPr>
    </w:p>
    <w:p>
      <w:pPr>
        <w:ind w:right="220" w:firstLine="576"/>
        <w:spacing w:after="0" w:line="250"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competitive products or technologies;</w:t>
      </w:r>
    </w:p>
    <w:p>
      <w:pPr>
        <w:spacing w:after="0" w:line="15" w:lineRule="exact"/>
        <w:rPr>
          <w:sz w:val="20"/>
          <w:szCs w:val="20"/>
          <w:color w:val="auto"/>
        </w:rPr>
      </w:pPr>
    </w:p>
    <w:p>
      <w:pPr>
        <w:ind w:left="240" w:right="3540"/>
        <w:spacing w:after="0" w:line="234" w:lineRule="auto"/>
        <w:rPr>
          <w:sz w:val="20"/>
          <w:szCs w:val="20"/>
          <w:color w:val="auto"/>
        </w:rPr>
      </w:pPr>
      <w:r>
        <w:rPr>
          <w:rFonts w:ascii="Times New Roman" w:cs="Times New Roman" w:eastAsia="Times New Roman" w:hAnsi="Times New Roman"/>
          <w:sz w:val="18"/>
          <w:szCs w:val="18"/>
          <w:color w:val="auto"/>
        </w:rPr>
        <w:t>advancement of our preclinical programs, such as our targeted oncology programs, into clinical testing; results of clinical trials of our product candidates or those of our competitors;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7" w:lineRule="exact"/>
        <w:rPr>
          <w:sz w:val="20"/>
          <w:szCs w:val="20"/>
          <w:color w:val="auto"/>
        </w:rPr>
      </w:pPr>
    </w:p>
    <w:p>
      <w:pPr>
        <w:ind w:left="240" w:right="3860"/>
        <w:spacing w:after="0" w:line="235" w:lineRule="auto"/>
        <w:rPr>
          <w:sz w:val="20"/>
          <w:szCs w:val="20"/>
          <w:color w:val="auto"/>
        </w:rPr>
      </w:pPr>
      <w:r>
        <w:rPr>
          <w:rFonts w:ascii="Times New Roman" w:cs="Times New Roman" w:eastAsia="Times New Roman" w:hAnsi="Times New Roman"/>
          <w:sz w:val="18"/>
          <w:szCs w:val="18"/>
          <w:color w:val="auto"/>
        </w:rPr>
        <w:t>developments or disputes concerning patent applications, issued patents or other proprietary rights; the recruitment or departure of key personnel;</w:t>
      </w:r>
    </w:p>
    <w:p>
      <w:pPr>
        <w:spacing w:after="0" w:line="1" w:lineRule="exact"/>
        <w:rPr>
          <w:sz w:val="20"/>
          <w:szCs w:val="20"/>
          <w:color w:val="auto"/>
        </w:rPr>
      </w:pPr>
    </w:p>
    <w:p>
      <w:pPr>
        <w:ind w:left="240" w:right="1920"/>
        <w:spacing w:after="0" w:line="242" w:lineRule="auto"/>
        <w:rPr>
          <w:sz w:val="20"/>
          <w:szCs w:val="20"/>
          <w:color w:val="auto"/>
        </w:rPr>
      </w:pPr>
      <w:r>
        <w:rPr>
          <w:rFonts w:ascii="Times New Roman" w:cs="Times New Roman" w:eastAsia="Times New Roman" w:hAnsi="Times New Roman"/>
          <w:sz w:val="18"/>
          <w:szCs w:val="18"/>
          <w:color w:val="auto"/>
        </w:rPr>
        <w:t>the level of expenses related to any of our programs and product candidates or preclinical and clinical development programs; the results of our efforts to discover, develop, acquire or in-license additional product candidates or products;</w:t>
      </w:r>
    </w:p>
    <w:p>
      <w:pPr>
        <w:spacing w:after="0" w:line="1" w:lineRule="exact"/>
        <w:rPr>
          <w:sz w:val="20"/>
          <w:szCs w:val="20"/>
          <w:color w:val="auto"/>
        </w:rPr>
      </w:pPr>
    </w:p>
    <w:p>
      <w:pPr>
        <w:ind w:left="240" w:right="1560"/>
        <w:spacing w:after="0" w:line="241" w:lineRule="auto"/>
        <w:rPr>
          <w:sz w:val="20"/>
          <w:szCs w:val="20"/>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 variations in our financial results or those of companies that are perceived to be similar to us;</w:t>
      </w:r>
    </w:p>
    <w:p>
      <w:pPr>
        <w:spacing w:after="0" w:line="1" w:lineRule="exact"/>
        <w:rPr>
          <w:sz w:val="20"/>
          <w:szCs w:val="20"/>
          <w:color w:val="auto"/>
        </w:rPr>
      </w:pPr>
    </w:p>
    <w:p>
      <w:pPr>
        <w:ind w:left="240" w:right="4020"/>
        <w:spacing w:after="0" w:line="235" w:lineRule="auto"/>
        <w:rPr>
          <w:sz w:val="20"/>
          <w:szCs w:val="20"/>
          <w:color w:val="auto"/>
        </w:rPr>
      </w:pPr>
      <w:r>
        <w:rPr>
          <w:rFonts w:ascii="Times New Roman" w:cs="Times New Roman" w:eastAsia="Times New Roman" w:hAnsi="Times New Roman"/>
          <w:sz w:val="18"/>
          <w:szCs w:val="18"/>
          <w:color w:val="auto"/>
        </w:rPr>
        <w:t>changes in the structure of healthcare payment systems and third-party reimbursement decisions; market conditions in the pharmaceutical and biotechnology sectors;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trading volume;</w:t>
      </w:r>
    </w:p>
    <w:p>
      <w:pPr>
        <w:spacing w:after="0" w:line="7" w:lineRule="exact"/>
        <w:rPr>
          <w:sz w:val="20"/>
          <w:szCs w:val="20"/>
          <w:color w:val="auto"/>
        </w:rPr>
      </w:pPr>
    </w:p>
    <w:p>
      <w:pPr>
        <w:ind w:left="240" w:right="4920"/>
        <w:spacing w:after="0" w:line="235" w:lineRule="auto"/>
        <w:rPr>
          <w:sz w:val="20"/>
          <w:szCs w:val="20"/>
          <w:color w:val="auto"/>
        </w:rPr>
      </w:pPr>
      <w:r>
        <w:rPr>
          <w:rFonts w:ascii="Times New Roman" w:cs="Times New Roman" w:eastAsia="Times New Roman" w:hAnsi="Times New Roman"/>
          <w:sz w:val="18"/>
          <w:szCs w:val="18"/>
          <w:color w:val="auto"/>
        </w:rPr>
        <w:t>future sales of common stock by our officers, directors and significant stockholders; general economic, industry and market conditions;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18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50" w:lineRule="exact"/>
        <w:rPr>
          <w:sz w:val="20"/>
          <w:szCs w:val="20"/>
          <w:color w:val="auto"/>
        </w:rPr>
      </w:pPr>
    </w:p>
    <w:p>
      <w:pPr>
        <w:ind w:right="40" w:firstLine="576"/>
        <w:spacing w:after="0" w:line="264"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168"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7"/>
          <w:szCs w:val="17"/>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85" w:name="page86"/>
    <w:bookmarkEnd w:id="85"/>
    <w:p>
      <w:pPr>
        <w:ind w:right="60" w:firstLine="576"/>
        <w:spacing w:after="0" w:line="24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2" w:lineRule="exact"/>
        <w:rPr>
          <w:sz w:val="20"/>
          <w:szCs w:val="20"/>
          <w:color w:val="auto"/>
        </w:rPr>
      </w:pPr>
    </w:p>
    <w:p>
      <w:pPr>
        <w:ind w:right="220" w:firstLine="4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0"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200" w:firstLine="576"/>
        <w:spacing w:after="0" w:line="246"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08"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potential future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For example, the change in administration and control of Congress in the United States following the 2020 elections may result in additional U.S. tax law changes that could have a material impact on our future effective tax rate, which could have a negative impact on our results of operations in the future. Complying with these tax laws is complex and the statutes and regulations can be subject to varying interpretation which can make compliance challenging.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08"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A severe or prolonged economic downturn, a marked increase in interest rates and inflation could result in a variety of risks to our business, including, weakened demand for our product candidates and our ability to raise additional capital when needed on acceptable terms, if at all. In addition, our business may be generally exposed to the impact of political or civil unrest or military action, including the current conflict between Russia and Ukraine (where a vendor that performs chemistry related work on our pre-clinical product candidates is located) and, while we do not otherwise have direct exposure to Ukraine, our business and results of operations may be impacted based upon the events taking place there. A weak or</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6" w:name="page87"/>
    <w:bookmarkEnd w:id="86"/>
    <w:p>
      <w:pPr>
        <w:ind w:right="300"/>
        <w:spacing w:after="0" w:line="282" w:lineRule="auto"/>
        <w:rPr>
          <w:sz w:val="20"/>
          <w:szCs w:val="20"/>
          <w:color w:val="auto"/>
        </w:rPr>
      </w:pPr>
      <w:r>
        <w:rPr>
          <w:rFonts w:ascii="Times New Roman" w:cs="Times New Roman" w:eastAsia="Times New Roman" w:hAnsi="Times New Roman"/>
          <w:sz w:val="18"/>
          <w:szCs w:val="18"/>
          <w:color w:val="auto"/>
        </w:rPr>
        <w:t>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resell your shares at the price you paid.</w:t>
      </w:r>
    </w:p>
    <w:p>
      <w:pPr>
        <w:spacing w:after="0" w:line="108"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Item 701 of Regulation S-K was previously included in our Quarterly Report on Form 10-Q filed on November 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our Initial Public Offering</w:t>
      </w:r>
    </w:p>
    <w:p>
      <w:pPr>
        <w:spacing w:after="0" w:line="200" w:lineRule="exact"/>
        <w:rPr>
          <w:sz w:val="20"/>
          <w:szCs w:val="20"/>
          <w:color w:val="auto"/>
        </w:rPr>
      </w:pPr>
    </w:p>
    <w:p>
      <w:pPr>
        <w:spacing w:after="0" w:line="23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Of the gross proceeds received from the Initial Public Offering, including an additional 2,175,000 shares of common stock to cover the over-allotments, $166.8 million was placed in a trust account. The net proceeds of the Initial Public Offering were applied to fund the Business Combination and related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560" w:type="dxa"/>
            <w:vAlign w:val="bottom"/>
            <w:gridSpan w:val="7"/>
            <w:vMerge w:val="restart"/>
          </w:tcPr>
          <w:p>
            <w:pPr>
              <w:ind w:left="3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56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60" w:type="dxa"/>
            <w:vAlign w:val="bottom"/>
            <w:tcBorders>
              <w:top w:val="single" w:sz="8" w:color="0000FF"/>
            </w:tcBorders>
            <w:gridSpan w:val="4"/>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20" w:type="dxa"/>
            <w:vAlign w:val="bottom"/>
            <w:tcBorders>
              <w:top w:val="single" w:sz="8" w:color="0000FF"/>
            </w:tcBorders>
            <w:gridSpan w:val="3"/>
          </w:tcPr>
          <w:p>
            <w:pPr>
              <w:spacing w:after="0"/>
              <w:rPr>
                <w:sz w:val="14"/>
                <w:szCs w:val="14"/>
                <w:color w:val="auto"/>
              </w:rPr>
            </w:pPr>
          </w:p>
        </w:tc>
        <w:tc>
          <w:tcPr>
            <w:tcW w:w="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4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5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8"/>
          </w:tcPr>
          <w:p>
            <w:pPr>
              <w:spacing w:after="0" w:line="17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in as Inline XBRL with applicable taxonomy extension information contained in Exhibits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512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13" w:lineRule="exact"/>
        <w:rPr>
          <w:sz w:val="20"/>
          <w:szCs w:val="20"/>
          <w:color w:val="auto"/>
        </w:rPr>
      </w:pPr>
    </w:p>
    <w:p>
      <w:pPr>
        <w:ind w:left="420" w:hanging="412"/>
        <w:spacing w:after="0"/>
        <w:tabs>
          <w:tab w:leader="none" w:pos="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ind w:left="520" w:right="80" w:hanging="512"/>
        <w:spacing w:after="0" w:line="246" w:lineRule="auto"/>
        <w:tabs>
          <w:tab w:leader="none" w:pos="4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8" w:name="page89"/>
    <w:bookmarkEnd w:id="8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198" w:lineRule="exact"/>
        <w:rPr>
          <w:sz w:val="20"/>
          <w:szCs w:val="20"/>
          <w:color w:val="auto"/>
        </w:rPr>
      </w:pPr>
    </w:p>
    <w:p>
      <w:pPr>
        <w:ind w:left="20"/>
        <w:spacing w:after="0"/>
        <w:tabs>
          <w:tab w:leader="none" w:pos="5660" w:val="left"/>
          <w:tab w:leader="none" w:pos="6100" w:val="left"/>
        </w:tabs>
        <w:rPr>
          <w:sz w:val="20"/>
          <w:szCs w:val="20"/>
          <w:color w:val="auto"/>
        </w:rPr>
      </w:pPr>
      <w:r>
        <w:rPr>
          <w:rFonts w:ascii="Times New Roman" w:cs="Times New Roman" w:eastAsia="Times New Roman" w:hAnsi="Times New Roman"/>
          <w:sz w:val="18"/>
          <w:szCs w:val="18"/>
          <w:color w:val="auto"/>
        </w:rPr>
        <w:t>Dated: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Barbara Weber, MD</w:t>
      </w:r>
    </w:p>
    <w:p>
      <w:pPr>
        <w:ind w:left="6120"/>
        <w:spacing w:after="0" w:line="234" w:lineRule="auto"/>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198" w:lineRule="exact"/>
        <w:rPr>
          <w:sz w:val="20"/>
          <w:szCs w:val="20"/>
          <w:color w:val="auto"/>
        </w:rPr>
      </w:pPr>
    </w:p>
    <w:p>
      <w:pPr>
        <w:ind w:left="56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Daniella Beckman</w:t>
      </w:r>
    </w:p>
    <w:p>
      <w:pPr>
        <w:ind w:left="612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0" w:right="77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16"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02" w:lineRule="exact"/>
        <w:rPr>
          <w:rFonts w:ascii="Times New Roman" w:cs="Times New Roman" w:eastAsia="Times New Roman" w:hAnsi="Times New Roman"/>
          <w:sz w:val="20"/>
          <w:szCs w:val="20"/>
          <w:color w:val="auto"/>
        </w:rPr>
      </w:pPr>
    </w:p>
    <w:p>
      <w:pPr>
        <w:jc w:val="both"/>
        <w:ind w:left="380" w:hanging="372"/>
        <w:spacing w:after="0" w:line="247" w:lineRule="auto"/>
        <w:tabs>
          <w:tab w:leader="none" w:pos="3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2" w:lineRule="exact"/>
        <w:rPr>
          <w:rFonts w:ascii="Times New Roman" w:cs="Times New Roman" w:eastAsia="Times New Roman" w:hAnsi="Times New Roman"/>
          <w:sz w:val="20"/>
          <w:szCs w:val="20"/>
          <w:color w:val="auto"/>
        </w:rPr>
      </w:pPr>
    </w:p>
    <w:p>
      <w:pPr>
        <w:ind w:left="380" w:hanging="372"/>
        <w:spacing w:after="0" w:line="255" w:lineRule="auto"/>
        <w:tabs>
          <w:tab w:leader="none" w:pos="3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1"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180"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2" w:lineRule="exact"/>
        <w:rPr>
          <w:rFonts w:ascii="Times New Roman" w:cs="Times New Roman" w:eastAsia="Times New Roman" w:hAnsi="Times New Roman"/>
          <w:sz w:val="20"/>
          <w:szCs w:val="20"/>
          <w:color w:val="auto"/>
        </w:rPr>
      </w:pPr>
    </w:p>
    <w:p>
      <w:pPr>
        <w:jc w:val="both"/>
        <w:ind w:left="1020" w:hanging="368"/>
        <w:spacing w:after="0" w:line="247" w:lineRule="auto"/>
        <w:tabs>
          <w:tab w:leader="none" w:pos="102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0" w:name="page91"/>
    <w:bookmarkEnd w:id="90"/>
    <w:p>
      <w:pPr>
        <w:jc w:val="both"/>
        <w:ind w:left="1020" w:hanging="368"/>
        <w:spacing w:after="0" w:line="254" w:lineRule="auto"/>
        <w:tabs>
          <w:tab w:leader="none" w:pos="102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20"/>
          <w:szCs w:val="20"/>
          <w:color w:val="auto"/>
        </w:rPr>
        <w:t>Dated: November 10, 2022</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Chief Executive Officer</w:t>
      </w:r>
    </w:p>
    <w:p>
      <w:pPr>
        <w:ind w:left="34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16"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02" w:lineRule="exact"/>
        <w:rPr>
          <w:rFonts w:ascii="Times New Roman" w:cs="Times New Roman" w:eastAsia="Times New Roman" w:hAnsi="Times New Roman"/>
          <w:sz w:val="20"/>
          <w:szCs w:val="20"/>
          <w:color w:val="auto"/>
        </w:rPr>
      </w:pPr>
    </w:p>
    <w:p>
      <w:pPr>
        <w:jc w:val="both"/>
        <w:ind w:left="380" w:hanging="372"/>
        <w:spacing w:after="0" w:line="247" w:lineRule="auto"/>
        <w:tabs>
          <w:tab w:leader="none" w:pos="3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2" w:lineRule="exact"/>
        <w:rPr>
          <w:rFonts w:ascii="Times New Roman" w:cs="Times New Roman" w:eastAsia="Times New Roman" w:hAnsi="Times New Roman"/>
          <w:sz w:val="20"/>
          <w:szCs w:val="20"/>
          <w:color w:val="auto"/>
        </w:rPr>
      </w:pPr>
    </w:p>
    <w:p>
      <w:pPr>
        <w:ind w:left="380" w:hanging="372"/>
        <w:spacing w:after="0" w:line="255" w:lineRule="auto"/>
        <w:tabs>
          <w:tab w:leader="none" w:pos="3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1"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180"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2" w:lineRule="exact"/>
        <w:rPr>
          <w:rFonts w:ascii="Times New Roman" w:cs="Times New Roman" w:eastAsia="Times New Roman" w:hAnsi="Times New Roman"/>
          <w:sz w:val="20"/>
          <w:szCs w:val="20"/>
          <w:color w:val="auto"/>
        </w:rPr>
      </w:pPr>
    </w:p>
    <w:p>
      <w:pPr>
        <w:jc w:val="both"/>
        <w:ind w:left="1020" w:hanging="368"/>
        <w:spacing w:after="0" w:line="247" w:lineRule="auto"/>
        <w:tabs>
          <w:tab w:leader="none" w:pos="10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2" w:name="page93"/>
    <w:bookmarkEnd w:id="92"/>
    <w:p>
      <w:pPr>
        <w:jc w:val="both"/>
        <w:ind w:left="1020" w:hanging="368"/>
        <w:spacing w:after="0" w:line="254" w:lineRule="auto"/>
        <w:tabs>
          <w:tab w:leader="none" w:pos="102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20"/>
          <w:szCs w:val="20"/>
          <w:color w:val="auto"/>
        </w:rPr>
        <w:t>Dated: November 10, 2022</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Financial Officer</w:t>
      </w:r>
    </w:p>
    <w:p>
      <w:pPr>
        <w:ind w:left="29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1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0"/>
          <w:szCs w:val="20"/>
          <w:color w:val="auto"/>
        </w:rPr>
        <w:t>In connection with the Quarterly Report on Form 10-Q of Tango Therapeutics, Inc. (the “Company”) for the fiscal quarter ended September 30, 2022 as filed with the Securities and Exchange Commission (the “Report”), I, Barbara Weber, M.D., Chief Executive Officer of the Company, certify, pursuant to 18 U.S.C. § 1350, as adopted pursuant to § 906 of the Sarbanes-Oxley Act of 2002, to my knowledge, that:</w:t>
      </w:r>
    </w:p>
    <w:p>
      <w:pPr>
        <w:spacing w:after="0" w:line="172"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0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November 10, 2022</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Executive Officer</w:t>
      </w:r>
    </w:p>
    <w:p>
      <w:pPr>
        <w:ind w:left="29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8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1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September 30, 2022 as filed with the Securities and Exchange Commission (the “Report”), I, Daniella Beckman, Chief Financial Officer of the Company, certify, pursuant to 18 U.S.C. § 1350, as adopted pursuant to § 906 of the Sarbanes-Oxley Act of 2002, to my knowledge, that:</w:t>
      </w:r>
    </w:p>
    <w:p>
      <w:pPr>
        <w:spacing w:after="0" w:line="151"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55" w:lineRule="auto"/>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November 10, 2022</w:t>
      </w:r>
      <w:r>
        <w:rPr>
          <w:sz w:val="20"/>
          <w:szCs w:val="20"/>
          <w:color w:val="auto"/>
        </w:rPr>
        <w:tab/>
      </w:r>
      <w:r>
        <w:rPr>
          <w:rFonts w:ascii="Times New Roman" w:cs="Times New Roman" w:eastAsia="Times New Roman" w:hAnsi="Times New Roman"/>
          <w:sz w:val="19"/>
          <w:szCs w:val="19"/>
          <w:u w:val="single" w:color="auto"/>
          <w:color w:val="auto"/>
        </w:rPr>
        <w:t>/s/ Daniella Beckman_____</w:t>
      </w:r>
    </w:p>
    <w:p>
      <w:pPr>
        <w:spacing w:after="0" w:line="10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Financial Officer</w:t>
      </w:r>
    </w:p>
    <w:p>
      <w:pPr>
        <w:ind w:left="29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38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5" w:name="page96"/>
    <w:bookmarkEnd w:id="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lvl w:ilvl="1">
      <w:lvlJc w:val="left"/>
      <w:lvlText w:val="•"/>
      <w:numFmt w:val="bullet"/>
      <w:start w:val="1"/>
    </w:lvl>
  </w:abstractNum>
  <w:abstractNum w:abstractNumId="3">
    <w:nsid w:val="7C3DBD3D"/>
    <w:multiLevelType w:val="hybridMultilevel"/>
    <w:lvl w:ilvl="0">
      <w:lvlJc w:val="left"/>
      <w:lvlText w:val="•"/>
      <w:numFmt w:val="bullet"/>
      <w:start w:val="1"/>
    </w:lvl>
    <w:lvl w:ilvl="1">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2"/>
    </w:lvl>
  </w:abstractNum>
  <w:abstractNum w:abstractNumId="8">
    <w:nsid w:val="3006C83E"/>
    <w:multiLevelType w:val="hybridMultilevel"/>
    <w:lvl w:ilvl="0">
      <w:lvlJc w:val="left"/>
      <w:lvlText w:val="%1."/>
      <w:numFmt w:val="decimal"/>
      <w:start w:val="3"/>
    </w:lvl>
  </w:abstractNum>
  <w:abstractNum w:abstractNumId="9">
    <w:nsid w:val="614FD4A1"/>
    <w:multiLevelType w:val="hybridMultilevel"/>
    <w:lvl w:ilvl="0">
      <w:lvlJc w:val="left"/>
      <w:lvlText w:val="%1."/>
      <w:numFmt w:val="decimal"/>
      <w:start w:val="4"/>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5"/>
    </w:lvl>
  </w:abstractNum>
  <w:abstractNum w:abstractNumId="12">
    <w:nsid w:val="440BADFC"/>
    <w:multiLevelType w:val="hybridMultilevel"/>
    <w:lvl w:ilvl="0">
      <w:lvlJc w:val="left"/>
      <w:lvlText w:val="%1."/>
      <w:numFmt w:val="decimal"/>
      <w:start w:val="6"/>
    </w:lvl>
  </w:abstractNum>
  <w:abstractNum w:abstractNumId="13">
    <w:nsid w:val="5072367"/>
    <w:multiLevelType w:val="hybridMultilevel"/>
    <w:lvl w:ilvl="0">
      <w:lvlJc w:val="left"/>
      <w:lvlText w:val="%1."/>
      <w:numFmt w:val="decimal"/>
      <w:start w:val="7"/>
    </w:lvl>
  </w:abstractNum>
  <w:abstractNum w:abstractNumId="14">
    <w:nsid w:val="3804823E"/>
    <w:multiLevelType w:val="hybridMultilevel"/>
    <w:lvl w:ilvl="0">
      <w:lvlJc w:val="left"/>
      <w:lvlText w:val="%1."/>
      <w:numFmt w:val="decimal"/>
      <w:start w:val="8"/>
    </w:lvl>
  </w:abstractNum>
  <w:abstractNum w:abstractNumId="15">
    <w:nsid w:val="77465F01"/>
    <w:multiLevelType w:val="hybridMultilevel"/>
    <w:lvl w:ilvl="0">
      <w:lvlJc w:val="left"/>
      <w:lvlText w:val="%1."/>
      <w:numFmt w:val="decimal"/>
      <w:start w:val="9"/>
    </w:lvl>
  </w:abstractNum>
  <w:abstractNum w:abstractNumId="16">
    <w:nsid w:val="7724C67E"/>
    <w:multiLevelType w:val="hybridMultilevel"/>
    <w:lvl w:ilvl="0">
      <w:lvlJc w:val="left"/>
      <w:lvlText w:val="%1."/>
      <w:numFmt w:val="decimal"/>
      <w:start w:val="10"/>
    </w:lvl>
  </w:abstractNum>
  <w:abstractNum w:abstractNumId="17">
    <w:nsid w:val="5C482A97"/>
    <w:multiLevelType w:val="hybridMultilevel"/>
    <w:lvl w:ilvl="0">
      <w:lvlJc w:val="left"/>
      <w:lvlText w:val="%1."/>
      <w:numFmt w:val="decimal"/>
      <w:start w:val="11"/>
    </w:lvl>
  </w:abstractNum>
  <w:abstractNum w:abstractNumId="18">
    <w:nsid w:val="2463B9EA"/>
    <w:multiLevelType w:val="hybridMultilevel"/>
    <w:lvl w:ilvl="0">
      <w:lvlJc w:val="left"/>
      <w:lvlText w:val="%1."/>
      <w:numFmt w:val="decimal"/>
      <w:start w:val="12"/>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lowerLetter"/>
      <w:start w:val="4"/>
    </w:lvl>
  </w:abstractNum>
  <w:abstractNum w:abstractNumId="23">
    <w:nsid w:val="153EA438"/>
    <w:multiLevelType w:val="hybridMultilevel"/>
    <w:lvl w:ilvl="0">
      <w:lvlJc w:val="left"/>
      <w:lvlText w:val=" "/>
      <w:numFmt w:val="bullet"/>
      <w:start w:val="1"/>
    </w:lvl>
  </w:abstractNum>
  <w:abstractNum w:abstractNumId="24">
    <w:nsid w:val="3855585C"/>
    <w:multiLevelType w:val="hybridMultilevel"/>
    <w:lvl w:ilvl="0">
      <w:lvlJc w:val="left"/>
      <w:lvlText w:val=" "/>
      <w:numFmt w:val="bullet"/>
      <w:start w:val="1"/>
    </w:lvl>
  </w:abstractNum>
  <w:abstractNum w:abstractNumId="25">
    <w:nsid w:val="70A64E2A"/>
    <w:multiLevelType w:val="hybridMultilevel"/>
    <w:lvl w:ilvl="0">
      <w:lvlJc w:val="left"/>
      <w:lvlText w:val=" "/>
      <w:numFmt w:val="bullet"/>
      <w:start w:val="1"/>
    </w:lvl>
  </w:abstractNum>
  <w:abstractNum w:abstractNumId="26">
    <w:nsid w:val="6A2342EC"/>
    <w:multiLevelType w:val="hybridMultilevel"/>
    <w:lvl w:ilvl="0">
      <w:lvlJc w:val="left"/>
      <w:lvlText w:val=" "/>
      <w:numFmt w:val="bullet"/>
      <w:start w:val="1"/>
    </w:lvl>
  </w:abstractNum>
  <w:abstractNum w:abstractNumId="27">
    <w:nsid w:val="2A487CB0"/>
    <w:multiLevelType w:val="hybridMultilevel"/>
    <w:lvl w:ilvl="0">
      <w:lvlJc w:val="left"/>
      <w:lvlText w:val=" "/>
      <w:numFmt w:val="bullet"/>
      <w:start w:val="1"/>
    </w:lvl>
  </w:abstractNum>
  <w:abstractNum w:abstractNumId="28">
    <w:nsid w:val="1D4ED43B"/>
    <w:multiLevelType w:val="hybridMultilevel"/>
    <w:lvl w:ilvl="0">
      <w:lvlJc w:val="left"/>
      <w:lvlText w:val=" "/>
      <w:numFmt w:val="bullet"/>
      <w:start w:val="1"/>
    </w:lvl>
  </w:abstractNum>
  <w:abstractNum w:abstractNumId="29">
    <w:nsid w:val="725A06FB"/>
    <w:multiLevelType w:val="hybridMultilevel"/>
    <w:lvl w:ilvl="0">
      <w:lvlJc w:val="left"/>
      <w:lvlText w:val=" "/>
      <w:numFmt w:val="bullet"/>
      <w:start w:val="1"/>
    </w:lvl>
  </w:abstractNum>
  <w:abstractNum w:abstractNumId="30">
    <w:nsid w:val="2CD89A32"/>
    <w:multiLevelType w:val="hybridMultilevel"/>
    <w:lvl w:ilvl="0">
      <w:lvlJc w:val="left"/>
      <w:lvlText w:val=" "/>
      <w:numFmt w:val="bullet"/>
      <w:start w:val="1"/>
    </w:lvl>
  </w:abstractNum>
  <w:abstractNum w:abstractNumId="31">
    <w:nsid w:val="57E4CCAF"/>
    <w:multiLevelType w:val="hybridMultilevel"/>
    <w:lvl w:ilvl="0">
      <w:lvlJc w:val="left"/>
      <w:lvlText w:val=" "/>
      <w:numFmt w:val="bullet"/>
      <w:start w:val="1"/>
    </w:lvl>
  </w:abstractNum>
  <w:abstractNum w:abstractNumId="32">
    <w:nsid w:val="7A6D8D3C"/>
    <w:multiLevelType w:val="hybridMultilevel"/>
    <w:lvl w:ilvl="0">
      <w:lvlJc w:val="left"/>
      <w:lvlText w:val=" "/>
      <w:numFmt w:val="bullet"/>
      <w:start w:val="1"/>
    </w:lvl>
  </w:abstractNum>
  <w:abstractNum w:abstractNumId="33">
    <w:nsid w:val="4B588F54"/>
    <w:multiLevelType w:val="hybridMultilevel"/>
    <w:lvl w:ilvl="0">
      <w:lvlJc w:val="left"/>
      <w:lvlText w:val=" "/>
      <w:numFmt w:val="bullet"/>
      <w:start w:val="1"/>
    </w:lvl>
  </w:abstractNum>
  <w:abstractNum w:abstractNumId="34">
    <w:nsid w:val="542289EC"/>
    <w:multiLevelType w:val="hybridMultilevel"/>
    <w:lvl w:ilvl="0">
      <w:lvlJc w:val="left"/>
      <w:lvlText w:val=" "/>
      <w:numFmt w:val="bullet"/>
      <w:start w:val="1"/>
    </w:lvl>
  </w:abstractNum>
  <w:abstractNum w:abstractNumId="35">
    <w:nsid w:val="6DE91B18"/>
    <w:multiLevelType w:val="hybridMultilevel"/>
    <w:lvl w:ilvl="0">
      <w:lvlJc w:val="left"/>
      <w:lvlText w:val=" "/>
      <w:numFmt w:val="bullet"/>
      <w:start w:val="1"/>
    </w:lvl>
  </w:abstractNum>
  <w:abstractNum w:abstractNumId="36">
    <w:nsid w:val="38437FDB"/>
    <w:multiLevelType w:val="hybridMultilevel"/>
    <w:lvl w:ilvl="0">
      <w:lvlJc w:val="left"/>
      <w:lvlText w:val=" "/>
      <w:numFmt w:val="bullet"/>
      <w:start w:val="1"/>
    </w:lvl>
  </w:abstractNum>
  <w:abstractNum w:abstractNumId="37">
    <w:nsid w:val="7644A45C"/>
    <w:multiLevelType w:val="hybridMultilevel"/>
    <w:lvl w:ilvl="0">
      <w:lvlJc w:val="left"/>
      <w:lvlText w:val=" "/>
      <w:numFmt w:val="bullet"/>
      <w:start w:val="1"/>
    </w:lvl>
  </w:abstractNum>
  <w:abstractNum w:abstractNumId="38">
    <w:nsid w:val="32FFF902"/>
    <w:multiLevelType w:val="hybridMultilevel"/>
    <w:lvl w:ilvl="0">
      <w:lvlJc w:val="left"/>
      <w:lvlText w:val=" "/>
      <w:numFmt w:val="bullet"/>
      <w:start w:val="1"/>
    </w:lvl>
  </w:abstractNum>
  <w:abstractNum w:abstractNumId="39">
    <w:nsid w:val="684A481A"/>
    <w:multiLevelType w:val="hybridMultilevel"/>
    <w:lvl w:ilvl="0">
      <w:lvlJc w:val="left"/>
      <w:lvlText w:val=" "/>
      <w:numFmt w:val="bullet"/>
      <w:start w:val="1"/>
    </w:lvl>
  </w:abstractNum>
  <w:abstractNum w:abstractNumId="40">
    <w:nsid w:val="579478FE"/>
    <w:multiLevelType w:val="hybridMultilevel"/>
    <w:lvl w:ilvl="0">
      <w:lvlJc w:val="left"/>
      <w:lvlText w:val=" "/>
      <w:numFmt w:val="bullet"/>
      <w:start w:val="1"/>
    </w:lvl>
  </w:abstractNum>
  <w:abstractNum w:abstractNumId="41">
    <w:nsid w:val="749ABB43"/>
    <w:multiLevelType w:val="hybridMultilevel"/>
    <w:lvl w:ilvl="0">
      <w:lvlJc w:val="left"/>
      <w:lvlText w:val=" "/>
      <w:numFmt w:val="bullet"/>
      <w:start w:val="1"/>
    </w:lvl>
  </w:abstractNum>
  <w:abstractNum w:abstractNumId="42">
    <w:nsid w:val="3DC240FB"/>
    <w:multiLevelType w:val="hybridMultilevel"/>
    <w:lvl w:ilvl="0">
      <w:lvlJc w:val="left"/>
      <w:lvlText w:val=" "/>
      <w:numFmt w:val="bullet"/>
      <w:start w:val="1"/>
    </w:lvl>
  </w:abstractNum>
  <w:abstractNum w:abstractNumId="43">
    <w:nsid w:val="1BA026FA"/>
    <w:multiLevelType w:val="hybridMultilevel"/>
    <w:lvl w:ilvl="0">
      <w:lvlJc w:val="left"/>
      <w:lvlText w:val=" "/>
      <w:numFmt w:val="bullet"/>
      <w:start w:val="1"/>
    </w:lvl>
  </w:abstractNum>
  <w:abstractNum w:abstractNumId="44">
    <w:nsid w:val="79A1DEAA"/>
    <w:multiLevelType w:val="hybridMultilevel"/>
    <w:lvl w:ilvl="0">
      <w:lvlJc w:val="left"/>
      <w:lvlText w:val=" "/>
      <w:numFmt w:val="bullet"/>
      <w:start w:val="1"/>
    </w:lvl>
  </w:abstractNum>
  <w:abstractNum w:abstractNumId="45">
    <w:nsid w:val="75C6C33A"/>
    <w:multiLevelType w:val="hybridMultilevel"/>
    <w:lvl w:ilvl="0">
      <w:lvlJc w:val="left"/>
      <w:lvlText w:val=" "/>
      <w:numFmt w:val="bullet"/>
      <w:start w:val="1"/>
    </w:lvl>
  </w:abstractNum>
  <w:abstractNum w:abstractNumId="46">
    <w:nsid w:val="12E685FB"/>
    <w:multiLevelType w:val="hybridMultilevel"/>
    <w:lvl w:ilvl="0">
      <w:lvlJc w:val="left"/>
      <w:lvlText w:val=" "/>
      <w:numFmt w:val="bullet"/>
      <w:start w:val="1"/>
    </w:lvl>
  </w:abstractNum>
  <w:abstractNum w:abstractNumId="47">
    <w:nsid w:val="70C6A529"/>
    <w:multiLevelType w:val="hybridMultilevel"/>
    <w:lvl w:ilvl="0">
      <w:lvlJc w:val="left"/>
      <w:lvlText w:val=" "/>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decimal"/>
      <w:start w:val="1"/>
    </w:lvl>
    <w:lvl w:ilvl="1">
      <w:lvlJc w:val="left"/>
      <w:lvlText w:val="(%2)"/>
      <w:numFmt w:val="lowerLetter"/>
      <w:start w:val="1"/>
    </w:lvl>
  </w:abstractNum>
  <w:abstractNum w:abstractNumId="51">
    <w:nsid w:val="23F9C13C"/>
    <w:multiLevelType w:val="hybridMultilevel"/>
    <w:lvl w:ilvl="0">
      <w:lvlJc w:val="left"/>
      <w:lvlText w:val="%1"/>
      <w:numFmt w:val="decimal"/>
      <w:start w:val="1"/>
    </w:lvl>
    <w:lvl w:ilvl="1">
      <w:lvlJc w:val="left"/>
      <w:lvlText w:val="(%2)"/>
      <w:numFmt w:val="lowerLetter"/>
      <w:start w:val="4"/>
    </w:lvl>
  </w:abstractNum>
  <w:abstractNum w:abstractNumId="52">
    <w:nsid w:val="649BB77C"/>
    <w:multiLevelType w:val="hybridMultilevel"/>
    <w:lvl w:ilvl="0">
      <w:lvlJc w:val="left"/>
      <w:lvlText w:val="%1."/>
      <w:numFmt w:val="decimal"/>
      <w:start w:val="5"/>
    </w:lvl>
    <w:lvl w:ilvl="1">
      <w:lvlJc w:val="left"/>
      <w:lvlText w:val="(%2)"/>
      <w:numFmt w:val="lowerLetter"/>
      <w:start w:val="1"/>
    </w:lvl>
  </w:abstractNum>
  <w:abstractNum w:abstractNumId="53">
    <w:nsid w:val="275AC794"/>
    <w:multiLevelType w:val="hybridMultilevel"/>
    <w:lvl w:ilvl="0">
      <w:lvlJc w:val="left"/>
      <w:lvlText w:val="%1."/>
      <w:numFmt w:val="decimal"/>
      <w:start w:val="1"/>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4"/>
    </w:lvl>
  </w:abstractNum>
  <w:abstractNum w:abstractNumId="55">
    <w:nsid w:val="1CF10FD8"/>
    <w:multiLevelType w:val="hybridMultilevel"/>
    <w:lvl w:ilvl="0">
      <w:lvlJc w:val="left"/>
      <w:lvlText w:val="%1."/>
      <w:numFmt w:val="decimal"/>
      <w:start w:val="5"/>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2022-11-10T08:22:57Z</dcterms:created>
  <dcterms:modified xsi:type="dcterms:W3CDTF">2022-11-10T08:22:57Z</dcterms:modified>
</cp:coreProperties>
</file>