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Nuechterlein Carole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11682 EL CAMINO REAL, SUITE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12"/>
        </w:trPr>
        <w:tc>
          <w:tcPr>
            <w:tcW w:w="6000" w:type="dxa"/>
            <w:vAlign w:val="bottom"/>
            <w:gridSpan w:val="3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BCTG Acquisition Corp.</w:t>
              </w:r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FF"/>
              </w:rPr>
              <w:t>BCTG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]</w:t>
            </w:r>
          </w:p>
        </w:tc>
      </w:tr>
      <w:tr>
        <w:trPr>
          <w:trHeight w:val="313"/>
        </w:trPr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202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320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11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92130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20" w:val="left"/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0" w:space="720"/>
            <w:col w:w="2820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/s/ Carole L. Nuechterlein  09/02/2020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6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665133" TargetMode="External"/><Relationship Id="rId11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2020-09-03T05:23:06Z</dcterms:created>
  <dcterms:modified xsi:type="dcterms:W3CDTF">2020-09-03T05:23:06Z</dcterms:modified>
</cp:coreProperties>
</file>