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EcoR1 Capital, LLC</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10/13/2023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357 TEHAMA STREET #3</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94103</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69"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5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13,330,736</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See Notes 1 and 2</w:t>
            </w:r>
            <w:r>
              <w:rPr>
                <w:rFonts w:ascii="Arial" w:cs="Arial" w:eastAsia="Arial" w:hAnsi="Arial"/>
                <w:sz w:val="25"/>
                <w:szCs w:val="25"/>
                <w:color w:val="008000"/>
                <w:vertAlign w:val="superscript"/>
              </w:rPr>
              <w:t>(1)(2)</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persons (the "Filers") are EcoR1 Capital, LLC ("EcoR1"), Oleg Nodelman and EcoR1 Capital Fund Qualified, L.P. ("Qualified Fund"). EcoR1 is the general partner and investment adviser of private funds, including Qualified Fund (collectively, the "Funds"). Mr. Nodelman is the manager and controlling owner of EcoR1. EcoR1 is filing this Form 3 for itself, Mr. Nodelman and Qualified Fund. The Filers are filing this Form 3 jointly, but not as a group, and each expressly disclaims membership in a group within the meaning of Rule 13d-5(b) under the Securities Exchange Act of 1934, as amended. The Funds hold these securities directly for the benefit of their investors. EcoR1 may be deemed to indirectly beneficially own them as the investment adviser to the Funds. Mr. Nodelman may be deemed to indirectly beneficially own them as the control person of EcoR1. The Filers disclaim ownership of such securities except to the extent of their respective pecuniary interests therein.</w:t>
      </w:r>
    </w:p>
    <w:p>
      <w:pPr>
        <w:spacing w:after="0" w:line="28"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Qualified Fund directly holds 12,563,381 of the shares of Common Stock reported in this Form 3.</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Oleg Nodelman,</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7"/>
              </w:rPr>
              <w:t>Manager of EcoR1</w:t>
            </w:r>
          </w:p>
        </w:tc>
        <w:tc>
          <w:tcPr>
            <w:tcW w:w="700" w:type="dxa"/>
            <w:vAlign w:val="bottom"/>
            <w:gridSpan w:val="2"/>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10/16/2023</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Capital, LLC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87114"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2023-10-16T14:46:01Z</dcterms:created>
  <dcterms:modified xsi:type="dcterms:W3CDTF">2023-10-16T14:46:01Z</dcterms:modified>
</cp:coreProperties>
</file>