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13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4</w:t>
            </w:r>
          </w:p>
        </w:tc>
        <w:tc>
          <w:tcPr>
            <w:tcW w:w="6200" w:type="dxa"/>
            <w:vAlign w:val="bottom"/>
            <w:gridSpan w:val="21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  <w:vMerge w:val="restart"/>
          </w:tcPr>
          <w:p>
            <w:pPr>
              <w:jc w:val="center"/>
              <w:ind w:right="41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9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6200" w:type="dxa"/>
            <w:vAlign w:val="bottom"/>
            <w:gridSpan w:val="21"/>
            <w:vMerge w:val="restart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0" w:type="dxa"/>
            <w:vAlign w:val="bottom"/>
            <w:gridSpan w:val="21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5620" w:type="dxa"/>
            <w:vAlign w:val="bottom"/>
            <w:gridSpan w:val="20"/>
            <w:vMerge w:val="restart"/>
          </w:tcPr>
          <w:p>
            <w:pPr>
              <w:jc w:val="center"/>
              <w:ind w:left="4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2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Instruction 1(b).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20" w:type="dxa"/>
            <w:vAlign w:val="bottom"/>
            <w:gridSpan w:val="2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20" w:type="dxa"/>
            <w:vAlign w:val="bottom"/>
            <w:gridSpan w:val="20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80" w:type="dxa"/>
            <w:vAlign w:val="bottom"/>
            <w:gridSpan w:val="12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Peters Malte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11"/>
          </w:tcPr>
          <w:p>
            <w:pPr>
              <w:spacing w:after="0" w:line="105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Tango Therapeutics,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TNGX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0" w:type="dxa"/>
            <w:vAlign w:val="bottom"/>
            <w:gridSpan w:val="8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06/06/2023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TANGO THERAPEUTICS, INC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gridSpan w:val="1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80" w:type="dxa"/>
            <w:vAlign w:val="bottom"/>
            <w:gridSpan w:val="7"/>
          </w:tcPr>
          <w:p>
            <w:pPr>
              <w:ind w:left="2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201 BROOKLINE AVE., SUITE 901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</w:tcPr>
          <w:p>
            <w:pPr>
              <w:ind w:left="2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gridSpan w:val="1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2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02215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20" w:type="dxa"/>
            <w:vAlign w:val="bottom"/>
            <w:gridSpan w:val="1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  <w:w w:val="99"/>
              </w:rPr>
              <w:t>Rule 10b5-1(c) Transaction Indication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0" w:type="dxa"/>
            <w:vAlign w:val="bottom"/>
            <w:gridSpan w:val="2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to indicate that a transaction was made pursuant to a contract, instruction or written plan that is intended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0" w:type="dxa"/>
            <w:vAlign w:val="bottom"/>
            <w:gridSpan w:val="2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40" w:type="dxa"/>
            <w:vAlign w:val="bottom"/>
            <w:gridSpan w:val="15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satisfy the affirmative defense conditions of Rule 10b5-1(c). See Instruction 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06/06/2023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5,000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5,000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20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3.55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06/06/2023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06/06/2033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30,000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-9525</wp:posOffset>
            </wp:positionH>
            <wp:positionV relativeFrom="paragraph">
              <wp:posOffset>-5884545</wp:posOffset>
            </wp:positionV>
            <wp:extent cx="7045960" cy="60382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038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40" w:right="380" w:firstLine="4"/>
        <w:spacing w:after="0" w:line="295" w:lineRule="auto"/>
        <w:tabs>
          <w:tab w:leader="none" w:pos="168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These shares are represented by restricted stock units (the "RSUs"). Each RSU represents a contingent right to receive one share of Common Stock of the Issuer. The RSUs will vest in its entirety on the earlier of: (i) June 6, 2024 and (ii) the date of the next annual meeting of stockholders, subject to the Reporting Person's continuous service with the Issuer as of each such vesting date.</w:t>
      </w:r>
    </w:p>
    <w:p>
      <w:pPr>
        <w:ind w:left="40" w:right="280" w:firstLine="4"/>
        <w:spacing w:after="0" w:line="254" w:lineRule="auto"/>
        <w:tabs>
          <w:tab w:leader="none" w:pos="16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shall vest and become exercisable in 12 substantially equal monthly installments over a period of one year beginning on July 6, 2023, subject to the Reporting Person's continuous service with the Issuer as of each such vesting date.</w:t>
      </w:r>
    </w:p>
    <w:p>
      <w:pPr>
        <w:sectPr>
          <w:pgSz w:w="11900" w:h="16838" w:orient="portrait"/>
          <w:cols w:equalWidth="0" w:num="1">
            <w:col w:w="11080"/>
          </w:cols>
          <w:pgMar w:left="460" w:top="223" w:right="359" w:bottom="1440" w:gutter="0" w:footer="0" w:header="0"/>
        </w:sectPr>
      </w:pP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Douglas Barry,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3810</wp:posOffset>
            </wp:positionV>
            <wp:extent cx="131318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1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-13970</wp:posOffset>
            </wp:positionV>
            <wp:extent cx="28130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3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1080" w:firstLine="4"/>
        <w:spacing w:after="0" w:line="312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06/08/2023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5715</wp:posOffset>
            </wp:positionH>
            <wp:positionV relativeFrom="paragraph">
              <wp:posOffset>3810</wp:posOffset>
            </wp:positionV>
            <wp:extent cx="49149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2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23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876563" TargetMode="External"/><Relationship Id="rId9" Type="http://schemas.openxmlformats.org/officeDocument/2006/relationships/hyperlink" Target="http://www.sec.gov/cgi-bin/browse-edgar?action=getcompany&amp;CIK=00018191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2023-06-08T20:40:16Z</dcterms:created>
  <dcterms:modified xsi:type="dcterms:W3CDTF">2023-06-08T20:40:16Z</dcterms:modified>
</cp:coreProperties>
</file>