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March 28, 2022</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TANGO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360" w:type="dxa"/>
            <w:vAlign w:val="bottom"/>
          </w:tcPr>
          <w:p>
            <w:pPr>
              <w:jc w:val="center"/>
              <w:ind w:right="1799"/>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61"/>
              <w:spacing w:after="0"/>
              <w:rPr>
                <w:sz w:val="20"/>
                <w:szCs w:val="20"/>
                <w:color w:val="auto"/>
              </w:rPr>
            </w:pPr>
            <w:r>
              <w:rPr>
                <w:rFonts w:ascii="Arial" w:cs="Arial" w:eastAsia="Arial" w:hAnsi="Arial"/>
                <w:sz w:val="18"/>
                <w:szCs w:val="18"/>
                <w:b w:val="1"/>
                <w:bCs w:val="1"/>
                <w:color w:val="auto"/>
              </w:rPr>
              <w:t>85-1195036</w:t>
            </w:r>
          </w:p>
        </w:tc>
      </w:tr>
      <w:tr>
        <w:trPr>
          <w:trHeight w:val="148"/>
        </w:trPr>
        <w:tc>
          <w:tcPr>
            <w:tcW w:w="436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360" w:type="dxa"/>
            <w:vAlign w:val="bottom"/>
          </w:tcPr>
          <w:p>
            <w:pPr>
              <w:jc w:val="center"/>
              <w:ind w:right="1819"/>
              <w:spacing w:after="0"/>
              <w:rPr>
                <w:sz w:val="20"/>
                <w:szCs w:val="20"/>
                <w:color w:val="auto"/>
              </w:rPr>
            </w:pPr>
            <w:r>
              <w:rPr>
                <w:rFonts w:ascii="Arial" w:cs="Arial" w:eastAsia="Arial" w:hAnsi="Arial"/>
                <w:sz w:val="18"/>
                <w:szCs w:val="18"/>
                <w:b w:val="1"/>
                <w:bCs w:val="1"/>
                <w:color w:val="auto"/>
                <w:w w:val="89"/>
              </w:rPr>
              <w:t>100 Binney St., Suite 700</w:t>
            </w:r>
          </w:p>
        </w:tc>
        <w:tc>
          <w:tcPr>
            <w:tcW w:w="3000" w:type="dxa"/>
            <w:vAlign w:val="bottom"/>
          </w:tcPr>
          <w:p>
            <w:pPr>
              <w:spacing w:after="0"/>
              <w:rPr>
                <w:sz w:val="24"/>
                <w:szCs w:val="24"/>
                <w:color w:val="auto"/>
              </w:rPr>
            </w:pPr>
          </w:p>
        </w:tc>
      </w:tr>
      <w:tr>
        <w:trPr>
          <w:trHeight w:val="212"/>
        </w:trPr>
        <w:tc>
          <w:tcPr>
            <w:tcW w:w="4360" w:type="dxa"/>
            <w:vAlign w:val="bottom"/>
          </w:tcPr>
          <w:p>
            <w:pPr>
              <w:jc w:val="center"/>
              <w:ind w:right="1819"/>
              <w:spacing w:after="0"/>
              <w:rPr>
                <w:sz w:val="20"/>
                <w:szCs w:val="20"/>
                <w:color w:val="auto"/>
              </w:rPr>
            </w:pPr>
            <w:r>
              <w:rPr>
                <w:rFonts w:ascii="Arial" w:cs="Arial" w:eastAsia="Arial" w:hAnsi="Arial"/>
                <w:sz w:val="18"/>
                <w:szCs w:val="18"/>
                <w:b w:val="1"/>
                <w:bCs w:val="1"/>
                <w:color w:val="auto"/>
                <w:w w:val="95"/>
              </w:rPr>
              <w:t>Cambridge, MA</w:t>
            </w:r>
          </w:p>
        </w:tc>
        <w:tc>
          <w:tcPr>
            <w:tcW w:w="30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02142</w:t>
            </w:r>
          </w:p>
        </w:tc>
      </w:tr>
      <w:tr>
        <w:trPr>
          <w:trHeight w:val="186"/>
        </w:trPr>
        <w:tc>
          <w:tcPr>
            <w:tcW w:w="4360" w:type="dxa"/>
            <w:vAlign w:val="bottom"/>
          </w:tcPr>
          <w:p>
            <w:pPr>
              <w:jc w:val="center"/>
              <w:ind w:right="18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Tango Therapeutics, Inc. 2021 Stock Option and Incentive Plan</w:t>
      </w:r>
    </w:p>
    <w:p>
      <w:pPr>
        <w:spacing w:after="0" w:line="2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Tango Therapeutics, Inc. 2021 Employee Stock Purchase Plan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Barbara Weber, M.D.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Tango Therapeutics,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Binney St., Suite 700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Cambridge, MA 02142</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(857) 320-4900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With a copy to:</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William D. Collins,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 (617)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OF INCORPORATION BY REFERENCE</w:t>
      </w:r>
    </w:p>
    <w:p>
      <w:pPr>
        <w:spacing w:after="0" w:line="229" w:lineRule="exact"/>
        <w:rPr>
          <w:sz w:val="20"/>
          <w:szCs w:val="20"/>
          <w:color w:val="auto"/>
        </w:rPr>
      </w:pPr>
    </w:p>
    <w:p>
      <w:pPr>
        <w:spacing w:after="0" w:line="296" w:lineRule="auto"/>
        <w:rPr>
          <w:rFonts w:ascii="Arial" w:cs="Arial" w:eastAsia="Arial" w:hAnsi="Arial"/>
          <w:sz w:val="16"/>
          <w:szCs w:val="16"/>
          <w:color w:val="auto"/>
        </w:rPr>
      </w:pPr>
      <w:r>
        <w:rPr>
          <w:rFonts w:ascii="Arial" w:cs="Arial" w:eastAsia="Arial" w:hAnsi="Arial"/>
          <w:sz w:val="16"/>
          <w:szCs w:val="16"/>
          <w:color w:val="auto"/>
        </w:rPr>
        <w:t xml:space="preserve">This Registration Statement on Form S-8 is being filed to register the offer and sale of (i) an additional 4,377,321 shares of the Registrant’s common stock, $0.001 par value per share (“Common Stock”), to be issued under the Registrant’s 2021 Stock Option and Incentive Plan and (ii) an additional 875,464 shares of the Registrant’s Common Stock, to be issued under the Registrant’s 2021 Employee Stock Purchase Plan. This Registration Statement incorporates by reference the contents of the registration statement on </w:t>
      </w:r>
      <w:hyperlink r:id="rId18">
        <w:r>
          <w:rPr>
            <w:rFonts w:ascii="Arial" w:cs="Arial" w:eastAsia="Arial" w:hAnsi="Arial"/>
            <w:sz w:val="16"/>
            <w:szCs w:val="16"/>
            <w:u w:val="single" w:color="auto"/>
            <w:color w:val="0000EE"/>
          </w:rPr>
          <w:t>Form S-8</w:t>
        </w:r>
      </w:hyperlink>
      <w:r>
        <w:rPr>
          <w:rFonts w:ascii="Arial" w:cs="Arial" w:eastAsia="Arial" w:hAnsi="Arial"/>
          <w:sz w:val="16"/>
          <w:szCs w:val="16"/>
          <w:color w:val="auto"/>
        </w:rPr>
        <w:t>, File No. 333-260258, filed by the Registrant on October 14, 2021, relating to the Registrant’s 2021 Stock Option and Incentive Plan and 2021 Employee Stock Purchase Plan pursuant to General Instruction E.</w:t>
      </w:r>
    </w:p>
    <w:p>
      <w:pPr>
        <w:sectPr>
          <w:pgSz w:w="11900" w:h="16838" w:orient="portrait"/>
          <w:cols w:equalWidth="0" w:num="1">
            <w:col w:w="10960"/>
          </w:cols>
          <w:pgMar w:left="440" w:top="270" w:right="4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 to the Exhibit Index on the next page for a list of exhibits filed as part of this Registration Statement, which Exhibit Index is incorporated herein by reference.</w:t>
      </w:r>
    </w:p>
    <w:p>
      <w:pPr>
        <w:sectPr>
          <w:pgSz w:w="11900" w:h="16838" w:orient="portrait"/>
          <w:cols w:equalWidth="0" w:num="1">
            <w:col w:w="10820"/>
          </w:cols>
          <w:pgMar w:left="440" w:top="270" w:right="6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20" w:type="dxa"/>
            <w:vAlign w:val="bottom"/>
            <w:gridSpan w:val="14"/>
          </w:tcPr>
          <w:p>
            <w:pPr>
              <w:ind w:left="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Exhibit Description</w:t>
            </w:r>
          </w:p>
        </w:tc>
        <w:tc>
          <w:tcPr>
            <w:tcW w:w="426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42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Second Amended and Restated Certificate of Incorporation of the Registrant (incorporated by reference to Exhibit 3.1 to the Registrant’s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registration statement on Form S-1 filed with the SEC on September 10,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660" w:type="dxa"/>
            <w:vAlign w:val="bottom"/>
            <w:tcBorders>
              <w:bottom w:val="single" w:sz="8" w:color="0000EE"/>
            </w:tcBorders>
            <w:gridSpan w:val="16"/>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Amended and Restated Bylaws of the Registrant (incorporated by reference to Exhibit 4.2 to the Registrant’s registration statement on</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gridSpan w:val="18"/>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Form S-8 filed with the SEC on October 14,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860" w:type="dxa"/>
            <w:vAlign w:val="bottom"/>
            <w:tcBorders>
              <w:bottom w:val="single" w:sz="8" w:color="0000EE"/>
            </w:tcBorders>
            <w:gridSpan w:val="18"/>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Specimen Common Stock Certificate of the Registrant (incorporated by reference to Exhibit 4.5 to the Registrant’s registration statement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22">
              <w:r>
                <w:rPr>
                  <w:rFonts w:ascii="Arial" w:cs="Arial" w:eastAsia="Arial" w:hAnsi="Arial"/>
                  <w:sz w:val="18"/>
                  <w:szCs w:val="18"/>
                  <w:color w:val="0000EE"/>
                  <w:w w:val="92"/>
                </w:rPr>
                <w:t>on Form S-4/A filed with the SEC on July 15, 2021).</w:t>
              </w:r>
            </w:hyperlink>
          </w:p>
        </w:tc>
        <w:tc>
          <w:tcPr>
            <w:tcW w:w="60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Opinion of Goodwin Procter LLP.</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23.1*</w:t>
            </w:r>
          </w:p>
        </w:tc>
        <w:tc>
          <w:tcPr>
            <w:tcW w:w="540" w:type="dxa"/>
            <w:vAlign w:val="bottom"/>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PricewaterhouseCoopers LLP, Independent Registered Public Accounting Firm.</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23.2*</w:t>
            </w:r>
          </w:p>
        </w:tc>
        <w:tc>
          <w:tcPr>
            <w:tcW w:w="540" w:type="dxa"/>
            <w:vAlign w:val="bottom"/>
          </w:tcPr>
          <w:p>
            <w:pPr>
              <w:spacing w:after="0"/>
              <w:rPr>
                <w:sz w:val="24"/>
                <w:szCs w:val="24"/>
                <w:color w:val="auto"/>
              </w:rPr>
            </w:pPr>
          </w:p>
        </w:tc>
        <w:tc>
          <w:tcPr>
            <w:tcW w:w="6580" w:type="dxa"/>
            <w:vAlign w:val="bottom"/>
            <w:tcBorders>
              <w:top w:val="single" w:sz="8" w:color="0000EE"/>
            </w:tcBorders>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Goodwin Procter LLP (included in Exhibit 5.1).</w:t>
              </w:r>
            </w:hyperlink>
          </w:p>
        </w:tc>
        <w:tc>
          <w:tcPr>
            <w:tcW w:w="3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24.1*</w:t>
            </w:r>
          </w:p>
        </w:tc>
        <w:tc>
          <w:tcPr>
            <w:tcW w:w="540" w:type="dxa"/>
            <w:vAlign w:val="bottom"/>
          </w:tcPr>
          <w:p>
            <w:pPr>
              <w:spacing w:after="0"/>
              <w:rPr>
                <w:sz w:val="24"/>
                <w:szCs w:val="24"/>
                <w:color w:val="auto"/>
              </w:rPr>
            </w:pPr>
          </w:p>
        </w:tc>
        <w:tc>
          <w:tcPr>
            <w:tcW w:w="4280" w:type="dxa"/>
            <w:vAlign w:val="bottom"/>
            <w:tcBorders>
              <w:top w:val="single" w:sz="8" w:color="0000EE"/>
            </w:tcBorders>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 of Attorney (included on the signature page).</w:t>
              </w:r>
            </w:hyperlink>
          </w:p>
        </w:tc>
        <w:tc>
          <w:tcPr>
            <w:tcW w:w="55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9600" w:type="dxa"/>
            <w:vAlign w:val="bottom"/>
            <w:tcBorders>
              <w:bottom w:val="single" w:sz="8" w:color="0000EE"/>
            </w:tcBorders>
            <w:gridSpan w:val="15"/>
          </w:tcPr>
          <w:p>
            <w:pPr>
              <w:spacing w:after="0"/>
              <w:rPr>
                <w:rFonts w:ascii="Arial" w:cs="Arial" w:eastAsia="Arial" w:hAnsi="Arial"/>
                <w:sz w:val="18"/>
                <w:szCs w:val="18"/>
                <w:color w:val="0000EE"/>
                <w:w w:val="90"/>
              </w:rPr>
            </w:pPr>
            <w:hyperlink r:id="rId23">
              <w:r>
                <w:rPr>
                  <w:rFonts w:ascii="Arial" w:cs="Arial" w:eastAsia="Arial" w:hAnsi="Arial"/>
                  <w:sz w:val="18"/>
                  <w:szCs w:val="18"/>
                  <w:color w:val="0000EE"/>
                  <w:w w:val="90"/>
                </w:rPr>
                <w:t>Tango Therapeutics, Inc. 2021 Stock Option and Incentive Plan (incorporated by reference to Exhibit 10.4 to the Registrant’s Current</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Report on Form 8-K filed with the SEC on August 13, 2021).</w:t>
              </w:r>
            </w:hyperlink>
          </w:p>
        </w:tc>
        <w:tc>
          <w:tcPr>
            <w:tcW w:w="5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99.2</w:t>
            </w:r>
          </w:p>
        </w:tc>
        <w:tc>
          <w:tcPr>
            <w:tcW w:w="540" w:type="dxa"/>
            <w:vAlign w:val="bottom"/>
          </w:tcPr>
          <w:p>
            <w:pPr>
              <w:spacing w:after="0"/>
              <w:rPr>
                <w:sz w:val="24"/>
                <w:szCs w:val="24"/>
                <w:color w:val="auto"/>
              </w:rPr>
            </w:pPr>
          </w:p>
        </w:tc>
        <w:tc>
          <w:tcPr>
            <w:tcW w:w="9560" w:type="dxa"/>
            <w:vAlign w:val="bottom"/>
            <w:tcBorders>
              <w:bottom w:val="single" w:sz="8" w:color="0000EE"/>
            </w:tcBorders>
            <w:gridSpan w:val="14"/>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Forms of Award Agreements under the Tango Therapeutics, Inc. 2021 Stock Option and Incentive Plan (incorporated by reference to</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gridSpan w:val="18"/>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Exhibit 10.5 to the Registrant’s Current Report on Form 8-K filed with the SEC on August 13,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80" w:type="dxa"/>
            <w:vAlign w:val="bottom"/>
            <w:gridSpan w:val="11"/>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99.3</w:t>
            </w:r>
          </w:p>
        </w:tc>
        <w:tc>
          <w:tcPr>
            <w:tcW w:w="540" w:type="dxa"/>
            <w:vAlign w:val="bottom"/>
          </w:tcPr>
          <w:p>
            <w:pPr>
              <w:spacing w:after="0"/>
              <w:rPr>
                <w:sz w:val="24"/>
                <w:szCs w:val="24"/>
                <w:color w:val="auto"/>
              </w:rPr>
            </w:pPr>
          </w:p>
        </w:tc>
        <w:tc>
          <w:tcPr>
            <w:tcW w:w="9500" w:type="dxa"/>
            <w:vAlign w:val="bottom"/>
            <w:tcBorders>
              <w:bottom w:val="single" w:sz="8" w:color="0000EE"/>
            </w:tcBorders>
            <w:gridSpan w:val="13"/>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Tango Therapeutics, Inc. 2021 Employee Stock Purchase Plan (incorporated by reference to Exhibit 10.6 to the Registrant’s Current</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Report on Form 8-K filed with the SEC on August 13, 2021).</w:t>
              </w:r>
            </w:hyperlink>
          </w:p>
        </w:tc>
        <w:tc>
          <w:tcPr>
            <w:tcW w:w="5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1220" w:type="dxa"/>
            <w:vAlign w:val="bottom"/>
            <w:tcBorders>
              <w:bottom w:val="single" w:sz="8" w:color="0000EE"/>
            </w:tcBorders>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Filing Fee Table.</w:t>
              </w:r>
            </w:hyperlink>
          </w:p>
        </w:tc>
        <w:tc>
          <w:tcPr>
            <w:tcW w:w="8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0900"/>
          </w:cols>
          <w:pgMar w:left="440" w:top="270" w:right="5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State of Massachusetts, on March 28,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Barbara Weber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Each person whose signature appears below constitutes and appoints each of Barbara Weber and Daniella Beckman,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her substitute or substitutes, may lawfully do or cause to be done by virtue hereof.</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Weber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Barbara Weber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Daniella Beckman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Daniella Beckman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Alexis Borisy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Lesley Calhoun</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Lesley Calhoun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Davis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Aaron Davis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Reid Huber</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Reid Huber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Malte Peters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Malte Peters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Mace Rothenberg</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March 28, 2022</w:t>
            </w:r>
          </w:p>
        </w:tc>
      </w:tr>
      <w:tr>
        <w:trPr>
          <w:trHeight w:val="224"/>
        </w:trPr>
        <w:tc>
          <w:tcPr>
            <w:tcW w:w="4180" w:type="dxa"/>
            <w:vAlign w:val="bottom"/>
          </w:tcPr>
          <w:p>
            <w:pPr>
              <w:spacing w:after="0"/>
              <w:rPr>
                <w:sz w:val="20"/>
                <w:szCs w:val="20"/>
                <w:color w:val="auto"/>
              </w:rPr>
            </w:pPr>
            <w:r>
              <w:rPr>
                <w:rFonts w:ascii="Arial" w:cs="Arial" w:eastAsia="Arial" w:hAnsi="Arial"/>
                <w:sz w:val="18"/>
                <w:szCs w:val="18"/>
                <w:color w:val="auto"/>
              </w:rPr>
              <w:t>Mace Rothenberg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Binney St., Suite 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22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have acted as counsel to you in connection with your filing of a Registration Statement on Form S-8 (the “Registration Statement”) pursuant to the Securities Act of 1933, as amended (the “Securities Act”), on or about the date hereof relating to an aggregate of 5,252,785 shares (the “Shares”) of Common Stock, $0.001 par value per share (“Common Stock”), of Tango Therapeutics, Inc., a Delaware corporation (the “Company”), that may be issued pursuant to the Company’s 2021 Stock Option and Incentive Plan and 2021 Employee Stock Purchase Plan (collectively, the “Plans”).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S-8 of Tango Therapeutics, Inc. of our report dated March 28, 2022 relating to the financial statements, which appears in Tango Therapeutics, Inc.’s Annual Report on Form 10-K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S-8</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Tango Therapeutics,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980" w:type="dxa"/>
            <w:vAlign w:val="bottom"/>
            <w:tcBorders>
              <w:top w:val="single" w:sz="8" w:color="auto"/>
              <w:left w:val="single" w:sz="8" w:color="auto"/>
              <w:right w:val="single" w:sz="8" w:color="auto"/>
            </w:tcBorders>
          </w:tcPr>
          <w:p>
            <w:pPr>
              <w:spacing w:after="0"/>
              <w:rPr>
                <w:sz w:val="12"/>
                <w:szCs w:val="12"/>
                <w:color w:val="auto"/>
              </w:rPr>
            </w:pPr>
          </w:p>
        </w:tc>
        <w:tc>
          <w:tcPr>
            <w:tcW w:w="3120" w:type="dxa"/>
            <w:vAlign w:val="bottom"/>
            <w:tcBorders>
              <w:top w:val="single" w:sz="8" w:color="auto"/>
              <w:right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3"/>
              </w:rPr>
              <w:t>Proposed</w:t>
            </w:r>
          </w:p>
        </w:tc>
        <w:tc>
          <w:tcPr>
            <w:tcW w:w="14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312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left="9"/>
              <w:spacing w:after="0" w:line="135" w:lineRule="exact"/>
              <w:rPr>
                <w:sz w:val="20"/>
                <w:szCs w:val="20"/>
                <w:color w:val="auto"/>
              </w:rPr>
            </w:pPr>
            <w:r>
              <w:rPr>
                <w:rFonts w:ascii="Arial" w:cs="Arial" w:eastAsia="Arial" w:hAnsi="Arial"/>
                <w:sz w:val="13"/>
                <w:szCs w:val="13"/>
                <w:b w:val="1"/>
                <w:bCs w:val="1"/>
                <w:color w:val="auto"/>
                <w:w w:val="93"/>
              </w:rPr>
              <w:t>Maximum</w:t>
            </w:r>
          </w:p>
        </w:tc>
        <w:tc>
          <w:tcPr>
            <w:tcW w:w="140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3"/>
                <w:szCs w:val="13"/>
                <w:b w:val="1"/>
                <w:bCs w:val="1"/>
                <w:color w:val="auto"/>
                <w:w w:val="93"/>
              </w:rPr>
              <w:t>Maximum</w:t>
            </w:r>
          </w:p>
        </w:tc>
        <w:tc>
          <w:tcPr>
            <w:tcW w:w="10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3120" w:type="dxa"/>
            <w:vAlign w:val="bottom"/>
            <w:tcBorders>
              <w:right w:val="single" w:sz="8" w:color="auto"/>
            </w:tcBorders>
          </w:tcPr>
          <w:p>
            <w:pPr>
              <w:jc w:val="center"/>
              <w:ind w:left="77"/>
              <w:spacing w:after="0" w:line="135" w:lineRule="exact"/>
              <w:rPr>
                <w:sz w:val="20"/>
                <w:szCs w:val="20"/>
                <w:color w:val="auto"/>
              </w:rPr>
            </w:pPr>
            <w:r>
              <w:rPr>
                <w:rFonts w:ascii="Arial" w:cs="Arial" w:eastAsia="Arial" w:hAnsi="Arial"/>
                <w:sz w:val="13"/>
                <w:szCs w:val="13"/>
                <w:b w:val="1"/>
                <w:bCs w:val="1"/>
                <w:color w:val="auto"/>
                <w:w w:val="85"/>
              </w:rPr>
              <w:t>Security</w:t>
            </w:r>
          </w:p>
        </w:tc>
        <w:tc>
          <w:tcPr>
            <w:tcW w:w="340" w:type="dxa"/>
            <w:vAlign w:val="bottom"/>
          </w:tcPr>
          <w:p>
            <w:pPr>
              <w:spacing w:after="0"/>
              <w:rPr>
                <w:sz w:val="11"/>
                <w:szCs w:val="11"/>
                <w:color w:val="auto"/>
              </w:rPr>
            </w:pPr>
          </w:p>
        </w:tc>
        <w:tc>
          <w:tcPr>
            <w:tcW w:w="1180" w:type="dxa"/>
            <w:vAlign w:val="bottom"/>
            <w:tcBorders>
              <w:right w:val="single" w:sz="8" w:color="auto"/>
            </w:tcBorders>
          </w:tcPr>
          <w:p>
            <w:pPr>
              <w:jc w:val="center"/>
              <w:ind w:right="179"/>
              <w:spacing w:after="0" w:line="135" w:lineRule="exact"/>
              <w:rPr>
                <w:sz w:val="20"/>
                <w:szCs w:val="20"/>
                <w:color w:val="auto"/>
              </w:rPr>
            </w:pPr>
            <w:r>
              <w:rPr>
                <w:rFonts w:ascii="Arial" w:cs="Arial" w:eastAsia="Arial" w:hAnsi="Arial"/>
                <w:sz w:val="13"/>
                <w:szCs w:val="13"/>
                <w:b w:val="1"/>
                <w:bCs w:val="1"/>
                <w:color w:val="auto"/>
                <w:w w:val="89"/>
              </w:rPr>
              <w:t>Fee</w:t>
            </w:r>
          </w:p>
        </w:tc>
        <w:tc>
          <w:tcPr>
            <w:tcW w:w="11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400" w:type="dxa"/>
            <w:vAlign w:val="bottom"/>
            <w:tcBorders>
              <w:right w:val="single" w:sz="8" w:color="auto"/>
            </w:tcBorders>
          </w:tcPr>
          <w:p>
            <w:pPr>
              <w:jc w:val="center"/>
              <w:ind w:left="5"/>
              <w:spacing w:after="0" w:line="135" w:lineRule="exact"/>
              <w:rPr>
                <w:sz w:val="20"/>
                <w:szCs w:val="20"/>
                <w:color w:val="auto"/>
              </w:rPr>
            </w:pPr>
            <w:r>
              <w:rPr>
                <w:rFonts w:ascii="Arial" w:cs="Arial" w:eastAsia="Arial" w:hAnsi="Arial"/>
                <w:sz w:val="13"/>
                <w:szCs w:val="13"/>
                <w:b w:val="1"/>
                <w:bCs w:val="1"/>
                <w:color w:val="auto"/>
                <w:w w:val="87"/>
              </w:rPr>
              <w:t>Aggregate</w:t>
            </w:r>
          </w:p>
        </w:tc>
        <w:tc>
          <w:tcPr>
            <w:tcW w:w="10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3120" w:type="dxa"/>
            <w:vAlign w:val="bottom"/>
            <w:tcBorders>
              <w:right w:val="single" w:sz="8" w:color="auto"/>
            </w:tcBorders>
          </w:tcPr>
          <w:p>
            <w:pPr>
              <w:jc w:val="center"/>
              <w:ind w:left="77"/>
              <w:spacing w:after="0" w:line="135" w:lineRule="exact"/>
              <w:rPr>
                <w:sz w:val="20"/>
                <w:szCs w:val="20"/>
                <w:color w:val="auto"/>
              </w:rPr>
            </w:pPr>
            <w:r>
              <w:rPr>
                <w:rFonts w:ascii="Arial" w:cs="Arial" w:eastAsia="Arial" w:hAnsi="Arial"/>
                <w:sz w:val="13"/>
                <w:szCs w:val="13"/>
                <w:b w:val="1"/>
                <w:bCs w:val="1"/>
                <w:color w:val="auto"/>
                <w:w w:val="80"/>
              </w:rPr>
              <w:t>Class</w:t>
            </w:r>
          </w:p>
        </w:tc>
        <w:tc>
          <w:tcPr>
            <w:tcW w:w="340" w:type="dxa"/>
            <w:vAlign w:val="bottom"/>
          </w:tcPr>
          <w:p>
            <w:pPr>
              <w:spacing w:after="0"/>
              <w:rPr>
                <w:sz w:val="11"/>
                <w:szCs w:val="11"/>
                <w:color w:val="auto"/>
              </w:rPr>
            </w:pPr>
          </w:p>
        </w:tc>
        <w:tc>
          <w:tcPr>
            <w:tcW w:w="1180" w:type="dxa"/>
            <w:vAlign w:val="bottom"/>
            <w:tcBorders>
              <w:right w:val="single" w:sz="8" w:color="auto"/>
            </w:tcBorders>
          </w:tcPr>
          <w:p>
            <w:pPr>
              <w:jc w:val="center"/>
              <w:ind w:right="199"/>
              <w:spacing w:after="0" w:line="135" w:lineRule="exact"/>
              <w:rPr>
                <w:sz w:val="20"/>
                <w:szCs w:val="20"/>
                <w:color w:val="auto"/>
              </w:rPr>
            </w:pPr>
            <w:r>
              <w:rPr>
                <w:rFonts w:ascii="Arial" w:cs="Arial" w:eastAsia="Arial" w:hAnsi="Arial"/>
                <w:sz w:val="13"/>
                <w:szCs w:val="13"/>
                <w:b w:val="1"/>
                <w:bCs w:val="1"/>
                <w:color w:val="auto"/>
                <w:w w:val="88"/>
              </w:rPr>
              <w:t>Calculation</w:t>
            </w:r>
          </w:p>
        </w:tc>
        <w:tc>
          <w:tcPr>
            <w:tcW w:w="1180" w:type="dxa"/>
            <w:vAlign w:val="bottom"/>
            <w:tcBorders>
              <w:right w:val="single" w:sz="8" w:color="auto"/>
            </w:tcBorders>
          </w:tcPr>
          <w:p>
            <w:pPr>
              <w:ind w:left="400"/>
              <w:spacing w:after="0" w:line="135" w:lineRule="exact"/>
              <w:rPr>
                <w:sz w:val="20"/>
                <w:szCs w:val="20"/>
                <w:color w:val="auto"/>
              </w:rPr>
            </w:pPr>
            <w:r>
              <w:rPr>
                <w:rFonts w:ascii="Arial" w:cs="Arial" w:eastAsia="Arial" w:hAnsi="Arial"/>
                <w:sz w:val="13"/>
                <w:szCs w:val="13"/>
                <w:b w:val="1"/>
                <w:bCs w:val="1"/>
                <w:color w:val="auto"/>
              </w:rPr>
              <w:t>Amount</w:t>
            </w:r>
          </w:p>
        </w:tc>
        <w:tc>
          <w:tcPr>
            <w:tcW w:w="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Price Per</w:t>
            </w:r>
          </w:p>
        </w:tc>
        <w:tc>
          <w:tcPr>
            <w:tcW w:w="14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Offering</w:t>
            </w:r>
          </w:p>
        </w:tc>
        <w:tc>
          <w:tcPr>
            <w:tcW w:w="1080" w:type="dxa"/>
            <w:vAlign w:val="bottom"/>
            <w:tcBorders>
              <w:right w:val="single" w:sz="8" w:color="auto"/>
            </w:tcBorders>
          </w:tcPr>
          <w:p>
            <w:pPr>
              <w:jc w:val="center"/>
              <w:ind w:left="1"/>
              <w:spacing w:after="0" w:line="135" w:lineRule="exact"/>
              <w:rPr>
                <w:sz w:val="20"/>
                <w:szCs w:val="20"/>
                <w:color w:val="auto"/>
              </w:rPr>
            </w:pPr>
            <w:r>
              <w:rPr>
                <w:rFonts w:ascii="Arial" w:cs="Arial" w:eastAsia="Arial" w:hAnsi="Arial"/>
                <w:sz w:val="13"/>
                <w:szCs w:val="13"/>
                <w:b w:val="1"/>
                <w:bCs w:val="1"/>
                <w:color w:val="auto"/>
                <w:w w:val="89"/>
              </w:rPr>
              <w:t>Fee</w:t>
            </w:r>
          </w:p>
        </w:tc>
        <w:tc>
          <w:tcPr>
            <w:tcW w:w="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6"/>
              </w:rPr>
              <w:t>Registration</w:t>
            </w:r>
          </w:p>
        </w:tc>
      </w:tr>
      <w:tr>
        <w:trPr>
          <w:trHeight w:val="179"/>
        </w:trPr>
        <w:tc>
          <w:tcPr>
            <w:tcW w:w="980" w:type="dxa"/>
            <w:vAlign w:val="bottom"/>
            <w:tcBorders>
              <w:left w:val="single" w:sz="8" w:color="auto"/>
              <w:bottom w:val="single" w:sz="8" w:color="auto"/>
              <w:right w:val="single" w:sz="8" w:color="auto"/>
            </w:tcBorders>
          </w:tcPr>
          <w:p>
            <w:pPr>
              <w:jc w:val="center"/>
              <w:ind w:left="79"/>
              <w:spacing w:after="0"/>
              <w:rPr>
                <w:sz w:val="20"/>
                <w:szCs w:val="20"/>
                <w:color w:val="auto"/>
              </w:rPr>
            </w:pPr>
            <w:r>
              <w:rPr>
                <w:rFonts w:ascii="Arial" w:cs="Arial" w:eastAsia="Arial" w:hAnsi="Arial"/>
                <w:sz w:val="13"/>
                <w:szCs w:val="13"/>
                <w:b w:val="1"/>
                <w:bCs w:val="1"/>
                <w:color w:val="auto"/>
                <w:w w:val="86"/>
              </w:rPr>
              <w:t>Security Type</w:t>
            </w:r>
          </w:p>
        </w:tc>
        <w:tc>
          <w:tcPr>
            <w:tcW w:w="3120" w:type="dxa"/>
            <w:vAlign w:val="bottom"/>
            <w:tcBorders>
              <w:bottom w:val="single" w:sz="8" w:color="auto"/>
              <w:right w:val="single" w:sz="8" w:color="auto"/>
            </w:tcBorders>
          </w:tcPr>
          <w:p>
            <w:pPr>
              <w:jc w:val="center"/>
              <w:ind w:left="77"/>
              <w:spacing w:after="0"/>
              <w:rPr>
                <w:sz w:val="20"/>
                <w:szCs w:val="20"/>
                <w:color w:val="auto"/>
              </w:rPr>
            </w:pPr>
            <w:r>
              <w:rPr>
                <w:rFonts w:ascii="Arial" w:cs="Arial" w:eastAsia="Arial" w:hAnsi="Arial"/>
                <w:sz w:val="13"/>
                <w:szCs w:val="13"/>
                <w:b w:val="1"/>
                <w:bCs w:val="1"/>
                <w:color w:val="auto"/>
                <w:w w:val="89"/>
              </w:rPr>
              <w:t>Title</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jc w:val="center"/>
              <w:ind w:right="179"/>
              <w:spacing w:after="0"/>
              <w:rPr>
                <w:sz w:val="20"/>
                <w:szCs w:val="20"/>
                <w:color w:val="auto"/>
              </w:rPr>
            </w:pPr>
            <w:r>
              <w:rPr>
                <w:rFonts w:ascii="Arial" w:cs="Arial" w:eastAsia="Arial" w:hAnsi="Arial"/>
                <w:sz w:val="13"/>
                <w:szCs w:val="13"/>
                <w:b w:val="1"/>
                <w:bCs w:val="1"/>
                <w:color w:val="auto"/>
                <w:w w:val="85"/>
              </w:rPr>
              <w:t>Rule</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Registered(1)</w:t>
            </w:r>
          </w:p>
        </w:tc>
        <w:tc>
          <w:tcPr>
            <w:tcW w:w="7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3"/>
                <w:szCs w:val="13"/>
                <w:b w:val="1"/>
                <w:bCs w:val="1"/>
                <w:color w:val="auto"/>
                <w:w w:val="88"/>
              </w:rPr>
              <w:t>Share</w:t>
            </w:r>
          </w:p>
        </w:tc>
        <w:tc>
          <w:tcPr>
            <w:tcW w:w="14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3"/>
                <w:szCs w:val="13"/>
                <w:b w:val="1"/>
                <w:bCs w:val="1"/>
                <w:color w:val="auto"/>
                <w:w w:val="87"/>
              </w:rPr>
              <w:t>Price</w:t>
            </w:r>
          </w:p>
        </w:tc>
        <w:tc>
          <w:tcPr>
            <w:tcW w:w="10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3"/>
                <w:szCs w:val="13"/>
                <w:b w:val="1"/>
                <w:bCs w:val="1"/>
                <w:color w:val="auto"/>
                <w:w w:val="85"/>
              </w:rPr>
              <w:t>Rate</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Fee</w:t>
            </w:r>
          </w:p>
        </w:tc>
      </w:tr>
      <w:tr>
        <w:trPr>
          <w:trHeight w:val="210"/>
        </w:trPr>
        <w:tc>
          <w:tcPr>
            <w:tcW w:w="980" w:type="dxa"/>
            <w:vAlign w:val="bottom"/>
            <w:tcBorders>
              <w:left w:val="single" w:sz="8" w:color="auto"/>
              <w:right w:val="single" w:sz="8" w:color="auto"/>
            </w:tcBorders>
          </w:tcPr>
          <w:p>
            <w:pPr>
              <w:spacing w:after="0"/>
              <w:rPr>
                <w:sz w:val="18"/>
                <w:szCs w:val="18"/>
                <w:color w:val="auto"/>
              </w:rPr>
            </w:pPr>
          </w:p>
        </w:tc>
        <w:tc>
          <w:tcPr>
            <w:tcW w:w="3120" w:type="dxa"/>
            <w:vAlign w:val="bottom"/>
            <w:tcBorders>
              <w:right w:val="single" w:sz="8" w:color="auto"/>
            </w:tcBorders>
          </w:tcPr>
          <w:p>
            <w:pPr>
              <w:jc w:val="center"/>
              <w:ind w:left="97"/>
              <w:spacing w:after="0"/>
              <w:rPr>
                <w:sz w:val="20"/>
                <w:szCs w:val="20"/>
                <w:color w:val="auto"/>
              </w:rPr>
            </w:pPr>
            <w:r>
              <w:rPr>
                <w:rFonts w:ascii="Arial" w:cs="Arial" w:eastAsia="Arial" w:hAnsi="Arial"/>
                <w:sz w:val="18"/>
                <w:szCs w:val="18"/>
                <w:color w:val="auto"/>
                <w:w w:val="90"/>
              </w:rPr>
              <w:t>2021 Stock Option and Incentive Plan</w:t>
            </w:r>
          </w:p>
        </w:tc>
        <w:tc>
          <w:tcPr>
            <w:tcW w:w="340" w:type="dxa"/>
            <w:vAlign w:val="bottom"/>
          </w:tcPr>
          <w:p>
            <w:pPr>
              <w:spacing w:after="0"/>
              <w:rPr>
                <w:sz w:val="18"/>
                <w:szCs w:val="18"/>
                <w:color w:val="auto"/>
              </w:rPr>
            </w:pPr>
          </w:p>
        </w:tc>
        <w:tc>
          <w:tcPr>
            <w:tcW w:w="1180" w:type="dxa"/>
            <w:vAlign w:val="bottom"/>
            <w:tcBorders>
              <w:right w:val="single" w:sz="8" w:color="auto"/>
            </w:tcBorders>
          </w:tcPr>
          <w:p>
            <w:pPr>
              <w:jc w:val="center"/>
              <w:ind w:right="199"/>
              <w:spacing w:after="0"/>
              <w:rPr>
                <w:sz w:val="20"/>
                <w:szCs w:val="20"/>
                <w:color w:val="auto"/>
              </w:rPr>
            </w:pPr>
            <w:r>
              <w:rPr>
                <w:rFonts w:ascii="Arial" w:cs="Arial" w:eastAsia="Arial" w:hAnsi="Arial"/>
                <w:sz w:val="18"/>
                <w:szCs w:val="18"/>
                <w:color w:val="auto"/>
                <w:w w:val="92"/>
              </w:rPr>
              <w:t>Rule 457(c)</w:t>
            </w:r>
          </w:p>
        </w:tc>
        <w:tc>
          <w:tcPr>
            <w:tcW w:w="11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95"/>
              </w:rPr>
              <w:t>Equity</w:t>
            </w:r>
          </w:p>
        </w:tc>
        <w:tc>
          <w:tcPr>
            <w:tcW w:w="3120" w:type="dxa"/>
            <w:vAlign w:val="bottom"/>
            <w:tcBorders>
              <w:right w:val="single" w:sz="8" w:color="auto"/>
            </w:tcBorders>
          </w:tcPr>
          <w:p>
            <w:pPr>
              <w:jc w:val="center"/>
              <w:ind w:left="77"/>
              <w:spacing w:after="0"/>
              <w:rPr>
                <w:sz w:val="20"/>
                <w:szCs w:val="20"/>
                <w:color w:val="auto"/>
              </w:rPr>
            </w:pPr>
            <w:r>
              <w:rPr>
                <w:rFonts w:ascii="Arial" w:cs="Arial" w:eastAsia="Arial" w:hAnsi="Arial"/>
                <w:sz w:val="18"/>
                <w:szCs w:val="18"/>
                <w:color w:val="auto"/>
                <w:w w:val="89"/>
              </w:rPr>
              <w:t>Common Stock, $0.001 par value per</w:t>
            </w:r>
          </w:p>
        </w:tc>
        <w:tc>
          <w:tcPr>
            <w:tcW w:w="340" w:type="dxa"/>
            <w:vAlign w:val="bottom"/>
          </w:tcPr>
          <w:p>
            <w:pPr>
              <w:spacing w:after="0"/>
              <w:rPr>
                <w:sz w:val="18"/>
                <w:szCs w:val="18"/>
                <w:color w:val="auto"/>
              </w:rPr>
            </w:pPr>
          </w:p>
        </w:tc>
        <w:tc>
          <w:tcPr>
            <w:tcW w:w="1180" w:type="dxa"/>
            <w:vAlign w:val="bottom"/>
            <w:tcBorders>
              <w:right w:val="single" w:sz="8" w:color="auto"/>
            </w:tcBorders>
          </w:tcPr>
          <w:p>
            <w:pPr>
              <w:jc w:val="center"/>
              <w:ind w:right="179"/>
              <w:spacing w:after="0"/>
              <w:rPr>
                <w:sz w:val="20"/>
                <w:szCs w:val="20"/>
                <w:color w:val="auto"/>
              </w:rPr>
            </w:pPr>
            <w:r>
              <w:rPr>
                <w:rFonts w:ascii="Arial" w:cs="Arial" w:eastAsia="Arial" w:hAnsi="Arial"/>
                <w:sz w:val="18"/>
                <w:szCs w:val="18"/>
                <w:color w:val="auto"/>
                <w:w w:val="88"/>
              </w:rPr>
              <w:t>and Rule</w:t>
            </w:r>
          </w:p>
        </w:tc>
        <w:tc>
          <w:tcPr>
            <w:tcW w:w="1180" w:type="dxa"/>
            <w:vAlign w:val="bottom"/>
            <w:tcBorders>
              <w:right w:val="single" w:sz="8" w:color="auto"/>
            </w:tcBorders>
          </w:tcPr>
          <w:p>
            <w:pPr>
              <w:jc w:val="center"/>
              <w:ind w:left="4"/>
              <w:spacing w:after="0"/>
              <w:rPr>
                <w:sz w:val="20"/>
                <w:szCs w:val="20"/>
                <w:color w:val="auto"/>
              </w:rPr>
            </w:pPr>
            <w:r>
              <w:rPr>
                <w:rFonts w:ascii="Arial" w:cs="Arial" w:eastAsia="Arial" w:hAnsi="Arial"/>
                <w:sz w:val="18"/>
                <w:szCs w:val="18"/>
                <w:color w:val="auto"/>
                <w:w w:val="92"/>
              </w:rPr>
              <w:t>4,377,321(2)</w:t>
            </w:r>
          </w:p>
        </w:tc>
        <w:tc>
          <w:tcPr>
            <w:tcW w:w="760" w:type="dxa"/>
            <w:vAlign w:val="bottom"/>
            <w:tcBorders>
              <w:right w:val="single" w:sz="8" w:color="auto"/>
            </w:tcBorders>
          </w:tcPr>
          <w:p>
            <w:pPr>
              <w:jc w:val="center"/>
              <w:ind w:left="9"/>
              <w:spacing w:after="0"/>
              <w:rPr>
                <w:sz w:val="20"/>
                <w:szCs w:val="20"/>
                <w:color w:val="auto"/>
              </w:rPr>
            </w:pPr>
            <w:r>
              <w:rPr>
                <w:rFonts w:ascii="Arial" w:cs="Arial" w:eastAsia="Arial" w:hAnsi="Arial"/>
                <w:sz w:val="18"/>
                <w:szCs w:val="18"/>
                <w:color w:val="auto"/>
                <w:w w:val="89"/>
              </w:rPr>
              <w:t>$7.50(3)</w:t>
            </w:r>
          </w:p>
        </w:tc>
        <w:tc>
          <w:tcPr>
            <w:tcW w:w="1400" w:type="dxa"/>
            <w:vAlign w:val="bottom"/>
            <w:tcBorders>
              <w:right w:val="single" w:sz="8" w:color="auto"/>
            </w:tcBorders>
          </w:tcPr>
          <w:p>
            <w:pPr>
              <w:jc w:val="center"/>
              <w:ind w:left="5"/>
              <w:spacing w:after="0"/>
              <w:rPr>
                <w:sz w:val="20"/>
                <w:szCs w:val="20"/>
                <w:color w:val="auto"/>
              </w:rPr>
            </w:pPr>
            <w:r>
              <w:rPr>
                <w:rFonts w:ascii="Arial" w:cs="Arial" w:eastAsia="Arial" w:hAnsi="Arial"/>
                <w:sz w:val="18"/>
                <w:szCs w:val="18"/>
                <w:color w:val="auto"/>
                <w:w w:val="89"/>
              </w:rPr>
              <w:t>$32,829,907.50</w:t>
            </w:r>
          </w:p>
        </w:tc>
        <w:tc>
          <w:tcPr>
            <w:tcW w:w="1080" w:type="dxa"/>
            <w:vAlign w:val="bottom"/>
            <w:tcBorders>
              <w:right w:val="single" w:sz="8" w:color="auto"/>
            </w:tcBorders>
          </w:tcPr>
          <w:p>
            <w:pPr>
              <w:jc w:val="center"/>
              <w:ind w:left="1"/>
              <w:spacing w:after="0"/>
              <w:rPr>
                <w:sz w:val="20"/>
                <w:szCs w:val="20"/>
                <w:color w:val="auto"/>
              </w:rPr>
            </w:pPr>
            <w:r>
              <w:rPr>
                <w:rFonts w:ascii="Arial" w:cs="Arial" w:eastAsia="Arial" w:hAnsi="Arial"/>
                <w:sz w:val="18"/>
                <w:szCs w:val="18"/>
                <w:color w:val="auto"/>
                <w:w w:val="88"/>
              </w:rPr>
              <w:t>$0.0000927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$3,043.34</w:t>
            </w:r>
          </w:p>
        </w:tc>
      </w:tr>
      <w:tr>
        <w:trPr>
          <w:trHeight w:val="230"/>
        </w:trPr>
        <w:tc>
          <w:tcPr>
            <w:tcW w:w="980" w:type="dxa"/>
            <w:vAlign w:val="bottom"/>
            <w:tcBorders>
              <w:left w:val="single" w:sz="8" w:color="auto"/>
              <w:right w:val="single" w:sz="8" w:color="auto"/>
            </w:tcBorders>
          </w:tcPr>
          <w:p>
            <w:pPr>
              <w:spacing w:after="0"/>
              <w:rPr>
                <w:sz w:val="20"/>
                <w:szCs w:val="20"/>
                <w:color w:val="auto"/>
              </w:rPr>
            </w:pPr>
          </w:p>
        </w:tc>
        <w:tc>
          <w:tcPr>
            <w:tcW w:w="3120" w:type="dxa"/>
            <w:vAlign w:val="bottom"/>
            <w:tcBorders>
              <w:right w:val="single" w:sz="8" w:color="auto"/>
            </w:tcBorders>
          </w:tcPr>
          <w:p>
            <w:pPr>
              <w:jc w:val="center"/>
              <w:ind w:left="97"/>
              <w:spacing w:after="0"/>
              <w:rPr>
                <w:sz w:val="20"/>
                <w:szCs w:val="20"/>
                <w:color w:val="auto"/>
              </w:rPr>
            </w:pPr>
            <w:r>
              <w:rPr>
                <w:rFonts w:ascii="Arial" w:cs="Arial" w:eastAsia="Arial" w:hAnsi="Arial"/>
                <w:sz w:val="18"/>
                <w:szCs w:val="18"/>
                <w:color w:val="auto"/>
                <w:w w:val="84"/>
              </w:rPr>
              <w:t>share</w:t>
            </w:r>
          </w:p>
        </w:tc>
        <w:tc>
          <w:tcPr>
            <w:tcW w:w="340" w:type="dxa"/>
            <w:vAlign w:val="bottom"/>
          </w:tcPr>
          <w:p>
            <w:pPr>
              <w:spacing w:after="0"/>
              <w:rPr>
                <w:sz w:val="20"/>
                <w:szCs w:val="20"/>
                <w:color w:val="auto"/>
              </w:rPr>
            </w:pPr>
          </w:p>
        </w:tc>
        <w:tc>
          <w:tcPr>
            <w:tcW w:w="1180" w:type="dxa"/>
            <w:vAlign w:val="bottom"/>
            <w:tcBorders>
              <w:right w:val="single" w:sz="8" w:color="auto"/>
            </w:tcBorders>
          </w:tcPr>
          <w:p>
            <w:pPr>
              <w:jc w:val="center"/>
              <w:ind w:right="179"/>
              <w:spacing w:after="0"/>
              <w:rPr>
                <w:sz w:val="20"/>
                <w:szCs w:val="20"/>
                <w:color w:val="auto"/>
              </w:rPr>
            </w:pPr>
            <w:r>
              <w:rPr>
                <w:rFonts w:ascii="Arial" w:cs="Arial" w:eastAsia="Arial" w:hAnsi="Arial"/>
                <w:sz w:val="18"/>
                <w:szCs w:val="18"/>
                <w:color w:val="auto"/>
                <w:w w:val="91"/>
              </w:rPr>
              <w:t>457(h)(1)</w:t>
            </w:r>
          </w:p>
        </w:tc>
        <w:tc>
          <w:tcPr>
            <w:tcW w:w="118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09"/>
        </w:trPr>
        <w:tc>
          <w:tcPr>
            <w:tcW w:w="980" w:type="dxa"/>
            <w:vAlign w:val="bottom"/>
            <w:tcBorders>
              <w:left w:val="single" w:sz="8" w:color="auto"/>
              <w:right w:val="single" w:sz="8" w:color="auto"/>
            </w:tcBorders>
          </w:tcPr>
          <w:p>
            <w:pPr>
              <w:spacing w:after="0"/>
              <w:rPr>
                <w:sz w:val="18"/>
                <w:szCs w:val="18"/>
                <w:color w:val="auto"/>
              </w:rPr>
            </w:pPr>
          </w:p>
        </w:tc>
        <w:tc>
          <w:tcPr>
            <w:tcW w:w="3120" w:type="dxa"/>
            <w:vAlign w:val="bottom"/>
            <w:tcBorders>
              <w:right w:val="single" w:sz="8" w:color="auto"/>
            </w:tcBorders>
          </w:tcPr>
          <w:p>
            <w:pPr>
              <w:jc w:val="center"/>
              <w:ind w:left="77"/>
              <w:spacing w:after="0"/>
              <w:rPr>
                <w:sz w:val="20"/>
                <w:szCs w:val="20"/>
                <w:color w:val="auto"/>
              </w:rPr>
            </w:pPr>
            <w:r>
              <w:rPr>
                <w:rFonts w:ascii="Arial" w:cs="Arial" w:eastAsia="Arial" w:hAnsi="Arial"/>
                <w:sz w:val="18"/>
                <w:szCs w:val="18"/>
                <w:color w:val="auto"/>
                <w:w w:val="88"/>
              </w:rPr>
              <w:t>2021 Employee Stock Purchase Plan</w:t>
            </w:r>
          </w:p>
        </w:tc>
        <w:tc>
          <w:tcPr>
            <w:tcW w:w="340" w:type="dxa"/>
            <w:vAlign w:val="bottom"/>
          </w:tcPr>
          <w:p>
            <w:pPr>
              <w:spacing w:after="0"/>
              <w:rPr>
                <w:sz w:val="18"/>
                <w:szCs w:val="18"/>
                <w:color w:val="auto"/>
              </w:rPr>
            </w:pPr>
          </w:p>
        </w:tc>
        <w:tc>
          <w:tcPr>
            <w:tcW w:w="1180" w:type="dxa"/>
            <w:vAlign w:val="bottom"/>
            <w:tcBorders>
              <w:right w:val="single" w:sz="8" w:color="auto"/>
            </w:tcBorders>
          </w:tcPr>
          <w:p>
            <w:pPr>
              <w:jc w:val="center"/>
              <w:ind w:right="199"/>
              <w:spacing w:after="0"/>
              <w:rPr>
                <w:sz w:val="20"/>
                <w:szCs w:val="20"/>
                <w:color w:val="auto"/>
              </w:rPr>
            </w:pPr>
            <w:r>
              <w:rPr>
                <w:rFonts w:ascii="Arial" w:cs="Arial" w:eastAsia="Arial" w:hAnsi="Arial"/>
                <w:sz w:val="18"/>
                <w:szCs w:val="18"/>
                <w:color w:val="auto"/>
                <w:w w:val="92"/>
              </w:rPr>
              <w:t>Rule 457(c)</w:t>
            </w:r>
          </w:p>
        </w:tc>
        <w:tc>
          <w:tcPr>
            <w:tcW w:w="118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16"/>
        </w:trPr>
        <w:tc>
          <w:tcPr>
            <w:tcW w:w="980" w:type="dxa"/>
            <w:vAlign w:val="bottom"/>
            <w:tcBorders>
              <w:left w:val="single" w:sz="8" w:color="auto"/>
              <w:right w:val="single" w:sz="8" w:color="auto"/>
            </w:tcBorders>
          </w:tcPr>
          <w:p>
            <w:pPr>
              <w:jc w:val="center"/>
              <w:ind w:left="59"/>
              <w:spacing w:after="0"/>
              <w:rPr>
                <w:sz w:val="20"/>
                <w:szCs w:val="20"/>
                <w:color w:val="auto"/>
              </w:rPr>
            </w:pPr>
            <w:r>
              <w:rPr>
                <w:rFonts w:ascii="Arial" w:cs="Arial" w:eastAsia="Arial" w:hAnsi="Arial"/>
                <w:sz w:val="18"/>
                <w:szCs w:val="18"/>
                <w:color w:val="auto"/>
                <w:w w:val="95"/>
              </w:rPr>
              <w:t>Equity</w:t>
            </w:r>
          </w:p>
        </w:tc>
        <w:tc>
          <w:tcPr>
            <w:tcW w:w="3120" w:type="dxa"/>
            <w:vAlign w:val="bottom"/>
            <w:tcBorders>
              <w:right w:val="single" w:sz="8" w:color="auto"/>
            </w:tcBorders>
          </w:tcPr>
          <w:p>
            <w:pPr>
              <w:jc w:val="center"/>
              <w:ind w:left="77"/>
              <w:spacing w:after="0"/>
              <w:rPr>
                <w:sz w:val="20"/>
                <w:szCs w:val="20"/>
                <w:color w:val="auto"/>
              </w:rPr>
            </w:pPr>
            <w:r>
              <w:rPr>
                <w:rFonts w:ascii="Arial" w:cs="Arial" w:eastAsia="Arial" w:hAnsi="Arial"/>
                <w:sz w:val="18"/>
                <w:szCs w:val="18"/>
                <w:color w:val="auto"/>
                <w:w w:val="89"/>
              </w:rPr>
              <w:t>Common Stock, $0.001 par value per</w:t>
            </w:r>
          </w:p>
        </w:tc>
        <w:tc>
          <w:tcPr>
            <w:tcW w:w="340" w:type="dxa"/>
            <w:vAlign w:val="bottom"/>
          </w:tcPr>
          <w:p>
            <w:pPr>
              <w:spacing w:after="0"/>
              <w:rPr>
                <w:sz w:val="18"/>
                <w:szCs w:val="18"/>
                <w:color w:val="auto"/>
              </w:rPr>
            </w:pPr>
          </w:p>
        </w:tc>
        <w:tc>
          <w:tcPr>
            <w:tcW w:w="1180" w:type="dxa"/>
            <w:vAlign w:val="bottom"/>
            <w:tcBorders>
              <w:right w:val="single" w:sz="8" w:color="auto"/>
            </w:tcBorders>
          </w:tcPr>
          <w:p>
            <w:pPr>
              <w:jc w:val="center"/>
              <w:ind w:right="179"/>
              <w:spacing w:after="0"/>
              <w:rPr>
                <w:sz w:val="20"/>
                <w:szCs w:val="20"/>
                <w:color w:val="auto"/>
              </w:rPr>
            </w:pPr>
            <w:r>
              <w:rPr>
                <w:rFonts w:ascii="Arial" w:cs="Arial" w:eastAsia="Arial" w:hAnsi="Arial"/>
                <w:sz w:val="18"/>
                <w:szCs w:val="18"/>
                <w:color w:val="auto"/>
                <w:w w:val="88"/>
              </w:rPr>
              <w:t>and Rule</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875,464(4)</w:t>
            </w:r>
          </w:p>
        </w:tc>
        <w:tc>
          <w:tcPr>
            <w:tcW w:w="760" w:type="dxa"/>
            <w:vAlign w:val="bottom"/>
            <w:tcBorders>
              <w:right w:val="single" w:sz="8" w:color="auto"/>
            </w:tcBorders>
          </w:tcPr>
          <w:p>
            <w:pPr>
              <w:jc w:val="center"/>
              <w:ind w:left="9"/>
              <w:spacing w:after="0"/>
              <w:rPr>
                <w:sz w:val="20"/>
                <w:szCs w:val="20"/>
                <w:color w:val="auto"/>
              </w:rPr>
            </w:pPr>
            <w:r>
              <w:rPr>
                <w:rFonts w:ascii="Arial" w:cs="Arial" w:eastAsia="Arial" w:hAnsi="Arial"/>
                <w:sz w:val="18"/>
                <w:szCs w:val="18"/>
                <w:color w:val="auto"/>
                <w:w w:val="89"/>
              </w:rPr>
              <w:t>$6.38(5)</w:t>
            </w:r>
          </w:p>
        </w:tc>
        <w:tc>
          <w:tcPr>
            <w:tcW w:w="1400" w:type="dxa"/>
            <w:vAlign w:val="bottom"/>
            <w:tcBorders>
              <w:right w:val="single" w:sz="8" w:color="auto"/>
            </w:tcBorders>
          </w:tcPr>
          <w:p>
            <w:pPr>
              <w:jc w:val="center"/>
              <w:ind w:left="5"/>
              <w:spacing w:after="0"/>
              <w:rPr>
                <w:sz w:val="20"/>
                <w:szCs w:val="20"/>
                <w:color w:val="auto"/>
              </w:rPr>
            </w:pPr>
            <w:r>
              <w:rPr>
                <w:rFonts w:ascii="Arial" w:cs="Arial" w:eastAsia="Arial" w:hAnsi="Arial"/>
                <w:sz w:val="18"/>
                <w:szCs w:val="18"/>
                <w:color w:val="auto"/>
                <w:w w:val="90"/>
              </w:rPr>
              <w:t>$5,585,460.32</w:t>
            </w:r>
          </w:p>
        </w:tc>
        <w:tc>
          <w:tcPr>
            <w:tcW w:w="1080" w:type="dxa"/>
            <w:vAlign w:val="bottom"/>
            <w:tcBorders>
              <w:right w:val="single" w:sz="8" w:color="auto"/>
            </w:tcBorders>
          </w:tcPr>
          <w:p>
            <w:pPr>
              <w:jc w:val="center"/>
              <w:ind w:left="1"/>
              <w:spacing w:after="0"/>
              <w:rPr>
                <w:sz w:val="20"/>
                <w:szCs w:val="20"/>
                <w:color w:val="auto"/>
              </w:rPr>
            </w:pPr>
            <w:r>
              <w:rPr>
                <w:rFonts w:ascii="Arial" w:cs="Arial" w:eastAsia="Arial" w:hAnsi="Arial"/>
                <w:sz w:val="18"/>
                <w:szCs w:val="18"/>
                <w:color w:val="auto"/>
                <w:w w:val="88"/>
              </w:rPr>
              <w:t>$0.0000927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$517.78</w:t>
            </w:r>
          </w:p>
        </w:tc>
      </w:tr>
      <w:tr>
        <w:trPr>
          <w:trHeight w:val="230"/>
        </w:trPr>
        <w:tc>
          <w:tcPr>
            <w:tcW w:w="980" w:type="dxa"/>
            <w:vAlign w:val="bottom"/>
            <w:tcBorders>
              <w:left w:val="single" w:sz="8" w:color="auto"/>
              <w:right w:val="single" w:sz="8" w:color="auto"/>
            </w:tcBorders>
          </w:tcPr>
          <w:p>
            <w:pPr>
              <w:spacing w:after="0"/>
              <w:rPr>
                <w:sz w:val="20"/>
                <w:szCs w:val="20"/>
                <w:color w:val="auto"/>
              </w:rPr>
            </w:pPr>
          </w:p>
        </w:tc>
        <w:tc>
          <w:tcPr>
            <w:tcW w:w="3120" w:type="dxa"/>
            <w:vAlign w:val="bottom"/>
            <w:tcBorders>
              <w:right w:val="single" w:sz="8" w:color="auto"/>
            </w:tcBorders>
          </w:tcPr>
          <w:p>
            <w:pPr>
              <w:jc w:val="center"/>
              <w:ind w:left="97"/>
              <w:spacing w:after="0"/>
              <w:rPr>
                <w:sz w:val="20"/>
                <w:szCs w:val="20"/>
                <w:color w:val="auto"/>
              </w:rPr>
            </w:pPr>
            <w:r>
              <w:rPr>
                <w:rFonts w:ascii="Arial" w:cs="Arial" w:eastAsia="Arial" w:hAnsi="Arial"/>
                <w:sz w:val="18"/>
                <w:szCs w:val="18"/>
                <w:color w:val="auto"/>
                <w:w w:val="84"/>
              </w:rPr>
              <w:t>share</w:t>
            </w:r>
          </w:p>
        </w:tc>
        <w:tc>
          <w:tcPr>
            <w:tcW w:w="340" w:type="dxa"/>
            <w:vAlign w:val="bottom"/>
          </w:tcPr>
          <w:p>
            <w:pPr>
              <w:spacing w:after="0"/>
              <w:rPr>
                <w:sz w:val="20"/>
                <w:szCs w:val="20"/>
                <w:color w:val="auto"/>
              </w:rPr>
            </w:pPr>
          </w:p>
        </w:tc>
        <w:tc>
          <w:tcPr>
            <w:tcW w:w="1180" w:type="dxa"/>
            <w:vAlign w:val="bottom"/>
            <w:tcBorders>
              <w:right w:val="single" w:sz="8" w:color="auto"/>
            </w:tcBorders>
          </w:tcPr>
          <w:p>
            <w:pPr>
              <w:jc w:val="center"/>
              <w:ind w:right="179"/>
              <w:spacing w:after="0"/>
              <w:rPr>
                <w:sz w:val="20"/>
                <w:szCs w:val="20"/>
                <w:color w:val="auto"/>
              </w:rPr>
            </w:pPr>
            <w:r>
              <w:rPr>
                <w:rFonts w:ascii="Arial" w:cs="Arial" w:eastAsia="Arial" w:hAnsi="Arial"/>
                <w:sz w:val="18"/>
                <w:szCs w:val="18"/>
                <w:color w:val="auto"/>
                <w:w w:val="91"/>
              </w:rPr>
              <w:t>457(h)(1)</w:t>
            </w:r>
          </w:p>
        </w:tc>
        <w:tc>
          <w:tcPr>
            <w:tcW w:w="118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r>
      <w:tr>
        <w:trPr>
          <w:trHeight w:val="27"/>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32"/>
        </w:trPr>
        <w:tc>
          <w:tcPr>
            <w:tcW w:w="980" w:type="dxa"/>
            <w:vAlign w:val="bottom"/>
            <w:tcBorders>
              <w:left w:val="single" w:sz="8" w:color="auto"/>
              <w:bottom w:val="single" w:sz="8" w:color="auto"/>
            </w:tcBorders>
          </w:tcPr>
          <w:p>
            <w:pPr>
              <w:spacing w:after="0"/>
              <w:rPr>
                <w:sz w:val="20"/>
                <w:szCs w:val="20"/>
                <w:color w:val="auto"/>
              </w:rPr>
            </w:pPr>
          </w:p>
        </w:tc>
        <w:tc>
          <w:tcPr>
            <w:tcW w:w="3460" w:type="dxa"/>
            <w:vAlign w:val="bottom"/>
            <w:tcBorders>
              <w:bottom w:val="single" w:sz="8" w:color="auto"/>
            </w:tcBorders>
            <w:gridSpan w:val="2"/>
          </w:tcPr>
          <w:p>
            <w:pPr>
              <w:jc w:val="center"/>
              <w:ind w:left="1437"/>
              <w:spacing w:after="0"/>
              <w:rPr>
                <w:sz w:val="20"/>
                <w:szCs w:val="20"/>
                <w:color w:val="auto"/>
              </w:rPr>
            </w:pPr>
            <w:r>
              <w:rPr>
                <w:rFonts w:ascii="Arial" w:cs="Arial" w:eastAsia="Arial" w:hAnsi="Arial"/>
                <w:sz w:val="18"/>
                <w:szCs w:val="18"/>
                <w:b w:val="1"/>
                <w:bCs w:val="1"/>
                <w:color w:val="auto"/>
                <w:w w:val="92"/>
              </w:rPr>
              <w:t>Total Offering Amounts</w:t>
            </w:r>
          </w:p>
        </w:tc>
        <w:tc>
          <w:tcPr>
            <w:tcW w:w="11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9"/>
              </w:rPr>
              <w:t>$38,415,367.82</w:t>
            </w:r>
          </w:p>
        </w:tc>
        <w:tc>
          <w:tcPr>
            <w:tcW w:w="10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37"/>
        </w:trPr>
        <w:tc>
          <w:tcPr>
            <w:tcW w:w="980" w:type="dxa"/>
            <w:vAlign w:val="bottom"/>
            <w:tcBorders>
              <w:left w:val="single" w:sz="8" w:color="auto"/>
              <w:bottom w:val="single" w:sz="8" w:color="auto"/>
            </w:tcBorders>
          </w:tcPr>
          <w:p>
            <w:pPr>
              <w:spacing w:after="0"/>
              <w:rPr>
                <w:sz w:val="20"/>
                <w:szCs w:val="20"/>
                <w:color w:val="auto"/>
              </w:rPr>
            </w:pPr>
          </w:p>
        </w:tc>
        <w:tc>
          <w:tcPr>
            <w:tcW w:w="3460" w:type="dxa"/>
            <w:vAlign w:val="bottom"/>
            <w:tcBorders>
              <w:bottom w:val="single" w:sz="8" w:color="auto"/>
            </w:tcBorders>
            <w:gridSpan w:val="2"/>
          </w:tcPr>
          <w:p>
            <w:pPr>
              <w:jc w:val="center"/>
              <w:ind w:left="1437"/>
              <w:spacing w:after="0"/>
              <w:rPr>
                <w:sz w:val="20"/>
                <w:szCs w:val="20"/>
                <w:color w:val="auto"/>
              </w:rPr>
            </w:pPr>
            <w:r>
              <w:rPr>
                <w:rFonts w:ascii="Arial" w:cs="Arial" w:eastAsia="Arial" w:hAnsi="Arial"/>
                <w:sz w:val="18"/>
                <w:szCs w:val="18"/>
                <w:b w:val="1"/>
                <w:bCs w:val="1"/>
                <w:color w:val="auto"/>
                <w:w w:val="88"/>
              </w:rPr>
              <w:t>Total Fee Offsets</w:t>
            </w:r>
          </w:p>
        </w:tc>
        <w:tc>
          <w:tcPr>
            <w:tcW w:w="11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ind w:left="2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980" w:type="dxa"/>
            <w:vAlign w:val="bottom"/>
            <w:tcBorders>
              <w:left w:val="single" w:sz="8" w:color="auto"/>
              <w:bottom w:val="single" w:sz="8" w:color="auto"/>
            </w:tcBorders>
          </w:tcPr>
          <w:p>
            <w:pPr>
              <w:spacing w:after="0"/>
              <w:rPr>
                <w:sz w:val="20"/>
                <w:szCs w:val="20"/>
                <w:color w:val="auto"/>
              </w:rPr>
            </w:pPr>
          </w:p>
        </w:tc>
        <w:tc>
          <w:tcPr>
            <w:tcW w:w="3460" w:type="dxa"/>
            <w:vAlign w:val="bottom"/>
            <w:tcBorders>
              <w:bottom w:val="single" w:sz="8" w:color="auto"/>
            </w:tcBorders>
            <w:gridSpan w:val="2"/>
          </w:tcPr>
          <w:p>
            <w:pPr>
              <w:jc w:val="center"/>
              <w:ind w:left="1437"/>
              <w:spacing w:after="0"/>
              <w:rPr>
                <w:sz w:val="20"/>
                <w:szCs w:val="20"/>
                <w:color w:val="auto"/>
              </w:rPr>
            </w:pPr>
            <w:r>
              <w:rPr>
                <w:rFonts w:ascii="Arial" w:cs="Arial" w:eastAsia="Arial" w:hAnsi="Arial"/>
                <w:sz w:val="18"/>
                <w:szCs w:val="18"/>
                <w:b w:val="1"/>
                <w:bCs w:val="1"/>
                <w:color w:val="auto"/>
                <w:w w:val="90"/>
              </w:rPr>
              <w:t>Net Fee Due</w:t>
            </w:r>
          </w:p>
        </w:tc>
        <w:tc>
          <w:tcPr>
            <w:tcW w:w="118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$3,561.12</w:t>
            </w:r>
          </w:p>
        </w:tc>
      </w:tr>
    </w:tbl>
    <w:p>
      <w:pPr>
        <w:spacing w:after="0" w:line="229" w:lineRule="exact"/>
        <w:rPr>
          <w:sz w:val="20"/>
          <w:szCs w:val="20"/>
          <w:color w:val="auto"/>
        </w:rPr>
      </w:pPr>
    </w:p>
    <w:p>
      <w:pPr>
        <w:ind w:left="424" w:right="60" w:hanging="424"/>
        <w:spacing w:after="0" w:line="252"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also cover any additional shares of common stock, $0.001 par value per share (the “common stock”), of Tango Therapeutics, Inc. (the “Registrant”) which become issuable under the Tango Therapeutics, Inc. 2021 Stock Option and Incentive Plan (the “2021 Plan”) or the Tango Therapeutics, Inc. 2021 Employee Stock Purchase Plan (the “2021 ESPP”) by reason of any stock dividend, stock split, recapitalization or any other similar transaction effected without the receipt of consideration which results in an increase in the number of our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5"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of 4,377,321 shares of common stock to the number of shares available for issuance under the 2021 Plan effective as of January 1, 2022. Shares available for issuance under the 2021 Plan were previously registered on Form S-8 filed with the Securities and Exchange Commission on October 14, 2021 (File No. 333-260258).</w:t>
      </w:r>
    </w:p>
    <w:p>
      <w:pPr>
        <w:spacing w:after="0" w:line="1" w:lineRule="exact"/>
        <w:rPr>
          <w:rFonts w:ascii="Arial" w:cs="Arial" w:eastAsia="Arial" w:hAnsi="Arial"/>
          <w:sz w:val="18"/>
          <w:szCs w:val="18"/>
          <w:color w:val="auto"/>
        </w:rPr>
      </w:pPr>
    </w:p>
    <w:p>
      <w:pPr>
        <w:ind w:left="424" w:right="2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and (h)(1) of the Securities Act, and based on $7.50, the average of the high and low sale prices of the Registrant’s common stock as reported on the Nasdaq Global Market on March 24, 2022.</w:t>
      </w:r>
    </w:p>
    <w:p>
      <w:pPr>
        <w:spacing w:after="0" w:line="1" w:lineRule="exact"/>
        <w:rPr>
          <w:rFonts w:ascii="Arial" w:cs="Arial" w:eastAsia="Arial" w:hAnsi="Arial"/>
          <w:sz w:val="16"/>
          <w:szCs w:val="16"/>
          <w:color w:val="auto"/>
        </w:rPr>
      </w:pPr>
    </w:p>
    <w:p>
      <w:pPr>
        <w:jc w:val="both"/>
        <w:ind w:left="424" w:right="6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an automatic increase of 875,464 shares of common stock to the number of shares available for issuance under the 2021 ESPP effective as of January 1, 2022. Shares available for issuance under the 2021 ESPP were previously registered on Form S-8 filed with the Securities and Exchange Commission on October 14, 2021 (File No. 333-260258).</w:t>
      </w:r>
    </w:p>
    <w:p>
      <w:pPr>
        <w:spacing w:after="0" w:line="1" w:lineRule="exact"/>
        <w:rPr>
          <w:rFonts w:ascii="Arial" w:cs="Arial" w:eastAsia="Arial" w:hAnsi="Arial"/>
          <w:sz w:val="18"/>
          <w:szCs w:val="18"/>
          <w:color w:val="auto"/>
        </w:rPr>
      </w:pPr>
    </w:p>
    <w:p>
      <w:pPr>
        <w:ind w:left="424" w:right="10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(h)(1) of the Securities Act, and based on 85% of $7.50, the average of the high and low sale prices of the Registrant’s common stock as reported on the Nasdaq Global Market on March 24, 2022. Pursuant to the 2021 ESPP, the purchase price of the shares of common stock reserved for issuance thereunder will be at a maximum discount of 15% of the fair market value of a share of common stock on the first trading day of the applicable offering period or on the last trading day of the applicable offering period, whichever is less.</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18" Type="http://schemas.openxmlformats.org/officeDocument/2006/relationships/hyperlink" Target="http://www.sec.gov/Archives/edgar/data/1819133/000119312521298942/d211731ds8.htm" TargetMode="External"/><Relationship Id="rId20" Type="http://schemas.openxmlformats.org/officeDocument/2006/relationships/hyperlink" Target="http://www.sec.gov/Archives/edgar/data/1819133/000119312521269987/d118907dex31.htm" TargetMode="External"/><Relationship Id="rId21" Type="http://schemas.openxmlformats.org/officeDocument/2006/relationships/hyperlink" Target="http://www.sec.gov/Archives/edgar/data/1819133/000119312521298942/d211731dex42.htm" TargetMode="External"/><Relationship Id="rId22" Type="http://schemas.openxmlformats.org/officeDocument/2006/relationships/hyperlink" Target="http://www.sec.gov/Archives/edgar/data/1819133/000121390021037131/ea144230ex4-5_bctgacq.htm" TargetMode="External"/><Relationship Id="rId23" Type="http://schemas.openxmlformats.org/officeDocument/2006/relationships/hyperlink" Target="http://www.sec.gov/Archives/edgar/data/1819133/000119312521246234/d203347dex104.htm" TargetMode="External"/><Relationship Id="rId24" Type="http://schemas.openxmlformats.org/officeDocument/2006/relationships/hyperlink" Target="http://www.sec.gov/Archives/edgar/data/1819133/000119312521246234/d203347dex105.htm" TargetMode="External"/><Relationship Id="rId25" Type="http://schemas.openxmlformats.org/officeDocument/2006/relationships/hyperlink" Target="http://www.sec.gov/Archives/edgar/data/1819133/000119312521246234/d203347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2022-03-28T15:16:24Z</dcterms:created>
  <dcterms:modified xsi:type="dcterms:W3CDTF">2022-03-28T15:16:24Z</dcterms:modified>
</cp:coreProperties>
</file>