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2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304165</wp:posOffset>
            </wp:positionV>
            <wp:extent cx="14916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6" w:lineRule="exact"/>
        <w:rPr>
          <w:sz w:val="24"/>
          <w:szCs w:val="24"/>
          <w:color w:val="auto"/>
        </w:rPr>
      </w:pPr>
    </w:p>
    <w:p>
      <w:pPr>
        <w:jc w:val="center"/>
        <w:ind w:right="-279"/>
        <w:spacing w:after="0"/>
        <w:rPr>
          <w:sz w:val="20"/>
          <w:szCs w:val="20"/>
          <w:color w:val="auto"/>
        </w:rPr>
      </w:pPr>
      <w:r>
        <w:rPr>
          <w:rFonts w:ascii="Arial" w:cs="Arial" w:eastAsia="Arial" w:hAnsi="Arial"/>
          <w:sz w:val="32"/>
          <w:szCs w:val="32"/>
          <w:b w:val="1"/>
          <w:bCs w:val="1"/>
          <w:color w:val="auto"/>
        </w:rPr>
        <w:t>SCHEDULE 13D</w:t>
      </w:r>
    </w:p>
    <w:p>
      <w:pPr>
        <w:spacing w:after="0" w:line="34" w:lineRule="exact"/>
        <w:rPr>
          <w:sz w:val="24"/>
          <w:szCs w:val="24"/>
          <w:color w:val="auto"/>
        </w:rPr>
      </w:pPr>
    </w:p>
    <w:p>
      <w:pPr>
        <w:ind w:left="4940"/>
        <w:spacing w:after="0"/>
        <w:rPr>
          <w:sz w:val="20"/>
          <w:szCs w:val="20"/>
          <w:color w:val="auto"/>
        </w:rPr>
      </w:pPr>
      <w:r>
        <w:rPr>
          <w:rFonts w:ascii="Arial" w:cs="Arial" w:eastAsia="Arial" w:hAnsi="Arial"/>
          <w:sz w:val="22"/>
          <w:szCs w:val="22"/>
          <w:b w:val="1"/>
          <w:bCs w:val="1"/>
          <w:color w:val="auto"/>
        </w:rPr>
        <w:t>(Rule 13d-101)</w:t>
      </w:r>
    </w:p>
    <w:p>
      <w:pPr>
        <w:spacing w:after="0" w:line="182" w:lineRule="exact"/>
        <w:rPr>
          <w:sz w:val="24"/>
          <w:szCs w:val="24"/>
          <w:color w:val="auto"/>
        </w:rPr>
      </w:pPr>
    </w:p>
    <w:p>
      <w:pPr>
        <w:ind w:left="3660"/>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279"/>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295910</wp:posOffset>
            </wp:positionV>
            <wp:extent cx="14916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279"/>
        <w:spacing w:after="0"/>
        <w:rPr>
          <w:sz w:val="20"/>
          <w:szCs w:val="20"/>
          <w:color w:val="auto"/>
        </w:rPr>
      </w:pPr>
      <w:r>
        <w:rPr>
          <w:rFonts w:ascii="Arial" w:cs="Arial" w:eastAsia="Arial" w:hAnsi="Arial"/>
          <w:sz w:val="40"/>
          <w:szCs w:val="40"/>
          <w:b w:val="1"/>
          <w:bCs w:val="1"/>
          <w:color w:val="auto"/>
        </w:rPr>
        <w:t>Tango Therapeutics, Inc.</w:t>
      </w:r>
    </w:p>
    <w:p>
      <w:pPr>
        <w:spacing w:after="0" w:line="35"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Common Stock, $0.001 par value per share</w:t>
      </w:r>
    </w:p>
    <w:p>
      <w:pPr>
        <w:spacing w:after="0" w:line="21" w:lineRule="exact"/>
        <w:rPr>
          <w:sz w:val="24"/>
          <w:szCs w:val="24"/>
          <w:color w:val="auto"/>
        </w:rPr>
      </w:pPr>
    </w:p>
    <w:p>
      <w:pPr>
        <w:jc w:val="center"/>
        <w:ind w:right="-27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87583X109</w:t>
      </w:r>
    </w:p>
    <w:p>
      <w:pPr>
        <w:spacing w:after="0" w:line="21" w:lineRule="exact"/>
        <w:rPr>
          <w:sz w:val="24"/>
          <w:szCs w:val="24"/>
          <w:color w:val="auto"/>
        </w:rPr>
      </w:pPr>
    </w:p>
    <w:p>
      <w:pPr>
        <w:jc w:val="center"/>
        <w:ind w:right="-27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David A. Brown</w:t>
      </w:r>
    </w:p>
    <w:p>
      <w:pPr>
        <w:spacing w:after="0" w:line="27"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Alston &amp; Bird LLP</w:t>
      </w:r>
    </w:p>
    <w:p>
      <w:pPr>
        <w:spacing w:after="0" w:line="9"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950 F Street, N.W.</w:t>
      </w:r>
    </w:p>
    <w:p>
      <w:pPr>
        <w:spacing w:after="0" w:line="9"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Washington, DC 20004-1404</w:t>
      </w:r>
    </w:p>
    <w:p>
      <w:pPr>
        <w:spacing w:after="0" w:line="9"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202-239-3463</w:t>
      </w:r>
    </w:p>
    <w:p>
      <w:pPr>
        <w:spacing w:after="0" w:line="2" w:lineRule="exact"/>
        <w:rPr>
          <w:sz w:val="24"/>
          <w:szCs w:val="24"/>
          <w:color w:val="auto"/>
        </w:rPr>
      </w:pPr>
    </w:p>
    <w:p>
      <w:pPr>
        <w:ind w:left="2440"/>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200" w:lineRule="exact"/>
        <w:rPr>
          <w:sz w:val="24"/>
          <w:szCs w:val="24"/>
          <w:color w:val="auto"/>
        </w:rPr>
      </w:pPr>
    </w:p>
    <w:p>
      <w:pPr>
        <w:spacing w:after="0" w:line="208"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August 10, 2021</w:t>
      </w:r>
    </w:p>
    <w:p>
      <w:pPr>
        <w:spacing w:after="0" w:line="21" w:lineRule="exact"/>
        <w:rPr>
          <w:sz w:val="24"/>
          <w:szCs w:val="24"/>
          <w:color w:val="auto"/>
        </w:rPr>
      </w:pPr>
    </w:p>
    <w:p>
      <w:pPr>
        <w:jc w:val="center"/>
        <w:ind w:right="-27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296545</wp:posOffset>
            </wp:positionV>
            <wp:extent cx="14916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firstLine="449"/>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09" w:lineRule="exact"/>
        <w:rPr>
          <w:sz w:val="24"/>
          <w:szCs w:val="24"/>
          <w:color w:val="auto"/>
        </w:rPr>
      </w:pPr>
    </w:p>
    <w:p>
      <w:pPr>
        <w:ind w:left="460" w:hanging="452"/>
        <w:spacing w:after="0" w:line="308" w:lineRule="auto"/>
        <w:tabs>
          <w:tab w:leader="none" w:pos="46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6" w:lineRule="exact"/>
        <w:rPr>
          <w:sz w:val="24"/>
          <w:szCs w:val="24"/>
          <w:color w:val="auto"/>
        </w:rPr>
      </w:pPr>
    </w:p>
    <w:p>
      <w:pPr>
        <w:ind w:right="380" w:firstLine="449"/>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80"/>
          </w:cols>
          <w:pgMar w:left="320" w:top="368" w:right="599" w:bottom="1440" w:gutter="0" w:footer="0" w:header="0"/>
        </w:sectPr>
      </w:pPr>
    </w:p>
    <w:bookmarkStart w:id="1" w:name="page2"/>
    <w:bookmarkEnd w:id="1"/>
    <w:p>
      <w:pPr>
        <w:spacing w:after="0"/>
        <w:tabs>
          <w:tab w:leader="none" w:pos="52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87583X109</w:t>
      </w:r>
      <w:r>
        <w:rPr>
          <w:sz w:val="20"/>
          <w:szCs w:val="20"/>
          <w:color w:val="auto"/>
        </w:rPr>
        <w:tab/>
      </w:r>
      <w:r>
        <w:rPr>
          <w:rFonts w:ascii="Arial" w:cs="Arial" w:eastAsia="Arial" w:hAnsi="Arial"/>
          <w:sz w:val="17"/>
          <w:szCs w:val="17"/>
          <w:color w:val="auto"/>
        </w:rPr>
        <w:t>SCHEDULE 13D</w:t>
      </w:r>
    </w:p>
    <w:p>
      <w:pPr>
        <w:spacing w:after="0" w:line="171" w:lineRule="exact"/>
        <w:rPr>
          <w:sz w:val="20"/>
          <w:szCs w:val="20"/>
          <w:color w:val="auto"/>
        </w:rPr>
      </w:pPr>
    </w:p>
    <w:p>
      <w:pPr>
        <w:ind w:left="620" w:hanging="365"/>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6995160" cy="6111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6111875"/>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BCTG Holdings, LLC</w:t>
      </w:r>
    </w:p>
    <w:p>
      <w:pPr>
        <w:spacing w:after="0" w:line="36" w:lineRule="exact"/>
        <w:rPr>
          <w:sz w:val="20"/>
          <w:szCs w:val="20"/>
          <w:color w:val="auto"/>
        </w:rPr>
      </w:pPr>
    </w:p>
    <w:p>
      <w:pPr>
        <w:ind w:left="620" w:hanging="36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20"/>
        <w:spacing w:after="0" w:line="207" w:lineRule="exact"/>
        <w:tabs>
          <w:tab w:leader="none" w:pos="142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0" w:hanging="365"/>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0" w:hanging="365"/>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WC</w:t>
      </w:r>
    </w:p>
    <w:p>
      <w:pPr>
        <w:spacing w:after="0" w:line="36" w:lineRule="exact"/>
        <w:rPr>
          <w:sz w:val="20"/>
          <w:szCs w:val="20"/>
          <w:color w:val="auto"/>
        </w:rPr>
      </w:pPr>
    </w:p>
    <w:p>
      <w:pPr>
        <w:ind w:left="620" w:hanging="365"/>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sz w:val="20"/>
          <w:szCs w:val="20"/>
          <w:color w:val="auto"/>
        </w:rPr>
      </w:pPr>
    </w:p>
    <w:p>
      <w:pPr>
        <w:ind w:left="620"/>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0" w:hanging="365"/>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Delaware</w:t>
      </w:r>
    </w:p>
    <w:p>
      <w:pPr>
        <w:spacing w:after="0" w:line="36" w:lineRule="exact"/>
        <w:rPr>
          <w:sz w:val="20"/>
          <w:szCs w:val="20"/>
          <w:color w:val="auto"/>
        </w:rPr>
      </w:pPr>
    </w:p>
    <w:tbl>
      <w:tblPr>
        <w:tblLayout w:type="fixed"/>
        <w:tblInd w:w="260" w:type="dxa"/>
        <w:tblCellMar>
          <w:top w:w="0" w:type="dxa"/>
          <w:left w:w="0" w:type="dxa"/>
          <w:bottom w:w="0" w:type="dxa"/>
          <w:right w:w="0" w:type="dxa"/>
        </w:tblCellMar>
      </w:tblPr>
      <w:tr>
        <w:trPr>
          <w:trHeight w:val="230"/>
        </w:trPr>
        <w:tc>
          <w:tcPr>
            <w:tcW w:w="1320" w:type="dxa"/>
            <w:vAlign w:val="bottom"/>
          </w:tcPr>
          <w:p>
            <w:pPr>
              <w:spacing w:after="0"/>
              <w:rPr>
                <w:sz w:val="20"/>
                <w:szCs w:val="20"/>
                <w:color w:val="auto"/>
              </w:rPr>
            </w:pP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7</w:t>
            </w:r>
          </w:p>
        </w:tc>
        <w:tc>
          <w:tcPr>
            <w:tcW w:w="8980" w:type="dxa"/>
            <w:vAlign w:val="bottom"/>
          </w:tcPr>
          <w:p>
            <w:pPr>
              <w:ind w:left="1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05"/>
        </w:trPr>
        <w:tc>
          <w:tcPr>
            <w:tcW w:w="1320" w:type="dxa"/>
            <w:vAlign w:val="bottom"/>
          </w:tcPr>
          <w:p>
            <w:pPr>
              <w:jc w:val="center"/>
              <w:spacing w:after="0"/>
              <w:rPr>
                <w:sz w:val="20"/>
                <w:szCs w:val="20"/>
                <w:color w:val="auto"/>
              </w:rPr>
            </w:pPr>
            <w:r>
              <w:rPr>
                <w:rFonts w:ascii="Arial" w:cs="Arial" w:eastAsia="Arial" w:hAnsi="Arial"/>
                <w:sz w:val="18"/>
                <w:szCs w:val="18"/>
                <w:color w:val="auto"/>
                <w:w w:val="96"/>
              </w:rPr>
              <w:t>NUMBER OF</w:t>
            </w:r>
          </w:p>
        </w:tc>
        <w:tc>
          <w:tcPr>
            <w:tcW w:w="460" w:type="dxa"/>
            <w:vAlign w:val="bottom"/>
          </w:tcPr>
          <w:p>
            <w:pPr>
              <w:spacing w:after="0"/>
              <w:rPr>
                <w:sz w:val="24"/>
                <w:szCs w:val="24"/>
                <w:color w:val="auto"/>
              </w:rPr>
            </w:pPr>
          </w:p>
        </w:tc>
        <w:tc>
          <w:tcPr>
            <w:tcW w:w="8980" w:type="dxa"/>
            <w:vAlign w:val="bottom"/>
          </w:tcPr>
          <w:p>
            <w:pPr>
              <w:ind w:left="160"/>
              <w:spacing w:after="0"/>
              <w:rPr>
                <w:sz w:val="20"/>
                <w:szCs w:val="20"/>
                <w:color w:val="auto"/>
              </w:rPr>
            </w:pPr>
            <w:r>
              <w:rPr>
                <w:rFonts w:ascii="Arial" w:cs="Arial" w:eastAsia="Arial" w:hAnsi="Arial"/>
                <w:sz w:val="18"/>
                <w:szCs w:val="18"/>
                <w:color w:val="auto"/>
              </w:rPr>
              <w:t>6,988,450</w:t>
            </w:r>
          </w:p>
        </w:tc>
        <w:tc>
          <w:tcPr>
            <w:tcW w:w="0" w:type="dxa"/>
            <w:vAlign w:val="bottom"/>
          </w:tcPr>
          <w:p>
            <w:pPr>
              <w:spacing w:after="0"/>
              <w:rPr>
                <w:sz w:val="1"/>
                <w:szCs w:val="1"/>
                <w:color w:val="auto"/>
              </w:rPr>
            </w:pPr>
          </w:p>
        </w:tc>
      </w:tr>
      <w:tr>
        <w:trPr>
          <w:trHeight w:val="68"/>
        </w:trPr>
        <w:tc>
          <w:tcPr>
            <w:tcW w:w="1320" w:type="dxa"/>
            <w:vAlign w:val="bottom"/>
            <w:vMerge w:val="restart"/>
          </w:tcPr>
          <w:p>
            <w:pPr>
              <w:jc w:val="center"/>
              <w:spacing w:after="0"/>
              <w:rPr>
                <w:sz w:val="20"/>
                <w:szCs w:val="20"/>
                <w:color w:val="auto"/>
              </w:rPr>
            </w:pPr>
            <w:r>
              <w:rPr>
                <w:rFonts w:ascii="Arial" w:cs="Arial" w:eastAsia="Arial" w:hAnsi="Arial"/>
                <w:sz w:val="18"/>
                <w:szCs w:val="18"/>
                <w:color w:val="auto"/>
                <w:w w:val="91"/>
              </w:rPr>
              <w:t>SHARES</w:t>
            </w:r>
          </w:p>
        </w:tc>
        <w:tc>
          <w:tcPr>
            <w:tcW w:w="460" w:type="dxa"/>
            <w:vAlign w:val="bottom"/>
            <w:tcBorders>
              <w:bottom w:val="single" w:sz="8" w:color="auto"/>
            </w:tcBorders>
          </w:tcPr>
          <w:p>
            <w:pPr>
              <w:spacing w:after="0"/>
              <w:rPr>
                <w:sz w:val="5"/>
                <w:szCs w:val="5"/>
                <w:color w:val="auto"/>
              </w:rPr>
            </w:pPr>
          </w:p>
        </w:tc>
        <w:tc>
          <w:tcPr>
            <w:tcW w:w="8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320" w:type="dxa"/>
            <w:vAlign w:val="bottom"/>
            <w:vMerge w:val="continue"/>
          </w:tcPr>
          <w:p>
            <w:pPr>
              <w:spacing w:after="0"/>
              <w:rPr>
                <w:sz w:val="11"/>
                <w:szCs w:val="11"/>
                <w:color w:val="auto"/>
              </w:rPr>
            </w:pP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8980" w:type="dxa"/>
            <w:vAlign w:val="bottom"/>
            <w:vMerge w:val="restart"/>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32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460" w:type="dxa"/>
            <w:vAlign w:val="bottom"/>
            <w:vMerge w:val="continue"/>
          </w:tcPr>
          <w:p>
            <w:pPr>
              <w:spacing w:after="0"/>
              <w:rPr>
                <w:sz w:val="8"/>
                <w:szCs w:val="8"/>
                <w:color w:val="auto"/>
              </w:rPr>
            </w:pPr>
          </w:p>
        </w:tc>
        <w:tc>
          <w:tcPr>
            <w:tcW w:w="89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32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8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97"/>
              </w:rPr>
              <w:t>OWNED BY</w:t>
            </w:r>
          </w:p>
        </w:tc>
        <w:tc>
          <w:tcPr>
            <w:tcW w:w="460" w:type="dxa"/>
            <w:vAlign w:val="bottom"/>
          </w:tcPr>
          <w:p>
            <w:pPr>
              <w:spacing w:after="0"/>
              <w:rPr>
                <w:sz w:val="18"/>
                <w:szCs w:val="18"/>
                <w:color w:val="auto"/>
              </w:rPr>
            </w:pPr>
          </w:p>
        </w:tc>
        <w:tc>
          <w:tcPr>
            <w:tcW w:w="898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6"/>
        </w:trPr>
        <w:tc>
          <w:tcPr>
            <w:tcW w:w="1320" w:type="dxa"/>
            <w:vAlign w:val="bottom"/>
            <w:vMerge w:val="restart"/>
          </w:tcPr>
          <w:p>
            <w:pPr>
              <w:jc w:val="center"/>
              <w:spacing w:after="0"/>
              <w:rPr>
                <w:sz w:val="20"/>
                <w:szCs w:val="20"/>
                <w:color w:val="auto"/>
              </w:rPr>
            </w:pPr>
            <w:r>
              <w:rPr>
                <w:rFonts w:ascii="Arial" w:cs="Arial" w:eastAsia="Arial" w:hAnsi="Arial"/>
                <w:sz w:val="18"/>
                <w:szCs w:val="18"/>
                <w:color w:val="auto"/>
                <w:w w:val="95"/>
              </w:rPr>
              <w:t>EACH</w:t>
            </w:r>
          </w:p>
        </w:tc>
        <w:tc>
          <w:tcPr>
            <w:tcW w:w="460" w:type="dxa"/>
            <w:vAlign w:val="bottom"/>
            <w:tcBorders>
              <w:bottom w:val="single" w:sz="8" w:color="auto"/>
            </w:tcBorders>
          </w:tcPr>
          <w:p>
            <w:pPr>
              <w:spacing w:after="0"/>
              <w:rPr>
                <w:sz w:val="10"/>
                <w:szCs w:val="10"/>
                <w:color w:val="auto"/>
              </w:rPr>
            </w:pPr>
          </w:p>
        </w:tc>
        <w:tc>
          <w:tcPr>
            <w:tcW w:w="89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320" w:type="dxa"/>
            <w:vAlign w:val="bottom"/>
            <w:vMerge w:val="continue"/>
          </w:tcPr>
          <w:p>
            <w:pPr>
              <w:spacing w:after="0"/>
              <w:rPr>
                <w:sz w:val="6"/>
                <w:szCs w:val="6"/>
                <w:color w:val="auto"/>
              </w:rPr>
            </w:pP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9</w:t>
            </w:r>
          </w:p>
        </w:tc>
        <w:tc>
          <w:tcPr>
            <w:tcW w:w="898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32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460" w:type="dxa"/>
            <w:vAlign w:val="bottom"/>
            <w:vMerge w:val="continue"/>
          </w:tcPr>
          <w:p>
            <w:pPr>
              <w:spacing w:after="0"/>
              <w:rPr>
                <w:sz w:val="13"/>
                <w:szCs w:val="13"/>
                <w:color w:val="auto"/>
              </w:rPr>
            </w:pPr>
          </w:p>
        </w:tc>
        <w:tc>
          <w:tcPr>
            <w:tcW w:w="8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32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89"/>
              </w:rPr>
              <w:t>PERSON</w:t>
            </w:r>
          </w:p>
        </w:tc>
        <w:tc>
          <w:tcPr>
            <w:tcW w:w="460" w:type="dxa"/>
            <w:vAlign w:val="bottom"/>
          </w:tcPr>
          <w:p>
            <w:pPr>
              <w:spacing w:after="0"/>
              <w:rPr>
                <w:sz w:val="18"/>
                <w:szCs w:val="18"/>
                <w:color w:val="auto"/>
              </w:rPr>
            </w:pPr>
          </w:p>
        </w:tc>
        <w:tc>
          <w:tcPr>
            <w:tcW w:w="8980" w:type="dxa"/>
            <w:vAlign w:val="bottom"/>
            <w:vMerge w:val="restart"/>
          </w:tcPr>
          <w:p>
            <w:pPr>
              <w:ind w:left="160"/>
              <w:spacing w:after="0"/>
              <w:rPr>
                <w:sz w:val="20"/>
                <w:szCs w:val="20"/>
                <w:color w:val="auto"/>
              </w:rPr>
            </w:pPr>
            <w:r>
              <w:rPr>
                <w:rFonts w:ascii="Arial" w:cs="Arial" w:eastAsia="Arial" w:hAnsi="Arial"/>
                <w:sz w:val="18"/>
                <w:szCs w:val="18"/>
                <w:color w:val="auto"/>
              </w:rPr>
              <w:t>6,988,450</w:t>
            </w:r>
          </w:p>
        </w:tc>
        <w:tc>
          <w:tcPr>
            <w:tcW w:w="0" w:type="dxa"/>
            <w:vAlign w:val="bottom"/>
          </w:tcPr>
          <w:p>
            <w:pPr>
              <w:spacing w:after="0"/>
              <w:rPr>
                <w:sz w:val="1"/>
                <w:szCs w:val="1"/>
                <w:color w:val="auto"/>
              </w:rPr>
            </w:pPr>
          </w:p>
        </w:tc>
      </w:tr>
      <w:tr>
        <w:trPr>
          <w:trHeight w:val="176"/>
        </w:trPr>
        <w:tc>
          <w:tcPr>
            <w:tcW w:w="1320" w:type="dxa"/>
            <w:vAlign w:val="bottom"/>
          </w:tcPr>
          <w:p>
            <w:pPr>
              <w:jc w:val="center"/>
              <w:spacing w:after="0" w:line="157" w:lineRule="exact"/>
              <w:rPr>
                <w:sz w:val="20"/>
                <w:szCs w:val="20"/>
                <w:color w:val="auto"/>
              </w:rPr>
            </w:pPr>
            <w:r>
              <w:rPr>
                <w:rFonts w:ascii="Arial" w:cs="Arial" w:eastAsia="Arial" w:hAnsi="Arial"/>
                <w:sz w:val="18"/>
                <w:szCs w:val="18"/>
                <w:color w:val="auto"/>
              </w:rPr>
              <w:t>WITH</w:t>
            </w:r>
          </w:p>
        </w:tc>
        <w:tc>
          <w:tcPr>
            <w:tcW w:w="460" w:type="dxa"/>
            <w:vAlign w:val="bottom"/>
            <w:tcBorders>
              <w:bottom w:val="single" w:sz="8" w:color="auto"/>
            </w:tcBorders>
          </w:tcPr>
          <w:p>
            <w:pPr>
              <w:spacing w:after="0"/>
              <w:rPr>
                <w:sz w:val="15"/>
                <w:szCs w:val="15"/>
                <w:color w:val="auto"/>
              </w:rPr>
            </w:pPr>
          </w:p>
        </w:tc>
        <w:tc>
          <w:tcPr>
            <w:tcW w:w="89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320" w:type="dxa"/>
            <w:vAlign w:val="bottom"/>
          </w:tcPr>
          <w:p>
            <w:pPr>
              <w:spacing w:after="0"/>
              <w:rPr>
                <w:sz w:val="19"/>
                <w:szCs w:val="19"/>
                <w:color w:val="auto"/>
              </w:rPr>
            </w:pP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8980" w:type="dxa"/>
            <w:vAlign w:val="bottom"/>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620" w:right="3940" w:hanging="455"/>
        <w:spacing w:after="0" w:line="406" w:lineRule="auto"/>
        <w:tabs>
          <w:tab w:leader="none" w:pos="610" w:val="left"/>
        </w:tabs>
        <w:numPr>
          <w:ilvl w:val="1"/>
          <w:numId w:val="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6,988,450</w:t>
      </w:r>
    </w:p>
    <w:p>
      <w:pPr>
        <w:spacing w:after="0" w:line="1" w:lineRule="exact"/>
        <w:rPr>
          <w:rFonts w:ascii="Arial" w:cs="Arial" w:eastAsia="Arial" w:hAnsi="Arial"/>
          <w:sz w:val="18"/>
          <w:szCs w:val="18"/>
          <w:color w:val="auto"/>
        </w:rPr>
      </w:pPr>
    </w:p>
    <w:p>
      <w:pPr>
        <w:ind w:left="620" w:hanging="455"/>
        <w:spacing w:after="0"/>
        <w:tabs>
          <w:tab w:leader="none" w:pos="620" w:val="left"/>
        </w:tabs>
        <w:numPr>
          <w:ilvl w:val="1"/>
          <w:numId w:val="8"/>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0" w:hanging="455"/>
        <w:spacing w:after="0"/>
        <w:tabs>
          <w:tab w:leader="none" w:pos="620" w:val="left"/>
        </w:tabs>
        <w:numPr>
          <w:ilvl w:val="1"/>
          <w:numId w:val="8"/>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44"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8.0%*</w:t>
      </w:r>
    </w:p>
    <w:p>
      <w:pPr>
        <w:spacing w:after="0" w:line="36" w:lineRule="exact"/>
        <w:rPr>
          <w:rFonts w:ascii="Arial" w:cs="Arial" w:eastAsia="Arial" w:hAnsi="Arial"/>
          <w:sz w:val="18"/>
          <w:szCs w:val="18"/>
          <w:color w:val="auto"/>
        </w:rPr>
      </w:pPr>
    </w:p>
    <w:p>
      <w:pPr>
        <w:ind w:left="620" w:hanging="455"/>
        <w:spacing w:after="0"/>
        <w:tabs>
          <w:tab w:leader="none" w:pos="620" w:val="left"/>
        </w:tabs>
        <w:numPr>
          <w:ilvl w:val="1"/>
          <w:numId w:val="8"/>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79" w:lineRule="exact"/>
        <w:rPr>
          <w:rFonts w:ascii="Arial" w:cs="Arial" w:eastAsia="Arial" w:hAnsi="Arial"/>
          <w:sz w:val="18"/>
          <w:szCs w:val="18"/>
          <w:color w:val="auto"/>
        </w:rPr>
      </w:pPr>
    </w:p>
    <w:p>
      <w:pPr>
        <w:ind w:left="460" w:hanging="445"/>
        <w:spacing w:after="0" w:line="277" w:lineRule="auto"/>
        <w:rPr>
          <w:rFonts w:ascii="Arial" w:cs="Arial" w:eastAsia="Arial" w:hAnsi="Arial"/>
          <w:sz w:val="18"/>
          <w:szCs w:val="18"/>
          <w:color w:val="auto"/>
        </w:rPr>
      </w:pPr>
      <w:r>
        <w:rPr>
          <w:rFonts w:ascii="Arial" w:cs="Arial" w:eastAsia="Arial" w:hAnsi="Arial"/>
          <w:sz w:val="18"/>
          <w:szCs w:val="18"/>
          <w:color w:val="auto"/>
        </w:rPr>
        <w:t>*Based on 87,546,430 shares of the Issuer’s common stock outstanding as of November 5, 2021 as set forth in the Issuer’s Quarterly Report on Form 10-Q filed with the Securities and Exchange Commission on November 9, 2021.</w:t>
      </w:r>
    </w:p>
    <w:p>
      <w:pPr>
        <w:sectPr>
          <w:pgSz w:w="11900" w:h="16838" w:orient="portrait"/>
          <w:cols w:equalWidth="0" w:num="1">
            <w:col w:w="11100"/>
          </w:cols>
          <w:pgMar w:left="320" w:top="274" w:right="479" w:bottom="1440" w:gutter="0" w:footer="0" w:header="0"/>
        </w:sectPr>
      </w:pPr>
    </w:p>
    <w:bookmarkStart w:id="2" w:name="page3"/>
    <w:bookmarkEnd w:id="2"/>
    <w:p>
      <w:pPr>
        <w:spacing w:after="0"/>
        <w:tabs>
          <w:tab w:leader="none" w:pos="52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87583X109</w:t>
      </w:r>
      <w:r>
        <w:rPr>
          <w:sz w:val="20"/>
          <w:szCs w:val="20"/>
          <w:color w:val="auto"/>
        </w:rPr>
        <w:tab/>
      </w:r>
      <w:r>
        <w:rPr>
          <w:rFonts w:ascii="Arial" w:cs="Arial" w:eastAsia="Arial" w:hAnsi="Arial"/>
          <w:sz w:val="17"/>
          <w:szCs w:val="17"/>
          <w:color w:val="auto"/>
        </w:rPr>
        <w:t>SCHEDULE 13D</w:t>
      </w:r>
    </w:p>
    <w:p>
      <w:pPr>
        <w:spacing w:after="0" w:line="171" w:lineRule="exact"/>
        <w:rPr>
          <w:sz w:val="20"/>
          <w:szCs w:val="20"/>
          <w:color w:val="auto"/>
        </w:rPr>
      </w:pPr>
    </w:p>
    <w:p>
      <w:pPr>
        <w:ind w:left="620" w:hanging="365"/>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6995160" cy="6111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6111875"/>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Boxer Capital, LLC</w:t>
      </w:r>
    </w:p>
    <w:p>
      <w:pPr>
        <w:spacing w:after="0" w:line="36" w:lineRule="exact"/>
        <w:rPr>
          <w:sz w:val="20"/>
          <w:szCs w:val="20"/>
          <w:color w:val="auto"/>
        </w:rPr>
      </w:pPr>
    </w:p>
    <w:p>
      <w:pPr>
        <w:ind w:left="620" w:hanging="365"/>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20"/>
        <w:spacing w:after="0" w:line="207" w:lineRule="exact"/>
        <w:tabs>
          <w:tab w:leader="none" w:pos="142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0" w:hanging="365"/>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0" w:hanging="365"/>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WC</w:t>
      </w:r>
    </w:p>
    <w:p>
      <w:pPr>
        <w:spacing w:after="0" w:line="36" w:lineRule="exact"/>
        <w:rPr>
          <w:sz w:val="20"/>
          <w:szCs w:val="20"/>
          <w:color w:val="auto"/>
        </w:rPr>
      </w:pPr>
    </w:p>
    <w:p>
      <w:pPr>
        <w:ind w:left="620" w:hanging="365"/>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sz w:val="20"/>
          <w:szCs w:val="20"/>
          <w:color w:val="auto"/>
        </w:rPr>
      </w:pPr>
    </w:p>
    <w:p>
      <w:pPr>
        <w:ind w:left="620"/>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0" w:hanging="365"/>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Delaware</w:t>
      </w:r>
    </w:p>
    <w:p>
      <w:pPr>
        <w:spacing w:after="0" w:line="36" w:lineRule="exact"/>
        <w:rPr>
          <w:sz w:val="20"/>
          <w:szCs w:val="20"/>
          <w:color w:val="auto"/>
        </w:rPr>
      </w:pPr>
    </w:p>
    <w:tbl>
      <w:tblPr>
        <w:tblLayout w:type="fixed"/>
        <w:tblInd w:w="260" w:type="dxa"/>
        <w:tblCellMar>
          <w:top w:w="0" w:type="dxa"/>
          <w:left w:w="0" w:type="dxa"/>
          <w:bottom w:w="0" w:type="dxa"/>
          <w:right w:w="0" w:type="dxa"/>
        </w:tblCellMar>
      </w:tblPr>
      <w:tr>
        <w:trPr>
          <w:trHeight w:val="230"/>
        </w:trPr>
        <w:tc>
          <w:tcPr>
            <w:tcW w:w="1320" w:type="dxa"/>
            <w:vAlign w:val="bottom"/>
          </w:tcPr>
          <w:p>
            <w:pPr>
              <w:spacing w:after="0"/>
              <w:rPr>
                <w:sz w:val="20"/>
                <w:szCs w:val="20"/>
                <w:color w:val="auto"/>
              </w:rPr>
            </w:pP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7</w:t>
            </w:r>
          </w:p>
        </w:tc>
        <w:tc>
          <w:tcPr>
            <w:tcW w:w="8980" w:type="dxa"/>
            <w:vAlign w:val="bottom"/>
          </w:tcPr>
          <w:p>
            <w:pPr>
              <w:ind w:left="1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05"/>
        </w:trPr>
        <w:tc>
          <w:tcPr>
            <w:tcW w:w="1320" w:type="dxa"/>
            <w:vAlign w:val="bottom"/>
          </w:tcPr>
          <w:p>
            <w:pPr>
              <w:jc w:val="center"/>
              <w:spacing w:after="0"/>
              <w:rPr>
                <w:sz w:val="20"/>
                <w:szCs w:val="20"/>
                <w:color w:val="auto"/>
              </w:rPr>
            </w:pPr>
            <w:r>
              <w:rPr>
                <w:rFonts w:ascii="Arial" w:cs="Arial" w:eastAsia="Arial" w:hAnsi="Arial"/>
                <w:sz w:val="18"/>
                <w:szCs w:val="18"/>
                <w:color w:val="auto"/>
                <w:w w:val="96"/>
              </w:rPr>
              <w:t>NUMBER OF</w:t>
            </w:r>
          </w:p>
        </w:tc>
        <w:tc>
          <w:tcPr>
            <w:tcW w:w="460" w:type="dxa"/>
            <w:vAlign w:val="bottom"/>
          </w:tcPr>
          <w:p>
            <w:pPr>
              <w:spacing w:after="0"/>
              <w:rPr>
                <w:sz w:val="24"/>
                <w:szCs w:val="24"/>
                <w:color w:val="auto"/>
              </w:rPr>
            </w:pPr>
          </w:p>
        </w:tc>
        <w:tc>
          <w:tcPr>
            <w:tcW w:w="898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320" w:type="dxa"/>
            <w:vAlign w:val="bottom"/>
            <w:vMerge w:val="restart"/>
          </w:tcPr>
          <w:p>
            <w:pPr>
              <w:jc w:val="center"/>
              <w:spacing w:after="0"/>
              <w:rPr>
                <w:sz w:val="20"/>
                <w:szCs w:val="20"/>
                <w:color w:val="auto"/>
              </w:rPr>
            </w:pPr>
            <w:r>
              <w:rPr>
                <w:rFonts w:ascii="Arial" w:cs="Arial" w:eastAsia="Arial" w:hAnsi="Arial"/>
                <w:sz w:val="18"/>
                <w:szCs w:val="18"/>
                <w:color w:val="auto"/>
                <w:w w:val="91"/>
              </w:rPr>
              <w:t>SHARES</w:t>
            </w:r>
          </w:p>
        </w:tc>
        <w:tc>
          <w:tcPr>
            <w:tcW w:w="460" w:type="dxa"/>
            <w:vAlign w:val="bottom"/>
            <w:tcBorders>
              <w:bottom w:val="single" w:sz="8" w:color="auto"/>
            </w:tcBorders>
          </w:tcPr>
          <w:p>
            <w:pPr>
              <w:spacing w:after="0"/>
              <w:rPr>
                <w:sz w:val="5"/>
                <w:szCs w:val="5"/>
                <w:color w:val="auto"/>
              </w:rPr>
            </w:pPr>
          </w:p>
        </w:tc>
        <w:tc>
          <w:tcPr>
            <w:tcW w:w="8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320" w:type="dxa"/>
            <w:vAlign w:val="bottom"/>
            <w:vMerge w:val="continue"/>
          </w:tcPr>
          <w:p>
            <w:pPr>
              <w:spacing w:after="0"/>
              <w:rPr>
                <w:sz w:val="11"/>
                <w:szCs w:val="11"/>
                <w:color w:val="auto"/>
              </w:rPr>
            </w:pP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8980" w:type="dxa"/>
            <w:vAlign w:val="bottom"/>
            <w:vMerge w:val="restart"/>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32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460" w:type="dxa"/>
            <w:vAlign w:val="bottom"/>
            <w:vMerge w:val="continue"/>
          </w:tcPr>
          <w:p>
            <w:pPr>
              <w:spacing w:after="0"/>
              <w:rPr>
                <w:sz w:val="8"/>
                <w:szCs w:val="8"/>
                <w:color w:val="auto"/>
              </w:rPr>
            </w:pPr>
          </w:p>
        </w:tc>
        <w:tc>
          <w:tcPr>
            <w:tcW w:w="89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32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8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97"/>
              </w:rPr>
              <w:t>OWNED BY</w:t>
            </w:r>
          </w:p>
        </w:tc>
        <w:tc>
          <w:tcPr>
            <w:tcW w:w="460" w:type="dxa"/>
            <w:vAlign w:val="bottom"/>
          </w:tcPr>
          <w:p>
            <w:pPr>
              <w:spacing w:after="0"/>
              <w:rPr>
                <w:sz w:val="18"/>
                <w:szCs w:val="18"/>
                <w:color w:val="auto"/>
              </w:rPr>
            </w:pPr>
          </w:p>
        </w:tc>
        <w:tc>
          <w:tcPr>
            <w:tcW w:w="8980" w:type="dxa"/>
            <w:vAlign w:val="bottom"/>
            <w:vMerge w:val="restart"/>
          </w:tcPr>
          <w:p>
            <w:pPr>
              <w:ind w:left="160"/>
              <w:spacing w:after="0"/>
              <w:rPr>
                <w:sz w:val="20"/>
                <w:szCs w:val="20"/>
                <w:color w:val="auto"/>
              </w:rPr>
            </w:pPr>
            <w:r>
              <w:rPr>
                <w:rFonts w:ascii="Arial" w:cs="Arial" w:eastAsia="Arial" w:hAnsi="Arial"/>
                <w:sz w:val="18"/>
                <w:szCs w:val="18"/>
                <w:color w:val="auto"/>
              </w:rPr>
              <w:t>6,871,642</w:t>
            </w:r>
          </w:p>
        </w:tc>
        <w:tc>
          <w:tcPr>
            <w:tcW w:w="0" w:type="dxa"/>
            <w:vAlign w:val="bottom"/>
          </w:tcPr>
          <w:p>
            <w:pPr>
              <w:spacing w:after="0"/>
              <w:rPr>
                <w:sz w:val="1"/>
                <w:szCs w:val="1"/>
                <w:color w:val="auto"/>
              </w:rPr>
            </w:pPr>
          </w:p>
        </w:tc>
      </w:tr>
      <w:tr>
        <w:trPr>
          <w:trHeight w:val="116"/>
        </w:trPr>
        <w:tc>
          <w:tcPr>
            <w:tcW w:w="1320" w:type="dxa"/>
            <w:vAlign w:val="bottom"/>
            <w:vMerge w:val="restart"/>
          </w:tcPr>
          <w:p>
            <w:pPr>
              <w:jc w:val="center"/>
              <w:spacing w:after="0"/>
              <w:rPr>
                <w:sz w:val="20"/>
                <w:szCs w:val="20"/>
                <w:color w:val="auto"/>
              </w:rPr>
            </w:pPr>
            <w:r>
              <w:rPr>
                <w:rFonts w:ascii="Arial" w:cs="Arial" w:eastAsia="Arial" w:hAnsi="Arial"/>
                <w:sz w:val="18"/>
                <w:szCs w:val="18"/>
                <w:color w:val="auto"/>
                <w:w w:val="95"/>
              </w:rPr>
              <w:t>EACH</w:t>
            </w:r>
          </w:p>
        </w:tc>
        <w:tc>
          <w:tcPr>
            <w:tcW w:w="460" w:type="dxa"/>
            <w:vAlign w:val="bottom"/>
            <w:tcBorders>
              <w:bottom w:val="single" w:sz="8" w:color="auto"/>
            </w:tcBorders>
          </w:tcPr>
          <w:p>
            <w:pPr>
              <w:spacing w:after="0"/>
              <w:rPr>
                <w:sz w:val="10"/>
                <w:szCs w:val="10"/>
                <w:color w:val="auto"/>
              </w:rPr>
            </w:pPr>
          </w:p>
        </w:tc>
        <w:tc>
          <w:tcPr>
            <w:tcW w:w="89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320" w:type="dxa"/>
            <w:vAlign w:val="bottom"/>
            <w:vMerge w:val="continue"/>
          </w:tcPr>
          <w:p>
            <w:pPr>
              <w:spacing w:after="0"/>
              <w:rPr>
                <w:sz w:val="6"/>
                <w:szCs w:val="6"/>
                <w:color w:val="auto"/>
              </w:rPr>
            </w:pP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9</w:t>
            </w:r>
          </w:p>
        </w:tc>
        <w:tc>
          <w:tcPr>
            <w:tcW w:w="898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32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460" w:type="dxa"/>
            <w:vAlign w:val="bottom"/>
            <w:vMerge w:val="continue"/>
          </w:tcPr>
          <w:p>
            <w:pPr>
              <w:spacing w:after="0"/>
              <w:rPr>
                <w:sz w:val="13"/>
                <w:szCs w:val="13"/>
                <w:color w:val="auto"/>
              </w:rPr>
            </w:pPr>
          </w:p>
        </w:tc>
        <w:tc>
          <w:tcPr>
            <w:tcW w:w="8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32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89"/>
              </w:rPr>
              <w:t>PERSON</w:t>
            </w:r>
          </w:p>
        </w:tc>
        <w:tc>
          <w:tcPr>
            <w:tcW w:w="460" w:type="dxa"/>
            <w:vAlign w:val="bottom"/>
          </w:tcPr>
          <w:p>
            <w:pPr>
              <w:spacing w:after="0"/>
              <w:rPr>
                <w:sz w:val="18"/>
                <w:szCs w:val="18"/>
                <w:color w:val="auto"/>
              </w:rPr>
            </w:pPr>
          </w:p>
        </w:tc>
        <w:tc>
          <w:tcPr>
            <w:tcW w:w="898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6"/>
        </w:trPr>
        <w:tc>
          <w:tcPr>
            <w:tcW w:w="1320" w:type="dxa"/>
            <w:vAlign w:val="bottom"/>
          </w:tcPr>
          <w:p>
            <w:pPr>
              <w:jc w:val="center"/>
              <w:spacing w:after="0" w:line="157" w:lineRule="exact"/>
              <w:rPr>
                <w:sz w:val="20"/>
                <w:szCs w:val="20"/>
                <w:color w:val="auto"/>
              </w:rPr>
            </w:pPr>
            <w:r>
              <w:rPr>
                <w:rFonts w:ascii="Arial" w:cs="Arial" w:eastAsia="Arial" w:hAnsi="Arial"/>
                <w:sz w:val="18"/>
                <w:szCs w:val="18"/>
                <w:color w:val="auto"/>
              </w:rPr>
              <w:t>WITH</w:t>
            </w:r>
          </w:p>
        </w:tc>
        <w:tc>
          <w:tcPr>
            <w:tcW w:w="460" w:type="dxa"/>
            <w:vAlign w:val="bottom"/>
            <w:tcBorders>
              <w:bottom w:val="single" w:sz="8" w:color="auto"/>
            </w:tcBorders>
          </w:tcPr>
          <w:p>
            <w:pPr>
              <w:spacing w:after="0"/>
              <w:rPr>
                <w:sz w:val="15"/>
                <w:szCs w:val="15"/>
                <w:color w:val="auto"/>
              </w:rPr>
            </w:pPr>
          </w:p>
        </w:tc>
        <w:tc>
          <w:tcPr>
            <w:tcW w:w="89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320" w:type="dxa"/>
            <w:vAlign w:val="bottom"/>
          </w:tcPr>
          <w:p>
            <w:pPr>
              <w:spacing w:after="0"/>
              <w:rPr>
                <w:sz w:val="19"/>
                <w:szCs w:val="19"/>
                <w:color w:val="auto"/>
              </w:rPr>
            </w:pP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8980" w:type="dxa"/>
            <w:vAlign w:val="bottom"/>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6,871,642</w:t>
      </w:r>
    </w:p>
    <w:p>
      <w:pPr>
        <w:spacing w:after="0" w:line="36" w:lineRule="exact"/>
        <w:rPr>
          <w:sz w:val="20"/>
          <w:szCs w:val="20"/>
          <w:color w:val="auto"/>
        </w:rPr>
      </w:pPr>
    </w:p>
    <w:p>
      <w:pPr>
        <w:ind w:left="620" w:right="3940" w:hanging="455"/>
        <w:spacing w:after="0" w:line="406" w:lineRule="auto"/>
        <w:tabs>
          <w:tab w:leader="none" w:pos="61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6,871,642</w:t>
      </w:r>
    </w:p>
    <w:p>
      <w:pPr>
        <w:spacing w:after="0" w:line="1" w:lineRule="exact"/>
        <w:rPr>
          <w:rFonts w:ascii="Arial" w:cs="Arial" w:eastAsia="Arial" w:hAnsi="Arial"/>
          <w:sz w:val="18"/>
          <w:szCs w:val="18"/>
          <w:color w:val="auto"/>
        </w:rPr>
      </w:pPr>
    </w:p>
    <w:p>
      <w:pPr>
        <w:ind w:left="620" w:hanging="455"/>
        <w:spacing w:after="0"/>
        <w:tabs>
          <w:tab w:leader="none" w:pos="6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0" w:hanging="455"/>
        <w:spacing w:after="0"/>
        <w:tabs>
          <w:tab w:leader="none" w:pos="6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44"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7.8%*</w:t>
      </w:r>
    </w:p>
    <w:p>
      <w:pPr>
        <w:spacing w:after="0" w:line="36" w:lineRule="exact"/>
        <w:rPr>
          <w:rFonts w:ascii="Arial" w:cs="Arial" w:eastAsia="Arial" w:hAnsi="Arial"/>
          <w:sz w:val="18"/>
          <w:szCs w:val="18"/>
          <w:color w:val="auto"/>
        </w:rPr>
      </w:pPr>
    </w:p>
    <w:p>
      <w:pPr>
        <w:ind w:left="620" w:hanging="455"/>
        <w:spacing w:after="0"/>
        <w:tabs>
          <w:tab w:leader="none" w:pos="6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79" w:lineRule="exact"/>
        <w:rPr>
          <w:rFonts w:ascii="Arial" w:cs="Arial" w:eastAsia="Arial" w:hAnsi="Arial"/>
          <w:sz w:val="18"/>
          <w:szCs w:val="18"/>
          <w:color w:val="auto"/>
        </w:rPr>
      </w:pPr>
    </w:p>
    <w:p>
      <w:pPr>
        <w:ind w:left="460" w:hanging="445"/>
        <w:spacing w:after="0" w:line="277" w:lineRule="auto"/>
        <w:rPr>
          <w:rFonts w:ascii="Arial" w:cs="Arial" w:eastAsia="Arial" w:hAnsi="Arial"/>
          <w:sz w:val="18"/>
          <w:szCs w:val="18"/>
          <w:color w:val="auto"/>
        </w:rPr>
      </w:pPr>
      <w:r>
        <w:rPr>
          <w:rFonts w:ascii="Arial" w:cs="Arial" w:eastAsia="Arial" w:hAnsi="Arial"/>
          <w:sz w:val="18"/>
          <w:szCs w:val="18"/>
          <w:color w:val="auto"/>
        </w:rPr>
        <w:t>*Based on 87,546,430 shares of the Issuer’s common stock outstanding as of November 5, 2021 as set forth in the Issuer’s Quarterly Report on Form 10-Q filed with the Securities and Exchange Commission on November 9, 2021.</w:t>
      </w:r>
    </w:p>
    <w:p>
      <w:pPr>
        <w:sectPr>
          <w:pgSz w:w="11900" w:h="16838" w:orient="portrait"/>
          <w:cols w:equalWidth="0" w:num="1">
            <w:col w:w="11100"/>
          </w:cols>
          <w:pgMar w:left="320" w:top="274" w:right="479" w:bottom="1440" w:gutter="0" w:footer="0" w:header="0"/>
        </w:sectPr>
      </w:pPr>
    </w:p>
    <w:bookmarkStart w:id="3" w:name="page4"/>
    <w:bookmarkEnd w:id="3"/>
    <w:p>
      <w:pPr>
        <w:spacing w:after="0"/>
        <w:tabs>
          <w:tab w:leader="none" w:pos="52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87583X109</w:t>
      </w:r>
      <w:r>
        <w:rPr>
          <w:sz w:val="20"/>
          <w:szCs w:val="20"/>
          <w:color w:val="auto"/>
        </w:rPr>
        <w:tab/>
      </w:r>
      <w:r>
        <w:rPr>
          <w:rFonts w:ascii="Arial" w:cs="Arial" w:eastAsia="Arial" w:hAnsi="Arial"/>
          <w:sz w:val="17"/>
          <w:szCs w:val="17"/>
          <w:color w:val="auto"/>
        </w:rPr>
        <w:t>SCHEDULE 13D</w:t>
      </w:r>
    </w:p>
    <w:p>
      <w:pPr>
        <w:spacing w:after="0" w:line="171" w:lineRule="exact"/>
        <w:rPr>
          <w:sz w:val="20"/>
          <w:szCs w:val="20"/>
          <w:color w:val="auto"/>
        </w:rPr>
      </w:pPr>
    </w:p>
    <w:p>
      <w:pPr>
        <w:ind w:left="620" w:hanging="365"/>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6995160" cy="6111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6111875"/>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Boxer Asset Management Inc.</w:t>
      </w:r>
    </w:p>
    <w:p>
      <w:pPr>
        <w:spacing w:after="0" w:line="36" w:lineRule="exact"/>
        <w:rPr>
          <w:sz w:val="20"/>
          <w:szCs w:val="20"/>
          <w:color w:val="auto"/>
        </w:rPr>
      </w:pPr>
    </w:p>
    <w:p>
      <w:pPr>
        <w:ind w:left="620" w:hanging="365"/>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20"/>
        <w:spacing w:after="0" w:line="207" w:lineRule="exact"/>
        <w:tabs>
          <w:tab w:leader="none" w:pos="142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0" w:hanging="365"/>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0" w:hanging="365"/>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AF</w:t>
      </w:r>
    </w:p>
    <w:p>
      <w:pPr>
        <w:spacing w:after="0" w:line="36" w:lineRule="exact"/>
        <w:rPr>
          <w:sz w:val="20"/>
          <w:szCs w:val="20"/>
          <w:color w:val="auto"/>
        </w:rPr>
      </w:pPr>
    </w:p>
    <w:p>
      <w:pPr>
        <w:ind w:left="620" w:hanging="365"/>
        <w:spacing w:after="0"/>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sz w:val="20"/>
          <w:szCs w:val="20"/>
          <w:color w:val="auto"/>
        </w:rPr>
      </w:pPr>
    </w:p>
    <w:p>
      <w:pPr>
        <w:ind w:left="620"/>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0" w:hanging="365"/>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Bahamas</w:t>
      </w:r>
    </w:p>
    <w:p>
      <w:pPr>
        <w:spacing w:after="0" w:line="36" w:lineRule="exact"/>
        <w:rPr>
          <w:sz w:val="20"/>
          <w:szCs w:val="20"/>
          <w:color w:val="auto"/>
        </w:rPr>
      </w:pPr>
    </w:p>
    <w:tbl>
      <w:tblPr>
        <w:tblLayout w:type="fixed"/>
        <w:tblInd w:w="260" w:type="dxa"/>
        <w:tblCellMar>
          <w:top w:w="0" w:type="dxa"/>
          <w:left w:w="0" w:type="dxa"/>
          <w:bottom w:w="0" w:type="dxa"/>
          <w:right w:w="0" w:type="dxa"/>
        </w:tblCellMar>
      </w:tblPr>
      <w:tr>
        <w:trPr>
          <w:trHeight w:val="230"/>
        </w:trPr>
        <w:tc>
          <w:tcPr>
            <w:tcW w:w="1320" w:type="dxa"/>
            <w:vAlign w:val="bottom"/>
          </w:tcPr>
          <w:p>
            <w:pPr>
              <w:spacing w:after="0"/>
              <w:rPr>
                <w:sz w:val="20"/>
                <w:szCs w:val="20"/>
                <w:color w:val="auto"/>
              </w:rPr>
            </w:pP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7</w:t>
            </w:r>
          </w:p>
        </w:tc>
        <w:tc>
          <w:tcPr>
            <w:tcW w:w="8980" w:type="dxa"/>
            <w:vAlign w:val="bottom"/>
          </w:tcPr>
          <w:p>
            <w:pPr>
              <w:ind w:left="1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05"/>
        </w:trPr>
        <w:tc>
          <w:tcPr>
            <w:tcW w:w="1320" w:type="dxa"/>
            <w:vAlign w:val="bottom"/>
          </w:tcPr>
          <w:p>
            <w:pPr>
              <w:jc w:val="center"/>
              <w:spacing w:after="0"/>
              <w:rPr>
                <w:sz w:val="20"/>
                <w:szCs w:val="20"/>
                <w:color w:val="auto"/>
              </w:rPr>
            </w:pPr>
            <w:r>
              <w:rPr>
                <w:rFonts w:ascii="Arial" w:cs="Arial" w:eastAsia="Arial" w:hAnsi="Arial"/>
                <w:sz w:val="18"/>
                <w:szCs w:val="18"/>
                <w:color w:val="auto"/>
                <w:w w:val="96"/>
              </w:rPr>
              <w:t>NUMBER OF</w:t>
            </w:r>
          </w:p>
        </w:tc>
        <w:tc>
          <w:tcPr>
            <w:tcW w:w="460" w:type="dxa"/>
            <w:vAlign w:val="bottom"/>
          </w:tcPr>
          <w:p>
            <w:pPr>
              <w:spacing w:after="0"/>
              <w:rPr>
                <w:sz w:val="24"/>
                <w:szCs w:val="24"/>
                <w:color w:val="auto"/>
              </w:rPr>
            </w:pPr>
          </w:p>
        </w:tc>
        <w:tc>
          <w:tcPr>
            <w:tcW w:w="898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320" w:type="dxa"/>
            <w:vAlign w:val="bottom"/>
            <w:vMerge w:val="restart"/>
          </w:tcPr>
          <w:p>
            <w:pPr>
              <w:jc w:val="center"/>
              <w:spacing w:after="0"/>
              <w:rPr>
                <w:sz w:val="20"/>
                <w:szCs w:val="20"/>
                <w:color w:val="auto"/>
              </w:rPr>
            </w:pPr>
            <w:r>
              <w:rPr>
                <w:rFonts w:ascii="Arial" w:cs="Arial" w:eastAsia="Arial" w:hAnsi="Arial"/>
                <w:sz w:val="18"/>
                <w:szCs w:val="18"/>
                <w:color w:val="auto"/>
                <w:w w:val="91"/>
              </w:rPr>
              <w:t>SHARES</w:t>
            </w:r>
          </w:p>
        </w:tc>
        <w:tc>
          <w:tcPr>
            <w:tcW w:w="460" w:type="dxa"/>
            <w:vAlign w:val="bottom"/>
            <w:tcBorders>
              <w:bottom w:val="single" w:sz="8" w:color="auto"/>
            </w:tcBorders>
          </w:tcPr>
          <w:p>
            <w:pPr>
              <w:spacing w:after="0"/>
              <w:rPr>
                <w:sz w:val="5"/>
                <w:szCs w:val="5"/>
                <w:color w:val="auto"/>
              </w:rPr>
            </w:pPr>
          </w:p>
        </w:tc>
        <w:tc>
          <w:tcPr>
            <w:tcW w:w="8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320" w:type="dxa"/>
            <w:vAlign w:val="bottom"/>
            <w:vMerge w:val="continue"/>
          </w:tcPr>
          <w:p>
            <w:pPr>
              <w:spacing w:after="0"/>
              <w:rPr>
                <w:sz w:val="11"/>
                <w:szCs w:val="11"/>
                <w:color w:val="auto"/>
              </w:rPr>
            </w:pP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8980" w:type="dxa"/>
            <w:vAlign w:val="bottom"/>
            <w:vMerge w:val="restart"/>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32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460" w:type="dxa"/>
            <w:vAlign w:val="bottom"/>
            <w:vMerge w:val="continue"/>
          </w:tcPr>
          <w:p>
            <w:pPr>
              <w:spacing w:after="0"/>
              <w:rPr>
                <w:sz w:val="8"/>
                <w:szCs w:val="8"/>
                <w:color w:val="auto"/>
              </w:rPr>
            </w:pPr>
          </w:p>
        </w:tc>
        <w:tc>
          <w:tcPr>
            <w:tcW w:w="89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32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8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97"/>
              </w:rPr>
              <w:t>OWNED BY</w:t>
            </w:r>
          </w:p>
        </w:tc>
        <w:tc>
          <w:tcPr>
            <w:tcW w:w="460" w:type="dxa"/>
            <w:vAlign w:val="bottom"/>
          </w:tcPr>
          <w:p>
            <w:pPr>
              <w:spacing w:after="0"/>
              <w:rPr>
                <w:sz w:val="18"/>
                <w:szCs w:val="18"/>
                <w:color w:val="auto"/>
              </w:rPr>
            </w:pPr>
          </w:p>
        </w:tc>
        <w:tc>
          <w:tcPr>
            <w:tcW w:w="8980" w:type="dxa"/>
            <w:vAlign w:val="bottom"/>
            <w:vMerge w:val="restart"/>
          </w:tcPr>
          <w:p>
            <w:pPr>
              <w:ind w:left="160"/>
              <w:spacing w:after="0"/>
              <w:rPr>
                <w:sz w:val="20"/>
                <w:szCs w:val="20"/>
                <w:color w:val="auto"/>
              </w:rPr>
            </w:pPr>
            <w:r>
              <w:rPr>
                <w:rFonts w:ascii="Arial" w:cs="Arial" w:eastAsia="Arial" w:hAnsi="Arial"/>
                <w:sz w:val="18"/>
                <w:szCs w:val="18"/>
                <w:color w:val="auto"/>
              </w:rPr>
              <w:t>6,871,642</w:t>
            </w:r>
          </w:p>
        </w:tc>
        <w:tc>
          <w:tcPr>
            <w:tcW w:w="0" w:type="dxa"/>
            <w:vAlign w:val="bottom"/>
          </w:tcPr>
          <w:p>
            <w:pPr>
              <w:spacing w:after="0"/>
              <w:rPr>
                <w:sz w:val="1"/>
                <w:szCs w:val="1"/>
                <w:color w:val="auto"/>
              </w:rPr>
            </w:pPr>
          </w:p>
        </w:tc>
      </w:tr>
      <w:tr>
        <w:trPr>
          <w:trHeight w:val="116"/>
        </w:trPr>
        <w:tc>
          <w:tcPr>
            <w:tcW w:w="1320" w:type="dxa"/>
            <w:vAlign w:val="bottom"/>
            <w:vMerge w:val="restart"/>
          </w:tcPr>
          <w:p>
            <w:pPr>
              <w:jc w:val="center"/>
              <w:spacing w:after="0"/>
              <w:rPr>
                <w:sz w:val="20"/>
                <w:szCs w:val="20"/>
                <w:color w:val="auto"/>
              </w:rPr>
            </w:pPr>
            <w:r>
              <w:rPr>
                <w:rFonts w:ascii="Arial" w:cs="Arial" w:eastAsia="Arial" w:hAnsi="Arial"/>
                <w:sz w:val="18"/>
                <w:szCs w:val="18"/>
                <w:color w:val="auto"/>
                <w:w w:val="95"/>
              </w:rPr>
              <w:t>EACH</w:t>
            </w:r>
          </w:p>
        </w:tc>
        <w:tc>
          <w:tcPr>
            <w:tcW w:w="460" w:type="dxa"/>
            <w:vAlign w:val="bottom"/>
            <w:tcBorders>
              <w:bottom w:val="single" w:sz="8" w:color="auto"/>
            </w:tcBorders>
          </w:tcPr>
          <w:p>
            <w:pPr>
              <w:spacing w:after="0"/>
              <w:rPr>
                <w:sz w:val="10"/>
                <w:szCs w:val="10"/>
                <w:color w:val="auto"/>
              </w:rPr>
            </w:pPr>
          </w:p>
        </w:tc>
        <w:tc>
          <w:tcPr>
            <w:tcW w:w="89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320" w:type="dxa"/>
            <w:vAlign w:val="bottom"/>
            <w:vMerge w:val="continue"/>
          </w:tcPr>
          <w:p>
            <w:pPr>
              <w:spacing w:after="0"/>
              <w:rPr>
                <w:sz w:val="6"/>
                <w:szCs w:val="6"/>
                <w:color w:val="auto"/>
              </w:rPr>
            </w:pP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9</w:t>
            </w:r>
          </w:p>
        </w:tc>
        <w:tc>
          <w:tcPr>
            <w:tcW w:w="898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32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460" w:type="dxa"/>
            <w:vAlign w:val="bottom"/>
            <w:vMerge w:val="continue"/>
          </w:tcPr>
          <w:p>
            <w:pPr>
              <w:spacing w:after="0"/>
              <w:rPr>
                <w:sz w:val="13"/>
                <w:szCs w:val="13"/>
                <w:color w:val="auto"/>
              </w:rPr>
            </w:pPr>
          </w:p>
        </w:tc>
        <w:tc>
          <w:tcPr>
            <w:tcW w:w="8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32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89"/>
              </w:rPr>
              <w:t>PERSON</w:t>
            </w:r>
          </w:p>
        </w:tc>
        <w:tc>
          <w:tcPr>
            <w:tcW w:w="460" w:type="dxa"/>
            <w:vAlign w:val="bottom"/>
          </w:tcPr>
          <w:p>
            <w:pPr>
              <w:spacing w:after="0"/>
              <w:rPr>
                <w:sz w:val="18"/>
                <w:szCs w:val="18"/>
                <w:color w:val="auto"/>
              </w:rPr>
            </w:pPr>
          </w:p>
        </w:tc>
        <w:tc>
          <w:tcPr>
            <w:tcW w:w="898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6"/>
        </w:trPr>
        <w:tc>
          <w:tcPr>
            <w:tcW w:w="1320" w:type="dxa"/>
            <w:vAlign w:val="bottom"/>
          </w:tcPr>
          <w:p>
            <w:pPr>
              <w:jc w:val="center"/>
              <w:spacing w:after="0" w:line="157" w:lineRule="exact"/>
              <w:rPr>
                <w:sz w:val="20"/>
                <w:szCs w:val="20"/>
                <w:color w:val="auto"/>
              </w:rPr>
            </w:pPr>
            <w:r>
              <w:rPr>
                <w:rFonts w:ascii="Arial" w:cs="Arial" w:eastAsia="Arial" w:hAnsi="Arial"/>
                <w:sz w:val="18"/>
                <w:szCs w:val="18"/>
                <w:color w:val="auto"/>
              </w:rPr>
              <w:t>WITH</w:t>
            </w:r>
          </w:p>
        </w:tc>
        <w:tc>
          <w:tcPr>
            <w:tcW w:w="460" w:type="dxa"/>
            <w:vAlign w:val="bottom"/>
            <w:tcBorders>
              <w:bottom w:val="single" w:sz="8" w:color="auto"/>
            </w:tcBorders>
          </w:tcPr>
          <w:p>
            <w:pPr>
              <w:spacing w:after="0"/>
              <w:rPr>
                <w:sz w:val="15"/>
                <w:szCs w:val="15"/>
                <w:color w:val="auto"/>
              </w:rPr>
            </w:pPr>
          </w:p>
        </w:tc>
        <w:tc>
          <w:tcPr>
            <w:tcW w:w="89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320" w:type="dxa"/>
            <w:vAlign w:val="bottom"/>
          </w:tcPr>
          <w:p>
            <w:pPr>
              <w:spacing w:after="0"/>
              <w:rPr>
                <w:sz w:val="19"/>
                <w:szCs w:val="19"/>
                <w:color w:val="auto"/>
              </w:rPr>
            </w:pP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8980" w:type="dxa"/>
            <w:vAlign w:val="bottom"/>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6,871,642</w:t>
      </w:r>
    </w:p>
    <w:p>
      <w:pPr>
        <w:spacing w:after="0" w:line="36" w:lineRule="exact"/>
        <w:rPr>
          <w:sz w:val="20"/>
          <w:szCs w:val="20"/>
          <w:color w:val="auto"/>
        </w:rPr>
      </w:pPr>
    </w:p>
    <w:p>
      <w:pPr>
        <w:ind w:left="620" w:right="3940" w:hanging="455"/>
        <w:spacing w:after="0" w:line="406" w:lineRule="auto"/>
        <w:tabs>
          <w:tab w:leader="none" w:pos="61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6,871,642</w:t>
      </w:r>
    </w:p>
    <w:p>
      <w:pPr>
        <w:spacing w:after="0" w:line="1" w:lineRule="exact"/>
        <w:rPr>
          <w:rFonts w:ascii="Arial" w:cs="Arial" w:eastAsia="Arial" w:hAnsi="Arial"/>
          <w:sz w:val="18"/>
          <w:szCs w:val="18"/>
          <w:color w:val="auto"/>
        </w:rPr>
      </w:pPr>
    </w:p>
    <w:p>
      <w:pPr>
        <w:ind w:left="620" w:hanging="455"/>
        <w:spacing w:after="0"/>
        <w:tabs>
          <w:tab w:leader="none" w:pos="6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0" w:hanging="455"/>
        <w:spacing w:after="0"/>
        <w:tabs>
          <w:tab w:leader="none" w:pos="6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44"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7.8%</w:t>
      </w:r>
    </w:p>
    <w:p>
      <w:pPr>
        <w:spacing w:after="0" w:line="36" w:lineRule="exact"/>
        <w:rPr>
          <w:rFonts w:ascii="Arial" w:cs="Arial" w:eastAsia="Arial" w:hAnsi="Arial"/>
          <w:sz w:val="18"/>
          <w:szCs w:val="18"/>
          <w:color w:val="auto"/>
        </w:rPr>
      </w:pPr>
    </w:p>
    <w:p>
      <w:pPr>
        <w:ind w:left="620" w:hanging="455"/>
        <w:spacing w:after="0"/>
        <w:tabs>
          <w:tab w:leader="none" w:pos="6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279" w:lineRule="exact"/>
        <w:rPr>
          <w:rFonts w:ascii="Arial" w:cs="Arial" w:eastAsia="Arial" w:hAnsi="Arial"/>
          <w:sz w:val="18"/>
          <w:szCs w:val="18"/>
          <w:color w:val="auto"/>
        </w:rPr>
      </w:pPr>
    </w:p>
    <w:p>
      <w:pPr>
        <w:ind w:left="460" w:hanging="445"/>
        <w:spacing w:after="0" w:line="277" w:lineRule="auto"/>
        <w:rPr>
          <w:rFonts w:ascii="Arial" w:cs="Arial" w:eastAsia="Arial" w:hAnsi="Arial"/>
          <w:sz w:val="18"/>
          <w:szCs w:val="18"/>
          <w:color w:val="auto"/>
        </w:rPr>
      </w:pPr>
      <w:r>
        <w:rPr>
          <w:rFonts w:ascii="Arial" w:cs="Arial" w:eastAsia="Arial" w:hAnsi="Arial"/>
          <w:sz w:val="18"/>
          <w:szCs w:val="18"/>
          <w:color w:val="auto"/>
        </w:rPr>
        <w:t>*Based on 87,546,430 shares of the Issuer’s common stock outstanding as of November 5, 2021 as set forth in the Issuer’s Quarterly Report on Form 10-Q filed with the Securities and Exchange Commission on November 9, 2021.</w:t>
      </w:r>
    </w:p>
    <w:p>
      <w:pPr>
        <w:sectPr>
          <w:pgSz w:w="11900" w:h="16838" w:orient="portrait"/>
          <w:cols w:equalWidth="0" w:num="1">
            <w:col w:w="11100"/>
          </w:cols>
          <w:pgMar w:left="320" w:top="274" w:right="479" w:bottom="1440" w:gutter="0" w:footer="0" w:header="0"/>
        </w:sectPr>
      </w:pPr>
    </w:p>
    <w:bookmarkStart w:id="4" w:name="page5"/>
    <w:bookmarkEnd w:id="4"/>
    <w:p>
      <w:pPr>
        <w:spacing w:after="0"/>
        <w:tabs>
          <w:tab w:leader="none" w:pos="52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87583X109</w:t>
      </w:r>
      <w:r>
        <w:rPr>
          <w:sz w:val="20"/>
          <w:szCs w:val="20"/>
          <w:color w:val="auto"/>
        </w:rPr>
        <w:tab/>
      </w:r>
      <w:r>
        <w:rPr>
          <w:rFonts w:ascii="Arial" w:cs="Arial" w:eastAsia="Arial" w:hAnsi="Arial"/>
          <w:sz w:val="17"/>
          <w:szCs w:val="17"/>
          <w:color w:val="auto"/>
        </w:rPr>
        <w:t>SCHEDULE 13D</w:t>
      </w:r>
    </w:p>
    <w:p>
      <w:pPr>
        <w:spacing w:after="0" w:line="171" w:lineRule="exact"/>
        <w:rPr>
          <w:sz w:val="20"/>
          <w:szCs w:val="20"/>
          <w:color w:val="auto"/>
        </w:rPr>
      </w:pPr>
    </w:p>
    <w:p>
      <w:pPr>
        <w:ind w:left="620" w:hanging="365"/>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6995160" cy="6111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6111875"/>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Braslyn Ltd.</w:t>
      </w:r>
    </w:p>
    <w:p>
      <w:pPr>
        <w:spacing w:after="0" w:line="36" w:lineRule="exact"/>
        <w:rPr>
          <w:sz w:val="20"/>
          <w:szCs w:val="20"/>
          <w:color w:val="auto"/>
        </w:rPr>
      </w:pPr>
    </w:p>
    <w:p>
      <w:pPr>
        <w:ind w:left="620" w:hanging="365"/>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20"/>
        <w:spacing w:after="0" w:line="207" w:lineRule="exact"/>
        <w:tabs>
          <w:tab w:leader="none" w:pos="142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0" w:hanging="365"/>
        <w:spacing w:after="0"/>
        <w:tabs>
          <w:tab w:leader="none" w:pos="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0" w:hanging="365"/>
        <w:spacing w:after="0"/>
        <w:tabs>
          <w:tab w:leader="none" w:pos="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WC</w:t>
      </w:r>
    </w:p>
    <w:p>
      <w:pPr>
        <w:spacing w:after="0" w:line="36" w:lineRule="exact"/>
        <w:rPr>
          <w:sz w:val="20"/>
          <w:szCs w:val="20"/>
          <w:color w:val="auto"/>
        </w:rPr>
      </w:pPr>
    </w:p>
    <w:p>
      <w:pPr>
        <w:ind w:left="620" w:hanging="365"/>
        <w:spacing w:after="0"/>
        <w:tabs>
          <w:tab w:leader="none" w:pos="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sz w:val="20"/>
          <w:szCs w:val="20"/>
          <w:color w:val="auto"/>
        </w:rPr>
      </w:pPr>
    </w:p>
    <w:p>
      <w:pPr>
        <w:ind w:left="620"/>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0" w:hanging="365"/>
        <w:spacing w:after="0"/>
        <w:tabs>
          <w:tab w:leader="none" w:pos="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Bahamas</w:t>
      </w:r>
    </w:p>
    <w:p>
      <w:pPr>
        <w:spacing w:after="0" w:line="36" w:lineRule="exact"/>
        <w:rPr>
          <w:sz w:val="20"/>
          <w:szCs w:val="20"/>
          <w:color w:val="auto"/>
        </w:rPr>
      </w:pPr>
    </w:p>
    <w:tbl>
      <w:tblPr>
        <w:tblLayout w:type="fixed"/>
        <w:tblInd w:w="260" w:type="dxa"/>
        <w:tblCellMar>
          <w:top w:w="0" w:type="dxa"/>
          <w:left w:w="0" w:type="dxa"/>
          <w:bottom w:w="0" w:type="dxa"/>
          <w:right w:w="0" w:type="dxa"/>
        </w:tblCellMar>
      </w:tblPr>
      <w:tr>
        <w:trPr>
          <w:trHeight w:val="230"/>
        </w:trPr>
        <w:tc>
          <w:tcPr>
            <w:tcW w:w="1320" w:type="dxa"/>
            <w:vAlign w:val="bottom"/>
          </w:tcPr>
          <w:p>
            <w:pPr>
              <w:spacing w:after="0"/>
              <w:rPr>
                <w:sz w:val="20"/>
                <w:szCs w:val="20"/>
                <w:color w:val="auto"/>
              </w:rPr>
            </w:pP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7</w:t>
            </w:r>
          </w:p>
        </w:tc>
        <w:tc>
          <w:tcPr>
            <w:tcW w:w="8980" w:type="dxa"/>
            <w:vAlign w:val="bottom"/>
          </w:tcPr>
          <w:p>
            <w:pPr>
              <w:ind w:left="1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05"/>
        </w:trPr>
        <w:tc>
          <w:tcPr>
            <w:tcW w:w="1320" w:type="dxa"/>
            <w:vAlign w:val="bottom"/>
          </w:tcPr>
          <w:p>
            <w:pPr>
              <w:jc w:val="center"/>
              <w:spacing w:after="0"/>
              <w:rPr>
                <w:sz w:val="20"/>
                <w:szCs w:val="20"/>
                <w:color w:val="auto"/>
              </w:rPr>
            </w:pPr>
            <w:r>
              <w:rPr>
                <w:rFonts w:ascii="Arial" w:cs="Arial" w:eastAsia="Arial" w:hAnsi="Arial"/>
                <w:sz w:val="18"/>
                <w:szCs w:val="18"/>
                <w:color w:val="auto"/>
                <w:w w:val="96"/>
              </w:rPr>
              <w:t>NUMBER OF</w:t>
            </w:r>
          </w:p>
        </w:tc>
        <w:tc>
          <w:tcPr>
            <w:tcW w:w="460" w:type="dxa"/>
            <w:vAlign w:val="bottom"/>
          </w:tcPr>
          <w:p>
            <w:pPr>
              <w:spacing w:after="0"/>
              <w:rPr>
                <w:sz w:val="24"/>
                <w:szCs w:val="24"/>
                <w:color w:val="auto"/>
              </w:rPr>
            </w:pPr>
          </w:p>
        </w:tc>
        <w:tc>
          <w:tcPr>
            <w:tcW w:w="898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320" w:type="dxa"/>
            <w:vAlign w:val="bottom"/>
            <w:vMerge w:val="restart"/>
          </w:tcPr>
          <w:p>
            <w:pPr>
              <w:jc w:val="center"/>
              <w:spacing w:after="0"/>
              <w:rPr>
                <w:sz w:val="20"/>
                <w:szCs w:val="20"/>
                <w:color w:val="auto"/>
              </w:rPr>
            </w:pPr>
            <w:r>
              <w:rPr>
                <w:rFonts w:ascii="Arial" w:cs="Arial" w:eastAsia="Arial" w:hAnsi="Arial"/>
                <w:sz w:val="18"/>
                <w:szCs w:val="18"/>
                <w:color w:val="auto"/>
                <w:w w:val="91"/>
              </w:rPr>
              <w:t>SHARES</w:t>
            </w:r>
          </w:p>
        </w:tc>
        <w:tc>
          <w:tcPr>
            <w:tcW w:w="460" w:type="dxa"/>
            <w:vAlign w:val="bottom"/>
            <w:tcBorders>
              <w:bottom w:val="single" w:sz="8" w:color="auto"/>
            </w:tcBorders>
          </w:tcPr>
          <w:p>
            <w:pPr>
              <w:spacing w:after="0"/>
              <w:rPr>
                <w:sz w:val="5"/>
                <w:szCs w:val="5"/>
                <w:color w:val="auto"/>
              </w:rPr>
            </w:pPr>
          </w:p>
        </w:tc>
        <w:tc>
          <w:tcPr>
            <w:tcW w:w="8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320" w:type="dxa"/>
            <w:vAlign w:val="bottom"/>
            <w:vMerge w:val="continue"/>
          </w:tcPr>
          <w:p>
            <w:pPr>
              <w:spacing w:after="0"/>
              <w:rPr>
                <w:sz w:val="11"/>
                <w:szCs w:val="11"/>
                <w:color w:val="auto"/>
              </w:rPr>
            </w:pP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8980" w:type="dxa"/>
            <w:vAlign w:val="bottom"/>
            <w:vMerge w:val="restart"/>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32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460" w:type="dxa"/>
            <w:vAlign w:val="bottom"/>
            <w:vMerge w:val="continue"/>
          </w:tcPr>
          <w:p>
            <w:pPr>
              <w:spacing w:after="0"/>
              <w:rPr>
                <w:sz w:val="8"/>
                <w:szCs w:val="8"/>
                <w:color w:val="auto"/>
              </w:rPr>
            </w:pPr>
          </w:p>
        </w:tc>
        <w:tc>
          <w:tcPr>
            <w:tcW w:w="89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32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8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97"/>
              </w:rPr>
              <w:t>OWNED BY</w:t>
            </w:r>
          </w:p>
        </w:tc>
        <w:tc>
          <w:tcPr>
            <w:tcW w:w="460" w:type="dxa"/>
            <w:vAlign w:val="bottom"/>
          </w:tcPr>
          <w:p>
            <w:pPr>
              <w:spacing w:after="0"/>
              <w:rPr>
                <w:sz w:val="18"/>
                <w:szCs w:val="18"/>
                <w:color w:val="auto"/>
              </w:rPr>
            </w:pPr>
          </w:p>
        </w:tc>
        <w:tc>
          <w:tcPr>
            <w:tcW w:w="8980" w:type="dxa"/>
            <w:vAlign w:val="bottom"/>
            <w:vMerge w:val="restart"/>
          </w:tcPr>
          <w:p>
            <w:pPr>
              <w:ind w:left="160"/>
              <w:spacing w:after="0"/>
              <w:rPr>
                <w:sz w:val="20"/>
                <w:szCs w:val="20"/>
                <w:color w:val="auto"/>
              </w:rPr>
            </w:pPr>
            <w:r>
              <w:rPr>
                <w:rFonts w:ascii="Arial" w:cs="Arial" w:eastAsia="Arial" w:hAnsi="Arial"/>
                <w:sz w:val="18"/>
                <w:szCs w:val="18"/>
                <w:color w:val="auto"/>
              </w:rPr>
              <w:t>26,961</w:t>
            </w:r>
          </w:p>
        </w:tc>
        <w:tc>
          <w:tcPr>
            <w:tcW w:w="0" w:type="dxa"/>
            <w:vAlign w:val="bottom"/>
          </w:tcPr>
          <w:p>
            <w:pPr>
              <w:spacing w:after="0"/>
              <w:rPr>
                <w:sz w:val="1"/>
                <w:szCs w:val="1"/>
                <w:color w:val="auto"/>
              </w:rPr>
            </w:pPr>
          </w:p>
        </w:tc>
      </w:tr>
      <w:tr>
        <w:trPr>
          <w:trHeight w:val="116"/>
        </w:trPr>
        <w:tc>
          <w:tcPr>
            <w:tcW w:w="1320" w:type="dxa"/>
            <w:vAlign w:val="bottom"/>
            <w:vMerge w:val="restart"/>
          </w:tcPr>
          <w:p>
            <w:pPr>
              <w:jc w:val="center"/>
              <w:spacing w:after="0"/>
              <w:rPr>
                <w:sz w:val="20"/>
                <w:szCs w:val="20"/>
                <w:color w:val="auto"/>
              </w:rPr>
            </w:pPr>
            <w:r>
              <w:rPr>
                <w:rFonts w:ascii="Arial" w:cs="Arial" w:eastAsia="Arial" w:hAnsi="Arial"/>
                <w:sz w:val="18"/>
                <w:szCs w:val="18"/>
                <w:color w:val="auto"/>
                <w:w w:val="95"/>
              </w:rPr>
              <w:t>EACH</w:t>
            </w:r>
          </w:p>
        </w:tc>
        <w:tc>
          <w:tcPr>
            <w:tcW w:w="460" w:type="dxa"/>
            <w:vAlign w:val="bottom"/>
            <w:tcBorders>
              <w:bottom w:val="single" w:sz="8" w:color="auto"/>
            </w:tcBorders>
          </w:tcPr>
          <w:p>
            <w:pPr>
              <w:spacing w:after="0"/>
              <w:rPr>
                <w:sz w:val="10"/>
                <w:szCs w:val="10"/>
                <w:color w:val="auto"/>
              </w:rPr>
            </w:pPr>
          </w:p>
        </w:tc>
        <w:tc>
          <w:tcPr>
            <w:tcW w:w="89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320" w:type="dxa"/>
            <w:vAlign w:val="bottom"/>
            <w:vMerge w:val="continue"/>
          </w:tcPr>
          <w:p>
            <w:pPr>
              <w:spacing w:after="0"/>
              <w:rPr>
                <w:sz w:val="6"/>
                <w:szCs w:val="6"/>
                <w:color w:val="auto"/>
              </w:rPr>
            </w:pP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9</w:t>
            </w:r>
          </w:p>
        </w:tc>
        <w:tc>
          <w:tcPr>
            <w:tcW w:w="898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32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460" w:type="dxa"/>
            <w:vAlign w:val="bottom"/>
            <w:vMerge w:val="continue"/>
          </w:tcPr>
          <w:p>
            <w:pPr>
              <w:spacing w:after="0"/>
              <w:rPr>
                <w:sz w:val="13"/>
                <w:szCs w:val="13"/>
                <w:color w:val="auto"/>
              </w:rPr>
            </w:pPr>
          </w:p>
        </w:tc>
        <w:tc>
          <w:tcPr>
            <w:tcW w:w="8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32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89"/>
              </w:rPr>
              <w:t>PERSON</w:t>
            </w:r>
          </w:p>
        </w:tc>
        <w:tc>
          <w:tcPr>
            <w:tcW w:w="460" w:type="dxa"/>
            <w:vAlign w:val="bottom"/>
          </w:tcPr>
          <w:p>
            <w:pPr>
              <w:spacing w:after="0"/>
              <w:rPr>
                <w:sz w:val="18"/>
                <w:szCs w:val="18"/>
                <w:color w:val="auto"/>
              </w:rPr>
            </w:pPr>
          </w:p>
        </w:tc>
        <w:tc>
          <w:tcPr>
            <w:tcW w:w="898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6"/>
        </w:trPr>
        <w:tc>
          <w:tcPr>
            <w:tcW w:w="1320" w:type="dxa"/>
            <w:vAlign w:val="bottom"/>
          </w:tcPr>
          <w:p>
            <w:pPr>
              <w:jc w:val="center"/>
              <w:spacing w:after="0" w:line="157" w:lineRule="exact"/>
              <w:rPr>
                <w:sz w:val="20"/>
                <w:szCs w:val="20"/>
                <w:color w:val="auto"/>
              </w:rPr>
            </w:pPr>
            <w:r>
              <w:rPr>
                <w:rFonts w:ascii="Arial" w:cs="Arial" w:eastAsia="Arial" w:hAnsi="Arial"/>
                <w:sz w:val="18"/>
                <w:szCs w:val="18"/>
                <w:color w:val="auto"/>
              </w:rPr>
              <w:t>WITH</w:t>
            </w:r>
          </w:p>
        </w:tc>
        <w:tc>
          <w:tcPr>
            <w:tcW w:w="460" w:type="dxa"/>
            <w:vAlign w:val="bottom"/>
            <w:tcBorders>
              <w:bottom w:val="single" w:sz="8" w:color="auto"/>
            </w:tcBorders>
          </w:tcPr>
          <w:p>
            <w:pPr>
              <w:spacing w:after="0"/>
              <w:rPr>
                <w:sz w:val="15"/>
                <w:szCs w:val="15"/>
                <w:color w:val="auto"/>
              </w:rPr>
            </w:pPr>
          </w:p>
        </w:tc>
        <w:tc>
          <w:tcPr>
            <w:tcW w:w="89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320" w:type="dxa"/>
            <w:vAlign w:val="bottom"/>
          </w:tcPr>
          <w:p>
            <w:pPr>
              <w:spacing w:after="0"/>
              <w:rPr>
                <w:sz w:val="19"/>
                <w:szCs w:val="19"/>
                <w:color w:val="auto"/>
              </w:rPr>
            </w:pP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8980" w:type="dxa"/>
            <w:vAlign w:val="bottom"/>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26,961</w:t>
      </w:r>
    </w:p>
    <w:p>
      <w:pPr>
        <w:spacing w:after="0" w:line="36" w:lineRule="exact"/>
        <w:rPr>
          <w:sz w:val="20"/>
          <w:szCs w:val="20"/>
          <w:color w:val="auto"/>
        </w:rPr>
      </w:pPr>
    </w:p>
    <w:p>
      <w:pPr>
        <w:ind w:left="620" w:right="3940" w:hanging="455"/>
        <w:spacing w:after="0" w:line="406" w:lineRule="auto"/>
        <w:tabs>
          <w:tab w:leader="none" w:pos="61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26,961</w:t>
      </w:r>
    </w:p>
    <w:p>
      <w:pPr>
        <w:spacing w:after="0" w:line="1" w:lineRule="exact"/>
        <w:rPr>
          <w:rFonts w:ascii="Arial" w:cs="Arial" w:eastAsia="Arial" w:hAnsi="Arial"/>
          <w:sz w:val="18"/>
          <w:szCs w:val="18"/>
          <w:color w:val="auto"/>
        </w:rPr>
      </w:pPr>
    </w:p>
    <w:p>
      <w:pPr>
        <w:ind w:left="620" w:hanging="455"/>
        <w:spacing w:after="0"/>
        <w:tabs>
          <w:tab w:leader="none" w:pos="6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0" w:hanging="455"/>
        <w:spacing w:after="0"/>
        <w:tabs>
          <w:tab w:leader="none" w:pos="6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44"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0.0%*</w:t>
      </w:r>
    </w:p>
    <w:p>
      <w:pPr>
        <w:spacing w:after="0" w:line="36" w:lineRule="exact"/>
        <w:rPr>
          <w:rFonts w:ascii="Arial" w:cs="Arial" w:eastAsia="Arial" w:hAnsi="Arial"/>
          <w:sz w:val="18"/>
          <w:szCs w:val="18"/>
          <w:color w:val="auto"/>
        </w:rPr>
      </w:pPr>
    </w:p>
    <w:p>
      <w:pPr>
        <w:ind w:left="620" w:hanging="455"/>
        <w:spacing w:after="0"/>
        <w:tabs>
          <w:tab w:leader="none" w:pos="6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79" w:lineRule="exact"/>
        <w:rPr>
          <w:rFonts w:ascii="Arial" w:cs="Arial" w:eastAsia="Arial" w:hAnsi="Arial"/>
          <w:sz w:val="18"/>
          <w:szCs w:val="18"/>
          <w:color w:val="auto"/>
        </w:rPr>
      </w:pPr>
    </w:p>
    <w:p>
      <w:pPr>
        <w:ind w:left="460" w:hanging="445"/>
        <w:spacing w:after="0" w:line="277" w:lineRule="auto"/>
        <w:rPr>
          <w:rFonts w:ascii="Arial" w:cs="Arial" w:eastAsia="Arial" w:hAnsi="Arial"/>
          <w:sz w:val="18"/>
          <w:szCs w:val="18"/>
          <w:color w:val="auto"/>
        </w:rPr>
      </w:pPr>
      <w:r>
        <w:rPr>
          <w:rFonts w:ascii="Arial" w:cs="Arial" w:eastAsia="Arial" w:hAnsi="Arial"/>
          <w:sz w:val="18"/>
          <w:szCs w:val="18"/>
          <w:color w:val="auto"/>
        </w:rPr>
        <w:t>*Based on 87,546,430 shares of the Issuer’s common stock outstanding as of November 5, 2021 as set forth in the Issuer’s Quarterly Report on Form 10-Q filed with the Securities and Exchange Commission on November 9, 2021.</w:t>
      </w:r>
    </w:p>
    <w:p>
      <w:pPr>
        <w:sectPr>
          <w:pgSz w:w="11900" w:h="16838" w:orient="portrait"/>
          <w:cols w:equalWidth="0" w:num="1">
            <w:col w:w="11100"/>
          </w:cols>
          <w:pgMar w:left="320" w:top="274" w:right="479" w:bottom="1440" w:gutter="0" w:footer="0" w:header="0"/>
        </w:sectPr>
      </w:pPr>
    </w:p>
    <w:bookmarkStart w:id="5" w:name="page6"/>
    <w:bookmarkEnd w:id="5"/>
    <w:p>
      <w:pPr>
        <w:spacing w:after="0"/>
        <w:tabs>
          <w:tab w:leader="none" w:pos="52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87583X109</w:t>
      </w:r>
      <w:r>
        <w:rPr>
          <w:sz w:val="20"/>
          <w:szCs w:val="20"/>
          <w:color w:val="auto"/>
        </w:rPr>
        <w:tab/>
      </w:r>
      <w:r>
        <w:rPr>
          <w:rFonts w:ascii="Arial" w:cs="Arial" w:eastAsia="Arial" w:hAnsi="Arial"/>
          <w:sz w:val="17"/>
          <w:szCs w:val="17"/>
          <w:color w:val="auto"/>
        </w:rPr>
        <w:t>SCHEDULE 13D</w:t>
      </w:r>
    </w:p>
    <w:p>
      <w:pPr>
        <w:spacing w:after="0" w:line="171" w:lineRule="exact"/>
        <w:rPr>
          <w:sz w:val="20"/>
          <w:szCs w:val="20"/>
          <w:color w:val="auto"/>
        </w:rPr>
      </w:pPr>
    </w:p>
    <w:p>
      <w:pPr>
        <w:ind w:left="620" w:hanging="365"/>
        <w:spacing w:after="0"/>
        <w:tabs>
          <w:tab w:leader="none" w:pos="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6995160" cy="61118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6111875"/>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Joe Lewis</w:t>
      </w:r>
    </w:p>
    <w:p>
      <w:pPr>
        <w:spacing w:after="0" w:line="36" w:lineRule="exact"/>
        <w:rPr>
          <w:sz w:val="20"/>
          <w:szCs w:val="20"/>
          <w:color w:val="auto"/>
        </w:rPr>
      </w:pPr>
    </w:p>
    <w:p>
      <w:pPr>
        <w:ind w:left="620" w:hanging="365"/>
        <w:spacing w:after="0"/>
        <w:tabs>
          <w:tab w:leader="none" w:pos="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20"/>
        <w:spacing w:after="0" w:line="207" w:lineRule="exact"/>
        <w:tabs>
          <w:tab w:leader="none" w:pos="142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0" w:hanging="365"/>
        <w:spacing w:after="0"/>
        <w:tabs>
          <w:tab w:leader="none" w:pos="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0" w:hanging="365"/>
        <w:spacing w:after="0"/>
        <w:tabs>
          <w:tab w:leader="none" w:pos="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AF</w:t>
      </w:r>
    </w:p>
    <w:p>
      <w:pPr>
        <w:spacing w:after="0" w:line="36" w:lineRule="exact"/>
        <w:rPr>
          <w:sz w:val="20"/>
          <w:szCs w:val="20"/>
          <w:color w:val="auto"/>
        </w:rPr>
      </w:pPr>
    </w:p>
    <w:p>
      <w:pPr>
        <w:ind w:left="620" w:hanging="365"/>
        <w:spacing w:after="0"/>
        <w:tabs>
          <w:tab w:leader="none" w:pos="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CHECK BOX IF DISCLOSURE OF LEGAL PROCEEDINGS IS REQUIRED PURSUANT TO ITEMS 2(d) or 2(e)</w:t>
      </w:r>
    </w:p>
    <w:p>
      <w:pPr>
        <w:spacing w:after="0" w:line="219" w:lineRule="exact"/>
        <w:rPr>
          <w:sz w:val="20"/>
          <w:szCs w:val="20"/>
          <w:color w:val="auto"/>
        </w:rPr>
      </w:pPr>
    </w:p>
    <w:p>
      <w:pPr>
        <w:ind w:left="620"/>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0" w:hanging="365"/>
        <w:spacing w:after="0"/>
        <w:tabs>
          <w:tab w:leader="none" w:pos="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United Kingdom</w:t>
      </w:r>
    </w:p>
    <w:p>
      <w:pPr>
        <w:spacing w:after="0" w:line="36" w:lineRule="exact"/>
        <w:rPr>
          <w:sz w:val="20"/>
          <w:szCs w:val="20"/>
          <w:color w:val="auto"/>
        </w:rPr>
      </w:pPr>
    </w:p>
    <w:tbl>
      <w:tblPr>
        <w:tblLayout w:type="fixed"/>
        <w:tblInd w:w="260" w:type="dxa"/>
        <w:tblCellMar>
          <w:top w:w="0" w:type="dxa"/>
          <w:left w:w="0" w:type="dxa"/>
          <w:bottom w:w="0" w:type="dxa"/>
          <w:right w:w="0" w:type="dxa"/>
        </w:tblCellMar>
      </w:tblPr>
      <w:tr>
        <w:trPr>
          <w:trHeight w:val="230"/>
        </w:trPr>
        <w:tc>
          <w:tcPr>
            <w:tcW w:w="1320" w:type="dxa"/>
            <w:vAlign w:val="bottom"/>
          </w:tcPr>
          <w:p>
            <w:pPr>
              <w:spacing w:after="0"/>
              <w:rPr>
                <w:sz w:val="20"/>
                <w:szCs w:val="20"/>
                <w:color w:val="auto"/>
              </w:rPr>
            </w:pP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7</w:t>
            </w:r>
          </w:p>
        </w:tc>
        <w:tc>
          <w:tcPr>
            <w:tcW w:w="8980" w:type="dxa"/>
            <w:vAlign w:val="bottom"/>
          </w:tcPr>
          <w:p>
            <w:pPr>
              <w:ind w:left="1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05"/>
        </w:trPr>
        <w:tc>
          <w:tcPr>
            <w:tcW w:w="1320" w:type="dxa"/>
            <w:vAlign w:val="bottom"/>
          </w:tcPr>
          <w:p>
            <w:pPr>
              <w:jc w:val="center"/>
              <w:spacing w:after="0"/>
              <w:rPr>
                <w:sz w:val="20"/>
                <w:szCs w:val="20"/>
                <w:color w:val="auto"/>
              </w:rPr>
            </w:pPr>
            <w:r>
              <w:rPr>
                <w:rFonts w:ascii="Arial" w:cs="Arial" w:eastAsia="Arial" w:hAnsi="Arial"/>
                <w:sz w:val="18"/>
                <w:szCs w:val="18"/>
                <w:color w:val="auto"/>
                <w:w w:val="96"/>
              </w:rPr>
              <w:t>NUMBER OF</w:t>
            </w:r>
          </w:p>
        </w:tc>
        <w:tc>
          <w:tcPr>
            <w:tcW w:w="460" w:type="dxa"/>
            <w:vAlign w:val="bottom"/>
          </w:tcPr>
          <w:p>
            <w:pPr>
              <w:spacing w:after="0"/>
              <w:rPr>
                <w:sz w:val="24"/>
                <w:szCs w:val="24"/>
                <w:color w:val="auto"/>
              </w:rPr>
            </w:pPr>
          </w:p>
        </w:tc>
        <w:tc>
          <w:tcPr>
            <w:tcW w:w="898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320" w:type="dxa"/>
            <w:vAlign w:val="bottom"/>
            <w:vMerge w:val="restart"/>
          </w:tcPr>
          <w:p>
            <w:pPr>
              <w:jc w:val="center"/>
              <w:spacing w:after="0"/>
              <w:rPr>
                <w:sz w:val="20"/>
                <w:szCs w:val="20"/>
                <w:color w:val="auto"/>
              </w:rPr>
            </w:pPr>
            <w:r>
              <w:rPr>
                <w:rFonts w:ascii="Arial" w:cs="Arial" w:eastAsia="Arial" w:hAnsi="Arial"/>
                <w:sz w:val="18"/>
                <w:szCs w:val="18"/>
                <w:color w:val="auto"/>
                <w:w w:val="91"/>
              </w:rPr>
              <w:t>SHARES</w:t>
            </w:r>
          </w:p>
        </w:tc>
        <w:tc>
          <w:tcPr>
            <w:tcW w:w="460" w:type="dxa"/>
            <w:vAlign w:val="bottom"/>
            <w:tcBorders>
              <w:bottom w:val="single" w:sz="8" w:color="auto"/>
            </w:tcBorders>
          </w:tcPr>
          <w:p>
            <w:pPr>
              <w:spacing w:after="0"/>
              <w:rPr>
                <w:sz w:val="5"/>
                <w:szCs w:val="5"/>
                <w:color w:val="auto"/>
              </w:rPr>
            </w:pPr>
          </w:p>
        </w:tc>
        <w:tc>
          <w:tcPr>
            <w:tcW w:w="8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320" w:type="dxa"/>
            <w:vAlign w:val="bottom"/>
            <w:vMerge w:val="continue"/>
          </w:tcPr>
          <w:p>
            <w:pPr>
              <w:spacing w:after="0"/>
              <w:rPr>
                <w:sz w:val="11"/>
                <w:szCs w:val="11"/>
                <w:color w:val="auto"/>
              </w:rPr>
            </w:pP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8980" w:type="dxa"/>
            <w:vAlign w:val="bottom"/>
            <w:vMerge w:val="restart"/>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32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460" w:type="dxa"/>
            <w:vAlign w:val="bottom"/>
            <w:vMerge w:val="continue"/>
          </w:tcPr>
          <w:p>
            <w:pPr>
              <w:spacing w:after="0"/>
              <w:rPr>
                <w:sz w:val="8"/>
                <w:szCs w:val="8"/>
                <w:color w:val="auto"/>
              </w:rPr>
            </w:pPr>
          </w:p>
        </w:tc>
        <w:tc>
          <w:tcPr>
            <w:tcW w:w="89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32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8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97"/>
              </w:rPr>
              <w:t>OWNED BY</w:t>
            </w:r>
          </w:p>
        </w:tc>
        <w:tc>
          <w:tcPr>
            <w:tcW w:w="460" w:type="dxa"/>
            <w:vAlign w:val="bottom"/>
          </w:tcPr>
          <w:p>
            <w:pPr>
              <w:spacing w:after="0"/>
              <w:rPr>
                <w:sz w:val="18"/>
                <w:szCs w:val="18"/>
                <w:color w:val="auto"/>
              </w:rPr>
            </w:pPr>
          </w:p>
        </w:tc>
        <w:tc>
          <w:tcPr>
            <w:tcW w:w="8980" w:type="dxa"/>
            <w:vAlign w:val="bottom"/>
            <w:vMerge w:val="restart"/>
          </w:tcPr>
          <w:p>
            <w:pPr>
              <w:ind w:left="160"/>
              <w:spacing w:after="0"/>
              <w:rPr>
                <w:sz w:val="20"/>
                <w:szCs w:val="20"/>
                <w:color w:val="auto"/>
              </w:rPr>
            </w:pPr>
            <w:r>
              <w:rPr>
                <w:rFonts w:ascii="Arial" w:cs="Arial" w:eastAsia="Arial" w:hAnsi="Arial"/>
                <w:sz w:val="18"/>
                <w:szCs w:val="18"/>
                <w:color w:val="auto"/>
              </w:rPr>
              <w:t>6,898,603</w:t>
            </w:r>
          </w:p>
        </w:tc>
        <w:tc>
          <w:tcPr>
            <w:tcW w:w="0" w:type="dxa"/>
            <w:vAlign w:val="bottom"/>
          </w:tcPr>
          <w:p>
            <w:pPr>
              <w:spacing w:after="0"/>
              <w:rPr>
                <w:sz w:val="1"/>
                <w:szCs w:val="1"/>
                <w:color w:val="auto"/>
              </w:rPr>
            </w:pPr>
          </w:p>
        </w:tc>
      </w:tr>
      <w:tr>
        <w:trPr>
          <w:trHeight w:val="116"/>
        </w:trPr>
        <w:tc>
          <w:tcPr>
            <w:tcW w:w="1320" w:type="dxa"/>
            <w:vAlign w:val="bottom"/>
            <w:vMerge w:val="restart"/>
          </w:tcPr>
          <w:p>
            <w:pPr>
              <w:jc w:val="center"/>
              <w:spacing w:after="0"/>
              <w:rPr>
                <w:sz w:val="20"/>
                <w:szCs w:val="20"/>
                <w:color w:val="auto"/>
              </w:rPr>
            </w:pPr>
            <w:r>
              <w:rPr>
                <w:rFonts w:ascii="Arial" w:cs="Arial" w:eastAsia="Arial" w:hAnsi="Arial"/>
                <w:sz w:val="18"/>
                <w:szCs w:val="18"/>
                <w:color w:val="auto"/>
                <w:w w:val="95"/>
              </w:rPr>
              <w:t>EACH</w:t>
            </w:r>
          </w:p>
        </w:tc>
        <w:tc>
          <w:tcPr>
            <w:tcW w:w="460" w:type="dxa"/>
            <w:vAlign w:val="bottom"/>
            <w:tcBorders>
              <w:bottom w:val="single" w:sz="8" w:color="auto"/>
            </w:tcBorders>
          </w:tcPr>
          <w:p>
            <w:pPr>
              <w:spacing w:after="0"/>
              <w:rPr>
                <w:sz w:val="10"/>
                <w:szCs w:val="10"/>
                <w:color w:val="auto"/>
              </w:rPr>
            </w:pPr>
          </w:p>
        </w:tc>
        <w:tc>
          <w:tcPr>
            <w:tcW w:w="89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320" w:type="dxa"/>
            <w:vAlign w:val="bottom"/>
            <w:vMerge w:val="continue"/>
          </w:tcPr>
          <w:p>
            <w:pPr>
              <w:spacing w:after="0"/>
              <w:rPr>
                <w:sz w:val="6"/>
                <w:szCs w:val="6"/>
                <w:color w:val="auto"/>
              </w:rPr>
            </w:pP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9</w:t>
            </w:r>
          </w:p>
        </w:tc>
        <w:tc>
          <w:tcPr>
            <w:tcW w:w="898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32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460" w:type="dxa"/>
            <w:vAlign w:val="bottom"/>
            <w:vMerge w:val="continue"/>
          </w:tcPr>
          <w:p>
            <w:pPr>
              <w:spacing w:after="0"/>
              <w:rPr>
                <w:sz w:val="13"/>
                <w:szCs w:val="13"/>
                <w:color w:val="auto"/>
              </w:rPr>
            </w:pPr>
          </w:p>
        </w:tc>
        <w:tc>
          <w:tcPr>
            <w:tcW w:w="8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32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89"/>
              </w:rPr>
              <w:t>PERSON</w:t>
            </w:r>
          </w:p>
        </w:tc>
        <w:tc>
          <w:tcPr>
            <w:tcW w:w="460" w:type="dxa"/>
            <w:vAlign w:val="bottom"/>
          </w:tcPr>
          <w:p>
            <w:pPr>
              <w:spacing w:after="0"/>
              <w:rPr>
                <w:sz w:val="18"/>
                <w:szCs w:val="18"/>
                <w:color w:val="auto"/>
              </w:rPr>
            </w:pPr>
          </w:p>
        </w:tc>
        <w:tc>
          <w:tcPr>
            <w:tcW w:w="898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6"/>
        </w:trPr>
        <w:tc>
          <w:tcPr>
            <w:tcW w:w="1320" w:type="dxa"/>
            <w:vAlign w:val="bottom"/>
          </w:tcPr>
          <w:p>
            <w:pPr>
              <w:jc w:val="center"/>
              <w:spacing w:after="0" w:line="157" w:lineRule="exact"/>
              <w:rPr>
                <w:sz w:val="20"/>
                <w:szCs w:val="20"/>
                <w:color w:val="auto"/>
              </w:rPr>
            </w:pPr>
            <w:r>
              <w:rPr>
                <w:rFonts w:ascii="Arial" w:cs="Arial" w:eastAsia="Arial" w:hAnsi="Arial"/>
                <w:sz w:val="18"/>
                <w:szCs w:val="18"/>
                <w:color w:val="auto"/>
              </w:rPr>
              <w:t>WITH</w:t>
            </w:r>
          </w:p>
        </w:tc>
        <w:tc>
          <w:tcPr>
            <w:tcW w:w="460" w:type="dxa"/>
            <w:vAlign w:val="bottom"/>
            <w:tcBorders>
              <w:bottom w:val="single" w:sz="8" w:color="auto"/>
            </w:tcBorders>
          </w:tcPr>
          <w:p>
            <w:pPr>
              <w:spacing w:after="0"/>
              <w:rPr>
                <w:sz w:val="15"/>
                <w:szCs w:val="15"/>
                <w:color w:val="auto"/>
              </w:rPr>
            </w:pPr>
          </w:p>
        </w:tc>
        <w:tc>
          <w:tcPr>
            <w:tcW w:w="89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320" w:type="dxa"/>
            <w:vAlign w:val="bottom"/>
          </w:tcPr>
          <w:p>
            <w:pPr>
              <w:spacing w:after="0"/>
              <w:rPr>
                <w:sz w:val="19"/>
                <w:szCs w:val="19"/>
                <w:color w:val="auto"/>
              </w:rPr>
            </w:pP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8980" w:type="dxa"/>
            <w:vAlign w:val="bottom"/>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6,898,603</w:t>
      </w:r>
    </w:p>
    <w:p>
      <w:pPr>
        <w:spacing w:after="0" w:line="36" w:lineRule="exact"/>
        <w:rPr>
          <w:sz w:val="20"/>
          <w:szCs w:val="20"/>
          <w:color w:val="auto"/>
        </w:rPr>
      </w:pPr>
    </w:p>
    <w:p>
      <w:pPr>
        <w:ind w:left="620" w:right="3940" w:hanging="455"/>
        <w:spacing w:after="0" w:line="406" w:lineRule="auto"/>
        <w:tabs>
          <w:tab w:leader="none" w:pos="61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6,898,603</w:t>
      </w:r>
    </w:p>
    <w:p>
      <w:pPr>
        <w:spacing w:after="0" w:line="1" w:lineRule="exact"/>
        <w:rPr>
          <w:rFonts w:ascii="Arial" w:cs="Arial" w:eastAsia="Arial" w:hAnsi="Arial"/>
          <w:sz w:val="18"/>
          <w:szCs w:val="18"/>
          <w:color w:val="auto"/>
        </w:rPr>
      </w:pPr>
    </w:p>
    <w:p>
      <w:pPr>
        <w:ind w:left="620" w:hanging="455"/>
        <w:spacing w:after="0"/>
        <w:tabs>
          <w:tab w:leader="none" w:pos="6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 (See Instructions)</w:t>
      </w:r>
    </w:p>
    <w:p>
      <w:pPr>
        <w:spacing w:after="0" w:line="219"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0" w:hanging="455"/>
        <w:spacing w:after="0"/>
        <w:tabs>
          <w:tab w:leader="none" w:pos="6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44"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7.9%*</w:t>
      </w:r>
    </w:p>
    <w:p>
      <w:pPr>
        <w:spacing w:after="0" w:line="36" w:lineRule="exact"/>
        <w:rPr>
          <w:rFonts w:ascii="Arial" w:cs="Arial" w:eastAsia="Arial" w:hAnsi="Arial"/>
          <w:sz w:val="18"/>
          <w:szCs w:val="18"/>
          <w:color w:val="auto"/>
        </w:rPr>
      </w:pPr>
    </w:p>
    <w:p>
      <w:pPr>
        <w:ind w:left="620" w:hanging="455"/>
        <w:spacing w:after="0"/>
        <w:tabs>
          <w:tab w:leader="none" w:pos="6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79" w:lineRule="exact"/>
        <w:rPr>
          <w:rFonts w:ascii="Arial" w:cs="Arial" w:eastAsia="Arial" w:hAnsi="Arial"/>
          <w:sz w:val="18"/>
          <w:szCs w:val="18"/>
          <w:color w:val="auto"/>
        </w:rPr>
      </w:pPr>
    </w:p>
    <w:p>
      <w:pPr>
        <w:ind w:left="460" w:hanging="445"/>
        <w:spacing w:after="0" w:line="277" w:lineRule="auto"/>
        <w:rPr>
          <w:rFonts w:ascii="Arial" w:cs="Arial" w:eastAsia="Arial" w:hAnsi="Arial"/>
          <w:sz w:val="18"/>
          <w:szCs w:val="18"/>
          <w:color w:val="auto"/>
        </w:rPr>
      </w:pPr>
      <w:r>
        <w:rPr>
          <w:rFonts w:ascii="Arial" w:cs="Arial" w:eastAsia="Arial" w:hAnsi="Arial"/>
          <w:sz w:val="18"/>
          <w:szCs w:val="18"/>
          <w:color w:val="auto"/>
        </w:rPr>
        <w:t>*Based on 87,546,430 shares of the Issuer’s common stock outstanding as of November 5, 2021 as set forth in the Issuer’s Quarterly Report on Form 10-Q filed with the Securities and Exchange Commission on November 9, 2021.</w:t>
      </w:r>
    </w:p>
    <w:p>
      <w:pPr>
        <w:sectPr>
          <w:pgSz w:w="11900" w:h="16838" w:orient="portrait"/>
          <w:cols w:equalWidth="0" w:num="1">
            <w:col w:w="11100"/>
          </w:cols>
          <w:pgMar w:left="320" w:top="274" w:right="479" w:bottom="1440" w:gutter="0" w:footer="0" w:header="0"/>
        </w:sectPr>
      </w:pPr>
    </w:p>
    <w:bookmarkStart w:id="6" w:name="page7"/>
    <w:bookmarkEnd w:id="6"/>
    <w:p>
      <w:pPr>
        <w:spacing w:after="0"/>
        <w:tabs>
          <w:tab w:leader="none" w:pos="52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87583X109</w:t>
      </w:r>
      <w:r>
        <w:rPr>
          <w:sz w:val="20"/>
          <w:szCs w:val="20"/>
          <w:color w:val="auto"/>
        </w:rPr>
        <w:tab/>
      </w:r>
      <w:r>
        <w:rPr>
          <w:rFonts w:ascii="Arial" w:cs="Arial" w:eastAsia="Arial" w:hAnsi="Arial"/>
          <w:sz w:val="17"/>
          <w:szCs w:val="17"/>
          <w:color w:val="auto"/>
        </w:rPr>
        <w:t>SCHEDULE 13D</w:t>
      </w:r>
    </w:p>
    <w:p>
      <w:pPr>
        <w:spacing w:after="0" w:line="171" w:lineRule="exact"/>
        <w:rPr>
          <w:sz w:val="20"/>
          <w:szCs w:val="20"/>
          <w:color w:val="auto"/>
        </w:rPr>
      </w:pPr>
    </w:p>
    <w:p>
      <w:pPr>
        <w:ind w:left="620" w:hanging="365"/>
        <w:spacing w:after="0"/>
        <w:tabs>
          <w:tab w:leader="none" w:pos="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6995160" cy="61118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6111875"/>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MVA Investors, LLC</w:t>
      </w:r>
    </w:p>
    <w:p>
      <w:pPr>
        <w:spacing w:after="0" w:line="36" w:lineRule="exact"/>
        <w:rPr>
          <w:sz w:val="20"/>
          <w:szCs w:val="20"/>
          <w:color w:val="auto"/>
        </w:rPr>
      </w:pPr>
    </w:p>
    <w:p>
      <w:pPr>
        <w:ind w:left="620" w:hanging="365"/>
        <w:spacing w:after="0"/>
        <w:tabs>
          <w:tab w:leader="none" w:pos="6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20"/>
        <w:spacing w:after="0" w:line="207" w:lineRule="exact"/>
        <w:tabs>
          <w:tab w:leader="none" w:pos="142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0" w:hanging="365"/>
        <w:spacing w:after="0"/>
        <w:tabs>
          <w:tab w:leader="none" w:pos="6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0" w:hanging="365"/>
        <w:spacing w:after="0"/>
        <w:tabs>
          <w:tab w:leader="none" w:pos="6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WC</w:t>
      </w:r>
    </w:p>
    <w:p>
      <w:pPr>
        <w:spacing w:after="0" w:line="36" w:lineRule="exact"/>
        <w:rPr>
          <w:sz w:val="20"/>
          <w:szCs w:val="20"/>
          <w:color w:val="auto"/>
        </w:rPr>
      </w:pPr>
    </w:p>
    <w:p>
      <w:pPr>
        <w:ind w:left="620" w:hanging="365"/>
        <w:spacing w:after="0"/>
        <w:tabs>
          <w:tab w:leader="none" w:pos="6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sz w:val="20"/>
          <w:szCs w:val="20"/>
          <w:color w:val="auto"/>
        </w:rPr>
      </w:pPr>
    </w:p>
    <w:p>
      <w:pPr>
        <w:ind w:left="620"/>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0" w:hanging="365"/>
        <w:spacing w:after="0"/>
        <w:tabs>
          <w:tab w:leader="none" w:pos="6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Delaware</w:t>
      </w:r>
    </w:p>
    <w:p>
      <w:pPr>
        <w:spacing w:after="0" w:line="36" w:lineRule="exact"/>
        <w:rPr>
          <w:sz w:val="20"/>
          <w:szCs w:val="20"/>
          <w:color w:val="auto"/>
        </w:rPr>
      </w:pPr>
    </w:p>
    <w:tbl>
      <w:tblPr>
        <w:tblLayout w:type="fixed"/>
        <w:tblInd w:w="260" w:type="dxa"/>
        <w:tblCellMar>
          <w:top w:w="0" w:type="dxa"/>
          <w:left w:w="0" w:type="dxa"/>
          <w:bottom w:w="0" w:type="dxa"/>
          <w:right w:w="0" w:type="dxa"/>
        </w:tblCellMar>
      </w:tblPr>
      <w:tr>
        <w:trPr>
          <w:trHeight w:val="230"/>
        </w:trPr>
        <w:tc>
          <w:tcPr>
            <w:tcW w:w="1320" w:type="dxa"/>
            <w:vAlign w:val="bottom"/>
          </w:tcPr>
          <w:p>
            <w:pPr>
              <w:spacing w:after="0"/>
              <w:rPr>
                <w:sz w:val="20"/>
                <w:szCs w:val="20"/>
                <w:color w:val="auto"/>
              </w:rPr>
            </w:pP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7</w:t>
            </w:r>
          </w:p>
        </w:tc>
        <w:tc>
          <w:tcPr>
            <w:tcW w:w="8980" w:type="dxa"/>
            <w:vAlign w:val="bottom"/>
          </w:tcPr>
          <w:p>
            <w:pPr>
              <w:ind w:left="1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05"/>
        </w:trPr>
        <w:tc>
          <w:tcPr>
            <w:tcW w:w="1320" w:type="dxa"/>
            <w:vAlign w:val="bottom"/>
          </w:tcPr>
          <w:p>
            <w:pPr>
              <w:jc w:val="center"/>
              <w:spacing w:after="0"/>
              <w:rPr>
                <w:sz w:val="20"/>
                <w:szCs w:val="20"/>
                <w:color w:val="auto"/>
              </w:rPr>
            </w:pPr>
            <w:r>
              <w:rPr>
                <w:rFonts w:ascii="Arial" w:cs="Arial" w:eastAsia="Arial" w:hAnsi="Arial"/>
                <w:sz w:val="18"/>
                <w:szCs w:val="18"/>
                <w:color w:val="auto"/>
                <w:w w:val="96"/>
              </w:rPr>
              <w:t>NUMBER OF</w:t>
            </w:r>
          </w:p>
        </w:tc>
        <w:tc>
          <w:tcPr>
            <w:tcW w:w="460" w:type="dxa"/>
            <w:vAlign w:val="bottom"/>
          </w:tcPr>
          <w:p>
            <w:pPr>
              <w:spacing w:after="0"/>
              <w:rPr>
                <w:sz w:val="24"/>
                <w:szCs w:val="24"/>
                <w:color w:val="auto"/>
              </w:rPr>
            </w:pPr>
          </w:p>
        </w:tc>
        <w:tc>
          <w:tcPr>
            <w:tcW w:w="898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320" w:type="dxa"/>
            <w:vAlign w:val="bottom"/>
            <w:vMerge w:val="restart"/>
          </w:tcPr>
          <w:p>
            <w:pPr>
              <w:jc w:val="center"/>
              <w:spacing w:after="0"/>
              <w:rPr>
                <w:sz w:val="20"/>
                <w:szCs w:val="20"/>
                <w:color w:val="auto"/>
              </w:rPr>
            </w:pPr>
            <w:r>
              <w:rPr>
                <w:rFonts w:ascii="Arial" w:cs="Arial" w:eastAsia="Arial" w:hAnsi="Arial"/>
                <w:sz w:val="18"/>
                <w:szCs w:val="18"/>
                <w:color w:val="auto"/>
                <w:w w:val="91"/>
              </w:rPr>
              <w:t>SHARES</w:t>
            </w:r>
          </w:p>
        </w:tc>
        <w:tc>
          <w:tcPr>
            <w:tcW w:w="460" w:type="dxa"/>
            <w:vAlign w:val="bottom"/>
            <w:tcBorders>
              <w:bottom w:val="single" w:sz="8" w:color="auto"/>
            </w:tcBorders>
          </w:tcPr>
          <w:p>
            <w:pPr>
              <w:spacing w:after="0"/>
              <w:rPr>
                <w:sz w:val="5"/>
                <w:szCs w:val="5"/>
                <w:color w:val="auto"/>
              </w:rPr>
            </w:pPr>
          </w:p>
        </w:tc>
        <w:tc>
          <w:tcPr>
            <w:tcW w:w="8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320" w:type="dxa"/>
            <w:vAlign w:val="bottom"/>
            <w:vMerge w:val="continue"/>
          </w:tcPr>
          <w:p>
            <w:pPr>
              <w:spacing w:after="0"/>
              <w:rPr>
                <w:sz w:val="11"/>
                <w:szCs w:val="11"/>
                <w:color w:val="auto"/>
              </w:rPr>
            </w:pP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8980" w:type="dxa"/>
            <w:vAlign w:val="bottom"/>
            <w:vMerge w:val="restart"/>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32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460" w:type="dxa"/>
            <w:vAlign w:val="bottom"/>
            <w:vMerge w:val="continue"/>
          </w:tcPr>
          <w:p>
            <w:pPr>
              <w:spacing w:after="0"/>
              <w:rPr>
                <w:sz w:val="8"/>
                <w:szCs w:val="8"/>
                <w:color w:val="auto"/>
              </w:rPr>
            </w:pPr>
          </w:p>
        </w:tc>
        <w:tc>
          <w:tcPr>
            <w:tcW w:w="89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32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8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97"/>
              </w:rPr>
              <w:t>OWNED BY</w:t>
            </w:r>
          </w:p>
        </w:tc>
        <w:tc>
          <w:tcPr>
            <w:tcW w:w="460" w:type="dxa"/>
            <w:vAlign w:val="bottom"/>
          </w:tcPr>
          <w:p>
            <w:pPr>
              <w:spacing w:after="0"/>
              <w:rPr>
                <w:sz w:val="18"/>
                <w:szCs w:val="18"/>
                <w:color w:val="auto"/>
              </w:rPr>
            </w:pPr>
          </w:p>
        </w:tc>
        <w:tc>
          <w:tcPr>
            <w:tcW w:w="8980" w:type="dxa"/>
            <w:vAlign w:val="bottom"/>
            <w:vMerge w:val="restart"/>
          </w:tcPr>
          <w:p>
            <w:pPr>
              <w:ind w:left="160"/>
              <w:spacing w:after="0"/>
              <w:rPr>
                <w:sz w:val="20"/>
                <w:szCs w:val="20"/>
                <w:color w:val="auto"/>
              </w:rPr>
            </w:pPr>
            <w:r>
              <w:rPr>
                <w:rFonts w:ascii="Arial" w:cs="Arial" w:eastAsia="Arial" w:hAnsi="Arial"/>
                <w:sz w:val="18"/>
                <w:szCs w:val="18"/>
                <w:color w:val="auto"/>
              </w:rPr>
              <w:t>101,524</w:t>
            </w:r>
          </w:p>
        </w:tc>
        <w:tc>
          <w:tcPr>
            <w:tcW w:w="0" w:type="dxa"/>
            <w:vAlign w:val="bottom"/>
          </w:tcPr>
          <w:p>
            <w:pPr>
              <w:spacing w:after="0"/>
              <w:rPr>
                <w:sz w:val="1"/>
                <w:szCs w:val="1"/>
                <w:color w:val="auto"/>
              </w:rPr>
            </w:pPr>
          </w:p>
        </w:tc>
      </w:tr>
      <w:tr>
        <w:trPr>
          <w:trHeight w:val="116"/>
        </w:trPr>
        <w:tc>
          <w:tcPr>
            <w:tcW w:w="1320" w:type="dxa"/>
            <w:vAlign w:val="bottom"/>
            <w:vMerge w:val="restart"/>
          </w:tcPr>
          <w:p>
            <w:pPr>
              <w:jc w:val="center"/>
              <w:spacing w:after="0"/>
              <w:rPr>
                <w:sz w:val="20"/>
                <w:szCs w:val="20"/>
                <w:color w:val="auto"/>
              </w:rPr>
            </w:pPr>
            <w:r>
              <w:rPr>
                <w:rFonts w:ascii="Arial" w:cs="Arial" w:eastAsia="Arial" w:hAnsi="Arial"/>
                <w:sz w:val="18"/>
                <w:szCs w:val="18"/>
                <w:color w:val="auto"/>
                <w:w w:val="95"/>
              </w:rPr>
              <w:t>EACH</w:t>
            </w:r>
          </w:p>
        </w:tc>
        <w:tc>
          <w:tcPr>
            <w:tcW w:w="460" w:type="dxa"/>
            <w:vAlign w:val="bottom"/>
            <w:tcBorders>
              <w:bottom w:val="single" w:sz="8" w:color="auto"/>
            </w:tcBorders>
          </w:tcPr>
          <w:p>
            <w:pPr>
              <w:spacing w:after="0"/>
              <w:rPr>
                <w:sz w:val="10"/>
                <w:szCs w:val="10"/>
                <w:color w:val="auto"/>
              </w:rPr>
            </w:pPr>
          </w:p>
        </w:tc>
        <w:tc>
          <w:tcPr>
            <w:tcW w:w="89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320" w:type="dxa"/>
            <w:vAlign w:val="bottom"/>
            <w:vMerge w:val="continue"/>
          </w:tcPr>
          <w:p>
            <w:pPr>
              <w:spacing w:after="0"/>
              <w:rPr>
                <w:sz w:val="6"/>
                <w:szCs w:val="6"/>
                <w:color w:val="auto"/>
              </w:rPr>
            </w:pP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9</w:t>
            </w:r>
          </w:p>
        </w:tc>
        <w:tc>
          <w:tcPr>
            <w:tcW w:w="898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32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460" w:type="dxa"/>
            <w:vAlign w:val="bottom"/>
            <w:vMerge w:val="continue"/>
          </w:tcPr>
          <w:p>
            <w:pPr>
              <w:spacing w:after="0"/>
              <w:rPr>
                <w:sz w:val="13"/>
                <w:szCs w:val="13"/>
                <w:color w:val="auto"/>
              </w:rPr>
            </w:pPr>
          </w:p>
        </w:tc>
        <w:tc>
          <w:tcPr>
            <w:tcW w:w="8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32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89"/>
              </w:rPr>
              <w:t>PERSON</w:t>
            </w:r>
          </w:p>
        </w:tc>
        <w:tc>
          <w:tcPr>
            <w:tcW w:w="460" w:type="dxa"/>
            <w:vAlign w:val="bottom"/>
          </w:tcPr>
          <w:p>
            <w:pPr>
              <w:spacing w:after="0"/>
              <w:rPr>
                <w:sz w:val="18"/>
                <w:szCs w:val="18"/>
                <w:color w:val="auto"/>
              </w:rPr>
            </w:pPr>
          </w:p>
        </w:tc>
        <w:tc>
          <w:tcPr>
            <w:tcW w:w="898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6"/>
        </w:trPr>
        <w:tc>
          <w:tcPr>
            <w:tcW w:w="1320" w:type="dxa"/>
            <w:vAlign w:val="bottom"/>
          </w:tcPr>
          <w:p>
            <w:pPr>
              <w:jc w:val="center"/>
              <w:spacing w:after="0" w:line="157" w:lineRule="exact"/>
              <w:rPr>
                <w:sz w:val="20"/>
                <w:szCs w:val="20"/>
                <w:color w:val="auto"/>
              </w:rPr>
            </w:pPr>
            <w:r>
              <w:rPr>
                <w:rFonts w:ascii="Arial" w:cs="Arial" w:eastAsia="Arial" w:hAnsi="Arial"/>
                <w:sz w:val="18"/>
                <w:szCs w:val="18"/>
                <w:color w:val="auto"/>
              </w:rPr>
              <w:t>WITH</w:t>
            </w:r>
          </w:p>
        </w:tc>
        <w:tc>
          <w:tcPr>
            <w:tcW w:w="460" w:type="dxa"/>
            <w:vAlign w:val="bottom"/>
            <w:tcBorders>
              <w:bottom w:val="single" w:sz="8" w:color="auto"/>
            </w:tcBorders>
          </w:tcPr>
          <w:p>
            <w:pPr>
              <w:spacing w:after="0"/>
              <w:rPr>
                <w:sz w:val="15"/>
                <w:szCs w:val="15"/>
                <w:color w:val="auto"/>
              </w:rPr>
            </w:pPr>
          </w:p>
        </w:tc>
        <w:tc>
          <w:tcPr>
            <w:tcW w:w="89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320" w:type="dxa"/>
            <w:vAlign w:val="bottom"/>
          </w:tcPr>
          <w:p>
            <w:pPr>
              <w:spacing w:after="0"/>
              <w:rPr>
                <w:sz w:val="19"/>
                <w:szCs w:val="19"/>
                <w:color w:val="auto"/>
              </w:rPr>
            </w:pP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8980" w:type="dxa"/>
            <w:vAlign w:val="bottom"/>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101,524</w:t>
      </w:r>
    </w:p>
    <w:p>
      <w:pPr>
        <w:spacing w:after="0" w:line="36" w:lineRule="exact"/>
        <w:rPr>
          <w:sz w:val="20"/>
          <w:szCs w:val="20"/>
          <w:color w:val="auto"/>
        </w:rPr>
      </w:pPr>
    </w:p>
    <w:p>
      <w:pPr>
        <w:ind w:left="620" w:right="3940" w:hanging="455"/>
        <w:spacing w:after="0" w:line="406" w:lineRule="auto"/>
        <w:tabs>
          <w:tab w:leader="none" w:pos="61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101,524</w:t>
      </w:r>
    </w:p>
    <w:p>
      <w:pPr>
        <w:spacing w:after="0" w:line="1" w:lineRule="exact"/>
        <w:rPr>
          <w:rFonts w:ascii="Arial" w:cs="Arial" w:eastAsia="Arial" w:hAnsi="Arial"/>
          <w:sz w:val="18"/>
          <w:szCs w:val="18"/>
          <w:color w:val="auto"/>
        </w:rPr>
      </w:pPr>
    </w:p>
    <w:p>
      <w:pPr>
        <w:ind w:left="620" w:hanging="455"/>
        <w:spacing w:after="0"/>
        <w:tabs>
          <w:tab w:leader="none" w:pos="6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0" w:hanging="455"/>
        <w:spacing w:after="0"/>
        <w:tabs>
          <w:tab w:leader="none" w:pos="6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44"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0.1%*</w:t>
      </w:r>
    </w:p>
    <w:p>
      <w:pPr>
        <w:spacing w:after="0" w:line="36" w:lineRule="exact"/>
        <w:rPr>
          <w:rFonts w:ascii="Arial" w:cs="Arial" w:eastAsia="Arial" w:hAnsi="Arial"/>
          <w:sz w:val="18"/>
          <w:szCs w:val="18"/>
          <w:color w:val="auto"/>
        </w:rPr>
      </w:pPr>
    </w:p>
    <w:p>
      <w:pPr>
        <w:ind w:left="620" w:hanging="455"/>
        <w:spacing w:after="0"/>
        <w:tabs>
          <w:tab w:leader="none" w:pos="6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79" w:lineRule="exact"/>
        <w:rPr>
          <w:rFonts w:ascii="Arial" w:cs="Arial" w:eastAsia="Arial" w:hAnsi="Arial"/>
          <w:sz w:val="18"/>
          <w:szCs w:val="18"/>
          <w:color w:val="auto"/>
        </w:rPr>
      </w:pPr>
    </w:p>
    <w:p>
      <w:pPr>
        <w:ind w:left="460" w:hanging="445"/>
        <w:spacing w:after="0" w:line="277" w:lineRule="auto"/>
        <w:rPr>
          <w:rFonts w:ascii="Arial" w:cs="Arial" w:eastAsia="Arial" w:hAnsi="Arial"/>
          <w:sz w:val="18"/>
          <w:szCs w:val="18"/>
          <w:color w:val="auto"/>
        </w:rPr>
      </w:pPr>
      <w:r>
        <w:rPr>
          <w:rFonts w:ascii="Arial" w:cs="Arial" w:eastAsia="Arial" w:hAnsi="Arial"/>
          <w:sz w:val="18"/>
          <w:szCs w:val="18"/>
          <w:color w:val="auto"/>
        </w:rPr>
        <w:t>*Based on 87,546,430 shares of the Issuer’s common stock outstanding as of November 5, 2021 as set forth in the Issuer’s Quarterly Report on Form 10-Q filed with the Securities and Exchange Commission on November 9, 2021.</w:t>
      </w:r>
    </w:p>
    <w:p>
      <w:pPr>
        <w:sectPr>
          <w:pgSz w:w="11900" w:h="16838" w:orient="portrait"/>
          <w:cols w:equalWidth="0" w:num="1">
            <w:col w:w="11100"/>
          </w:cols>
          <w:pgMar w:left="320" w:top="274" w:right="479" w:bottom="1440" w:gutter="0" w:footer="0" w:header="0"/>
        </w:sectPr>
      </w:pPr>
    </w:p>
    <w:bookmarkStart w:id="7" w:name="page8"/>
    <w:bookmarkEnd w:id="7"/>
    <w:p>
      <w:pPr>
        <w:spacing w:after="0"/>
        <w:tabs>
          <w:tab w:leader="none" w:pos="52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87583X109</w:t>
      </w:r>
      <w:r>
        <w:rPr>
          <w:sz w:val="20"/>
          <w:szCs w:val="20"/>
          <w:color w:val="auto"/>
        </w:rPr>
        <w:tab/>
      </w:r>
      <w:r>
        <w:rPr>
          <w:rFonts w:ascii="Arial" w:cs="Arial" w:eastAsia="Arial" w:hAnsi="Arial"/>
          <w:sz w:val="17"/>
          <w:szCs w:val="17"/>
          <w:color w:val="auto"/>
        </w:rPr>
        <w:t>SCHEDULE 13D</w:t>
      </w:r>
    </w:p>
    <w:p>
      <w:pPr>
        <w:spacing w:after="0" w:line="171" w:lineRule="exact"/>
        <w:rPr>
          <w:sz w:val="20"/>
          <w:szCs w:val="20"/>
          <w:color w:val="auto"/>
        </w:rPr>
      </w:pPr>
    </w:p>
    <w:p>
      <w:pPr>
        <w:ind w:left="620" w:hanging="365"/>
        <w:spacing w:after="0"/>
        <w:tabs>
          <w:tab w:leader="none" w:pos="6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6995160" cy="61125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6112510"/>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Aaron I. Davis</w:t>
      </w:r>
    </w:p>
    <w:p>
      <w:pPr>
        <w:spacing w:after="0" w:line="36" w:lineRule="exact"/>
        <w:rPr>
          <w:sz w:val="20"/>
          <w:szCs w:val="20"/>
          <w:color w:val="auto"/>
        </w:rPr>
      </w:pPr>
    </w:p>
    <w:p>
      <w:pPr>
        <w:ind w:left="620" w:hanging="365"/>
        <w:spacing w:after="0"/>
        <w:tabs>
          <w:tab w:leader="none" w:pos="6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20"/>
        <w:spacing w:after="0" w:line="207" w:lineRule="exact"/>
        <w:tabs>
          <w:tab w:leader="none" w:pos="142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0" w:hanging="365"/>
        <w:spacing w:after="0"/>
        <w:tabs>
          <w:tab w:leader="none" w:pos="6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0" w:hanging="365"/>
        <w:spacing w:after="0"/>
        <w:tabs>
          <w:tab w:leader="none" w:pos="6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AF</w:t>
      </w:r>
    </w:p>
    <w:p>
      <w:pPr>
        <w:spacing w:after="0" w:line="36" w:lineRule="exact"/>
        <w:rPr>
          <w:sz w:val="20"/>
          <w:szCs w:val="20"/>
          <w:color w:val="auto"/>
        </w:rPr>
      </w:pPr>
    </w:p>
    <w:p>
      <w:pPr>
        <w:ind w:left="620" w:hanging="365"/>
        <w:spacing w:after="0"/>
        <w:tabs>
          <w:tab w:leader="none" w:pos="6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CHECK BOX IF DISCLOSURE OF LEGAL PROCEEDINGS IS REQUIRED PURSUANT TO ITEMS 2(d) or 2(e)</w:t>
      </w:r>
    </w:p>
    <w:p>
      <w:pPr>
        <w:spacing w:after="0" w:line="219" w:lineRule="exact"/>
        <w:rPr>
          <w:sz w:val="20"/>
          <w:szCs w:val="20"/>
          <w:color w:val="auto"/>
        </w:rPr>
      </w:pPr>
    </w:p>
    <w:p>
      <w:pPr>
        <w:ind w:left="620"/>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0" w:hanging="365"/>
        <w:spacing w:after="0"/>
        <w:tabs>
          <w:tab w:leader="none" w:pos="6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United States of America</w:t>
      </w:r>
    </w:p>
    <w:p>
      <w:pPr>
        <w:spacing w:after="0" w:line="36" w:lineRule="exact"/>
        <w:rPr>
          <w:sz w:val="20"/>
          <w:szCs w:val="20"/>
          <w:color w:val="auto"/>
        </w:rPr>
      </w:pPr>
    </w:p>
    <w:p>
      <w:pPr>
        <w:ind w:left="2200" w:hanging="415"/>
        <w:spacing w:after="0"/>
        <w:tabs>
          <w:tab w:leader="none" w:pos="22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12" w:lineRule="exact"/>
        <w:rPr>
          <w:sz w:val="20"/>
          <w:szCs w:val="20"/>
          <w:color w:val="auto"/>
        </w:rPr>
      </w:pPr>
    </w:p>
    <w:tbl>
      <w:tblPr>
        <w:tblLayout w:type="fixed"/>
        <w:tblInd w:w="260" w:type="dxa"/>
        <w:tblCellMar>
          <w:top w:w="0" w:type="dxa"/>
          <w:left w:w="0" w:type="dxa"/>
          <w:bottom w:w="0" w:type="dxa"/>
          <w:right w:w="0" w:type="dxa"/>
        </w:tblCellMar>
      </w:tblPr>
      <w:tr>
        <w:trPr>
          <w:trHeight w:val="217"/>
        </w:trPr>
        <w:tc>
          <w:tcPr>
            <w:tcW w:w="1320" w:type="dxa"/>
            <w:vAlign w:val="bottom"/>
          </w:tcPr>
          <w:p>
            <w:pPr>
              <w:jc w:val="center"/>
              <w:spacing w:after="0"/>
              <w:rPr>
                <w:sz w:val="20"/>
                <w:szCs w:val="20"/>
                <w:color w:val="auto"/>
              </w:rPr>
            </w:pPr>
            <w:r>
              <w:rPr>
                <w:rFonts w:ascii="Arial" w:cs="Arial" w:eastAsia="Arial" w:hAnsi="Arial"/>
                <w:sz w:val="18"/>
                <w:szCs w:val="18"/>
                <w:color w:val="auto"/>
                <w:w w:val="96"/>
              </w:rPr>
              <w:t>NUMBER OF</w:t>
            </w:r>
          </w:p>
        </w:tc>
        <w:tc>
          <w:tcPr>
            <w:tcW w:w="460" w:type="dxa"/>
            <w:vAlign w:val="bottom"/>
          </w:tcPr>
          <w:p>
            <w:pPr>
              <w:spacing w:after="0"/>
              <w:rPr>
                <w:sz w:val="18"/>
                <w:szCs w:val="18"/>
                <w:color w:val="auto"/>
              </w:rPr>
            </w:pPr>
          </w:p>
        </w:tc>
        <w:tc>
          <w:tcPr>
            <w:tcW w:w="898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320" w:type="dxa"/>
            <w:vAlign w:val="bottom"/>
            <w:vMerge w:val="restart"/>
          </w:tcPr>
          <w:p>
            <w:pPr>
              <w:jc w:val="center"/>
              <w:spacing w:after="0"/>
              <w:rPr>
                <w:sz w:val="20"/>
                <w:szCs w:val="20"/>
                <w:color w:val="auto"/>
              </w:rPr>
            </w:pPr>
            <w:r>
              <w:rPr>
                <w:rFonts w:ascii="Arial" w:cs="Arial" w:eastAsia="Arial" w:hAnsi="Arial"/>
                <w:sz w:val="18"/>
                <w:szCs w:val="18"/>
                <w:color w:val="auto"/>
                <w:w w:val="91"/>
              </w:rPr>
              <w:t>SHARES</w:t>
            </w:r>
          </w:p>
        </w:tc>
        <w:tc>
          <w:tcPr>
            <w:tcW w:w="460" w:type="dxa"/>
            <w:vAlign w:val="bottom"/>
            <w:tcBorders>
              <w:bottom w:val="single" w:sz="8" w:color="auto"/>
            </w:tcBorders>
          </w:tcPr>
          <w:p>
            <w:pPr>
              <w:spacing w:after="0"/>
              <w:rPr>
                <w:sz w:val="5"/>
                <w:szCs w:val="5"/>
                <w:color w:val="auto"/>
              </w:rPr>
            </w:pPr>
          </w:p>
        </w:tc>
        <w:tc>
          <w:tcPr>
            <w:tcW w:w="8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320" w:type="dxa"/>
            <w:vAlign w:val="bottom"/>
            <w:vMerge w:val="continue"/>
          </w:tcPr>
          <w:p>
            <w:pPr>
              <w:spacing w:after="0"/>
              <w:rPr>
                <w:sz w:val="11"/>
                <w:szCs w:val="11"/>
                <w:color w:val="auto"/>
              </w:rPr>
            </w:pP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8980" w:type="dxa"/>
            <w:vAlign w:val="bottom"/>
            <w:vMerge w:val="restart"/>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32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460" w:type="dxa"/>
            <w:vAlign w:val="bottom"/>
            <w:vMerge w:val="continue"/>
          </w:tcPr>
          <w:p>
            <w:pPr>
              <w:spacing w:after="0"/>
              <w:rPr>
                <w:sz w:val="8"/>
                <w:szCs w:val="8"/>
                <w:color w:val="auto"/>
              </w:rPr>
            </w:pPr>
          </w:p>
        </w:tc>
        <w:tc>
          <w:tcPr>
            <w:tcW w:w="89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32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8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97"/>
              </w:rPr>
              <w:t>OWNED BY</w:t>
            </w:r>
          </w:p>
        </w:tc>
        <w:tc>
          <w:tcPr>
            <w:tcW w:w="460" w:type="dxa"/>
            <w:vAlign w:val="bottom"/>
          </w:tcPr>
          <w:p>
            <w:pPr>
              <w:spacing w:after="0"/>
              <w:rPr>
                <w:sz w:val="18"/>
                <w:szCs w:val="18"/>
                <w:color w:val="auto"/>
              </w:rPr>
            </w:pPr>
          </w:p>
        </w:tc>
        <w:tc>
          <w:tcPr>
            <w:tcW w:w="8980" w:type="dxa"/>
            <w:vAlign w:val="bottom"/>
            <w:vMerge w:val="restart"/>
          </w:tcPr>
          <w:p>
            <w:pPr>
              <w:ind w:left="160"/>
              <w:spacing w:after="0"/>
              <w:rPr>
                <w:sz w:val="20"/>
                <w:szCs w:val="20"/>
                <w:color w:val="auto"/>
              </w:rPr>
            </w:pPr>
            <w:r>
              <w:rPr>
                <w:rFonts w:ascii="Arial" w:cs="Arial" w:eastAsia="Arial" w:hAnsi="Arial"/>
                <w:sz w:val="18"/>
                <w:szCs w:val="18"/>
                <w:color w:val="auto"/>
              </w:rPr>
              <w:t>101,524</w:t>
            </w:r>
          </w:p>
        </w:tc>
        <w:tc>
          <w:tcPr>
            <w:tcW w:w="0" w:type="dxa"/>
            <w:vAlign w:val="bottom"/>
          </w:tcPr>
          <w:p>
            <w:pPr>
              <w:spacing w:after="0"/>
              <w:rPr>
                <w:sz w:val="1"/>
                <w:szCs w:val="1"/>
                <w:color w:val="auto"/>
              </w:rPr>
            </w:pPr>
          </w:p>
        </w:tc>
      </w:tr>
      <w:tr>
        <w:trPr>
          <w:trHeight w:val="116"/>
        </w:trPr>
        <w:tc>
          <w:tcPr>
            <w:tcW w:w="1320" w:type="dxa"/>
            <w:vAlign w:val="bottom"/>
            <w:vMerge w:val="restart"/>
          </w:tcPr>
          <w:p>
            <w:pPr>
              <w:jc w:val="center"/>
              <w:spacing w:after="0"/>
              <w:rPr>
                <w:sz w:val="20"/>
                <w:szCs w:val="20"/>
                <w:color w:val="auto"/>
              </w:rPr>
            </w:pPr>
            <w:r>
              <w:rPr>
                <w:rFonts w:ascii="Arial" w:cs="Arial" w:eastAsia="Arial" w:hAnsi="Arial"/>
                <w:sz w:val="18"/>
                <w:szCs w:val="18"/>
                <w:color w:val="auto"/>
                <w:w w:val="95"/>
              </w:rPr>
              <w:t>EACH</w:t>
            </w:r>
          </w:p>
        </w:tc>
        <w:tc>
          <w:tcPr>
            <w:tcW w:w="460" w:type="dxa"/>
            <w:vAlign w:val="bottom"/>
            <w:tcBorders>
              <w:bottom w:val="single" w:sz="8" w:color="auto"/>
            </w:tcBorders>
          </w:tcPr>
          <w:p>
            <w:pPr>
              <w:spacing w:after="0"/>
              <w:rPr>
                <w:sz w:val="10"/>
                <w:szCs w:val="10"/>
                <w:color w:val="auto"/>
              </w:rPr>
            </w:pPr>
          </w:p>
        </w:tc>
        <w:tc>
          <w:tcPr>
            <w:tcW w:w="89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320" w:type="dxa"/>
            <w:vAlign w:val="bottom"/>
            <w:vMerge w:val="continue"/>
          </w:tcPr>
          <w:p>
            <w:pPr>
              <w:spacing w:after="0"/>
              <w:rPr>
                <w:sz w:val="6"/>
                <w:szCs w:val="6"/>
                <w:color w:val="auto"/>
              </w:rPr>
            </w:pP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9</w:t>
            </w:r>
          </w:p>
        </w:tc>
        <w:tc>
          <w:tcPr>
            <w:tcW w:w="898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32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460" w:type="dxa"/>
            <w:vAlign w:val="bottom"/>
            <w:vMerge w:val="continue"/>
          </w:tcPr>
          <w:p>
            <w:pPr>
              <w:spacing w:after="0"/>
              <w:rPr>
                <w:sz w:val="13"/>
                <w:szCs w:val="13"/>
                <w:color w:val="auto"/>
              </w:rPr>
            </w:pPr>
          </w:p>
        </w:tc>
        <w:tc>
          <w:tcPr>
            <w:tcW w:w="8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32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89"/>
              </w:rPr>
              <w:t>PERSON</w:t>
            </w:r>
          </w:p>
        </w:tc>
        <w:tc>
          <w:tcPr>
            <w:tcW w:w="460" w:type="dxa"/>
            <w:vAlign w:val="bottom"/>
          </w:tcPr>
          <w:p>
            <w:pPr>
              <w:spacing w:after="0"/>
              <w:rPr>
                <w:sz w:val="18"/>
                <w:szCs w:val="18"/>
                <w:color w:val="auto"/>
              </w:rPr>
            </w:pPr>
          </w:p>
        </w:tc>
        <w:tc>
          <w:tcPr>
            <w:tcW w:w="898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6"/>
        </w:trPr>
        <w:tc>
          <w:tcPr>
            <w:tcW w:w="1320" w:type="dxa"/>
            <w:vAlign w:val="bottom"/>
          </w:tcPr>
          <w:p>
            <w:pPr>
              <w:jc w:val="center"/>
              <w:spacing w:after="0" w:line="157" w:lineRule="exact"/>
              <w:rPr>
                <w:sz w:val="20"/>
                <w:szCs w:val="20"/>
                <w:color w:val="auto"/>
              </w:rPr>
            </w:pPr>
            <w:r>
              <w:rPr>
                <w:rFonts w:ascii="Arial" w:cs="Arial" w:eastAsia="Arial" w:hAnsi="Arial"/>
                <w:sz w:val="18"/>
                <w:szCs w:val="18"/>
                <w:color w:val="auto"/>
              </w:rPr>
              <w:t>WITH</w:t>
            </w:r>
          </w:p>
        </w:tc>
        <w:tc>
          <w:tcPr>
            <w:tcW w:w="460" w:type="dxa"/>
            <w:vAlign w:val="bottom"/>
            <w:tcBorders>
              <w:bottom w:val="single" w:sz="8" w:color="auto"/>
            </w:tcBorders>
          </w:tcPr>
          <w:p>
            <w:pPr>
              <w:spacing w:after="0"/>
              <w:rPr>
                <w:sz w:val="15"/>
                <w:szCs w:val="15"/>
                <w:color w:val="auto"/>
              </w:rPr>
            </w:pPr>
          </w:p>
        </w:tc>
        <w:tc>
          <w:tcPr>
            <w:tcW w:w="89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320" w:type="dxa"/>
            <w:vAlign w:val="bottom"/>
          </w:tcPr>
          <w:p>
            <w:pPr>
              <w:spacing w:after="0"/>
              <w:rPr>
                <w:sz w:val="19"/>
                <w:szCs w:val="19"/>
                <w:color w:val="auto"/>
              </w:rPr>
            </w:pP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8980" w:type="dxa"/>
            <w:vAlign w:val="bottom"/>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101,524</w:t>
      </w:r>
    </w:p>
    <w:p>
      <w:pPr>
        <w:spacing w:after="0" w:line="36" w:lineRule="exact"/>
        <w:rPr>
          <w:sz w:val="20"/>
          <w:szCs w:val="20"/>
          <w:color w:val="auto"/>
        </w:rPr>
      </w:pPr>
    </w:p>
    <w:p>
      <w:pPr>
        <w:ind w:left="620" w:right="3940" w:hanging="455"/>
        <w:spacing w:after="0" w:line="406" w:lineRule="auto"/>
        <w:tabs>
          <w:tab w:leader="none" w:pos="61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101,524</w:t>
      </w:r>
    </w:p>
    <w:p>
      <w:pPr>
        <w:spacing w:after="0" w:line="1" w:lineRule="exact"/>
        <w:rPr>
          <w:rFonts w:ascii="Arial" w:cs="Arial" w:eastAsia="Arial" w:hAnsi="Arial"/>
          <w:sz w:val="18"/>
          <w:szCs w:val="18"/>
          <w:color w:val="auto"/>
        </w:rPr>
      </w:pPr>
    </w:p>
    <w:p>
      <w:pPr>
        <w:ind w:left="620" w:hanging="455"/>
        <w:spacing w:after="0"/>
        <w:tabs>
          <w:tab w:leader="none" w:pos="6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 (See Instructions)</w:t>
      </w:r>
    </w:p>
    <w:p>
      <w:pPr>
        <w:spacing w:after="0" w:line="219"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0" w:hanging="455"/>
        <w:spacing w:after="0"/>
        <w:tabs>
          <w:tab w:leader="none" w:pos="6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44"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0.1%*</w:t>
      </w:r>
    </w:p>
    <w:p>
      <w:pPr>
        <w:spacing w:after="0" w:line="36" w:lineRule="exact"/>
        <w:rPr>
          <w:rFonts w:ascii="Arial" w:cs="Arial" w:eastAsia="Arial" w:hAnsi="Arial"/>
          <w:sz w:val="18"/>
          <w:szCs w:val="18"/>
          <w:color w:val="auto"/>
        </w:rPr>
      </w:pPr>
    </w:p>
    <w:p>
      <w:pPr>
        <w:ind w:left="620" w:hanging="455"/>
        <w:spacing w:after="0"/>
        <w:tabs>
          <w:tab w:leader="none" w:pos="6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79" w:lineRule="exact"/>
        <w:rPr>
          <w:rFonts w:ascii="Arial" w:cs="Arial" w:eastAsia="Arial" w:hAnsi="Arial"/>
          <w:sz w:val="18"/>
          <w:szCs w:val="18"/>
          <w:color w:val="auto"/>
        </w:rPr>
      </w:pPr>
    </w:p>
    <w:p>
      <w:pPr>
        <w:ind w:left="460" w:hanging="445"/>
        <w:spacing w:after="0" w:line="277" w:lineRule="auto"/>
        <w:rPr>
          <w:rFonts w:ascii="Arial" w:cs="Arial" w:eastAsia="Arial" w:hAnsi="Arial"/>
          <w:sz w:val="18"/>
          <w:szCs w:val="18"/>
          <w:color w:val="auto"/>
        </w:rPr>
      </w:pPr>
      <w:r>
        <w:rPr>
          <w:rFonts w:ascii="Arial" w:cs="Arial" w:eastAsia="Arial" w:hAnsi="Arial"/>
          <w:sz w:val="18"/>
          <w:szCs w:val="18"/>
          <w:color w:val="auto"/>
        </w:rPr>
        <w:t>*Based on 87,546,430 shares of the Issuer’s common stock outstanding as of November 5, 2021 as set forth in the Issuer’s Quarterly Report on Form 10-Q filed with the Securities and Exchange Commission on November 9, 2021.</w:t>
      </w:r>
    </w:p>
    <w:p>
      <w:pPr>
        <w:sectPr>
          <w:pgSz w:w="11900" w:h="16838" w:orient="portrait"/>
          <w:cols w:equalWidth="0" w:num="1">
            <w:col w:w="11100"/>
          </w:cols>
          <w:pgMar w:left="320" w:top="274" w:right="479" w:bottom="1440" w:gutter="0" w:footer="0" w:header="0"/>
        </w:sectPr>
      </w:pPr>
    </w:p>
    <w:bookmarkStart w:id="8" w:name="page9"/>
    <w:bookmarkEnd w:id="8"/>
    <w:p>
      <w:pPr>
        <w:spacing w:after="0"/>
        <w:tabs>
          <w:tab w:leader="none" w:pos="52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87583X109</w:t>
      </w:r>
      <w:r>
        <w:rPr>
          <w:sz w:val="20"/>
          <w:szCs w:val="20"/>
          <w:color w:val="auto"/>
        </w:rPr>
        <w:tab/>
      </w:r>
      <w:r>
        <w:rPr>
          <w:rFonts w:ascii="Arial" w:cs="Arial" w:eastAsia="Arial" w:hAnsi="Arial"/>
          <w:sz w:val="17"/>
          <w:szCs w:val="17"/>
          <w:color w:val="auto"/>
        </w:rPr>
        <w:t>SCHEDULE 13D</w:t>
      </w:r>
    </w:p>
    <w:p>
      <w:pPr>
        <w:spacing w:after="0" w:line="158" w:lineRule="exact"/>
        <w:rPr>
          <w:sz w:val="20"/>
          <w:szCs w:val="20"/>
          <w:color w:val="auto"/>
        </w:rPr>
      </w:pPr>
    </w:p>
    <w:p>
      <w:pPr>
        <w:ind w:right="60" w:firstLine="449"/>
        <w:spacing w:after="0" w:line="273" w:lineRule="auto"/>
        <w:rPr>
          <w:sz w:val="20"/>
          <w:szCs w:val="20"/>
          <w:color w:val="auto"/>
        </w:rPr>
      </w:pPr>
      <w:r>
        <w:rPr>
          <w:rFonts w:ascii="Arial" w:cs="Arial" w:eastAsia="Arial" w:hAnsi="Arial"/>
          <w:sz w:val="17"/>
          <w:szCs w:val="17"/>
          <w:color w:val="auto"/>
        </w:rPr>
        <w:t>This Amendment No. 1 (“Amendment No. 1”) amends and supplements the statement on Schedule 13D filed on August 20, 2021 (the “Original Filing”) by Boxer Capital, LLC (“Boxer Capital”), Boxer Asset Management Inc. (“Boxer Management”), Joe Lewis, BCTG Holdings, LLC (“BCTG Holdings”), MVA Investors, LLC (“MVA Investors”) and Aaron I. Davis. This Amendment No. 1 is an original filing for Braslyn Ltd. (“Braslyn,” together with Boxer Capital, Boxer Management, Joe Lewis, BCTG Holdings, MVA Investors and Aaron Davis, the “Reporting Persons”). The Original Filing remains in effect except to the extent that it is amended, restated or superseded by information contained in this Amendment No. 1. Capitalized terms used and not defined in this Amendment No. 1 have the meanings set forth in the Original Filing, as amended.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Item 2 is amended to add the following:</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Amendment No. 1 is jointly filed by the Reporting Persons.</w:t>
      </w:r>
    </w:p>
    <w:p>
      <w:pPr>
        <w:spacing w:after="0" w:line="225" w:lineRule="exact"/>
        <w:rPr>
          <w:sz w:val="20"/>
          <w:szCs w:val="20"/>
          <w:color w:val="auto"/>
        </w:rPr>
      </w:pPr>
    </w:p>
    <w:p>
      <w:pPr>
        <w:jc w:val="both"/>
        <w:ind w:right="100" w:firstLine="449"/>
        <w:spacing w:after="0" w:line="263" w:lineRule="auto"/>
        <w:rPr>
          <w:sz w:val="20"/>
          <w:szCs w:val="20"/>
          <w:color w:val="auto"/>
        </w:rPr>
      </w:pPr>
      <w:r>
        <w:rPr>
          <w:rFonts w:ascii="Arial" w:cs="Arial" w:eastAsia="Arial" w:hAnsi="Arial"/>
          <w:sz w:val="18"/>
          <w:szCs w:val="18"/>
          <w:color w:val="auto"/>
        </w:rPr>
        <w:t>BCTG Holdings, a limited liability company organized under the laws of Delaware, is primarily involved in the business of investment in securities. BCTG Holdings is majority-owned by Boxer Capital and Aaron I. Davis is a manager of BCTG Holdings. The board of managers of BCTG Holdings has voting and dispositive power over securities owned by BCTG Holdings.</w:t>
      </w:r>
    </w:p>
    <w:p>
      <w:pPr>
        <w:spacing w:after="0" w:line="184"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Boxer Management, a corporation organized under the laws of the Bahamas, is the managing member and majority owner of Boxer Capital, a limited liability company organized under the laws of Delaware. Braslyn is a corporation organized under the laws of the Bahamas. Joe Lewis is the sole indirect owner of and controls Boxer Management and Braslyn. Each of Boxer Capital, Boxer Management and Braslyn are primarily engaged in the business of investing in securities. Joe Lewis is a citizen of the United Kingdom and his present principal occupation or employment is engaging in business as a private investor including through the investments of Boxer Capital and Braslyn.</w:t>
      </w:r>
    </w:p>
    <w:p>
      <w:pPr>
        <w:spacing w:after="0" w:line="188" w:lineRule="exact"/>
        <w:rPr>
          <w:sz w:val="20"/>
          <w:szCs w:val="20"/>
          <w:color w:val="auto"/>
        </w:rPr>
      </w:pPr>
    </w:p>
    <w:p>
      <w:pPr>
        <w:ind w:right="140" w:firstLine="449"/>
        <w:spacing w:after="0" w:line="259" w:lineRule="auto"/>
        <w:rPr>
          <w:sz w:val="20"/>
          <w:szCs w:val="20"/>
          <w:color w:val="auto"/>
        </w:rPr>
      </w:pPr>
      <w:r>
        <w:rPr>
          <w:rFonts w:ascii="Arial" w:cs="Arial" w:eastAsia="Arial" w:hAnsi="Arial"/>
          <w:sz w:val="18"/>
          <w:szCs w:val="18"/>
          <w:color w:val="auto"/>
        </w:rPr>
        <w:t>MVA Investors, a limited liability company organized under the laws of Delaware, is the independent, personal investment vehicle of certain employees of Boxer Capital. MVA Investors is primarily engaged in the business of investment in securities. Aaron I. Davis, a citizen of the United States and the Chief Executive Officer of Boxer Capital, is a member of and has voting and dispositive power over securities held by MVA Investors. Aaron I. Davis is a member of the board of directors of the Issuer.</w:t>
      </w:r>
    </w:p>
    <w:p>
      <w:pPr>
        <w:spacing w:after="0" w:line="187" w:lineRule="exact"/>
        <w:rPr>
          <w:sz w:val="20"/>
          <w:szCs w:val="20"/>
          <w:color w:val="auto"/>
        </w:rPr>
      </w:pPr>
    </w:p>
    <w:p>
      <w:pPr>
        <w:ind w:right="400" w:firstLine="449"/>
        <w:spacing w:after="0" w:line="277" w:lineRule="auto"/>
        <w:rPr>
          <w:sz w:val="20"/>
          <w:szCs w:val="20"/>
          <w:color w:val="auto"/>
        </w:rPr>
      </w:pPr>
      <w:r>
        <w:rPr>
          <w:rFonts w:ascii="Arial" w:cs="Arial" w:eastAsia="Arial" w:hAnsi="Arial"/>
          <w:sz w:val="18"/>
          <w:szCs w:val="18"/>
          <w:color w:val="auto"/>
        </w:rPr>
        <w:t>By virtue of these relationships and pursuant to the SEC’s beneficial ownership rules, the Reporting Persons may be deemed to be members of a group.</w:t>
      </w:r>
    </w:p>
    <w:p>
      <w:pPr>
        <w:spacing w:after="0" w:line="170" w:lineRule="exact"/>
        <w:rPr>
          <w:sz w:val="20"/>
          <w:szCs w:val="20"/>
          <w:color w:val="auto"/>
        </w:rPr>
      </w:pPr>
    </w:p>
    <w:p>
      <w:pPr>
        <w:ind w:right="20" w:firstLine="449"/>
        <w:spacing w:after="0" w:line="263" w:lineRule="auto"/>
        <w:rPr>
          <w:sz w:val="20"/>
          <w:szCs w:val="20"/>
          <w:color w:val="auto"/>
        </w:rPr>
      </w:pPr>
      <w:r>
        <w:rPr>
          <w:rFonts w:ascii="Arial" w:cs="Arial" w:eastAsia="Arial" w:hAnsi="Arial"/>
          <w:sz w:val="18"/>
          <w:szCs w:val="18"/>
          <w:color w:val="auto"/>
        </w:rPr>
        <w:t>The address of each of BCTG Holdings, Boxer Capital, Boxer Management, MVA Investors and Aaron I. Davis for purposes of this filing is: 12860 El Camino Real, Suite 300, San Diego, CA 92130. The address of each of Boxer Management, Braslyn and Joe Lewis for purposes of this filing is: c/o Cay House, EP Taylor Drive N7776, Lyford Cay, New Providence, Bahamas.</w:t>
      </w:r>
    </w:p>
    <w:p>
      <w:pPr>
        <w:spacing w:after="0" w:line="184" w:lineRule="exact"/>
        <w:rPr>
          <w:sz w:val="20"/>
          <w:szCs w:val="20"/>
          <w:color w:val="auto"/>
        </w:rPr>
      </w:pPr>
    </w:p>
    <w:p>
      <w:pPr>
        <w:ind w:firstLine="449"/>
        <w:spacing w:after="0" w:line="301" w:lineRule="auto"/>
        <w:rPr>
          <w:sz w:val="20"/>
          <w:szCs w:val="20"/>
          <w:color w:val="auto"/>
        </w:rPr>
      </w:pPr>
      <w:r>
        <w:rPr>
          <w:rFonts w:ascii="Arial" w:cs="Arial" w:eastAsia="Arial" w:hAnsi="Arial"/>
          <w:sz w:val="16"/>
          <w:szCs w:val="16"/>
          <w:color w:val="auto"/>
        </w:rPr>
        <w:t xml:space="preserve">Set forth on </w:t>
      </w:r>
      <w:r>
        <w:rPr>
          <w:rFonts w:ascii="Arial" w:cs="Arial" w:eastAsia="Arial" w:hAnsi="Arial"/>
          <w:sz w:val="16"/>
          <w:szCs w:val="16"/>
          <w:u w:val="single" w:color="auto"/>
          <w:color w:val="auto"/>
        </w:rPr>
        <w:t>Schedule A</w:t>
      </w:r>
      <w:r>
        <w:rPr>
          <w:rFonts w:ascii="Arial" w:cs="Arial" w:eastAsia="Arial" w:hAnsi="Arial"/>
          <w:sz w:val="16"/>
          <w:szCs w:val="16"/>
          <w:color w:val="auto"/>
        </w:rPr>
        <w:t>, and incorporated herein by reference, is the (a) name, (b) residence or business address, (c) present principal occupation or employment and (d) citizenship, of each executive officer and director of each of BCTG Holdings, Boxer Capital, Boxer Management, Braslyn and MVA Investors, and (e) name of any corporation or other organization in which such occupation or employment is conducted, together with the principal business and address of any such corporation or organization other than BCTG Holdings, Boxer Capital, Boxer Management, Braslyn or MVA Investors.</w:t>
      </w:r>
    </w:p>
    <w:p>
      <w:pPr>
        <w:spacing w:after="0" w:line="157" w:lineRule="exact"/>
        <w:rPr>
          <w:sz w:val="20"/>
          <w:szCs w:val="20"/>
          <w:color w:val="auto"/>
        </w:rPr>
      </w:pPr>
    </w:p>
    <w:p>
      <w:pPr>
        <w:ind w:right="320" w:firstLine="449"/>
        <w:spacing w:after="0" w:line="259" w:lineRule="auto"/>
        <w:rPr>
          <w:sz w:val="20"/>
          <w:szCs w:val="20"/>
          <w:color w:val="auto"/>
        </w:rPr>
      </w:pPr>
      <w:r>
        <w:rPr>
          <w:rFonts w:ascii="Arial" w:cs="Arial" w:eastAsia="Arial" w:hAnsi="Arial"/>
          <w:sz w:val="18"/>
          <w:szCs w:val="18"/>
          <w:color w:val="auto"/>
        </w:rPr>
        <w:t>The Reporting Persons have not, during the past five years, (i) been convicted in a criminal proceeding (excluding traffic violations or similar misdemeanors) or (ii)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a finding of any violation with respect to such laws.</w:t>
      </w:r>
    </w:p>
    <w:p>
      <w:pPr>
        <w:sectPr>
          <w:pgSz w:w="11900" w:h="16838" w:orient="portrait"/>
          <w:cols w:equalWidth="0" w:num="1">
            <w:col w:w="11240"/>
          </w:cols>
          <w:pgMar w:left="320" w:top="274" w:right="339" w:bottom="1440" w:gutter="0" w:footer="0" w:header="0"/>
        </w:sectPr>
      </w:pPr>
    </w:p>
    <w:bookmarkStart w:id="9" w:name="page10"/>
    <w:bookmarkEnd w:id="9"/>
    <w:p>
      <w:pPr>
        <w:spacing w:after="0"/>
        <w:tabs>
          <w:tab w:leader="none" w:pos="52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87583X109</w:t>
      </w:r>
      <w:r>
        <w:rPr>
          <w:sz w:val="20"/>
          <w:szCs w:val="20"/>
          <w:color w:val="auto"/>
        </w:rPr>
        <w:tab/>
      </w:r>
      <w:r>
        <w:rPr>
          <w:rFonts w:ascii="Arial" w:cs="Arial" w:eastAsia="Arial" w:hAnsi="Arial"/>
          <w:sz w:val="17"/>
          <w:szCs w:val="17"/>
          <w:color w:val="auto"/>
        </w:rPr>
        <w:t>SCHEDULE 13D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Source and Amount of Funds or Other Consideration.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Item 3 is hereby amended to add the following:</w:t>
      </w:r>
    </w:p>
    <w:p>
      <w:pPr>
        <w:spacing w:after="0" w:line="117" w:lineRule="exact"/>
        <w:rPr>
          <w:sz w:val="20"/>
          <w:szCs w:val="20"/>
          <w:color w:val="auto"/>
        </w:rPr>
      </w:pPr>
    </w:p>
    <w:p>
      <w:pPr>
        <w:ind w:right="140" w:firstLine="449"/>
        <w:spacing w:after="0" w:line="277" w:lineRule="auto"/>
        <w:rPr>
          <w:sz w:val="20"/>
          <w:szCs w:val="20"/>
          <w:color w:val="auto"/>
        </w:rPr>
      </w:pPr>
      <w:r>
        <w:rPr>
          <w:rFonts w:ascii="Arial" w:cs="Arial" w:eastAsia="Arial" w:hAnsi="Arial"/>
          <w:sz w:val="18"/>
          <w:szCs w:val="18"/>
          <w:color w:val="auto"/>
        </w:rPr>
        <w:t>Prior to the completion of the Merger, Braslyn purchased in open market transactions 26,961 shares of Common Stock for aggregate purchase price of $293,372. The source of the funding for the purchases of the Common Stock was the general working capital of Braslyn.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Item 4 is hereby amended to add the following:</w:t>
      </w:r>
    </w:p>
    <w:p>
      <w:pPr>
        <w:spacing w:after="0" w:line="117" w:lineRule="exact"/>
        <w:rPr>
          <w:sz w:val="20"/>
          <w:szCs w:val="20"/>
          <w:color w:val="auto"/>
        </w:rPr>
      </w:pPr>
    </w:p>
    <w:p>
      <w:pPr>
        <w:ind w:right="140" w:firstLine="449"/>
        <w:spacing w:after="0" w:line="277" w:lineRule="auto"/>
        <w:rPr>
          <w:sz w:val="20"/>
          <w:szCs w:val="20"/>
          <w:color w:val="auto"/>
        </w:rPr>
      </w:pPr>
      <w:r>
        <w:rPr>
          <w:rFonts w:ascii="Arial" w:cs="Arial" w:eastAsia="Arial" w:hAnsi="Arial"/>
          <w:sz w:val="18"/>
          <w:szCs w:val="18"/>
          <w:color w:val="auto"/>
        </w:rPr>
        <w:t>Prior to the completion of the Merger, Braslyn purchased in open market transactions 26,961 shares of Common Stock for aggregate purchase price of $293,372.</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121" w:lineRule="exact"/>
        <w:rPr>
          <w:sz w:val="20"/>
          <w:szCs w:val="20"/>
          <w:color w:val="auto"/>
        </w:rPr>
      </w:pPr>
    </w:p>
    <w:p>
      <w:pPr>
        <w:ind w:right="440" w:firstLine="449"/>
        <w:spacing w:after="0" w:line="277" w:lineRule="auto"/>
        <w:rPr>
          <w:sz w:val="20"/>
          <w:szCs w:val="20"/>
          <w:color w:val="auto"/>
        </w:rPr>
      </w:pPr>
      <w:r>
        <w:rPr>
          <w:rFonts w:ascii="Arial" w:cs="Arial" w:eastAsia="Arial" w:hAnsi="Arial"/>
          <w:sz w:val="18"/>
          <w:szCs w:val="18"/>
          <w:color w:val="auto"/>
        </w:rPr>
        <w:t>All percentages are based on 87,546,430 shares of the Common Stock outstanding as of November 5, 2021 as set forth in the Issuer’s Quarterly Report on Form 10-Q filed with the Securities and Exchange Commission on November 9, 2021.</w:t>
      </w:r>
    </w:p>
    <w:p>
      <w:pPr>
        <w:spacing w:after="0" w:line="62" w:lineRule="exact"/>
        <w:rPr>
          <w:sz w:val="20"/>
          <w:szCs w:val="20"/>
          <w:color w:val="auto"/>
        </w:rPr>
      </w:pPr>
    </w:p>
    <w:p>
      <w:pPr>
        <w:ind w:right="320" w:firstLine="457"/>
        <w:spacing w:after="0" w:line="277" w:lineRule="auto"/>
        <w:tabs>
          <w:tab w:leader="none" w:pos="694"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Reporting Persons may be deemed to beneficially own, in the aggregate, 13,988,577 shares of Common Stock, representing 16.0% of the outstanding shares of Common Stock.</w:t>
      </w:r>
    </w:p>
    <w:p>
      <w:pPr>
        <w:spacing w:after="0" w:line="170"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BCTG Holdings beneficially owns 6,988,450 shares of Common Stock which represents 8.0% of the outstanding Common Stock. Boxer Capital and Boxer Management beneficially own 6,871,642 shares of Common Stock which represents 7.8% of the outstanding Common Stock. Braslyn beneficially owns 26,961 shares of Common Stock which represents 0.0% of the outstanding Common Stock. Joe Lewis beneficially owns 6,898,603 shares of Common Stock which represents 7.9% of the outstanding Common Stock. MVA Investors and Aaron I. Davis beneficially own 101,524 shares of Common Stock which represents 0.1% of the outstanding Common Stock.</w:t>
      </w:r>
    </w:p>
    <w:p>
      <w:pPr>
        <w:spacing w:after="0" w:line="80" w:lineRule="exact"/>
        <w:rPr>
          <w:sz w:val="20"/>
          <w:szCs w:val="20"/>
          <w:color w:val="auto"/>
        </w:rPr>
      </w:pPr>
    </w:p>
    <w:p>
      <w:pPr>
        <w:ind w:right="60" w:firstLine="457"/>
        <w:spacing w:after="0" w:line="277" w:lineRule="auto"/>
        <w:tabs>
          <w:tab w:leader="none" w:pos="704" w:val="left"/>
        </w:tabs>
        <w:numPr>
          <w:ilvl w:val="0"/>
          <w:numId w:val="53"/>
        </w:numPr>
        <w:rPr>
          <w:rFonts w:ascii="Arial" w:cs="Arial" w:eastAsia="Arial" w:hAnsi="Arial"/>
          <w:sz w:val="18"/>
          <w:szCs w:val="18"/>
          <w:color w:val="auto"/>
        </w:rPr>
      </w:pPr>
      <w:r>
        <w:rPr>
          <w:rFonts w:ascii="Arial" w:cs="Arial" w:eastAsia="Arial" w:hAnsi="Arial"/>
          <w:sz w:val="18"/>
          <w:szCs w:val="18"/>
          <w:color w:val="auto"/>
        </w:rPr>
        <w:t>With respect to any rights or powers to vote, or to direct the vote of, or to dispose of, or to direct the disposition of, the Common Stock owned by the Reporting Persons:</w:t>
      </w:r>
    </w:p>
    <w:p>
      <w:pPr>
        <w:spacing w:after="0" w:line="62" w:lineRule="exact"/>
        <w:rPr>
          <w:rFonts w:ascii="Arial" w:cs="Arial" w:eastAsia="Arial" w:hAnsi="Arial"/>
          <w:sz w:val="18"/>
          <w:szCs w:val="18"/>
          <w:color w:val="auto"/>
        </w:rPr>
      </w:pPr>
    </w:p>
    <w:p>
      <w:pPr>
        <w:ind w:left="1100" w:hanging="212"/>
        <w:spacing w:after="0"/>
        <w:tabs>
          <w:tab w:leader="none" w:pos="11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7"/>
          <w:szCs w:val="17"/>
          <w:color w:val="auto"/>
        </w:rPr>
        <w:t>BCTG Holdings has the sole power to vote or to direct the vote of the 6,988,450 shares of Common Stock it beneficially owns.</w:t>
      </w:r>
    </w:p>
    <w:p>
      <w:pPr>
        <w:spacing w:after="0" w:line="12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(ii) Shared power to vote or to direct the vote:</w:t>
      </w:r>
    </w:p>
    <w:p>
      <w:pPr>
        <w:spacing w:after="0" w:line="117" w:lineRule="exact"/>
        <w:rPr>
          <w:sz w:val="20"/>
          <w:szCs w:val="20"/>
          <w:color w:val="auto"/>
        </w:rPr>
      </w:pPr>
    </w:p>
    <w:p>
      <w:pPr>
        <w:ind w:left="1020" w:right="180" w:firstLine="409"/>
        <w:spacing w:after="0" w:line="301" w:lineRule="auto"/>
        <w:rPr>
          <w:sz w:val="20"/>
          <w:szCs w:val="20"/>
          <w:color w:val="auto"/>
        </w:rPr>
      </w:pPr>
      <w:r>
        <w:rPr>
          <w:rFonts w:ascii="Arial" w:cs="Arial" w:eastAsia="Arial" w:hAnsi="Arial"/>
          <w:sz w:val="16"/>
          <w:szCs w:val="16"/>
          <w:color w:val="auto"/>
        </w:rPr>
        <w:t>Boxer Capital and Boxer Management have shared power to vote or to direct the vote of the 6,871,642 shares of Common Stock they beneficially own. Braslyn has shared power to vote or to direct the vote of the 26,961 shares of Common Stock it beneficially owns. Joe Lewis has shared power to vote or to direct the vote of the 6,898,603 shares of Common Stock he beneficially owns. MVA Investors and Aaron I. Davis have shared power to vote or to direct the vote of the 101,524 shares of Common Stock they beneficially own.</w:t>
      </w:r>
    </w:p>
    <w:p>
      <w:pPr>
        <w:spacing w:after="0" w:line="4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(iii) Sole power to dispose or to direct the disposition of:</w:t>
      </w:r>
    </w:p>
    <w:p>
      <w:pPr>
        <w:spacing w:after="0" w:line="117" w:lineRule="exact"/>
        <w:rPr>
          <w:sz w:val="20"/>
          <w:szCs w:val="20"/>
          <w:color w:val="auto"/>
        </w:rPr>
      </w:pPr>
    </w:p>
    <w:p>
      <w:pPr>
        <w:ind w:left="1020" w:right="400" w:firstLine="409"/>
        <w:spacing w:after="0" w:line="277" w:lineRule="auto"/>
        <w:rPr>
          <w:sz w:val="20"/>
          <w:szCs w:val="20"/>
          <w:color w:val="auto"/>
        </w:rPr>
      </w:pPr>
      <w:r>
        <w:rPr>
          <w:rFonts w:ascii="Arial" w:cs="Arial" w:eastAsia="Arial" w:hAnsi="Arial"/>
          <w:sz w:val="18"/>
          <w:szCs w:val="18"/>
          <w:color w:val="auto"/>
        </w:rPr>
        <w:t>BCTG Holdings has the sole power to dispose or to direct the disposition of the 6,988,450 shares of Common Stock it beneficially owns.</w:t>
      </w:r>
    </w:p>
    <w:p>
      <w:pPr>
        <w:spacing w:after="0" w:line="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(iv) Shared power to dispose or to direct the disposition of:</w:t>
      </w:r>
    </w:p>
    <w:p>
      <w:pPr>
        <w:spacing w:after="0" w:line="117" w:lineRule="exact"/>
        <w:rPr>
          <w:sz w:val="20"/>
          <w:szCs w:val="20"/>
          <w:color w:val="auto"/>
        </w:rPr>
      </w:pPr>
    </w:p>
    <w:p>
      <w:pPr>
        <w:ind w:left="1020" w:right="100" w:firstLine="409"/>
        <w:spacing w:after="0" w:line="257" w:lineRule="auto"/>
        <w:rPr>
          <w:sz w:val="20"/>
          <w:szCs w:val="20"/>
          <w:color w:val="auto"/>
        </w:rPr>
      </w:pPr>
      <w:r>
        <w:rPr>
          <w:rFonts w:ascii="Arial" w:cs="Arial" w:eastAsia="Arial" w:hAnsi="Arial"/>
          <w:sz w:val="18"/>
          <w:szCs w:val="18"/>
          <w:color w:val="auto"/>
        </w:rPr>
        <w:t>Boxer Capital and Boxer Management have shared power to dispose or to direct the disposition of the 6,871,642 shares of Common Stock they beneficially own. Braslyn has shared power to dispose or direct the disposition of the 26,961 shares of Common Stock it beneficially owns. Joe Lewis has shared power to dispose or direct the disposition of the 6,898,603 shares of Common Stock he beneficially owns. MVA Investors and Aaron I. Davis have shared power to vote or to direct the vote of the 101,524 shares of Common Stock they beneficially own.</w:t>
      </w:r>
    </w:p>
    <w:p>
      <w:pPr>
        <w:sectPr>
          <w:pgSz w:w="11900" w:h="16838" w:orient="portrait"/>
          <w:cols w:equalWidth="0" w:num="1">
            <w:col w:w="11220"/>
          </w:cols>
          <w:pgMar w:left="320" w:top="274" w:right="359" w:bottom="1440" w:gutter="0" w:footer="0" w:header="0"/>
        </w:sectPr>
      </w:pPr>
    </w:p>
    <w:bookmarkStart w:id="10" w:name="page11"/>
    <w:bookmarkEnd w:id="10"/>
    <w:p>
      <w:pPr>
        <w:spacing w:after="0"/>
        <w:tabs>
          <w:tab w:leader="none" w:pos="52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87583X109</w:t>
      </w:r>
      <w:r>
        <w:rPr>
          <w:sz w:val="20"/>
          <w:szCs w:val="20"/>
          <w:color w:val="auto"/>
        </w:rPr>
        <w:tab/>
      </w:r>
      <w:r>
        <w:rPr>
          <w:rFonts w:ascii="Arial" w:cs="Arial" w:eastAsia="Arial" w:hAnsi="Arial"/>
          <w:sz w:val="17"/>
          <w:szCs w:val="17"/>
          <w:color w:val="auto"/>
        </w:rPr>
        <w:t>SCHEDULE 13D</w:t>
      </w:r>
    </w:p>
    <w:p>
      <w:pPr>
        <w:spacing w:after="0" w:line="158" w:lineRule="exact"/>
        <w:rPr>
          <w:sz w:val="20"/>
          <w:szCs w:val="20"/>
          <w:color w:val="auto"/>
        </w:rPr>
      </w:pPr>
    </w:p>
    <w:p>
      <w:pPr>
        <w:ind w:left="700" w:hanging="243"/>
        <w:spacing w:after="0"/>
        <w:tabs>
          <w:tab w:leader="none" w:pos="7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Other than as described herein, the Reporting Persons have not engaged in any transactions in the Common Stock in the past 60 days.</w:t>
      </w:r>
    </w:p>
    <w:p>
      <w:pPr>
        <w:spacing w:after="0" w:line="128" w:lineRule="exact"/>
        <w:rPr>
          <w:rFonts w:ascii="Arial" w:cs="Arial" w:eastAsia="Arial" w:hAnsi="Arial"/>
          <w:sz w:val="17"/>
          <w:szCs w:val="17"/>
          <w:color w:val="auto"/>
        </w:rPr>
      </w:pPr>
    </w:p>
    <w:p>
      <w:pPr>
        <w:ind w:left="720" w:hanging="263"/>
        <w:spacing w:after="0"/>
        <w:tabs>
          <w:tab w:leader="none" w:pos="7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No other person has the right to receive or the power to direct the receipt of dividends, or proceeds of sale of such securities outlined in this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report.</w:t>
      </w:r>
    </w:p>
    <w:p>
      <w:pPr>
        <w:spacing w:after="0" w:line="102" w:lineRule="exact"/>
        <w:rPr>
          <w:rFonts w:ascii="Arial" w:cs="Arial" w:eastAsia="Arial" w:hAnsi="Arial"/>
          <w:sz w:val="17"/>
          <w:szCs w:val="17"/>
          <w:color w:val="auto"/>
        </w:rPr>
      </w:pPr>
    </w:p>
    <w:p>
      <w:pPr>
        <w:ind w:left="700" w:hanging="243"/>
        <w:spacing w:after="0"/>
        <w:tabs>
          <w:tab w:leader="none" w:pos="7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121"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Except as otherwise described herein, there are no contracts, arrangements, understandings or relationships (legal or otherwise) among the persons named in Item 2 and between such persons and any person with respect to any securities of the Issuer, including, but not limited to, transfer or voting of any of the securities, finder’s fees, joint ventures, loan or option arrangements, puts or calls, guarantees of profits, division of profits or loss, or the giving or withholding of proxies.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256" w:lineRule="exact"/>
        <w:rPr>
          <w:sz w:val="20"/>
          <w:szCs w:val="20"/>
          <w:color w:val="auto"/>
        </w:rPr>
      </w:pPr>
    </w:p>
    <w:p>
      <w:pPr>
        <w:ind w:left="1020" w:right="520" w:hanging="1011"/>
        <w:spacing w:after="0" w:line="277" w:lineRule="auto"/>
        <w:tabs>
          <w:tab w:leader="none" w:pos="1000" w:val="left"/>
        </w:tabs>
        <w:rPr>
          <w:sz w:val="20"/>
          <w:szCs w:val="20"/>
          <w:color w:val="auto"/>
        </w:rPr>
      </w:pPr>
      <w:r>
        <w:rPr>
          <w:rFonts w:ascii="Arial" w:cs="Arial" w:eastAsia="Arial" w:hAnsi="Arial"/>
          <w:sz w:val="18"/>
          <w:szCs w:val="18"/>
          <w:color w:val="auto"/>
        </w:rPr>
        <w:t>Exhibit 1</w:t>
      </w:r>
      <w:r>
        <w:rPr>
          <w:sz w:val="20"/>
          <w:szCs w:val="20"/>
          <w:color w:val="auto"/>
        </w:rPr>
        <w:tab/>
      </w:r>
      <w:r>
        <w:rPr>
          <w:rFonts w:ascii="Arial" w:cs="Arial" w:eastAsia="Arial" w:hAnsi="Arial"/>
          <w:sz w:val="18"/>
          <w:szCs w:val="18"/>
          <w:color w:val="auto"/>
        </w:rPr>
        <w:t>Joint Filing Agreement, dated January 4, 2022, among BCTG Holdings, Boxer Capital, Boxer Management, Braslyn, Joe Lewis, MVA Investors and Aaron I. Davis.</w:t>
      </w:r>
    </w:p>
    <w:p>
      <w:pPr>
        <w:sectPr>
          <w:pgSz w:w="11900" w:h="16838" w:orient="portrait"/>
          <w:cols w:equalWidth="0" w:num="1">
            <w:col w:w="11240"/>
          </w:cols>
          <w:pgMar w:left="320" w:top="274"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5" w:lineRule="exact"/>
        <w:rPr>
          <w:sz w:val="20"/>
          <w:szCs w:val="20"/>
          <w:color w:val="auto"/>
        </w:rPr>
      </w:pPr>
    </w:p>
    <w:p>
      <w:pPr>
        <w:ind w:right="320" w:firstLine="449"/>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January 4, 2022</w:t>
      </w:r>
    </w:p>
    <w:p>
      <w:pPr>
        <w:spacing w:after="0" w:line="25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BCTG HOLDINGS, LLC</w:t>
      </w:r>
    </w:p>
    <w:p>
      <w:pPr>
        <w:spacing w:after="0" w:line="225" w:lineRule="exact"/>
        <w:rPr>
          <w:sz w:val="20"/>
          <w:szCs w:val="20"/>
          <w:color w:val="auto"/>
        </w:rPr>
      </w:pPr>
    </w:p>
    <w:tbl>
      <w:tblPr>
        <w:tblLayout w:type="fixed"/>
        <w:tblInd w:w="676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Aaron I. Davis</w:t>
            </w:r>
          </w:p>
        </w:tc>
      </w:tr>
      <w:tr>
        <w:trPr>
          <w:trHeight w:val="2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880" w:type="dxa"/>
            <w:vAlign w:val="bottom"/>
          </w:tcPr>
          <w:p>
            <w:pPr>
              <w:spacing w:after="0"/>
              <w:rPr>
                <w:sz w:val="20"/>
                <w:szCs w:val="20"/>
                <w:color w:val="auto"/>
              </w:rPr>
            </w:pPr>
            <w:r>
              <w:rPr>
                <w:rFonts w:ascii="Arial" w:cs="Arial" w:eastAsia="Arial" w:hAnsi="Arial"/>
                <w:sz w:val="18"/>
                <w:szCs w:val="18"/>
                <w:color w:val="auto"/>
              </w:rPr>
              <w:t>Aaron I. Davis</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Manager</w:t>
            </w:r>
          </w:p>
        </w:tc>
      </w:tr>
      <w:tr>
        <w:trPr>
          <w:trHeight w:val="432"/>
        </w:trPr>
        <w:tc>
          <w:tcPr>
            <w:tcW w:w="4480" w:type="dxa"/>
            <w:vAlign w:val="bottom"/>
            <w:gridSpan w:val="2"/>
          </w:tcPr>
          <w:p>
            <w:pPr>
              <w:spacing w:after="0"/>
              <w:rPr>
                <w:sz w:val="20"/>
                <w:szCs w:val="20"/>
                <w:color w:val="auto"/>
              </w:rPr>
            </w:pPr>
            <w:r>
              <w:rPr>
                <w:rFonts w:ascii="Arial" w:cs="Arial" w:eastAsia="Arial" w:hAnsi="Arial"/>
                <w:sz w:val="18"/>
                <w:szCs w:val="18"/>
                <w:color w:val="auto"/>
              </w:rPr>
              <w:t>BOXER CAPITAL, LLC</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Aaron I. Davis</w:t>
            </w:r>
          </w:p>
        </w:tc>
      </w:tr>
      <w:tr>
        <w:trPr>
          <w:trHeight w:val="2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880" w:type="dxa"/>
            <w:vAlign w:val="bottom"/>
          </w:tcPr>
          <w:p>
            <w:pPr>
              <w:spacing w:after="0"/>
              <w:rPr>
                <w:sz w:val="20"/>
                <w:szCs w:val="20"/>
                <w:color w:val="auto"/>
              </w:rPr>
            </w:pPr>
            <w:r>
              <w:rPr>
                <w:rFonts w:ascii="Arial" w:cs="Arial" w:eastAsia="Arial" w:hAnsi="Arial"/>
                <w:sz w:val="18"/>
                <w:szCs w:val="18"/>
                <w:color w:val="auto"/>
              </w:rPr>
              <w:t>Aaron I. Davis</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BOXER ASSET MANAGEMENT INC.</w:t>
      </w:r>
    </w:p>
    <w:p>
      <w:pPr>
        <w:spacing w:after="0" w:line="225" w:lineRule="exact"/>
        <w:rPr>
          <w:sz w:val="20"/>
          <w:szCs w:val="20"/>
          <w:color w:val="auto"/>
        </w:rPr>
      </w:pPr>
    </w:p>
    <w:tbl>
      <w:tblPr>
        <w:tblLayout w:type="fixed"/>
        <w:tblInd w:w="676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Jason Callender</w:t>
            </w:r>
          </w:p>
        </w:tc>
      </w:tr>
      <w:tr>
        <w:trPr>
          <w:trHeight w:val="2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880" w:type="dxa"/>
            <w:vAlign w:val="bottom"/>
          </w:tcPr>
          <w:p>
            <w:pPr>
              <w:spacing w:after="0"/>
              <w:rPr>
                <w:sz w:val="20"/>
                <w:szCs w:val="20"/>
                <w:color w:val="auto"/>
              </w:rPr>
            </w:pPr>
            <w:r>
              <w:rPr>
                <w:rFonts w:ascii="Arial" w:cs="Arial" w:eastAsia="Arial" w:hAnsi="Arial"/>
                <w:sz w:val="18"/>
                <w:szCs w:val="18"/>
                <w:color w:val="auto"/>
              </w:rPr>
              <w:t>Jason Callender</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4480" w:type="dxa"/>
            <w:vAlign w:val="bottom"/>
            <w:gridSpan w:val="2"/>
          </w:tcPr>
          <w:p>
            <w:pPr>
              <w:spacing w:after="0"/>
              <w:rPr>
                <w:sz w:val="20"/>
                <w:szCs w:val="20"/>
                <w:color w:val="auto"/>
              </w:rPr>
            </w:pPr>
            <w:r>
              <w:rPr>
                <w:rFonts w:ascii="Arial" w:cs="Arial" w:eastAsia="Arial" w:hAnsi="Arial"/>
                <w:sz w:val="18"/>
                <w:szCs w:val="18"/>
                <w:color w:val="auto"/>
              </w:rPr>
              <w:t>BRASLYN LTD.</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Jason Callender</w:t>
            </w:r>
          </w:p>
        </w:tc>
      </w:tr>
      <w:tr>
        <w:trPr>
          <w:trHeight w:val="2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880" w:type="dxa"/>
            <w:vAlign w:val="bottom"/>
          </w:tcPr>
          <w:p>
            <w:pPr>
              <w:spacing w:after="0"/>
              <w:rPr>
                <w:sz w:val="20"/>
                <w:szCs w:val="20"/>
                <w:color w:val="auto"/>
              </w:rPr>
            </w:pPr>
            <w:r>
              <w:rPr>
                <w:rFonts w:ascii="Arial" w:cs="Arial" w:eastAsia="Arial" w:hAnsi="Arial"/>
                <w:sz w:val="18"/>
                <w:szCs w:val="18"/>
                <w:color w:val="auto"/>
              </w:rPr>
              <w:t>Jason Callender</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JOSEPH C. LEWIS</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Joseph C.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Joseph C. Lewis, Individually</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MVA INVESTORS, LLC</w:t>
      </w:r>
    </w:p>
    <w:p>
      <w:pPr>
        <w:spacing w:after="0" w:line="225" w:lineRule="exact"/>
        <w:rPr>
          <w:sz w:val="20"/>
          <w:szCs w:val="20"/>
          <w:color w:val="auto"/>
        </w:rPr>
      </w:pPr>
    </w:p>
    <w:tbl>
      <w:tblPr>
        <w:tblLayout w:type="fixed"/>
        <w:tblInd w:w="676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Aaron I. Davis</w:t>
            </w:r>
          </w:p>
        </w:tc>
      </w:tr>
      <w:tr>
        <w:trPr>
          <w:trHeight w:val="2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880" w:type="dxa"/>
            <w:vAlign w:val="bottom"/>
          </w:tcPr>
          <w:p>
            <w:pPr>
              <w:spacing w:after="0"/>
              <w:rPr>
                <w:sz w:val="20"/>
                <w:szCs w:val="20"/>
                <w:color w:val="auto"/>
              </w:rPr>
            </w:pPr>
            <w:r>
              <w:rPr>
                <w:rFonts w:ascii="Arial" w:cs="Arial" w:eastAsia="Arial" w:hAnsi="Arial"/>
                <w:sz w:val="18"/>
                <w:szCs w:val="18"/>
                <w:color w:val="auto"/>
              </w:rPr>
              <w:t>Aaron I. Davis</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20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AARON I. DAVIS</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Aaron I.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Aaron I. Davis, Individually</w:t>
      </w:r>
    </w:p>
    <w:p>
      <w:pPr>
        <w:sectPr>
          <w:pgSz w:w="11900" w:h="16838" w:orient="portrait"/>
          <w:cols w:equalWidth="0" w:num="1">
            <w:col w:w="11240"/>
          </w:cols>
          <w:pgMar w:left="320" w:top="274" w:right="33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INFORMATION CONCERNING THE REPORTING PERSONS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BCTG HOLDINGS, LLC</w:t>
      </w:r>
    </w:p>
    <w:p>
      <w:pPr>
        <w:spacing w:after="0" w:line="117"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The managers of BCTG Holdings, LLC are set forth below. The individuals’ business addresses are 12860 El Camino Real, Suite 300, San Diego, CA 92130. Except as otherwise stated, the present principal occupation or employment set forth below opposite the name refers to employment with BCTG Holdings, LLC.</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3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7300" w:type="dxa"/>
            <w:vAlign w:val="bottom"/>
            <w:gridSpan w:val="2"/>
          </w:tcPr>
          <w:p>
            <w:pPr>
              <w:ind w:left="2180"/>
              <w:spacing w:after="0"/>
              <w:rPr>
                <w:sz w:val="20"/>
                <w:szCs w:val="20"/>
                <w:color w:val="auto"/>
              </w:rPr>
            </w:pPr>
            <w:r>
              <w:rPr>
                <w:rFonts w:ascii="Arial" w:cs="Arial" w:eastAsia="Arial" w:hAnsi="Arial"/>
                <w:sz w:val="14"/>
                <w:szCs w:val="14"/>
                <w:b w:val="1"/>
                <w:bCs w:val="1"/>
                <w:color w:val="auto"/>
              </w:rPr>
              <w:t>Present Principal Occupation or Employment</w:t>
            </w:r>
          </w:p>
        </w:tc>
        <w:tc>
          <w:tcPr>
            <w:tcW w:w="1560" w:type="dxa"/>
            <w:vAlign w:val="bottom"/>
          </w:tcPr>
          <w:p>
            <w:pPr>
              <w:ind w:left="420"/>
              <w:spacing w:after="0"/>
              <w:rPr>
                <w:sz w:val="20"/>
                <w:szCs w:val="20"/>
                <w:color w:val="auto"/>
              </w:rPr>
            </w:pPr>
            <w:r>
              <w:rPr>
                <w:rFonts w:ascii="Arial" w:cs="Arial" w:eastAsia="Arial" w:hAnsi="Arial"/>
                <w:sz w:val="14"/>
                <w:szCs w:val="14"/>
                <w:b w:val="1"/>
                <w:bCs w:val="1"/>
                <w:color w:val="auto"/>
              </w:rPr>
              <w:t>Citizenship</w:t>
            </w:r>
          </w:p>
        </w:tc>
      </w:tr>
      <w:tr>
        <w:trPr>
          <w:trHeight w:val="195"/>
        </w:trPr>
        <w:tc>
          <w:tcPr>
            <w:tcW w:w="22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Aaron I. Davis</w:t>
            </w:r>
          </w:p>
        </w:tc>
        <w:tc>
          <w:tcPr>
            <w:tcW w:w="120" w:type="dxa"/>
            <w:vAlign w:val="bottom"/>
          </w:tcPr>
          <w:p>
            <w:pPr>
              <w:spacing w:after="0"/>
              <w:rPr>
                <w:sz w:val="16"/>
                <w:szCs w:val="16"/>
                <w:color w:val="auto"/>
              </w:rPr>
            </w:pPr>
          </w:p>
        </w:tc>
        <w:tc>
          <w:tcPr>
            <w:tcW w:w="7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Manager; Employee of Tavistock Life Sciences Company</w:t>
            </w:r>
          </w:p>
        </w:tc>
        <w:tc>
          <w:tcPr>
            <w:tcW w:w="120" w:type="dxa"/>
            <w:vAlign w:val="bottom"/>
          </w:tcPr>
          <w:p>
            <w:pPr>
              <w:spacing w:after="0"/>
              <w:rPr>
                <w:sz w:val="16"/>
                <w:szCs w:val="16"/>
                <w:color w:val="auto"/>
              </w:rPr>
            </w:pPr>
          </w:p>
        </w:tc>
        <w:tc>
          <w:tcPr>
            <w:tcW w:w="1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United States</w:t>
            </w:r>
          </w:p>
        </w:tc>
      </w:tr>
      <w:tr>
        <w:trPr>
          <w:trHeight w:val="216"/>
        </w:trPr>
        <w:tc>
          <w:tcPr>
            <w:tcW w:w="2380" w:type="dxa"/>
            <w:vAlign w:val="bottom"/>
            <w:gridSpan w:val="2"/>
          </w:tcPr>
          <w:p>
            <w:pPr>
              <w:spacing w:after="0"/>
              <w:rPr>
                <w:sz w:val="20"/>
                <w:szCs w:val="20"/>
                <w:color w:val="auto"/>
              </w:rPr>
            </w:pPr>
            <w:r>
              <w:rPr>
                <w:rFonts w:ascii="Arial" w:cs="Arial" w:eastAsia="Arial" w:hAnsi="Arial"/>
                <w:sz w:val="18"/>
                <w:szCs w:val="18"/>
                <w:color w:val="auto"/>
              </w:rPr>
              <w:t>Christopher Fuglesang</w:t>
            </w:r>
          </w:p>
        </w:tc>
        <w:tc>
          <w:tcPr>
            <w:tcW w:w="7300" w:type="dxa"/>
            <w:vAlign w:val="bottom"/>
            <w:gridSpan w:val="2"/>
          </w:tcPr>
          <w:p>
            <w:pPr>
              <w:spacing w:after="0"/>
              <w:rPr>
                <w:sz w:val="20"/>
                <w:szCs w:val="20"/>
                <w:color w:val="auto"/>
              </w:rPr>
            </w:pPr>
            <w:r>
              <w:rPr>
                <w:rFonts w:ascii="Arial" w:cs="Arial" w:eastAsia="Arial" w:hAnsi="Arial"/>
                <w:sz w:val="18"/>
                <w:szCs w:val="18"/>
                <w:color w:val="auto"/>
              </w:rPr>
              <w:t>Manager; Employee of Tavistock Life Sciences Company</w:t>
            </w:r>
          </w:p>
        </w:tc>
        <w:tc>
          <w:tcPr>
            <w:tcW w:w="1560" w:type="dxa"/>
            <w:vAlign w:val="bottom"/>
          </w:tcPr>
          <w:p>
            <w:pPr>
              <w:spacing w:after="0"/>
              <w:rPr>
                <w:sz w:val="20"/>
                <w:szCs w:val="20"/>
                <w:color w:val="auto"/>
              </w:rPr>
            </w:pPr>
            <w:r>
              <w:rPr>
                <w:rFonts w:ascii="Arial" w:cs="Arial" w:eastAsia="Arial" w:hAnsi="Arial"/>
                <w:sz w:val="18"/>
                <w:szCs w:val="18"/>
                <w:color w:val="auto"/>
              </w:rPr>
              <w:t>United States</w:t>
            </w:r>
          </w:p>
        </w:tc>
      </w:tr>
      <w:tr>
        <w:trPr>
          <w:trHeight w:val="230"/>
        </w:trPr>
        <w:tc>
          <w:tcPr>
            <w:tcW w:w="2380" w:type="dxa"/>
            <w:vAlign w:val="bottom"/>
            <w:gridSpan w:val="2"/>
          </w:tcPr>
          <w:p>
            <w:pPr>
              <w:spacing w:after="0"/>
              <w:rPr>
                <w:sz w:val="20"/>
                <w:szCs w:val="20"/>
                <w:color w:val="auto"/>
              </w:rPr>
            </w:pPr>
            <w:r>
              <w:rPr>
                <w:rFonts w:ascii="Arial" w:cs="Arial" w:eastAsia="Arial" w:hAnsi="Arial"/>
                <w:sz w:val="18"/>
                <w:szCs w:val="18"/>
                <w:color w:val="auto"/>
              </w:rPr>
              <w:t>Andrew Ellis</w:t>
            </w:r>
          </w:p>
        </w:tc>
        <w:tc>
          <w:tcPr>
            <w:tcW w:w="7300" w:type="dxa"/>
            <w:vAlign w:val="bottom"/>
            <w:gridSpan w:val="2"/>
          </w:tcPr>
          <w:p>
            <w:pPr>
              <w:spacing w:after="0"/>
              <w:rPr>
                <w:sz w:val="20"/>
                <w:szCs w:val="20"/>
                <w:color w:val="auto"/>
              </w:rPr>
            </w:pPr>
            <w:r>
              <w:rPr>
                <w:rFonts w:ascii="Arial" w:cs="Arial" w:eastAsia="Arial" w:hAnsi="Arial"/>
                <w:sz w:val="18"/>
                <w:szCs w:val="18"/>
                <w:color w:val="auto"/>
              </w:rPr>
              <w:t>Manager; Employee of Tavistock Life Sciences Company</w:t>
            </w:r>
          </w:p>
        </w:tc>
        <w:tc>
          <w:tcPr>
            <w:tcW w:w="1560" w:type="dxa"/>
            <w:vAlign w:val="bottom"/>
          </w:tcPr>
          <w:p>
            <w:pPr>
              <w:spacing w:after="0"/>
              <w:rPr>
                <w:sz w:val="20"/>
                <w:szCs w:val="20"/>
                <w:color w:val="auto"/>
              </w:rPr>
            </w:pPr>
            <w:r>
              <w:rPr>
                <w:rFonts w:ascii="Arial" w:cs="Arial" w:eastAsia="Arial" w:hAnsi="Arial"/>
                <w:sz w:val="18"/>
                <w:szCs w:val="18"/>
                <w:color w:val="auto"/>
              </w:rPr>
              <w:t>United States</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BOXER CAPITAL, LLC</w:t>
      </w:r>
    </w:p>
    <w:p>
      <w:pPr>
        <w:spacing w:after="0" w:line="117" w:lineRule="exact"/>
        <w:rPr>
          <w:sz w:val="20"/>
          <w:szCs w:val="20"/>
          <w:color w:val="auto"/>
        </w:rPr>
      </w:pPr>
    </w:p>
    <w:p>
      <w:pPr>
        <w:ind w:right="20" w:firstLine="449"/>
        <w:spacing w:after="0" w:line="263" w:lineRule="auto"/>
        <w:rPr>
          <w:sz w:val="20"/>
          <w:szCs w:val="20"/>
          <w:color w:val="auto"/>
        </w:rPr>
      </w:pPr>
      <w:r>
        <w:rPr>
          <w:rFonts w:ascii="Arial" w:cs="Arial" w:eastAsia="Arial" w:hAnsi="Arial"/>
          <w:sz w:val="18"/>
          <w:szCs w:val="18"/>
          <w:color w:val="auto"/>
        </w:rPr>
        <w:t>The executive officers and managers of Boxer Capital, LLC are set forth below. The individuals’ business addresses are 12860 El Camino Real, Suite 300, San Diego, CA 92130. Except as otherwise stated, the present principal occupation or employment set forth below opposite the name refers to employment with Boxer Capital, LLC.</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5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7180" w:type="dxa"/>
            <w:vAlign w:val="bottom"/>
            <w:gridSpan w:val="2"/>
          </w:tcPr>
          <w:p>
            <w:pPr>
              <w:ind w:left="2120"/>
              <w:spacing w:after="0"/>
              <w:rPr>
                <w:sz w:val="20"/>
                <w:szCs w:val="20"/>
                <w:color w:val="auto"/>
              </w:rPr>
            </w:pPr>
            <w:r>
              <w:rPr>
                <w:rFonts w:ascii="Arial" w:cs="Arial" w:eastAsia="Arial" w:hAnsi="Arial"/>
                <w:sz w:val="14"/>
                <w:szCs w:val="14"/>
                <w:b w:val="1"/>
                <w:bCs w:val="1"/>
                <w:color w:val="auto"/>
              </w:rPr>
              <w:t>Present Principal Occupation or Employment</w:t>
            </w:r>
          </w:p>
        </w:tc>
        <w:tc>
          <w:tcPr>
            <w:tcW w:w="1560" w:type="dxa"/>
            <w:vAlign w:val="bottom"/>
          </w:tcPr>
          <w:p>
            <w:pPr>
              <w:ind w:left="420"/>
              <w:spacing w:after="0"/>
              <w:rPr>
                <w:sz w:val="20"/>
                <w:szCs w:val="20"/>
                <w:color w:val="auto"/>
              </w:rPr>
            </w:pPr>
            <w:r>
              <w:rPr>
                <w:rFonts w:ascii="Arial" w:cs="Arial" w:eastAsia="Arial" w:hAnsi="Arial"/>
                <w:sz w:val="14"/>
                <w:szCs w:val="14"/>
                <w:b w:val="1"/>
                <w:bCs w:val="1"/>
                <w:color w:val="auto"/>
              </w:rPr>
              <w:t>Citizenship</w:t>
            </w:r>
          </w:p>
        </w:tc>
      </w:tr>
      <w:tr>
        <w:trPr>
          <w:trHeight w:val="195"/>
        </w:trPr>
        <w:tc>
          <w:tcPr>
            <w:tcW w:w="23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Aaron I. Davis</w:t>
            </w:r>
          </w:p>
        </w:tc>
        <w:tc>
          <w:tcPr>
            <w:tcW w:w="120" w:type="dxa"/>
            <w:vAlign w:val="bottom"/>
          </w:tcPr>
          <w:p>
            <w:pPr>
              <w:spacing w:after="0"/>
              <w:rPr>
                <w:sz w:val="16"/>
                <w:szCs w:val="16"/>
                <w:color w:val="auto"/>
              </w:rPr>
            </w:pPr>
          </w:p>
        </w:tc>
        <w:tc>
          <w:tcPr>
            <w:tcW w:w="70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Member, Chief Executive Officer</w:t>
            </w:r>
          </w:p>
        </w:tc>
        <w:tc>
          <w:tcPr>
            <w:tcW w:w="120" w:type="dxa"/>
            <w:vAlign w:val="bottom"/>
          </w:tcPr>
          <w:p>
            <w:pPr>
              <w:spacing w:after="0"/>
              <w:rPr>
                <w:sz w:val="16"/>
                <w:szCs w:val="16"/>
                <w:color w:val="auto"/>
              </w:rPr>
            </w:pPr>
          </w:p>
        </w:tc>
        <w:tc>
          <w:tcPr>
            <w:tcW w:w="1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United States</w:t>
            </w:r>
          </w:p>
        </w:tc>
      </w:tr>
      <w:tr>
        <w:trPr>
          <w:trHeight w:val="216"/>
        </w:trPr>
        <w:tc>
          <w:tcPr>
            <w:tcW w:w="2500" w:type="dxa"/>
            <w:vAlign w:val="bottom"/>
            <w:gridSpan w:val="2"/>
          </w:tcPr>
          <w:p>
            <w:pPr>
              <w:spacing w:after="0"/>
              <w:rPr>
                <w:sz w:val="20"/>
                <w:szCs w:val="20"/>
                <w:color w:val="auto"/>
              </w:rPr>
            </w:pPr>
            <w:r>
              <w:rPr>
                <w:rFonts w:ascii="Arial" w:cs="Arial" w:eastAsia="Arial" w:hAnsi="Arial"/>
                <w:sz w:val="18"/>
                <w:szCs w:val="18"/>
                <w:color w:val="auto"/>
              </w:rPr>
              <w:t>Shehan B. Dissanayake</w:t>
            </w:r>
          </w:p>
        </w:tc>
        <w:tc>
          <w:tcPr>
            <w:tcW w:w="7180" w:type="dxa"/>
            <w:vAlign w:val="bottom"/>
            <w:gridSpan w:val="2"/>
          </w:tcPr>
          <w:p>
            <w:pPr>
              <w:spacing w:after="0"/>
              <w:rPr>
                <w:sz w:val="20"/>
                <w:szCs w:val="20"/>
                <w:color w:val="auto"/>
              </w:rPr>
            </w:pPr>
            <w:r>
              <w:rPr>
                <w:rFonts w:ascii="Arial" w:cs="Arial" w:eastAsia="Arial" w:hAnsi="Arial"/>
                <w:sz w:val="18"/>
                <w:szCs w:val="18"/>
                <w:color w:val="auto"/>
              </w:rPr>
              <w:t>Member</w:t>
            </w:r>
          </w:p>
        </w:tc>
        <w:tc>
          <w:tcPr>
            <w:tcW w:w="1560" w:type="dxa"/>
            <w:vAlign w:val="bottom"/>
          </w:tcPr>
          <w:p>
            <w:pPr>
              <w:spacing w:after="0"/>
              <w:rPr>
                <w:sz w:val="20"/>
                <w:szCs w:val="20"/>
                <w:color w:val="auto"/>
              </w:rPr>
            </w:pPr>
            <w:r>
              <w:rPr>
                <w:rFonts w:ascii="Arial" w:cs="Arial" w:eastAsia="Arial" w:hAnsi="Arial"/>
                <w:sz w:val="18"/>
                <w:szCs w:val="18"/>
                <w:color w:val="auto"/>
              </w:rPr>
              <w:t>United States</w:t>
            </w:r>
          </w:p>
        </w:tc>
      </w:tr>
      <w:tr>
        <w:trPr>
          <w:trHeight w:val="216"/>
        </w:trPr>
        <w:tc>
          <w:tcPr>
            <w:tcW w:w="2500" w:type="dxa"/>
            <w:vAlign w:val="bottom"/>
            <w:gridSpan w:val="2"/>
          </w:tcPr>
          <w:p>
            <w:pPr>
              <w:spacing w:after="0"/>
              <w:rPr>
                <w:sz w:val="20"/>
                <w:szCs w:val="20"/>
                <w:color w:val="auto"/>
              </w:rPr>
            </w:pPr>
            <w:r>
              <w:rPr>
                <w:rFonts w:ascii="Arial" w:cs="Arial" w:eastAsia="Arial" w:hAnsi="Arial"/>
                <w:sz w:val="18"/>
                <w:szCs w:val="18"/>
                <w:color w:val="auto"/>
              </w:rPr>
              <w:t>Christopher Fuglesang</w:t>
            </w:r>
          </w:p>
        </w:tc>
        <w:tc>
          <w:tcPr>
            <w:tcW w:w="7180" w:type="dxa"/>
            <w:vAlign w:val="bottom"/>
            <w:gridSpan w:val="2"/>
          </w:tcPr>
          <w:p>
            <w:pPr>
              <w:spacing w:after="0"/>
              <w:rPr>
                <w:sz w:val="20"/>
                <w:szCs w:val="20"/>
                <w:color w:val="auto"/>
              </w:rPr>
            </w:pPr>
            <w:r>
              <w:rPr>
                <w:rFonts w:ascii="Arial" w:cs="Arial" w:eastAsia="Arial" w:hAnsi="Arial"/>
                <w:sz w:val="18"/>
                <w:szCs w:val="18"/>
                <w:color w:val="auto"/>
              </w:rPr>
              <w:t>Member</w:t>
            </w:r>
          </w:p>
        </w:tc>
        <w:tc>
          <w:tcPr>
            <w:tcW w:w="1560" w:type="dxa"/>
            <w:vAlign w:val="bottom"/>
          </w:tcPr>
          <w:p>
            <w:pPr>
              <w:spacing w:after="0"/>
              <w:rPr>
                <w:sz w:val="20"/>
                <w:szCs w:val="20"/>
                <w:color w:val="auto"/>
              </w:rPr>
            </w:pPr>
            <w:r>
              <w:rPr>
                <w:rFonts w:ascii="Arial" w:cs="Arial" w:eastAsia="Arial" w:hAnsi="Arial"/>
                <w:sz w:val="18"/>
                <w:szCs w:val="18"/>
                <w:color w:val="auto"/>
              </w:rPr>
              <w:t>United States</w:t>
            </w:r>
          </w:p>
        </w:tc>
      </w:tr>
      <w:tr>
        <w:trPr>
          <w:trHeight w:val="230"/>
        </w:trPr>
        <w:tc>
          <w:tcPr>
            <w:tcW w:w="2500" w:type="dxa"/>
            <w:vAlign w:val="bottom"/>
            <w:gridSpan w:val="2"/>
          </w:tcPr>
          <w:p>
            <w:pPr>
              <w:spacing w:after="0"/>
              <w:rPr>
                <w:sz w:val="20"/>
                <w:szCs w:val="20"/>
                <w:color w:val="auto"/>
              </w:rPr>
            </w:pPr>
            <w:r>
              <w:rPr>
                <w:rFonts w:ascii="Arial" w:cs="Arial" w:eastAsia="Arial" w:hAnsi="Arial"/>
                <w:sz w:val="18"/>
                <w:szCs w:val="18"/>
                <w:color w:val="auto"/>
              </w:rPr>
              <w:t>Boxer Management</w:t>
            </w:r>
          </w:p>
        </w:tc>
        <w:tc>
          <w:tcPr>
            <w:tcW w:w="7180" w:type="dxa"/>
            <w:vAlign w:val="bottom"/>
            <w:gridSpan w:val="2"/>
          </w:tcPr>
          <w:p>
            <w:pPr>
              <w:spacing w:after="0"/>
              <w:rPr>
                <w:sz w:val="20"/>
                <w:szCs w:val="20"/>
                <w:color w:val="auto"/>
              </w:rPr>
            </w:pPr>
            <w:r>
              <w:rPr>
                <w:rFonts w:ascii="Arial" w:cs="Arial" w:eastAsia="Arial" w:hAnsi="Arial"/>
                <w:sz w:val="18"/>
                <w:szCs w:val="18"/>
                <w:color w:val="auto"/>
              </w:rPr>
              <w:t>Manager</w:t>
            </w:r>
          </w:p>
        </w:tc>
        <w:tc>
          <w:tcPr>
            <w:tcW w:w="1560" w:type="dxa"/>
            <w:vAlign w:val="bottom"/>
          </w:tcPr>
          <w:p>
            <w:pPr>
              <w:spacing w:after="0"/>
              <w:rPr>
                <w:sz w:val="20"/>
                <w:szCs w:val="20"/>
                <w:color w:val="auto"/>
              </w:rPr>
            </w:pPr>
            <w:r>
              <w:rPr>
                <w:rFonts w:ascii="Arial" w:cs="Arial" w:eastAsia="Arial" w:hAnsi="Arial"/>
                <w:sz w:val="18"/>
                <w:szCs w:val="18"/>
                <w:color w:val="auto"/>
              </w:rPr>
              <w:t>Bahamas</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BOXER ASSET MANAGEMENT INC.</w:t>
      </w:r>
    </w:p>
    <w:p>
      <w:pPr>
        <w:spacing w:after="0" w:line="117" w:lineRule="exact"/>
        <w:rPr>
          <w:sz w:val="20"/>
          <w:szCs w:val="20"/>
          <w:color w:val="auto"/>
        </w:rPr>
      </w:pPr>
    </w:p>
    <w:p>
      <w:pPr>
        <w:jc w:val="both"/>
        <w:ind w:right="240" w:firstLine="449"/>
        <w:spacing w:after="0" w:line="263" w:lineRule="auto"/>
        <w:rPr>
          <w:sz w:val="20"/>
          <w:szCs w:val="20"/>
          <w:color w:val="auto"/>
        </w:rPr>
      </w:pPr>
      <w:r>
        <w:rPr>
          <w:rFonts w:ascii="Arial" w:cs="Arial" w:eastAsia="Arial" w:hAnsi="Arial"/>
          <w:sz w:val="18"/>
          <w:szCs w:val="18"/>
          <w:color w:val="auto"/>
        </w:rPr>
        <w:t>The executive officers and directors of Boxer Asset Management Inc. are set forth below. Each individual’s business address is c/o Cay House, EP Taylor Drive N7776 Lyford Cay, New Providence, Bahamas. Except as otherwise stated, the present principal occupation or employment set forth below opposite the name of each person refers to employment with Boxer Asset Management Inc.</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3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960" w:type="dxa"/>
            <w:vAlign w:val="bottom"/>
          </w:tcPr>
          <w:p>
            <w:pPr>
              <w:spacing w:after="0"/>
              <w:rPr>
                <w:sz w:val="16"/>
                <w:szCs w:val="16"/>
                <w:color w:val="auto"/>
              </w:rPr>
            </w:pPr>
          </w:p>
        </w:tc>
        <w:tc>
          <w:tcPr>
            <w:tcW w:w="5340" w:type="dxa"/>
            <w:vAlign w:val="bottom"/>
            <w:gridSpan w:val="2"/>
          </w:tcPr>
          <w:p>
            <w:pPr>
              <w:ind w:left="220"/>
              <w:spacing w:after="0"/>
              <w:rPr>
                <w:sz w:val="20"/>
                <w:szCs w:val="20"/>
                <w:color w:val="auto"/>
              </w:rPr>
            </w:pPr>
            <w:r>
              <w:rPr>
                <w:rFonts w:ascii="Arial" w:cs="Arial" w:eastAsia="Arial" w:hAnsi="Arial"/>
                <w:sz w:val="14"/>
                <w:szCs w:val="14"/>
                <w:b w:val="1"/>
                <w:bCs w:val="1"/>
                <w:color w:val="auto"/>
              </w:rPr>
              <w:t>Present Principal Occupation or Employment</w:t>
            </w:r>
          </w:p>
        </w:tc>
        <w:tc>
          <w:tcPr>
            <w:tcW w:w="1560" w:type="dxa"/>
            <w:vAlign w:val="bottom"/>
          </w:tcPr>
          <w:p>
            <w:pPr>
              <w:ind w:left="420"/>
              <w:spacing w:after="0"/>
              <w:rPr>
                <w:sz w:val="20"/>
                <w:szCs w:val="20"/>
                <w:color w:val="auto"/>
              </w:rPr>
            </w:pPr>
            <w:r>
              <w:rPr>
                <w:rFonts w:ascii="Arial" w:cs="Arial" w:eastAsia="Arial" w:hAnsi="Arial"/>
                <w:sz w:val="14"/>
                <w:szCs w:val="14"/>
                <w:b w:val="1"/>
                <w:bCs w:val="1"/>
                <w:color w:val="auto"/>
              </w:rPr>
              <w:t>Citizenship</w:t>
            </w:r>
          </w:p>
        </w:tc>
      </w:tr>
      <w:tr>
        <w:trPr>
          <w:trHeight w:val="195"/>
        </w:trPr>
        <w:tc>
          <w:tcPr>
            <w:tcW w:w="22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Joe Lewis</w:t>
            </w:r>
          </w:p>
        </w:tc>
        <w:tc>
          <w:tcPr>
            <w:tcW w:w="120" w:type="dxa"/>
            <w:vAlign w:val="bottom"/>
          </w:tcPr>
          <w:p>
            <w:pPr>
              <w:spacing w:after="0"/>
              <w:rPr>
                <w:sz w:val="16"/>
                <w:szCs w:val="16"/>
                <w:color w:val="auto"/>
              </w:rPr>
            </w:pPr>
          </w:p>
        </w:tc>
        <w:tc>
          <w:tcPr>
            <w:tcW w:w="19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Director, President</w:t>
            </w:r>
          </w:p>
        </w:tc>
        <w:tc>
          <w:tcPr>
            <w:tcW w:w="52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United Kingdom</w:t>
            </w:r>
          </w:p>
        </w:tc>
      </w:tr>
      <w:tr>
        <w:trPr>
          <w:trHeight w:val="230"/>
        </w:trPr>
        <w:tc>
          <w:tcPr>
            <w:tcW w:w="2380" w:type="dxa"/>
            <w:vAlign w:val="bottom"/>
            <w:gridSpan w:val="2"/>
          </w:tcPr>
          <w:p>
            <w:pPr>
              <w:spacing w:after="0"/>
              <w:rPr>
                <w:sz w:val="20"/>
                <w:szCs w:val="20"/>
                <w:color w:val="auto"/>
              </w:rPr>
            </w:pPr>
            <w:r>
              <w:rPr>
                <w:rFonts w:ascii="Arial" w:cs="Arial" w:eastAsia="Arial" w:hAnsi="Arial"/>
                <w:sz w:val="18"/>
                <w:szCs w:val="18"/>
                <w:color w:val="auto"/>
              </w:rPr>
              <w:t>Jason Callender</w:t>
            </w:r>
          </w:p>
        </w:tc>
        <w:tc>
          <w:tcPr>
            <w:tcW w:w="1960" w:type="dxa"/>
            <w:vAlign w:val="bottom"/>
          </w:tcPr>
          <w:p>
            <w:pPr>
              <w:spacing w:after="0"/>
              <w:rPr>
                <w:sz w:val="20"/>
                <w:szCs w:val="20"/>
                <w:color w:val="auto"/>
              </w:rPr>
            </w:pPr>
            <w:r>
              <w:rPr>
                <w:rFonts w:ascii="Arial" w:cs="Arial" w:eastAsia="Arial" w:hAnsi="Arial"/>
                <w:sz w:val="18"/>
                <w:szCs w:val="18"/>
                <w:color w:val="auto"/>
              </w:rPr>
              <w:t>Director, Vice President</w:t>
            </w:r>
          </w:p>
        </w:tc>
        <w:tc>
          <w:tcPr>
            <w:tcW w:w="5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United States</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BRASLYN LTD.</w:t>
      </w:r>
    </w:p>
    <w:p>
      <w:pPr>
        <w:spacing w:after="0" w:line="117" w:lineRule="exact"/>
        <w:rPr>
          <w:sz w:val="20"/>
          <w:szCs w:val="20"/>
          <w:color w:val="auto"/>
        </w:rPr>
      </w:pPr>
    </w:p>
    <w:p>
      <w:pPr>
        <w:ind w:right="160" w:firstLine="449"/>
        <w:spacing w:after="0" w:line="277" w:lineRule="auto"/>
        <w:rPr>
          <w:sz w:val="20"/>
          <w:szCs w:val="20"/>
          <w:color w:val="auto"/>
        </w:rPr>
      </w:pPr>
      <w:r>
        <w:rPr>
          <w:rFonts w:ascii="Arial" w:cs="Arial" w:eastAsia="Arial" w:hAnsi="Arial"/>
          <w:sz w:val="18"/>
          <w:szCs w:val="18"/>
          <w:color w:val="auto"/>
        </w:rPr>
        <w:t>The executive officers and directors of Braslyn Ltd. are set forth below. Except as otherwise stated, the present principal occupation or employment set forth below opposite the name of each person refers to employment with Braslyn.</w:t>
      </w:r>
    </w:p>
    <w:p>
      <w:pPr>
        <w:sectPr>
          <w:pgSz w:w="11900" w:h="16838" w:orient="portrait"/>
          <w:cols w:equalWidth="0" w:num="1">
            <w:col w:w="11240"/>
          </w:cols>
          <w:pgMar w:left="320" w:top="270"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61"/>
        </w:trPr>
        <w:tc>
          <w:tcPr>
            <w:tcW w:w="1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2020" w:type="dxa"/>
            <w:vAlign w:val="bottom"/>
            <w:vMerge w:val="restart"/>
          </w:tcPr>
          <w:p>
            <w:pPr>
              <w:ind w:left="760"/>
              <w:spacing w:after="0"/>
              <w:rPr>
                <w:sz w:val="20"/>
                <w:szCs w:val="20"/>
                <w:color w:val="auto"/>
              </w:rPr>
            </w:pPr>
            <w:r>
              <w:rPr>
                <w:rFonts w:ascii="Arial" w:cs="Arial" w:eastAsia="Arial" w:hAnsi="Arial"/>
                <w:sz w:val="14"/>
                <w:szCs w:val="14"/>
                <w:b w:val="1"/>
                <w:bCs w:val="1"/>
                <w:color w:val="auto"/>
              </w:rPr>
              <w:t>Position</w:t>
            </w:r>
          </w:p>
        </w:tc>
        <w:tc>
          <w:tcPr>
            <w:tcW w:w="120" w:type="dxa"/>
            <w:vAlign w:val="bottom"/>
          </w:tcPr>
          <w:p>
            <w:pPr>
              <w:spacing w:after="0"/>
              <w:rPr>
                <w:sz w:val="14"/>
                <w:szCs w:val="14"/>
                <w:color w:val="auto"/>
              </w:rPr>
            </w:pPr>
          </w:p>
        </w:tc>
        <w:tc>
          <w:tcPr>
            <w:tcW w:w="3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Present Principal Occupation</w:t>
            </w:r>
          </w:p>
        </w:tc>
        <w:tc>
          <w:tcPr>
            <w:tcW w:w="3240" w:type="dxa"/>
            <w:vAlign w:val="bottom"/>
            <w:gridSpan w:val="2"/>
            <w:vMerge w:val="restart"/>
          </w:tcPr>
          <w:p>
            <w:pPr>
              <w:ind w:left="1320"/>
              <w:spacing w:after="0"/>
              <w:rPr>
                <w:sz w:val="20"/>
                <w:szCs w:val="20"/>
                <w:color w:val="auto"/>
              </w:rPr>
            </w:pPr>
            <w:r>
              <w:rPr>
                <w:rFonts w:ascii="Arial" w:cs="Arial" w:eastAsia="Arial" w:hAnsi="Arial"/>
                <w:sz w:val="14"/>
                <w:szCs w:val="14"/>
                <w:b w:val="1"/>
                <w:bCs w:val="1"/>
                <w:color w:val="auto"/>
              </w:rPr>
              <w:t>Address</w:t>
            </w:r>
          </w:p>
        </w:tc>
        <w:tc>
          <w:tcPr>
            <w:tcW w:w="146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Citizenship</w:t>
            </w:r>
          </w:p>
        </w:tc>
        <w:tc>
          <w:tcPr>
            <w:tcW w:w="0" w:type="dxa"/>
            <w:vAlign w:val="bottom"/>
          </w:tcPr>
          <w:p>
            <w:pPr>
              <w:spacing w:after="0"/>
              <w:rPr>
                <w:sz w:val="1"/>
                <w:szCs w:val="1"/>
                <w:color w:val="auto"/>
              </w:rPr>
            </w:pPr>
          </w:p>
        </w:tc>
      </w:tr>
      <w:tr>
        <w:trPr>
          <w:trHeight w:val="191"/>
        </w:trPr>
        <w:tc>
          <w:tcPr>
            <w:tcW w:w="1140" w:type="dxa"/>
            <w:vAlign w:val="bottom"/>
            <w:gridSpan w:val="2"/>
            <w:vMerge w:val="continue"/>
          </w:tcPr>
          <w:p>
            <w:pPr>
              <w:spacing w:after="0"/>
              <w:rPr>
                <w:sz w:val="16"/>
                <w:szCs w:val="16"/>
                <w:color w:val="auto"/>
              </w:rPr>
            </w:pPr>
          </w:p>
        </w:tc>
        <w:tc>
          <w:tcPr>
            <w:tcW w:w="2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or Employment</w:t>
            </w:r>
          </w:p>
        </w:tc>
        <w:tc>
          <w:tcPr>
            <w:tcW w:w="3240" w:type="dxa"/>
            <w:vAlign w:val="bottom"/>
            <w:gridSpan w:val="2"/>
            <w:vMerge w:val="continue"/>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Joe</w:t>
            </w:r>
          </w:p>
        </w:tc>
        <w:tc>
          <w:tcPr>
            <w:tcW w:w="760" w:type="dxa"/>
            <w:vAlign w:val="bottom"/>
          </w:tcPr>
          <w:p>
            <w:pPr>
              <w:spacing w:after="0" w:line="189" w:lineRule="exact"/>
              <w:rPr>
                <w:sz w:val="20"/>
                <w:szCs w:val="20"/>
                <w:color w:val="auto"/>
              </w:rPr>
            </w:pPr>
            <w:r>
              <w:rPr>
                <w:rFonts w:ascii="Arial" w:cs="Arial" w:eastAsia="Arial" w:hAnsi="Arial"/>
                <w:sz w:val="18"/>
                <w:szCs w:val="18"/>
                <w:color w:val="auto"/>
              </w:rPr>
              <w:t>Lewis</w:t>
            </w:r>
          </w:p>
        </w:tc>
        <w:tc>
          <w:tcPr>
            <w:tcW w:w="20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Director, President</w:t>
            </w:r>
          </w:p>
        </w:tc>
        <w:tc>
          <w:tcPr>
            <w:tcW w:w="120" w:type="dxa"/>
            <w:vAlign w:val="bottom"/>
          </w:tcPr>
          <w:p>
            <w:pPr>
              <w:spacing w:after="0"/>
              <w:rPr>
                <w:sz w:val="16"/>
                <w:szCs w:val="16"/>
                <w:color w:val="auto"/>
              </w:rPr>
            </w:pPr>
          </w:p>
        </w:tc>
        <w:tc>
          <w:tcPr>
            <w:tcW w:w="31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Private Investor</w:t>
            </w:r>
          </w:p>
        </w:tc>
        <w:tc>
          <w:tcPr>
            <w:tcW w:w="100" w:type="dxa"/>
            <w:vAlign w:val="bottom"/>
          </w:tcPr>
          <w:p>
            <w:pPr>
              <w:spacing w:after="0"/>
              <w:rPr>
                <w:sz w:val="16"/>
                <w:szCs w:val="16"/>
                <w:color w:val="auto"/>
              </w:rPr>
            </w:pPr>
          </w:p>
        </w:tc>
        <w:tc>
          <w:tcPr>
            <w:tcW w:w="31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Cay House, EP</w:t>
            </w:r>
          </w:p>
        </w:tc>
        <w:tc>
          <w:tcPr>
            <w:tcW w:w="100" w:type="dxa"/>
            <w:vAlign w:val="bottom"/>
          </w:tcPr>
          <w:p>
            <w:pPr>
              <w:spacing w:after="0"/>
              <w:rPr>
                <w:sz w:val="16"/>
                <w:szCs w:val="16"/>
                <w:color w:val="auto"/>
              </w:rPr>
            </w:pPr>
          </w:p>
        </w:tc>
        <w:tc>
          <w:tcPr>
            <w:tcW w:w="14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Taylor Drive N7776,</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Lyford Cay, New</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Providence, The Bahamas</w:t>
            </w: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1140" w:type="dxa"/>
            <w:vAlign w:val="bottom"/>
            <w:gridSpan w:val="2"/>
          </w:tcPr>
          <w:p>
            <w:pPr>
              <w:spacing w:after="0"/>
              <w:rPr>
                <w:sz w:val="20"/>
                <w:szCs w:val="20"/>
                <w:color w:val="auto"/>
              </w:rPr>
            </w:pPr>
            <w:r>
              <w:rPr>
                <w:rFonts w:ascii="Arial" w:cs="Arial" w:eastAsia="Arial" w:hAnsi="Arial"/>
                <w:sz w:val="18"/>
                <w:szCs w:val="18"/>
                <w:color w:val="auto"/>
              </w:rPr>
              <w:t>Jason</w:t>
            </w:r>
          </w:p>
        </w:tc>
        <w:tc>
          <w:tcPr>
            <w:tcW w:w="2020" w:type="dxa"/>
            <w:vAlign w:val="bottom"/>
          </w:tcPr>
          <w:p>
            <w:pPr>
              <w:spacing w:after="0"/>
              <w:rPr>
                <w:sz w:val="20"/>
                <w:szCs w:val="20"/>
                <w:color w:val="auto"/>
              </w:rPr>
            </w:pPr>
            <w:r>
              <w:rPr>
                <w:rFonts w:ascii="Arial" w:cs="Arial" w:eastAsia="Arial" w:hAnsi="Arial"/>
                <w:sz w:val="18"/>
                <w:szCs w:val="18"/>
                <w:color w:val="auto"/>
              </w:rPr>
              <w:t>Director, Vice President,</w:t>
            </w:r>
          </w:p>
        </w:tc>
        <w:tc>
          <w:tcPr>
            <w:tcW w:w="3380" w:type="dxa"/>
            <w:vAlign w:val="bottom"/>
            <w:gridSpan w:val="3"/>
          </w:tcPr>
          <w:p>
            <w:pPr>
              <w:ind w:left="120"/>
              <w:spacing w:after="0"/>
              <w:rPr>
                <w:sz w:val="20"/>
                <w:szCs w:val="20"/>
                <w:color w:val="auto"/>
              </w:rPr>
            </w:pPr>
            <w:r>
              <w:rPr>
                <w:rFonts w:ascii="Arial" w:cs="Arial" w:eastAsia="Arial" w:hAnsi="Arial"/>
                <w:sz w:val="18"/>
                <w:szCs w:val="18"/>
                <w:color w:val="auto"/>
              </w:rPr>
              <w:t>Real Estate Development and Sales</w:t>
            </w:r>
          </w:p>
        </w:tc>
        <w:tc>
          <w:tcPr>
            <w:tcW w:w="3240" w:type="dxa"/>
            <w:vAlign w:val="bottom"/>
            <w:gridSpan w:val="2"/>
          </w:tcPr>
          <w:p>
            <w:pPr>
              <w:spacing w:after="0"/>
              <w:rPr>
                <w:sz w:val="20"/>
                <w:szCs w:val="20"/>
                <w:color w:val="auto"/>
              </w:rPr>
            </w:pPr>
            <w:r>
              <w:rPr>
                <w:rFonts w:ascii="Arial" w:cs="Arial" w:eastAsia="Arial" w:hAnsi="Arial"/>
                <w:sz w:val="18"/>
                <w:szCs w:val="18"/>
                <w:color w:val="auto"/>
              </w:rPr>
              <w:t>Ground Floor Charles</w:t>
            </w:r>
          </w:p>
        </w:tc>
        <w:tc>
          <w:tcPr>
            <w:tcW w:w="1460" w:type="dxa"/>
            <w:vAlign w:val="bottom"/>
          </w:tcPr>
          <w:p>
            <w:pPr>
              <w:spacing w:after="0"/>
              <w:rPr>
                <w:sz w:val="20"/>
                <w:szCs w:val="20"/>
                <w:color w:val="auto"/>
              </w:rPr>
            </w:pPr>
            <w:r>
              <w:rPr>
                <w:rFonts w:ascii="Arial" w:cs="Arial" w:eastAsia="Arial" w:hAnsi="Arial"/>
                <w:sz w:val="18"/>
                <w:szCs w:val="18"/>
                <w:color w:val="auto"/>
              </w:rPr>
              <w:t>Bahamas</w:t>
            </w:r>
          </w:p>
        </w:tc>
        <w:tc>
          <w:tcPr>
            <w:tcW w:w="0" w:type="dxa"/>
            <w:vAlign w:val="bottom"/>
          </w:tcPr>
          <w:p>
            <w:pPr>
              <w:spacing w:after="0"/>
              <w:rPr>
                <w:sz w:val="1"/>
                <w:szCs w:val="1"/>
                <w:color w:val="auto"/>
              </w:rPr>
            </w:pPr>
          </w:p>
        </w:tc>
      </w:t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rPr>
              <w:t>Callender</w:t>
            </w:r>
          </w:p>
        </w:tc>
        <w:tc>
          <w:tcPr>
            <w:tcW w:w="2020" w:type="dxa"/>
            <w:vAlign w:val="bottom"/>
          </w:tcPr>
          <w:p>
            <w:pPr>
              <w:spacing w:after="0"/>
              <w:rPr>
                <w:sz w:val="20"/>
                <w:szCs w:val="20"/>
                <w:color w:val="auto"/>
              </w:rPr>
            </w:pPr>
            <w:r>
              <w:rPr>
                <w:rFonts w:ascii="Arial" w:cs="Arial" w:eastAsia="Arial" w:hAnsi="Arial"/>
                <w:sz w:val="18"/>
                <w:szCs w:val="18"/>
                <w:color w:val="auto"/>
              </w:rPr>
              <w:t>Secretary</w:t>
            </w:r>
          </w:p>
        </w:tc>
        <w:tc>
          <w:tcPr>
            <w:tcW w:w="1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Building Lewis Drive</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Albany, New</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Providence, The</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Bahamas</w:t>
            </w: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1140" w:type="dxa"/>
            <w:vAlign w:val="bottom"/>
            <w:gridSpan w:val="2"/>
          </w:tcPr>
          <w:p>
            <w:pPr>
              <w:spacing w:after="0"/>
              <w:rPr>
                <w:sz w:val="20"/>
                <w:szCs w:val="20"/>
                <w:color w:val="auto"/>
              </w:rPr>
            </w:pPr>
            <w:r>
              <w:rPr>
                <w:rFonts w:ascii="Arial" w:cs="Arial" w:eastAsia="Arial" w:hAnsi="Arial"/>
                <w:sz w:val="18"/>
                <w:szCs w:val="18"/>
                <w:color w:val="auto"/>
              </w:rPr>
              <w:t>James B.</w:t>
            </w:r>
          </w:p>
        </w:tc>
        <w:tc>
          <w:tcPr>
            <w:tcW w:w="2020" w:type="dxa"/>
            <w:vAlign w:val="bottom"/>
          </w:tcPr>
          <w:p>
            <w:pPr>
              <w:spacing w:after="0"/>
              <w:rPr>
                <w:sz w:val="20"/>
                <w:szCs w:val="20"/>
                <w:color w:val="auto"/>
              </w:rPr>
            </w:pPr>
            <w:r>
              <w:rPr>
                <w:rFonts w:ascii="Arial" w:cs="Arial" w:eastAsia="Arial" w:hAnsi="Arial"/>
                <w:sz w:val="18"/>
                <w:szCs w:val="18"/>
                <w:color w:val="auto"/>
              </w:rPr>
              <w:t>Vice President</w:t>
            </w:r>
          </w:p>
        </w:tc>
        <w:tc>
          <w:tcPr>
            <w:tcW w:w="3380" w:type="dxa"/>
            <w:vAlign w:val="bottom"/>
            <w:gridSpan w:val="3"/>
          </w:tcPr>
          <w:p>
            <w:pPr>
              <w:ind w:left="120"/>
              <w:spacing w:after="0"/>
              <w:rPr>
                <w:sz w:val="20"/>
                <w:szCs w:val="20"/>
                <w:color w:val="auto"/>
              </w:rPr>
            </w:pPr>
            <w:r>
              <w:rPr>
                <w:rFonts w:ascii="Arial" w:cs="Arial" w:eastAsia="Arial" w:hAnsi="Arial"/>
                <w:sz w:val="18"/>
                <w:szCs w:val="18"/>
                <w:color w:val="auto"/>
              </w:rPr>
              <w:t>Employee of Tavistock Life Sciences</w:t>
            </w:r>
          </w:p>
        </w:tc>
        <w:tc>
          <w:tcPr>
            <w:tcW w:w="3240" w:type="dxa"/>
            <w:vAlign w:val="bottom"/>
            <w:gridSpan w:val="2"/>
          </w:tcPr>
          <w:p>
            <w:pPr>
              <w:spacing w:after="0"/>
              <w:rPr>
                <w:sz w:val="20"/>
                <w:szCs w:val="20"/>
                <w:color w:val="auto"/>
              </w:rPr>
            </w:pPr>
            <w:r>
              <w:rPr>
                <w:rFonts w:ascii="Arial" w:cs="Arial" w:eastAsia="Arial" w:hAnsi="Arial"/>
                <w:sz w:val="18"/>
                <w:szCs w:val="18"/>
                <w:color w:val="auto"/>
              </w:rPr>
              <w:t>Tavistock Life</w:t>
            </w:r>
          </w:p>
        </w:tc>
        <w:tc>
          <w:tcPr>
            <w:tcW w:w="1460" w:type="dxa"/>
            <w:vAlign w:val="bottom"/>
          </w:tcPr>
          <w:p>
            <w:pPr>
              <w:spacing w:after="0"/>
              <w:rPr>
                <w:sz w:val="20"/>
                <w:szCs w:val="20"/>
                <w:color w:val="auto"/>
              </w:rPr>
            </w:pPr>
            <w:r>
              <w:rPr>
                <w:rFonts w:ascii="Arial" w:cs="Arial" w:eastAsia="Arial" w:hAnsi="Arial"/>
                <w:sz w:val="18"/>
                <w:szCs w:val="18"/>
                <w:color w:val="auto"/>
              </w:rPr>
              <w:t>United States</w:t>
            </w:r>
          </w:p>
        </w:tc>
        <w:tc>
          <w:tcPr>
            <w:tcW w:w="0" w:type="dxa"/>
            <w:vAlign w:val="bottom"/>
          </w:tcPr>
          <w:p>
            <w:pPr>
              <w:spacing w:after="0"/>
              <w:rPr>
                <w:sz w:val="1"/>
                <w:szCs w:val="1"/>
                <w:color w:val="auto"/>
              </w:rPr>
            </w:pPr>
          </w:p>
        </w:tc>
      </w:t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rPr>
              <w:t>Avery</w:t>
            </w:r>
          </w:p>
        </w:tc>
        <w:tc>
          <w:tcPr>
            <w:tcW w:w="2020" w:type="dxa"/>
            <w:vAlign w:val="bottom"/>
          </w:tcPr>
          <w:p>
            <w:pPr>
              <w:spacing w:after="0"/>
              <w:rPr>
                <w:sz w:val="18"/>
                <w:szCs w:val="18"/>
                <w:color w:val="auto"/>
              </w:rPr>
            </w:pPr>
          </w:p>
        </w:tc>
        <w:tc>
          <w:tcPr>
            <w:tcW w:w="3380" w:type="dxa"/>
            <w:vAlign w:val="bottom"/>
            <w:gridSpan w:val="3"/>
          </w:tcPr>
          <w:p>
            <w:pPr>
              <w:ind w:left="120"/>
              <w:spacing w:after="0"/>
              <w:rPr>
                <w:sz w:val="20"/>
                <w:szCs w:val="20"/>
                <w:color w:val="auto"/>
              </w:rPr>
            </w:pPr>
            <w:r>
              <w:rPr>
                <w:rFonts w:ascii="Arial" w:cs="Arial" w:eastAsia="Arial" w:hAnsi="Arial"/>
                <w:sz w:val="18"/>
                <w:szCs w:val="18"/>
                <w:color w:val="auto"/>
              </w:rPr>
              <w:t>Company</w:t>
            </w:r>
          </w:p>
        </w:tc>
        <w:tc>
          <w:tcPr>
            <w:tcW w:w="3240" w:type="dxa"/>
            <w:vAlign w:val="bottom"/>
            <w:gridSpan w:val="2"/>
          </w:tcPr>
          <w:p>
            <w:pPr>
              <w:spacing w:after="0"/>
              <w:rPr>
                <w:sz w:val="20"/>
                <w:szCs w:val="20"/>
                <w:color w:val="auto"/>
              </w:rPr>
            </w:pPr>
            <w:r>
              <w:rPr>
                <w:rFonts w:ascii="Arial" w:cs="Arial" w:eastAsia="Arial" w:hAnsi="Arial"/>
                <w:sz w:val="18"/>
                <w:szCs w:val="18"/>
                <w:color w:val="auto"/>
              </w:rPr>
              <w:t>Sciences Company</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9350 Conroy</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Windermere Road</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Windermere, FL</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34786</w:t>
            </w: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MVA INVESTORS, LLC</w:t>
      </w:r>
    </w:p>
    <w:p>
      <w:pPr>
        <w:spacing w:after="0" w:line="117" w:lineRule="exact"/>
        <w:rPr>
          <w:sz w:val="20"/>
          <w:szCs w:val="20"/>
          <w:color w:val="auto"/>
        </w:rPr>
      </w:pPr>
    </w:p>
    <w:p>
      <w:pPr>
        <w:ind w:right="220" w:firstLine="449"/>
        <w:spacing w:after="0" w:line="263" w:lineRule="auto"/>
        <w:rPr>
          <w:sz w:val="20"/>
          <w:szCs w:val="20"/>
          <w:color w:val="auto"/>
        </w:rPr>
      </w:pPr>
      <w:r>
        <w:rPr>
          <w:rFonts w:ascii="Arial" w:cs="Arial" w:eastAsia="Arial" w:hAnsi="Arial"/>
          <w:sz w:val="18"/>
          <w:szCs w:val="18"/>
          <w:color w:val="auto"/>
        </w:rPr>
        <w:t>The executive officers and directors of MVA Investors, LLC are set forth below. The individuals’ business addresses are 12860 El Camino Real, Suite 300, San Diego, CA 92130. Except as otherwise stated, the present principal occupation or employment set forth below opposite the name refers to employment with MVA Investors, LLC.</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3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7300" w:type="dxa"/>
            <w:vAlign w:val="bottom"/>
            <w:gridSpan w:val="2"/>
          </w:tcPr>
          <w:p>
            <w:pPr>
              <w:ind w:left="2180"/>
              <w:spacing w:after="0"/>
              <w:rPr>
                <w:sz w:val="20"/>
                <w:szCs w:val="20"/>
                <w:color w:val="auto"/>
              </w:rPr>
            </w:pPr>
            <w:r>
              <w:rPr>
                <w:rFonts w:ascii="Arial" w:cs="Arial" w:eastAsia="Arial" w:hAnsi="Arial"/>
                <w:sz w:val="14"/>
                <w:szCs w:val="14"/>
                <w:b w:val="1"/>
                <w:bCs w:val="1"/>
                <w:color w:val="auto"/>
              </w:rPr>
              <w:t>Present Principal Occupation or Employment</w:t>
            </w:r>
          </w:p>
        </w:tc>
        <w:tc>
          <w:tcPr>
            <w:tcW w:w="1560" w:type="dxa"/>
            <w:vAlign w:val="bottom"/>
          </w:tcPr>
          <w:p>
            <w:pPr>
              <w:ind w:left="420"/>
              <w:spacing w:after="0"/>
              <w:rPr>
                <w:sz w:val="20"/>
                <w:szCs w:val="20"/>
                <w:color w:val="auto"/>
              </w:rPr>
            </w:pPr>
            <w:r>
              <w:rPr>
                <w:rFonts w:ascii="Arial" w:cs="Arial" w:eastAsia="Arial" w:hAnsi="Arial"/>
                <w:sz w:val="14"/>
                <w:szCs w:val="14"/>
                <w:b w:val="1"/>
                <w:bCs w:val="1"/>
                <w:color w:val="auto"/>
              </w:rPr>
              <w:t>Citizenship</w:t>
            </w:r>
          </w:p>
        </w:tc>
      </w:tr>
      <w:tr>
        <w:trPr>
          <w:trHeight w:val="195"/>
        </w:trPr>
        <w:tc>
          <w:tcPr>
            <w:tcW w:w="22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Aaron I. Davis</w:t>
            </w:r>
          </w:p>
        </w:tc>
        <w:tc>
          <w:tcPr>
            <w:tcW w:w="120" w:type="dxa"/>
            <w:vAlign w:val="bottom"/>
          </w:tcPr>
          <w:p>
            <w:pPr>
              <w:spacing w:after="0"/>
              <w:rPr>
                <w:sz w:val="16"/>
                <w:szCs w:val="16"/>
                <w:color w:val="auto"/>
              </w:rPr>
            </w:pPr>
          </w:p>
        </w:tc>
        <w:tc>
          <w:tcPr>
            <w:tcW w:w="7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Member, Chief Executive Officer, Employee of Tavistock Life Sciences Company</w:t>
            </w:r>
          </w:p>
        </w:tc>
        <w:tc>
          <w:tcPr>
            <w:tcW w:w="120" w:type="dxa"/>
            <w:vAlign w:val="bottom"/>
          </w:tcPr>
          <w:p>
            <w:pPr>
              <w:spacing w:after="0"/>
              <w:rPr>
                <w:sz w:val="16"/>
                <w:szCs w:val="16"/>
                <w:color w:val="auto"/>
              </w:rPr>
            </w:pPr>
          </w:p>
        </w:tc>
        <w:tc>
          <w:tcPr>
            <w:tcW w:w="1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United States</w:t>
            </w:r>
          </w:p>
        </w:tc>
      </w:tr>
      <w:tr>
        <w:trPr>
          <w:trHeight w:val="216"/>
        </w:trPr>
        <w:tc>
          <w:tcPr>
            <w:tcW w:w="2380" w:type="dxa"/>
            <w:vAlign w:val="bottom"/>
            <w:gridSpan w:val="2"/>
          </w:tcPr>
          <w:p>
            <w:pPr>
              <w:spacing w:after="0"/>
              <w:rPr>
                <w:sz w:val="20"/>
                <w:szCs w:val="20"/>
                <w:color w:val="auto"/>
              </w:rPr>
            </w:pPr>
            <w:r>
              <w:rPr>
                <w:rFonts w:ascii="Arial" w:cs="Arial" w:eastAsia="Arial" w:hAnsi="Arial"/>
                <w:sz w:val="18"/>
                <w:szCs w:val="18"/>
                <w:color w:val="auto"/>
              </w:rPr>
              <w:t>Christopher Fuglesang</w:t>
            </w:r>
          </w:p>
        </w:tc>
        <w:tc>
          <w:tcPr>
            <w:tcW w:w="7300" w:type="dxa"/>
            <w:vAlign w:val="bottom"/>
            <w:gridSpan w:val="2"/>
          </w:tcPr>
          <w:p>
            <w:pPr>
              <w:spacing w:after="0"/>
              <w:rPr>
                <w:sz w:val="20"/>
                <w:szCs w:val="20"/>
                <w:color w:val="auto"/>
              </w:rPr>
            </w:pPr>
            <w:r>
              <w:rPr>
                <w:rFonts w:ascii="Arial" w:cs="Arial" w:eastAsia="Arial" w:hAnsi="Arial"/>
                <w:sz w:val="18"/>
                <w:szCs w:val="18"/>
                <w:color w:val="auto"/>
              </w:rPr>
              <w:t>Member, President, Employee of Tavistock Life Sciences Company</w:t>
            </w:r>
          </w:p>
        </w:tc>
        <w:tc>
          <w:tcPr>
            <w:tcW w:w="1560" w:type="dxa"/>
            <w:vAlign w:val="bottom"/>
          </w:tcPr>
          <w:p>
            <w:pPr>
              <w:spacing w:after="0"/>
              <w:rPr>
                <w:sz w:val="20"/>
                <w:szCs w:val="20"/>
                <w:color w:val="auto"/>
              </w:rPr>
            </w:pPr>
            <w:r>
              <w:rPr>
                <w:rFonts w:ascii="Arial" w:cs="Arial" w:eastAsia="Arial" w:hAnsi="Arial"/>
                <w:sz w:val="18"/>
                <w:szCs w:val="18"/>
                <w:color w:val="auto"/>
              </w:rPr>
              <w:t>United States</w:t>
            </w:r>
          </w:p>
        </w:tc>
      </w:tr>
      <w:tr>
        <w:trPr>
          <w:trHeight w:val="230"/>
        </w:trPr>
        <w:tc>
          <w:tcPr>
            <w:tcW w:w="2380" w:type="dxa"/>
            <w:vAlign w:val="bottom"/>
            <w:gridSpan w:val="2"/>
          </w:tcPr>
          <w:p>
            <w:pPr>
              <w:spacing w:after="0"/>
              <w:rPr>
                <w:sz w:val="20"/>
                <w:szCs w:val="20"/>
                <w:color w:val="auto"/>
              </w:rPr>
            </w:pPr>
            <w:r>
              <w:rPr>
                <w:rFonts w:ascii="Arial" w:cs="Arial" w:eastAsia="Arial" w:hAnsi="Arial"/>
                <w:sz w:val="18"/>
                <w:szCs w:val="18"/>
                <w:color w:val="auto"/>
              </w:rPr>
              <w:t>Shehan B. Dissanayake</w:t>
            </w:r>
          </w:p>
        </w:tc>
        <w:tc>
          <w:tcPr>
            <w:tcW w:w="7300" w:type="dxa"/>
            <w:vAlign w:val="bottom"/>
            <w:gridSpan w:val="2"/>
          </w:tcPr>
          <w:p>
            <w:pPr>
              <w:spacing w:after="0"/>
              <w:rPr>
                <w:sz w:val="20"/>
                <w:szCs w:val="20"/>
                <w:color w:val="auto"/>
              </w:rPr>
            </w:pPr>
            <w:r>
              <w:rPr>
                <w:rFonts w:ascii="Arial" w:cs="Arial" w:eastAsia="Arial" w:hAnsi="Arial"/>
                <w:sz w:val="18"/>
                <w:szCs w:val="18"/>
                <w:color w:val="auto"/>
              </w:rPr>
              <w:t>Member, Manager, Employee of Tavistock Life Sciences Company</w:t>
            </w:r>
          </w:p>
        </w:tc>
        <w:tc>
          <w:tcPr>
            <w:tcW w:w="1560" w:type="dxa"/>
            <w:vAlign w:val="bottom"/>
          </w:tcPr>
          <w:p>
            <w:pPr>
              <w:spacing w:after="0"/>
              <w:rPr>
                <w:sz w:val="20"/>
                <w:szCs w:val="20"/>
                <w:color w:val="auto"/>
              </w:rPr>
            </w:pPr>
            <w:r>
              <w:rPr>
                <w:rFonts w:ascii="Arial" w:cs="Arial" w:eastAsia="Arial" w:hAnsi="Arial"/>
                <w:sz w:val="18"/>
                <w:szCs w:val="18"/>
                <w:color w:val="auto"/>
              </w:rPr>
              <w:t>United States</w:t>
            </w:r>
          </w:p>
        </w:tc>
      </w:tr>
    </w:tbl>
    <w:p>
      <w:pPr>
        <w:sectPr>
          <w:pgSz w:w="11900" w:h="16838" w:orient="portrait"/>
          <w:cols w:equalWidth="0" w:num="1">
            <w:col w:w="11240"/>
          </w:cols>
          <w:pgMar w:left="320" w:top="253" w:right="339" w:bottom="1440" w:gutter="0" w:footer="0" w:header="0"/>
        </w:sectPr>
      </w:pPr>
    </w:p>
    <w:bookmarkStart w:id="14" w:name="page15"/>
    <w:bookmarkEnd w:id="14"/>
    <w:p>
      <w:pPr>
        <w:ind w:left="39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INDEX</w:t>
      </w:r>
    </w:p>
    <w:p>
      <w:pPr>
        <w:spacing w:after="0" w:line="256" w:lineRule="exact"/>
        <w:rPr>
          <w:sz w:val="20"/>
          <w:szCs w:val="20"/>
          <w:color w:val="auto"/>
        </w:rPr>
      </w:pPr>
    </w:p>
    <w:p>
      <w:pPr>
        <w:ind w:hanging="1011"/>
        <w:spacing w:after="0" w:line="277" w:lineRule="auto"/>
        <w:rPr>
          <w:sz w:val="20"/>
          <w:szCs w:val="20"/>
          <w:color w:val="auto"/>
        </w:rPr>
      </w:pPr>
      <w:r>
        <w:rPr>
          <w:rFonts w:ascii="Arial" w:cs="Arial" w:eastAsia="Arial" w:hAnsi="Arial"/>
          <w:sz w:val="18"/>
          <w:szCs w:val="18"/>
          <w:color w:val="auto"/>
        </w:rPr>
        <w:t>Exhibit 1</w:t>
      </w:r>
      <w:r>
        <w:rPr>
          <w:sz w:val="20"/>
          <w:szCs w:val="20"/>
          <w:color w:val="auto"/>
        </w:rPr>
        <w:t xml:space="preserve"> </w:t>
      </w:r>
      <w:r>
        <w:rPr>
          <w:rFonts w:ascii="Arial" w:cs="Arial" w:eastAsia="Arial" w:hAnsi="Arial"/>
          <w:sz w:val="18"/>
          <w:szCs w:val="18"/>
          <w:color w:val="auto"/>
        </w:rPr>
        <w:t>Joint Filing Agreement, dated January 4, 2022, among BCTG Holdings, Boxer Capital, Boxer Management, Braslyn, Joe Lewis, MVA Investors and Aaron I. Davis.</w:t>
      </w:r>
    </w:p>
    <w:p>
      <w:pPr>
        <w:sectPr>
          <w:pgSz w:w="11900" w:h="16838" w:orient="portrait"/>
          <w:cols w:equalWidth="0" w:num="1">
            <w:col w:w="9700"/>
          </w:cols>
          <w:pgMar w:left="1340" w:top="270" w:right="859" w:bottom="1440" w:gutter="0" w:footer="0" w:header="0"/>
        </w:sectPr>
      </w:pPr>
    </w:p>
    <w:bookmarkStart w:id="15" w:name="page16"/>
    <w:bookmarkEnd w:id="15"/>
    <w:p>
      <w:pPr>
        <w:jc w:val="right"/>
        <w:spacing w:after="0"/>
        <w:rPr>
          <w:sz w:val="20"/>
          <w:szCs w:val="20"/>
          <w:color w:val="auto"/>
        </w:rPr>
      </w:pPr>
      <w:r>
        <w:rPr>
          <w:rFonts w:ascii="Arial" w:cs="Arial" w:eastAsia="Arial" w:hAnsi="Arial"/>
          <w:sz w:val="18"/>
          <w:szCs w:val="18"/>
          <w:b w:val="1"/>
          <w:bCs w:val="1"/>
          <w:color w:val="auto"/>
        </w:rPr>
        <w:t>EXHIBIT 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JOINT FILING AGREEMENT</w:t>
      </w:r>
    </w:p>
    <w:p>
      <w:pPr>
        <w:spacing w:after="0" w:line="225" w:lineRule="exact"/>
        <w:rPr>
          <w:sz w:val="20"/>
          <w:szCs w:val="20"/>
          <w:color w:val="auto"/>
        </w:rPr>
      </w:pPr>
    </w:p>
    <w:p>
      <w:pPr>
        <w:ind w:right="240" w:firstLine="449"/>
        <w:spacing w:after="0" w:line="255" w:lineRule="auto"/>
        <w:rPr>
          <w:sz w:val="20"/>
          <w:szCs w:val="20"/>
          <w:color w:val="auto"/>
        </w:rPr>
      </w:pPr>
      <w:r>
        <w:rPr>
          <w:rFonts w:ascii="Arial" w:cs="Arial" w:eastAsia="Arial" w:hAnsi="Arial"/>
          <w:sz w:val="18"/>
          <w:szCs w:val="18"/>
          <w:color w:val="auto"/>
        </w:rPr>
        <w:t>In accordance with Rule 13d-1(k)(1) under the Securities Exchange Act of 1934, as amended, the persons named below agree to the joint filing on behalf of each of them of a Statement on Schedule 13D and any amendments to it with respect to Common Stock, $0.001 par value per share, of Tango Therapeutics Inc. and further agree that this Joint Filing Agreement be included as an Exhibit to those joint filings. Each of the undersigned agrees to be responsible for the timely filing of the Schedule 13D and any amendments thereto, and for the completeness and accuracy of the information concerning itself contained therein. This Agreement may be executed in any number of counterparts, all of which taken together shall constitute one and the same instrument.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Dated: January 4, 2022</w:t>
      </w:r>
    </w:p>
    <w:p>
      <w:pPr>
        <w:spacing w:after="0" w:line="25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BCTG HOLDINGS, LLC</w:t>
      </w:r>
    </w:p>
    <w:p>
      <w:pPr>
        <w:spacing w:after="0" w:line="225" w:lineRule="exact"/>
        <w:rPr>
          <w:sz w:val="20"/>
          <w:szCs w:val="20"/>
          <w:color w:val="auto"/>
        </w:rPr>
      </w:pPr>
    </w:p>
    <w:tbl>
      <w:tblPr>
        <w:tblLayout w:type="fixed"/>
        <w:tblInd w:w="676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Aaron I. Davis</w:t>
            </w:r>
          </w:p>
        </w:tc>
      </w:tr>
      <w:tr>
        <w:trPr>
          <w:trHeight w:val="2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880" w:type="dxa"/>
            <w:vAlign w:val="bottom"/>
          </w:tcPr>
          <w:p>
            <w:pPr>
              <w:spacing w:after="0"/>
              <w:rPr>
                <w:sz w:val="20"/>
                <w:szCs w:val="20"/>
                <w:color w:val="auto"/>
              </w:rPr>
            </w:pPr>
            <w:r>
              <w:rPr>
                <w:rFonts w:ascii="Arial" w:cs="Arial" w:eastAsia="Arial" w:hAnsi="Arial"/>
                <w:sz w:val="18"/>
                <w:szCs w:val="18"/>
                <w:color w:val="auto"/>
              </w:rPr>
              <w:t>Aaron I. Davis</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Manager</w:t>
            </w:r>
          </w:p>
        </w:tc>
      </w:tr>
      <w:tr>
        <w:trPr>
          <w:trHeight w:val="432"/>
        </w:trPr>
        <w:tc>
          <w:tcPr>
            <w:tcW w:w="4480" w:type="dxa"/>
            <w:vAlign w:val="bottom"/>
            <w:gridSpan w:val="2"/>
          </w:tcPr>
          <w:p>
            <w:pPr>
              <w:spacing w:after="0"/>
              <w:rPr>
                <w:sz w:val="20"/>
                <w:szCs w:val="20"/>
                <w:color w:val="auto"/>
              </w:rPr>
            </w:pPr>
            <w:r>
              <w:rPr>
                <w:rFonts w:ascii="Arial" w:cs="Arial" w:eastAsia="Arial" w:hAnsi="Arial"/>
                <w:sz w:val="18"/>
                <w:szCs w:val="18"/>
                <w:color w:val="auto"/>
              </w:rPr>
              <w:t>BOXER CAPITAL, LLC</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Aaron I. Davis</w:t>
            </w:r>
          </w:p>
        </w:tc>
      </w:tr>
      <w:tr>
        <w:trPr>
          <w:trHeight w:val="2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880" w:type="dxa"/>
            <w:vAlign w:val="bottom"/>
          </w:tcPr>
          <w:p>
            <w:pPr>
              <w:spacing w:after="0"/>
              <w:rPr>
                <w:sz w:val="20"/>
                <w:szCs w:val="20"/>
                <w:color w:val="auto"/>
              </w:rPr>
            </w:pPr>
            <w:r>
              <w:rPr>
                <w:rFonts w:ascii="Arial" w:cs="Arial" w:eastAsia="Arial" w:hAnsi="Arial"/>
                <w:sz w:val="18"/>
                <w:szCs w:val="18"/>
                <w:color w:val="auto"/>
              </w:rPr>
              <w:t>Aaron I. Davis</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BOXER ASSET MANAGEMENT INC.</w:t>
      </w:r>
    </w:p>
    <w:p>
      <w:pPr>
        <w:spacing w:after="0" w:line="225" w:lineRule="exact"/>
        <w:rPr>
          <w:sz w:val="20"/>
          <w:szCs w:val="20"/>
          <w:color w:val="auto"/>
        </w:rPr>
      </w:pPr>
    </w:p>
    <w:tbl>
      <w:tblPr>
        <w:tblLayout w:type="fixed"/>
        <w:tblInd w:w="676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Jason Callender</w:t>
            </w:r>
          </w:p>
        </w:tc>
      </w:tr>
      <w:tr>
        <w:trPr>
          <w:trHeight w:val="2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880" w:type="dxa"/>
            <w:vAlign w:val="bottom"/>
          </w:tcPr>
          <w:p>
            <w:pPr>
              <w:spacing w:after="0"/>
              <w:rPr>
                <w:sz w:val="20"/>
                <w:szCs w:val="20"/>
                <w:color w:val="auto"/>
              </w:rPr>
            </w:pPr>
            <w:r>
              <w:rPr>
                <w:rFonts w:ascii="Arial" w:cs="Arial" w:eastAsia="Arial" w:hAnsi="Arial"/>
                <w:sz w:val="18"/>
                <w:szCs w:val="18"/>
                <w:color w:val="auto"/>
              </w:rPr>
              <w:t>Jason Callender</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4480" w:type="dxa"/>
            <w:vAlign w:val="bottom"/>
            <w:gridSpan w:val="2"/>
          </w:tcPr>
          <w:p>
            <w:pPr>
              <w:spacing w:after="0"/>
              <w:rPr>
                <w:sz w:val="20"/>
                <w:szCs w:val="20"/>
                <w:color w:val="auto"/>
              </w:rPr>
            </w:pPr>
            <w:r>
              <w:rPr>
                <w:rFonts w:ascii="Arial" w:cs="Arial" w:eastAsia="Arial" w:hAnsi="Arial"/>
                <w:sz w:val="18"/>
                <w:szCs w:val="18"/>
                <w:color w:val="auto"/>
              </w:rPr>
              <w:t>BRASLYN LTD.</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Jason Callender</w:t>
            </w:r>
          </w:p>
        </w:tc>
      </w:tr>
      <w:tr>
        <w:trPr>
          <w:trHeight w:val="2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880" w:type="dxa"/>
            <w:vAlign w:val="bottom"/>
          </w:tcPr>
          <w:p>
            <w:pPr>
              <w:spacing w:after="0"/>
              <w:rPr>
                <w:sz w:val="20"/>
                <w:szCs w:val="20"/>
                <w:color w:val="auto"/>
              </w:rPr>
            </w:pPr>
            <w:r>
              <w:rPr>
                <w:rFonts w:ascii="Arial" w:cs="Arial" w:eastAsia="Arial" w:hAnsi="Arial"/>
                <w:sz w:val="18"/>
                <w:szCs w:val="18"/>
                <w:color w:val="auto"/>
              </w:rPr>
              <w:t>Jason Callender</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JOSEPH C. LEWIS</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Joseph C.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Joseph C. Lewis, Individually</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MVA INVESTORS, LLC</w:t>
      </w:r>
    </w:p>
    <w:p>
      <w:pPr>
        <w:spacing w:after="0" w:line="225" w:lineRule="exact"/>
        <w:rPr>
          <w:sz w:val="20"/>
          <w:szCs w:val="20"/>
          <w:color w:val="auto"/>
        </w:rPr>
      </w:pPr>
    </w:p>
    <w:tbl>
      <w:tblPr>
        <w:tblLayout w:type="fixed"/>
        <w:tblInd w:w="676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Aaron I. Davis</w:t>
            </w:r>
          </w:p>
        </w:tc>
      </w:tr>
      <w:tr>
        <w:trPr>
          <w:trHeight w:val="2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880" w:type="dxa"/>
            <w:vAlign w:val="bottom"/>
          </w:tcPr>
          <w:p>
            <w:pPr>
              <w:spacing w:after="0"/>
              <w:rPr>
                <w:sz w:val="20"/>
                <w:szCs w:val="20"/>
                <w:color w:val="auto"/>
              </w:rPr>
            </w:pPr>
            <w:r>
              <w:rPr>
                <w:rFonts w:ascii="Arial" w:cs="Arial" w:eastAsia="Arial" w:hAnsi="Arial"/>
                <w:sz w:val="18"/>
                <w:szCs w:val="18"/>
                <w:color w:val="auto"/>
              </w:rPr>
              <w:t>Aaron I. Davis</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20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AARON I. DAVIS</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Aaron I.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Aaron I. Davis, Individually</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1"/>
      <w:numFmt w:val="bullet"/>
      <w:start w:val="1"/>
    </w:lvl>
  </w:abstractNum>
  <w:abstractNum w:abstractNumId="2">
    <w:nsid w:val="836C40E"/>
    <w:multiLevelType w:val="hybridMultilevel"/>
    <w:lvl w:ilvl="0">
      <w:lvlJc w:val="left"/>
      <w:lvlText w:val="2"/>
      <w:numFmt w:val="bullet"/>
      <w:start w:val="1"/>
    </w:lvl>
  </w:abstractNum>
  <w:abstractNum w:abstractNumId="3">
    <w:nsid w:val="2901D82"/>
    <w:multiLevelType w:val="hybridMultilevel"/>
    <w:lvl w:ilvl="0">
      <w:lvlJc w:val="left"/>
      <w:lvlText w:val="3"/>
      <w:numFmt w:val="bullet"/>
      <w:start w:val="1"/>
    </w:lvl>
  </w:abstractNum>
  <w:abstractNum w:abstractNumId="4">
    <w:nsid w:val="3A95F874"/>
    <w:multiLevelType w:val="hybridMultilevel"/>
    <w:lvl w:ilvl="0">
      <w:lvlJc w:val="left"/>
      <w:lvlText w:val="4"/>
      <w:numFmt w:val="bullet"/>
      <w:start w:val="1"/>
    </w:lvl>
  </w:abstractNum>
  <w:abstractNum w:abstractNumId="5">
    <w:nsid w:val="8138641"/>
    <w:multiLevelType w:val="hybridMultilevel"/>
    <w:lvl w:ilvl="0">
      <w:lvlJc w:val="left"/>
      <w:lvlText w:val="5"/>
      <w:numFmt w:val="bullet"/>
      <w:start w:val="1"/>
    </w:lvl>
  </w:abstractNum>
  <w:abstractNum w:abstractNumId="6">
    <w:nsid w:val="1E7FF521"/>
    <w:multiLevelType w:val="hybridMultilevel"/>
    <w:lvl w:ilvl="0">
      <w:lvlJc w:val="left"/>
      <w:lvlText w:val="6"/>
      <w:numFmt w:val="bullet"/>
      <w:start w:val="1"/>
    </w:lvl>
  </w:abstractNum>
  <w:abstractNum w:abstractNumId="7">
    <w:nsid w:val="7C3DBD3D"/>
    <w:multiLevelType w:val="hybridMultilevel"/>
    <w:lvl w:ilvl="0">
      <w:lvlJc w:val="left"/>
      <w:lvlText w:val="*"/>
      <w:numFmt w:val="bullet"/>
      <w:start w:val="1"/>
    </w:lvl>
    <w:lvl w:ilvl="1">
      <w:lvlJc w:val="left"/>
      <w:lvlText w:val="%2"/>
      <w:numFmt w:val="decimal"/>
      <w:start w:val="11"/>
    </w:lvl>
  </w:abstractNum>
  <w:abstractNum w:abstractNumId="8">
    <w:nsid w:val="737B8DDC"/>
    <w:multiLevelType w:val="hybridMultilevel"/>
    <w:lvl w:ilvl="0">
      <w:lvlJc w:val="left"/>
      <w:lvlText w:val="1"/>
      <w:numFmt w:val="bullet"/>
      <w:start w:val="1"/>
    </w:lvl>
  </w:abstractNum>
  <w:abstractNum w:abstractNumId="9">
    <w:nsid w:val="6CEAF087"/>
    <w:multiLevelType w:val="hybridMultilevel"/>
    <w:lvl w:ilvl="0">
      <w:lvlJc w:val="left"/>
      <w:lvlText w:val="2"/>
      <w:numFmt w:val="bullet"/>
      <w:start w:val="1"/>
    </w:lvl>
  </w:abstractNum>
  <w:abstractNum w:abstractNumId="10">
    <w:nsid w:val="22221A70"/>
    <w:multiLevelType w:val="hybridMultilevel"/>
    <w:lvl w:ilvl="0">
      <w:lvlJc w:val="left"/>
      <w:lvlText w:val="3"/>
      <w:numFmt w:val="bullet"/>
      <w:start w:val="1"/>
    </w:lvl>
  </w:abstractNum>
  <w:abstractNum w:abstractNumId="11">
    <w:nsid w:val="4516DDE9"/>
    <w:multiLevelType w:val="hybridMultilevel"/>
    <w:lvl w:ilvl="0">
      <w:lvlJc w:val="left"/>
      <w:lvlText w:val="4"/>
      <w:numFmt w:val="bullet"/>
      <w:start w:val="1"/>
    </w:lvl>
  </w:abstractNum>
  <w:abstractNum w:abstractNumId="12">
    <w:nsid w:val="3006C83E"/>
    <w:multiLevelType w:val="hybridMultilevel"/>
    <w:lvl w:ilvl="0">
      <w:lvlJc w:val="left"/>
      <w:lvlText w:val="5"/>
      <w:numFmt w:val="bullet"/>
      <w:start w:val="1"/>
    </w:lvl>
  </w:abstractNum>
  <w:abstractNum w:abstractNumId="13">
    <w:nsid w:val="614FD4A1"/>
    <w:multiLevelType w:val="hybridMultilevel"/>
    <w:lvl w:ilvl="0">
      <w:lvlJc w:val="left"/>
      <w:lvlText w:val="6"/>
      <w:numFmt w:val="bullet"/>
      <w:start w:val="1"/>
    </w:lvl>
  </w:abstractNum>
  <w:abstractNum w:abstractNumId="14">
    <w:nsid w:val="419AC241"/>
    <w:multiLevelType w:val="hybridMultilevel"/>
    <w:lvl w:ilvl="0">
      <w:lvlJc w:val="left"/>
      <w:lvlText w:val="*"/>
      <w:numFmt w:val="bullet"/>
      <w:start w:val="1"/>
    </w:lvl>
    <w:lvl w:ilvl="1">
      <w:lvlJc w:val="left"/>
      <w:lvlText w:val="%2"/>
      <w:numFmt w:val="decimal"/>
      <w:start w:val="11"/>
    </w:lvl>
  </w:abstractNum>
  <w:abstractNum w:abstractNumId="15">
    <w:nsid w:val="5577F8E1"/>
    <w:multiLevelType w:val="hybridMultilevel"/>
    <w:lvl w:ilvl="0">
      <w:lvlJc w:val="left"/>
      <w:lvlText w:val="1"/>
      <w:numFmt w:val="bullet"/>
      <w:start w:val="1"/>
    </w:lvl>
  </w:abstractNum>
  <w:abstractNum w:abstractNumId="16">
    <w:nsid w:val="440BADFC"/>
    <w:multiLevelType w:val="hybridMultilevel"/>
    <w:lvl w:ilvl="0">
      <w:lvlJc w:val="left"/>
      <w:lvlText w:val="2"/>
      <w:numFmt w:val="bullet"/>
      <w:start w:val="1"/>
    </w:lvl>
  </w:abstractNum>
  <w:abstractNum w:abstractNumId="17">
    <w:nsid w:val="5072367"/>
    <w:multiLevelType w:val="hybridMultilevel"/>
    <w:lvl w:ilvl="0">
      <w:lvlJc w:val="left"/>
      <w:lvlText w:val="3"/>
      <w:numFmt w:val="bullet"/>
      <w:start w:val="1"/>
    </w:lvl>
  </w:abstractNum>
  <w:abstractNum w:abstractNumId="18">
    <w:nsid w:val="3804823E"/>
    <w:multiLevelType w:val="hybridMultilevel"/>
    <w:lvl w:ilvl="0">
      <w:lvlJc w:val="left"/>
      <w:lvlText w:val="4"/>
      <w:numFmt w:val="bullet"/>
      <w:start w:val="1"/>
    </w:lvl>
  </w:abstractNum>
  <w:abstractNum w:abstractNumId="19">
    <w:nsid w:val="77465F01"/>
    <w:multiLevelType w:val="hybridMultilevel"/>
    <w:lvl w:ilvl="0">
      <w:lvlJc w:val="left"/>
      <w:lvlText w:val="5"/>
      <w:numFmt w:val="bullet"/>
      <w:start w:val="1"/>
    </w:lvl>
  </w:abstractNum>
  <w:abstractNum w:abstractNumId="20">
    <w:nsid w:val="7724C67E"/>
    <w:multiLevelType w:val="hybridMultilevel"/>
    <w:lvl w:ilvl="0">
      <w:lvlJc w:val="left"/>
      <w:lvlText w:val="6"/>
      <w:numFmt w:val="bullet"/>
      <w:start w:val="1"/>
    </w:lvl>
  </w:abstractNum>
  <w:abstractNum w:abstractNumId="21">
    <w:nsid w:val="5C482A97"/>
    <w:multiLevelType w:val="hybridMultilevel"/>
    <w:lvl w:ilvl="0">
      <w:lvlJc w:val="left"/>
      <w:lvlText w:val="*"/>
      <w:numFmt w:val="bullet"/>
      <w:start w:val="1"/>
    </w:lvl>
    <w:lvl w:ilvl="1">
      <w:lvlJc w:val="left"/>
      <w:lvlText w:val="%2"/>
      <w:numFmt w:val="decimal"/>
      <w:start w:val="11"/>
    </w:lvl>
  </w:abstractNum>
  <w:abstractNum w:abstractNumId="22">
    <w:nsid w:val="2463B9EA"/>
    <w:multiLevelType w:val="hybridMultilevel"/>
    <w:lvl w:ilvl="0">
      <w:lvlJc w:val="left"/>
      <w:lvlText w:val="1"/>
      <w:numFmt w:val="bullet"/>
      <w:start w:val="1"/>
    </w:lvl>
  </w:abstractNum>
  <w:abstractNum w:abstractNumId="23">
    <w:nsid w:val="5E884ADC"/>
    <w:multiLevelType w:val="hybridMultilevel"/>
    <w:lvl w:ilvl="0">
      <w:lvlJc w:val="left"/>
      <w:lvlText w:val="2"/>
      <w:numFmt w:val="bullet"/>
      <w:start w:val="1"/>
    </w:lvl>
  </w:abstractNum>
  <w:abstractNum w:abstractNumId="24">
    <w:nsid w:val="51EAD36B"/>
    <w:multiLevelType w:val="hybridMultilevel"/>
    <w:lvl w:ilvl="0">
      <w:lvlJc w:val="left"/>
      <w:lvlText w:val="3"/>
      <w:numFmt w:val="bullet"/>
      <w:start w:val="1"/>
    </w:lvl>
  </w:abstractNum>
  <w:abstractNum w:abstractNumId="25">
    <w:nsid w:val="2D517796"/>
    <w:multiLevelType w:val="hybridMultilevel"/>
    <w:lvl w:ilvl="0">
      <w:lvlJc w:val="left"/>
      <w:lvlText w:val="4"/>
      <w:numFmt w:val="bullet"/>
      <w:start w:val="1"/>
    </w:lvl>
  </w:abstractNum>
  <w:abstractNum w:abstractNumId="26">
    <w:nsid w:val="580BD78F"/>
    <w:multiLevelType w:val="hybridMultilevel"/>
    <w:lvl w:ilvl="0">
      <w:lvlJc w:val="left"/>
      <w:lvlText w:val="5"/>
      <w:numFmt w:val="bullet"/>
      <w:start w:val="1"/>
    </w:lvl>
  </w:abstractNum>
  <w:abstractNum w:abstractNumId="27">
    <w:nsid w:val="153EA438"/>
    <w:multiLevelType w:val="hybridMultilevel"/>
    <w:lvl w:ilvl="0">
      <w:lvlJc w:val="left"/>
      <w:lvlText w:val="6"/>
      <w:numFmt w:val="bullet"/>
      <w:start w:val="1"/>
    </w:lvl>
  </w:abstractNum>
  <w:abstractNum w:abstractNumId="28">
    <w:nsid w:val="3855585C"/>
    <w:multiLevelType w:val="hybridMultilevel"/>
    <w:lvl w:ilvl="0">
      <w:lvlJc w:val="left"/>
      <w:lvlText w:val="*"/>
      <w:numFmt w:val="bullet"/>
      <w:start w:val="1"/>
    </w:lvl>
    <w:lvl w:ilvl="1">
      <w:lvlJc w:val="left"/>
      <w:lvlText w:val="%2"/>
      <w:numFmt w:val="decimal"/>
      <w:start w:val="11"/>
    </w:lvl>
  </w:abstractNum>
  <w:abstractNum w:abstractNumId="29">
    <w:nsid w:val="70A64E2A"/>
    <w:multiLevelType w:val="hybridMultilevel"/>
    <w:lvl w:ilvl="0">
      <w:lvlJc w:val="left"/>
      <w:lvlText w:val="1"/>
      <w:numFmt w:val="bullet"/>
      <w:start w:val="1"/>
    </w:lvl>
  </w:abstractNum>
  <w:abstractNum w:abstractNumId="30">
    <w:nsid w:val="6A2342EC"/>
    <w:multiLevelType w:val="hybridMultilevel"/>
    <w:lvl w:ilvl="0">
      <w:lvlJc w:val="left"/>
      <w:lvlText w:val="2"/>
      <w:numFmt w:val="bullet"/>
      <w:start w:val="1"/>
    </w:lvl>
  </w:abstractNum>
  <w:abstractNum w:abstractNumId="31">
    <w:nsid w:val="2A487CB0"/>
    <w:multiLevelType w:val="hybridMultilevel"/>
    <w:lvl w:ilvl="0">
      <w:lvlJc w:val="left"/>
      <w:lvlText w:val="3"/>
      <w:numFmt w:val="bullet"/>
      <w:start w:val="1"/>
    </w:lvl>
  </w:abstractNum>
  <w:abstractNum w:abstractNumId="32">
    <w:nsid w:val="1D4ED43B"/>
    <w:multiLevelType w:val="hybridMultilevel"/>
    <w:lvl w:ilvl="0">
      <w:lvlJc w:val="left"/>
      <w:lvlText w:val="4"/>
      <w:numFmt w:val="bullet"/>
      <w:start w:val="1"/>
    </w:lvl>
  </w:abstractNum>
  <w:abstractNum w:abstractNumId="33">
    <w:nsid w:val="725A06FB"/>
    <w:multiLevelType w:val="hybridMultilevel"/>
    <w:lvl w:ilvl="0">
      <w:lvlJc w:val="left"/>
      <w:lvlText w:val="5"/>
      <w:numFmt w:val="bullet"/>
      <w:start w:val="1"/>
    </w:lvl>
  </w:abstractNum>
  <w:abstractNum w:abstractNumId="34">
    <w:nsid w:val="2CD89A32"/>
    <w:multiLevelType w:val="hybridMultilevel"/>
    <w:lvl w:ilvl="0">
      <w:lvlJc w:val="left"/>
      <w:lvlText w:val="6"/>
      <w:numFmt w:val="bullet"/>
      <w:start w:val="1"/>
    </w:lvl>
  </w:abstractNum>
  <w:abstractNum w:abstractNumId="35">
    <w:nsid w:val="57E4CCAF"/>
    <w:multiLevelType w:val="hybridMultilevel"/>
    <w:lvl w:ilvl="0">
      <w:lvlJc w:val="left"/>
      <w:lvlText w:val="*"/>
      <w:numFmt w:val="bullet"/>
      <w:start w:val="1"/>
    </w:lvl>
    <w:lvl w:ilvl="1">
      <w:lvlJc w:val="left"/>
      <w:lvlText w:val="%2"/>
      <w:numFmt w:val="decimal"/>
      <w:start w:val="11"/>
    </w:lvl>
  </w:abstractNum>
  <w:abstractNum w:abstractNumId="36">
    <w:nsid w:val="7A6D8D3C"/>
    <w:multiLevelType w:val="hybridMultilevel"/>
    <w:lvl w:ilvl="0">
      <w:lvlJc w:val="left"/>
      <w:lvlText w:val="1"/>
      <w:numFmt w:val="bullet"/>
      <w:start w:val="1"/>
    </w:lvl>
  </w:abstractNum>
  <w:abstractNum w:abstractNumId="37">
    <w:nsid w:val="4B588F54"/>
    <w:multiLevelType w:val="hybridMultilevel"/>
    <w:lvl w:ilvl="0">
      <w:lvlJc w:val="left"/>
      <w:lvlText w:val="2"/>
      <w:numFmt w:val="bullet"/>
      <w:start w:val="1"/>
    </w:lvl>
  </w:abstractNum>
  <w:abstractNum w:abstractNumId="38">
    <w:nsid w:val="542289EC"/>
    <w:multiLevelType w:val="hybridMultilevel"/>
    <w:lvl w:ilvl="0">
      <w:lvlJc w:val="left"/>
      <w:lvlText w:val="3"/>
      <w:numFmt w:val="bullet"/>
      <w:start w:val="1"/>
    </w:lvl>
  </w:abstractNum>
  <w:abstractNum w:abstractNumId="39">
    <w:nsid w:val="6DE91B18"/>
    <w:multiLevelType w:val="hybridMultilevel"/>
    <w:lvl w:ilvl="0">
      <w:lvlJc w:val="left"/>
      <w:lvlText w:val="4"/>
      <w:numFmt w:val="bullet"/>
      <w:start w:val="1"/>
    </w:lvl>
  </w:abstractNum>
  <w:abstractNum w:abstractNumId="40">
    <w:nsid w:val="38437FDB"/>
    <w:multiLevelType w:val="hybridMultilevel"/>
    <w:lvl w:ilvl="0">
      <w:lvlJc w:val="left"/>
      <w:lvlText w:val="5"/>
      <w:numFmt w:val="bullet"/>
      <w:start w:val="1"/>
    </w:lvl>
  </w:abstractNum>
  <w:abstractNum w:abstractNumId="41">
    <w:nsid w:val="7644A45C"/>
    <w:multiLevelType w:val="hybridMultilevel"/>
    <w:lvl w:ilvl="0">
      <w:lvlJc w:val="left"/>
      <w:lvlText w:val="6"/>
      <w:numFmt w:val="bullet"/>
      <w:start w:val="1"/>
    </w:lvl>
  </w:abstractNum>
  <w:abstractNum w:abstractNumId="42">
    <w:nsid w:val="32FFF902"/>
    <w:multiLevelType w:val="hybridMultilevel"/>
    <w:lvl w:ilvl="0">
      <w:lvlJc w:val="left"/>
      <w:lvlText w:val="*"/>
      <w:numFmt w:val="bullet"/>
      <w:start w:val="1"/>
    </w:lvl>
    <w:lvl w:ilvl="1">
      <w:lvlJc w:val="left"/>
      <w:lvlText w:val="%2"/>
      <w:numFmt w:val="decimal"/>
      <w:start w:val="11"/>
    </w:lvl>
  </w:abstractNum>
  <w:abstractNum w:abstractNumId="43">
    <w:nsid w:val="684A481A"/>
    <w:multiLevelType w:val="hybridMultilevel"/>
    <w:lvl w:ilvl="0">
      <w:lvlJc w:val="left"/>
      <w:lvlText w:val="1"/>
      <w:numFmt w:val="bullet"/>
      <w:start w:val="1"/>
    </w:lvl>
  </w:abstractNum>
  <w:abstractNum w:abstractNumId="44">
    <w:nsid w:val="579478FE"/>
    <w:multiLevelType w:val="hybridMultilevel"/>
    <w:lvl w:ilvl="0">
      <w:lvlJc w:val="left"/>
      <w:lvlText w:val="2"/>
      <w:numFmt w:val="bullet"/>
      <w:start w:val="1"/>
    </w:lvl>
  </w:abstractNum>
  <w:abstractNum w:abstractNumId="45">
    <w:nsid w:val="749ABB43"/>
    <w:multiLevelType w:val="hybridMultilevel"/>
    <w:lvl w:ilvl="0">
      <w:lvlJc w:val="left"/>
      <w:lvlText w:val="3"/>
      <w:numFmt w:val="bullet"/>
      <w:start w:val="1"/>
    </w:lvl>
  </w:abstractNum>
  <w:abstractNum w:abstractNumId="46">
    <w:nsid w:val="3DC240FB"/>
    <w:multiLevelType w:val="hybridMultilevel"/>
    <w:lvl w:ilvl="0">
      <w:lvlJc w:val="left"/>
      <w:lvlText w:val="4"/>
      <w:numFmt w:val="bullet"/>
      <w:start w:val="1"/>
    </w:lvl>
  </w:abstractNum>
  <w:abstractNum w:abstractNumId="47">
    <w:nsid w:val="1BA026FA"/>
    <w:multiLevelType w:val="hybridMultilevel"/>
    <w:lvl w:ilvl="0">
      <w:lvlJc w:val="left"/>
      <w:lvlText w:val="5"/>
      <w:numFmt w:val="bullet"/>
      <w:start w:val="1"/>
    </w:lvl>
  </w:abstractNum>
  <w:abstractNum w:abstractNumId="48">
    <w:nsid w:val="79A1DEAA"/>
    <w:multiLevelType w:val="hybridMultilevel"/>
    <w:lvl w:ilvl="0">
      <w:lvlJc w:val="left"/>
      <w:lvlText w:val="6"/>
      <w:numFmt w:val="bullet"/>
      <w:start w:val="1"/>
    </w:lvl>
  </w:abstractNum>
  <w:abstractNum w:abstractNumId="49">
    <w:nsid w:val="75C6C33A"/>
    <w:multiLevelType w:val="hybridMultilevel"/>
    <w:lvl w:ilvl="0">
      <w:lvlJc w:val="left"/>
      <w:lvlText w:val="7"/>
      <w:numFmt w:val="bullet"/>
      <w:start w:val="1"/>
    </w:lvl>
  </w:abstractNum>
  <w:abstractNum w:abstractNumId="50">
    <w:nsid w:val="12E685FB"/>
    <w:multiLevelType w:val="hybridMultilevel"/>
    <w:lvl w:ilvl="0">
      <w:lvlJc w:val="left"/>
      <w:lvlText w:val="*"/>
      <w:numFmt w:val="bullet"/>
      <w:start w:val="1"/>
    </w:lvl>
    <w:lvl w:ilvl="1">
      <w:lvlJc w:val="left"/>
      <w:lvlText w:val="%2"/>
      <w:numFmt w:val="decimal"/>
      <w:start w:val="11"/>
    </w:lvl>
  </w:abstractNum>
  <w:abstractNum w:abstractNumId="51">
    <w:nsid w:val="70C6A529"/>
    <w:multiLevelType w:val="hybridMultilevel"/>
    <w:lvl w:ilvl="0">
      <w:lvlJc w:val="left"/>
      <w:lvlText w:val="(%1)"/>
      <w:numFmt w:val="lowerLetter"/>
      <w:start w:val="1"/>
    </w:lvl>
  </w:abstractNum>
  <w:abstractNum w:abstractNumId="52">
    <w:nsid w:val="520EEDD1"/>
    <w:multiLevelType w:val="hybridMultilevel"/>
    <w:lvl w:ilvl="0">
      <w:lvlJc w:val="left"/>
      <w:lvlText w:val="(%1)"/>
      <w:numFmt w:val="lowerLetter"/>
      <w:start w:val="2"/>
    </w:lvl>
    <w:lvl w:ilvl="1">
      <w:lvlJc w:val="left"/>
      <w:lvlText w:val="(%2)"/>
      <w:numFmt w:val="lowerLetter"/>
      <w:start w:val="9"/>
    </w:lvl>
  </w:abstractNum>
  <w:abstractNum w:abstractNumId="53">
    <w:nsid w:val="374A3FE6"/>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2022-01-04T16:18:18Z</dcterms:created>
  <dcterms:modified xsi:type="dcterms:W3CDTF">2022-01-04T16:18:18Z</dcterms:modified>
</cp:coreProperties>
</file>