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Tango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Adage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5,600,000.00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Robert Atchinson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5,600,000.00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5,600,000.00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3.44 %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Phillip Gross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5,600,000.00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5,600,000.00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3.44 %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9"/>
        <w:gridCol w:w="8891"/>
        <w:gridCol w:w="155"/>
      </w:tblGrid>
      <w:tr>
        <w:trPr/>
        <w:tc>
          <w:tcPr>
            <w:tcW w:w="1159" w:type="dxa"/>
            <w:tcBorders/>
            <w:vAlign w:val="center"/>
          </w:tcPr>
          <w:p>
            <w:pPr>
              <w:pStyle w:val="TableContents"/>
              <w:bidi w:val="0"/>
              <w:spacing w:before="0" w:after="283"/>
              <w:jc w:val="left"/>
              <w:rPr/>
            </w:pPr>
            <w:r>
              <w:rPr/>
              <w:t>Item 1.</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issuer: </w:t>
            </w:r>
          </w:p>
          <w:p>
            <w:pPr>
              <w:pStyle w:val="TableContents"/>
              <w:bidi w:val="0"/>
              <w:spacing w:before="0" w:after="0"/>
              <w:jc w:val="left"/>
              <w:rPr/>
            </w:pPr>
            <w:r>
              <w:rPr/>
              <w:t>Tango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201 Brookline Avenue, Suite 901, Boston, MA 02215 02215</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2.</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Adage Capital Management, L.P., a Delaware limited partnership ("ACM"), as the investment manager of Adage Capital Partners, L.P., a Delaware limited partnership ("ACP"), with respect to the common stock, par value $0.001 per share ("Common Stock"), of Tango Therapeutics, Inc., a Delaware corporation (the "Company"), directly held by ACP; (ii) Robert Atchinson ("Mr. Atchinson"), as (1) managing member of Adage Capital Advisors, L.L.C., a limited liability company organized under the laws of the State of Delaware ("ACA"), managing member of Adage Capital Partners GP, L.L.C., a limited liability company organized under the laws of the State of Delaware ("ACPGP"), general partner of ACP and (2) managing member of Adage Capital Partners LLC, a Delaware limited liability company ("ACPLLC"), general partner of ACM, with respect to the Common Stock directly held by ACP; and (iii) Phillip Gross ("Mr. Gross"), as (1) managing member of ACA, managing member of ACPGP and (2) managing member of ACPLLC, general partner of ACM, with respect to the Common Stock directly held by ACP. The foregoing persons are hereinafter sometimes collectively referred to as the "Reporting Persons." Any disclosures herein with respect to persons other than the Reporting Persons are made on information and belief after making inquiry to the appropriate party. The filing of this statement should not be construed in and of itself as an admission by any Reporting Person as to beneficial ownership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200 Clarendon Street, 52nd Floor, Boston, Massachusetts 02116.</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jc w:val="left"/>
              <w:rPr/>
            </w:pPr>
            <w:r>
              <w:rPr/>
              <w:t xml:space="preserve">Citizenship: </w:t>
            </w:r>
          </w:p>
          <w:p>
            <w:pPr>
              <w:pStyle w:val="TableContents"/>
              <w:bidi w:val="0"/>
              <w:spacing w:before="0" w:after="0"/>
              <w:jc w:val="left"/>
              <w:rPr/>
            </w:pPr>
            <w:r>
              <w:rPr/>
              <w:t>ACM is a limited partnership organized under the laws of the State of Delaware. Messrs. Gross and Atchinson are citizens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3.</w:t>
            </w:r>
          </w:p>
        </w:tc>
        <w:tc>
          <w:tcPr>
            <w:tcW w:w="889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(f)</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(g)</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(h)</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(j)</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(k)</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9046" w:type="dxa"/>
            <w:gridSpan w:val="2"/>
            <w:tcBorders/>
            <w:vAlign w:val="center"/>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4.</w:t>
            </w:r>
          </w:p>
        </w:tc>
        <w:tc>
          <w:tcPr>
            <w:tcW w:w="889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162,814,649 Common Stock outstanding, which is the sum of (i) the 18,166,667 Common Stock offered pursuant to the Company's Prospectus filed pursuant to Rule 424(b)(5) with the Securities and Exchange Commission (the "SEC") on June 10, 2026 and (ii) the 144,647,982 shares of Common Stock outstanding as of May 6, 2026, as reported in the Company's Quarterly Report on Form 10-Q for the quarterly period ended March 31, 2026 filed with the SEC on May 13, 2026.</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3.44%  %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5.</w:t>
            </w:r>
          </w:p>
        </w:tc>
        <w:tc>
          <w:tcPr>
            <w:tcW w:w="889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6.</w:t>
            </w:r>
          </w:p>
        </w:tc>
        <w:tc>
          <w:tcPr>
            <w:tcW w:w="889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7.</w:t>
            </w:r>
          </w:p>
        </w:tc>
        <w:tc>
          <w:tcPr>
            <w:tcW w:w="889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8.</w:t>
            </w:r>
          </w:p>
        </w:tc>
        <w:tc>
          <w:tcPr>
            <w:tcW w:w="889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9.</w:t>
            </w:r>
          </w:p>
        </w:tc>
        <w:tc>
          <w:tcPr>
            <w:tcW w:w="889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Adage Capital Management, L.P.</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Robert Atchinson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Adage Capital Partners LLC, its General Partner, By: Robert Atchinson, its 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tbl>
      <w:tblPr>
        <w:tblW w:w="3964" w:type="dxa"/>
        <w:jc w:val="left"/>
        <w:tblInd w:w="0" w:type="dxa"/>
        <w:tblLayout w:type="fixed"/>
        <w:tblCellMar>
          <w:top w:w="28" w:type="dxa"/>
          <w:left w:w="28" w:type="dxa"/>
          <w:bottom w:w="28" w:type="dxa"/>
          <w:right w:w="28" w:type="dxa"/>
        </w:tblCellMar>
      </w:tblPr>
      <w:tblGrid>
        <w:gridCol w:w="1982"/>
        <w:gridCol w:w="1982"/>
      </w:tblGrid>
      <w:tr>
        <w:trPr/>
        <w:tc>
          <w:tcPr>
            <w:tcW w:w="1982" w:type="dxa"/>
            <w:tcBorders/>
            <w:vAlign w:val="center"/>
          </w:tcPr>
          <w:p>
            <w:pPr>
              <w:pStyle w:val="TableContents"/>
              <w:bidi w:val="0"/>
              <w:spacing w:before="0" w:after="0"/>
              <w:jc w:val="left"/>
              <w:rPr/>
            </w:pPr>
            <w:r>
              <w:rPr/>
              <w:t> </w:t>
            </w:r>
          </w:p>
          <w:tbl>
            <w:tblPr>
              <w:tblW w:w="1846" w:type="dxa"/>
              <w:jc w:val="left"/>
              <w:tblInd w:w="0" w:type="dxa"/>
              <w:tblLayout w:type="fixed"/>
              <w:tblCellMar>
                <w:top w:w="28" w:type="dxa"/>
                <w:left w:w="28" w:type="dxa"/>
                <w:bottom w:w="28" w:type="dxa"/>
                <w:right w:w="28" w:type="dxa"/>
              </w:tblCellMar>
            </w:tblPr>
            <w:tblGrid>
              <w:gridCol w:w="1846"/>
            </w:tblGrid>
            <w:tr>
              <w:trPr/>
              <w:tc>
                <w:tcPr>
                  <w:tcW w:w="1846" w:type="dxa"/>
                  <w:tcBorders/>
                  <w:vAlign w:val="center"/>
                </w:tcPr>
                <w:p>
                  <w:pPr>
                    <w:pStyle w:val="TableContents"/>
                    <w:bidi w:val="0"/>
                    <w:spacing w:before="0" w:after="0"/>
                    <w:jc w:val="left"/>
                    <w:rPr/>
                  </w:pPr>
                  <w:r>
                    <w:rPr/>
                    <w:t>Robert Atchinson</w:t>
                  </w:r>
                </w:p>
              </w:tc>
            </w:tr>
          </w:tbl>
          <w:p>
            <w:pPr>
              <w:pStyle w:val="TableContents"/>
              <w:bidi w:val="0"/>
              <w:spacing w:before="0" w:after="283"/>
              <w:jc w:val="left"/>
              <w:rPr/>
            </w:pPr>
            <w:r>
              <w:rPr/>
            </w:r>
          </w:p>
        </w:tc>
        <w:tc>
          <w:tcPr>
            <w:tcW w:w="198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2"/>
        <w:gridCol w:w="4303"/>
      </w:tblGrid>
      <w:tr>
        <w:trPr/>
        <w:tc>
          <w:tcPr>
            <w:tcW w:w="59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Robert Atchinson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Robert Atchinson, individually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03"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Phillip Gross</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9"/>
        <w:gridCol w:w="4466"/>
      </w:tblGrid>
      <w:tr>
        <w:trPr/>
        <w:tc>
          <w:tcPr>
            <w:tcW w:w="57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Phillip Gross</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Phillip Gross, individually</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4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1601</Words>
  <Characters>8215</Characters>
  <CharactersWithSpaces>9770</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