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10,072,225.00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10,072,225.00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10,072,225.00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10000"/>
          </w:cols>
          <w:pgMar w:left="360" w:top="16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Avenue,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w:t>
      </w:r>
    </w:p>
    <w:p>
      <w:pPr>
        <w:spacing w:after="0" w:line="26" w:lineRule="exact"/>
        <w:rPr>
          <w:sz w:val="20"/>
          <w:szCs w:val="20"/>
          <w:color w:val="auto"/>
        </w:rPr>
      </w:pPr>
    </w:p>
    <w:p>
      <w:pPr>
        <w:ind w:left="92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and the investment adviser to Woodline Master Fund LP (the "Woodline Fund"), with respect to the shares of common stock, par value $0.001 per share ("Common Stock"), of Tango Therapeutics, Inc. (the "Company") directly held by the Woodline Fund. The filing of this statement should not be construed as an admission that the foregoing persons or the Reporting Person is, for the purposes of Section 13 of the Securities Exchange Act of 1934, the beneficial owner of the shares of Common Stock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4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Woodline Partners is 4 Embarcadero Center, Suite 3450, San Francisco, CA 94111.</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ectPr>
          <w:pgSz w:w="11900" w:h="16901" w:orient="portrait"/>
          <w:cols w:equalWidth="0" w:num="1">
            <w:col w:w="11120"/>
          </w:cols>
          <w:pgMar w:left="360" w:top="166" w:right="419" w:bottom="0" w:gutter="0" w:footer="0" w:header="0"/>
          <w:type w:val="continuous"/>
        </w:sectPr>
      </w:pPr>
    </w:p>
    <w:bookmarkStart w:id="2" w:name="page3"/>
    <w:bookmarkEnd w:id="2"/>
    <w:p>
      <w:pPr>
        <w:ind w:left="130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201"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required by Item 4(a) is set forth in Row 9 of the cover page for the Reporting Person and is incorporated herein by reference. The percentage set forth in this Schedule 13G is calculated based upon an aggregate of 134,677,094 shares of Common Stock outstanding as of November 1, 2025, as reported in the Company's Registration Statement on Form S-3, filed with the Securities and Exchange Commission on November 21,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See Item 2(a). The Woodline Fund has right to receive or the power to direct the receipt of dividends from, or the proceeds from the sale of, more than 5% of the shares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2026-02-17T15:28:24Z</dcterms:created>
  <dcterms:modified xsi:type="dcterms:W3CDTF">2026-02-17T15:28:24Z</dcterms:modified>
</cp:coreProperties>
</file>