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March 18, 2024</w:t>
      </w:r>
    </w:p>
    <w:p>
      <w:pPr>
        <w:spacing w:after="0" w:line="225" w:lineRule="exact"/>
        <w:rPr>
          <w:sz w:val="24"/>
          <w:szCs w:val="24"/>
          <w:color w:val="auto"/>
        </w:rPr>
      </w:pPr>
    </w:p>
    <w:p>
      <w:pPr>
        <w:ind w:left="8800"/>
        <w:spacing w:after="0"/>
        <w:rPr>
          <w:sz w:val="20"/>
          <w:szCs w:val="20"/>
          <w:color w:val="auto"/>
        </w:rPr>
      </w:pPr>
      <w:r>
        <w:rPr>
          <w:rFonts w:ascii="Times New Roman" w:cs="Times New Roman" w:eastAsia="Times New Roman" w:hAnsi="Times New Roman"/>
          <w:sz w:val="18"/>
          <w:szCs w:val="18"/>
          <w:b w:val="1"/>
          <w:bCs w:val="1"/>
          <w:color w:val="auto"/>
        </w:rPr>
        <w:t xml:space="preserve">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122555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6621145</wp:posOffset>
            </wp:positionH>
            <wp:positionV relativeFrom="paragraph">
              <wp:posOffset>-5080</wp:posOffset>
            </wp:positionV>
            <wp:extent cx="3714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71475" cy="8255"/>
                    </a:xfrm>
                    <a:prstGeom prst="rect">
                      <a:avLst/>
                    </a:prstGeom>
                    <a:noFill/>
                  </pic:spPr>
                </pic:pic>
              </a:graphicData>
            </a:graphic>
          </wp:anchor>
        </w:drawing>
      </w:r>
    </w:p>
    <w:p>
      <w:pPr>
        <w:spacing w:after="0" w:line="22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FORM S-8</w:t>
      </w:r>
    </w:p>
    <w:p>
      <w:pPr>
        <w:spacing w:after="0" w:line="3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REGISTRATION STATEMENT</w:t>
      </w:r>
    </w:p>
    <w:p>
      <w:pPr>
        <w:jc w:val="center"/>
        <w:ind w:right="-39"/>
        <w:spacing w:after="0" w:line="230"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spacing w:after="0" w:line="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43"/>
          <w:szCs w:val="43"/>
          <w:b w:val="1"/>
          <w:bCs w:val="1"/>
          <w:color w:val="auto"/>
        </w:rPr>
        <w:t>TANGO THERAPEUTICS, INC.</w:t>
      </w:r>
    </w:p>
    <w:p>
      <w:pPr>
        <w:spacing w:after="0" w:line="5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540" w:type="dxa"/>
        <w:tblCellMar>
          <w:top w:w="0" w:type="dxa"/>
          <w:left w:w="0" w:type="dxa"/>
          <w:bottom w:w="0" w:type="dxa"/>
          <w:right w:w="0" w:type="dxa"/>
        </w:tblCellMar>
      </w:tblPr>
      <w:tr>
        <w:trPr>
          <w:trHeight w:val="214"/>
        </w:trPr>
        <w:tc>
          <w:tcPr>
            <w:tcW w:w="4360" w:type="dxa"/>
            <w:vAlign w:val="bottom"/>
          </w:tcPr>
          <w:p>
            <w:pPr>
              <w:jc w:val="center"/>
              <w:ind w:right="179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00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85-1195036</w:t>
            </w:r>
          </w:p>
        </w:tc>
      </w:tr>
      <w:tr>
        <w:trPr>
          <w:trHeight w:val="149"/>
        </w:trPr>
        <w:tc>
          <w:tcPr>
            <w:tcW w:w="4360" w:type="dxa"/>
            <w:vAlign w:val="bottom"/>
          </w:tcPr>
          <w:p>
            <w:pPr>
              <w:jc w:val="center"/>
              <w:ind w:right="179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000" w:type="dxa"/>
            <w:vAlign w:val="bottom"/>
          </w:tcPr>
          <w:p>
            <w:pPr>
              <w:jc w:val="center"/>
              <w:ind w:left="180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360" w:type="dxa"/>
            <w:vAlign w:val="bottom"/>
          </w:tcPr>
          <w:p>
            <w:pPr>
              <w:jc w:val="center"/>
              <w:ind w:right="179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000" w:type="dxa"/>
            <w:vAlign w:val="bottom"/>
          </w:tcPr>
          <w:p>
            <w:pPr>
              <w:jc w:val="center"/>
              <w:ind w:left="180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93"/>
        </w:trPr>
        <w:tc>
          <w:tcPr>
            <w:tcW w:w="4360" w:type="dxa"/>
            <w:vAlign w:val="bottom"/>
          </w:tcPr>
          <w:p>
            <w:pPr>
              <w:jc w:val="center"/>
              <w:ind w:right="1799"/>
              <w:spacing w:after="0"/>
              <w:rPr>
                <w:sz w:val="20"/>
                <w:szCs w:val="20"/>
                <w:color w:val="auto"/>
              </w:rPr>
            </w:pPr>
            <w:r>
              <w:rPr>
                <w:rFonts w:ascii="Times New Roman" w:cs="Times New Roman" w:eastAsia="Times New Roman" w:hAnsi="Times New Roman"/>
                <w:sz w:val="18"/>
                <w:szCs w:val="18"/>
                <w:b w:val="1"/>
                <w:bCs w:val="1"/>
                <w:color w:val="auto"/>
                <w:w w:val="99"/>
              </w:rPr>
              <w:t>201 Brookline Ave., Suite 901</w:t>
            </w:r>
          </w:p>
        </w:tc>
        <w:tc>
          <w:tcPr>
            <w:tcW w:w="3000" w:type="dxa"/>
            <w:vAlign w:val="bottom"/>
          </w:tcPr>
          <w:p>
            <w:pPr>
              <w:spacing w:after="0"/>
              <w:rPr>
                <w:sz w:val="24"/>
                <w:szCs w:val="24"/>
                <w:color w:val="auto"/>
              </w:rPr>
            </w:pPr>
          </w:p>
        </w:tc>
      </w:tr>
      <w:tr>
        <w:trPr>
          <w:trHeight w:val="227"/>
        </w:trPr>
        <w:tc>
          <w:tcPr>
            <w:tcW w:w="4360" w:type="dxa"/>
            <w:vAlign w:val="bottom"/>
          </w:tcPr>
          <w:p>
            <w:pPr>
              <w:jc w:val="center"/>
              <w:ind w:right="1799"/>
              <w:spacing w:after="0"/>
              <w:rPr>
                <w:sz w:val="20"/>
                <w:szCs w:val="20"/>
                <w:color w:val="auto"/>
              </w:rPr>
            </w:pPr>
            <w:r>
              <w:rPr>
                <w:rFonts w:ascii="Times New Roman" w:cs="Times New Roman" w:eastAsia="Times New Roman" w:hAnsi="Times New Roman"/>
                <w:sz w:val="18"/>
                <w:szCs w:val="18"/>
                <w:b w:val="1"/>
                <w:bCs w:val="1"/>
                <w:color w:val="auto"/>
                <w:w w:val="99"/>
              </w:rPr>
              <w:t>Boston, MA</w:t>
            </w:r>
          </w:p>
        </w:tc>
        <w:tc>
          <w:tcPr>
            <w:tcW w:w="300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02215</w:t>
            </w:r>
          </w:p>
        </w:tc>
      </w:tr>
      <w:tr>
        <w:trPr>
          <w:trHeight w:val="190"/>
        </w:trPr>
        <w:tc>
          <w:tcPr>
            <w:tcW w:w="4360" w:type="dxa"/>
            <w:vAlign w:val="bottom"/>
          </w:tcPr>
          <w:p>
            <w:pPr>
              <w:jc w:val="center"/>
              <w:ind w:right="18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000" w:type="dxa"/>
            <w:vAlign w:val="bottom"/>
          </w:tcPr>
          <w:p>
            <w:pPr>
              <w:jc w:val="center"/>
              <w:ind w:left="180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7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Tango Therapeutics, Inc. 2021 Stock Option and Incentive Plan</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Tango Therapeutics, Inc. 2021 Employee Stock Purchase Plan</w:t>
      </w:r>
    </w:p>
    <w:p>
      <w:pPr>
        <w:spacing w:after="0" w:line="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(Full title of the plan)</w:t>
      </w:r>
    </w:p>
    <w:p>
      <w:pPr>
        <w:spacing w:after="0" w:line="18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Barbara Weber, M.D.</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Tango Therapeutics, Inc.</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201 Brookline Ave., Suite 901</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Boston, MA 02215</w:t>
      </w:r>
    </w:p>
    <w:p>
      <w:pPr>
        <w:spacing w:after="0" w:line="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(Name and address of agent for service)</w:t>
      </w:r>
    </w:p>
    <w:p>
      <w:pPr>
        <w:spacing w:after="0" w:line="18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(857) 320-4900</w:t>
      </w:r>
    </w:p>
    <w:p>
      <w:pPr>
        <w:spacing w:after="0" w:line="2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227965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tbl>
      <w:tblPr>
        <w:tblLayout w:type="fixed"/>
        <w:tblInd w:w="1860" w:type="dxa"/>
        <w:tblCellMar>
          <w:top w:w="0" w:type="dxa"/>
          <w:left w:w="0" w:type="dxa"/>
          <w:bottom w:w="0" w:type="dxa"/>
          <w:right w:w="0" w:type="dxa"/>
        </w:tblCellMar>
      </w:tblPr>
      <w:tr>
        <w:trPr>
          <w:trHeight w:val="238"/>
        </w:trPr>
        <w:tc>
          <w:tcPr>
            <w:tcW w:w="2560" w:type="dxa"/>
            <w:vAlign w:val="bottom"/>
          </w:tcPr>
          <w:p>
            <w:pPr>
              <w:spacing w:after="0"/>
              <w:rPr>
                <w:sz w:val="20"/>
                <w:szCs w:val="20"/>
                <w:color w:val="auto"/>
              </w:rPr>
            </w:pPr>
          </w:p>
        </w:tc>
        <w:tc>
          <w:tcPr>
            <w:tcW w:w="5160" w:type="dxa"/>
            <w:vAlign w:val="bottom"/>
          </w:tcPr>
          <w:p>
            <w:pPr>
              <w:ind w:left="720"/>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tc>
      </w:tr>
      <w:tr>
        <w:trPr>
          <w:trHeight w:val="437"/>
        </w:trPr>
        <w:tc>
          <w:tcPr>
            <w:tcW w:w="2560" w:type="dxa"/>
            <w:vAlign w:val="bottom"/>
          </w:tcPr>
          <w:p>
            <w:pPr>
              <w:jc w:val="center"/>
              <w:ind w:right="630"/>
              <w:spacing w:after="0"/>
              <w:rPr>
                <w:sz w:val="20"/>
                <w:szCs w:val="20"/>
                <w:color w:val="auto"/>
              </w:rPr>
            </w:pPr>
            <w:r>
              <w:rPr>
                <w:rFonts w:ascii="Times New Roman" w:cs="Times New Roman" w:eastAsia="Times New Roman" w:hAnsi="Times New Roman"/>
                <w:sz w:val="18"/>
                <w:szCs w:val="18"/>
                <w:b w:val="1"/>
                <w:bCs w:val="1"/>
                <w:color w:val="auto"/>
                <w:w w:val="99"/>
              </w:rPr>
              <w:t>Mitchell S. Bloom, Esq.</w:t>
            </w:r>
          </w:p>
        </w:tc>
        <w:tc>
          <w:tcPr>
            <w:tcW w:w="5160" w:type="dxa"/>
            <w:vAlign w:val="bottom"/>
          </w:tcPr>
          <w:p>
            <w:pPr>
              <w:jc w:val="center"/>
              <w:ind w:left="2570"/>
              <w:spacing w:after="0"/>
              <w:rPr>
                <w:sz w:val="20"/>
                <w:szCs w:val="20"/>
                <w:color w:val="auto"/>
              </w:rPr>
            </w:pPr>
            <w:r>
              <w:rPr>
                <w:rFonts w:ascii="Times New Roman" w:cs="Times New Roman" w:eastAsia="Times New Roman" w:hAnsi="Times New Roman"/>
                <w:sz w:val="18"/>
                <w:szCs w:val="18"/>
                <w:b w:val="1"/>
                <w:bCs w:val="1"/>
                <w:color w:val="auto"/>
                <w:w w:val="99"/>
              </w:rPr>
              <w:t>Douglas Barry, Esq.</w:t>
            </w:r>
          </w:p>
        </w:tc>
      </w:tr>
      <w:tr>
        <w:trPr>
          <w:trHeight w:val="216"/>
        </w:trPr>
        <w:tc>
          <w:tcPr>
            <w:tcW w:w="2560" w:type="dxa"/>
            <w:vAlign w:val="bottom"/>
          </w:tcPr>
          <w:p>
            <w:pPr>
              <w:jc w:val="center"/>
              <w:ind w:right="630"/>
              <w:spacing w:after="0"/>
              <w:rPr>
                <w:sz w:val="20"/>
                <w:szCs w:val="20"/>
                <w:color w:val="auto"/>
              </w:rPr>
            </w:pPr>
            <w:r>
              <w:rPr>
                <w:rFonts w:ascii="Times New Roman" w:cs="Times New Roman" w:eastAsia="Times New Roman" w:hAnsi="Times New Roman"/>
                <w:sz w:val="18"/>
                <w:szCs w:val="18"/>
                <w:b w:val="1"/>
                <w:bCs w:val="1"/>
                <w:color w:val="auto"/>
                <w:w w:val="99"/>
              </w:rPr>
              <w:t>William D. Collins, Esq.</w:t>
            </w:r>
          </w:p>
        </w:tc>
        <w:tc>
          <w:tcPr>
            <w:tcW w:w="5160" w:type="dxa"/>
            <w:vAlign w:val="bottom"/>
          </w:tcPr>
          <w:p>
            <w:pPr>
              <w:jc w:val="center"/>
              <w:ind w:left="2590"/>
              <w:spacing w:after="0"/>
              <w:rPr>
                <w:sz w:val="20"/>
                <w:szCs w:val="20"/>
                <w:color w:val="auto"/>
              </w:rPr>
            </w:pPr>
            <w:r>
              <w:rPr>
                <w:rFonts w:ascii="Times New Roman" w:cs="Times New Roman" w:eastAsia="Times New Roman" w:hAnsi="Times New Roman"/>
                <w:sz w:val="18"/>
                <w:szCs w:val="18"/>
                <w:b w:val="1"/>
                <w:bCs w:val="1"/>
                <w:color w:val="auto"/>
                <w:w w:val="99"/>
              </w:rPr>
              <w:t>General Counsel</w:t>
            </w:r>
          </w:p>
        </w:tc>
      </w:tr>
      <w:tr>
        <w:trPr>
          <w:trHeight w:val="216"/>
        </w:trPr>
        <w:tc>
          <w:tcPr>
            <w:tcW w:w="2560" w:type="dxa"/>
            <w:vAlign w:val="bottom"/>
          </w:tcPr>
          <w:p>
            <w:pPr>
              <w:jc w:val="center"/>
              <w:ind w:right="630"/>
              <w:spacing w:after="0"/>
              <w:rPr>
                <w:sz w:val="20"/>
                <w:szCs w:val="20"/>
                <w:color w:val="auto"/>
              </w:rPr>
            </w:pPr>
            <w:r>
              <w:rPr>
                <w:rFonts w:ascii="Times New Roman" w:cs="Times New Roman" w:eastAsia="Times New Roman" w:hAnsi="Times New Roman"/>
                <w:sz w:val="18"/>
                <w:szCs w:val="18"/>
                <w:b w:val="1"/>
                <w:bCs w:val="1"/>
                <w:color w:val="auto"/>
                <w:w w:val="99"/>
              </w:rPr>
              <w:t>Goodwin Procter LLP</w:t>
            </w:r>
          </w:p>
        </w:tc>
        <w:tc>
          <w:tcPr>
            <w:tcW w:w="5160" w:type="dxa"/>
            <w:vAlign w:val="bottom"/>
          </w:tcPr>
          <w:p>
            <w:pPr>
              <w:jc w:val="center"/>
              <w:ind w:left="2590"/>
              <w:spacing w:after="0"/>
              <w:rPr>
                <w:sz w:val="20"/>
                <w:szCs w:val="20"/>
                <w:color w:val="auto"/>
              </w:rPr>
            </w:pPr>
            <w:r>
              <w:rPr>
                <w:rFonts w:ascii="Times New Roman" w:cs="Times New Roman" w:eastAsia="Times New Roman" w:hAnsi="Times New Roman"/>
                <w:sz w:val="18"/>
                <w:szCs w:val="18"/>
                <w:b w:val="1"/>
                <w:bCs w:val="1"/>
                <w:color w:val="auto"/>
                <w:w w:val="99"/>
              </w:rPr>
              <w:t>Tango Therapeutics, Inc.</w:t>
            </w:r>
          </w:p>
        </w:tc>
      </w:tr>
      <w:tr>
        <w:trPr>
          <w:trHeight w:val="216"/>
        </w:trPr>
        <w:tc>
          <w:tcPr>
            <w:tcW w:w="2560" w:type="dxa"/>
            <w:vAlign w:val="bottom"/>
          </w:tcPr>
          <w:p>
            <w:pPr>
              <w:jc w:val="center"/>
              <w:ind w:right="630"/>
              <w:spacing w:after="0"/>
              <w:rPr>
                <w:sz w:val="20"/>
                <w:szCs w:val="20"/>
                <w:color w:val="auto"/>
              </w:rPr>
            </w:pPr>
            <w:r>
              <w:rPr>
                <w:rFonts w:ascii="Times New Roman" w:cs="Times New Roman" w:eastAsia="Times New Roman" w:hAnsi="Times New Roman"/>
                <w:sz w:val="18"/>
                <w:szCs w:val="18"/>
                <w:b w:val="1"/>
                <w:bCs w:val="1"/>
                <w:color w:val="auto"/>
                <w:w w:val="98"/>
              </w:rPr>
              <w:t>100 Northern Avenue</w:t>
            </w:r>
          </w:p>
        </w:tc>
        <w:tc>
          <w:tcPr>
            <w:tcW w:w="5160" w:type="dxa"/>
            <w:vAlign w:val="bottom"/>
          </w:tcPr>
          <w:p>
            <w:pPr>
              <w:jc w:val="center"/>
              <w:ind w:left="2590"/>
              <w:spacing w:after="0"/>
              <w:rPr>
                <w:sz w:val="20"/>
                <w:szCs w:val="20"/>
                <w:color w:val="auto"/>
              </w:rPr>
            </w:pPr>
            <w:r>
              <w:rPr>
                <w:rFonts w:ascii="Times New Roman" w:cs="Times New Roman" w:eastAsia="Times New Roman" w:hAnsi="Times New Roman"/>
                <w:sz w:val="18"/>
                <w:szCs w:val="18"/>
                <w:b w:val="1"/>
                <w:bCs w:val="1"/>
                <w:color w:val="auto"/>
                <w:w w:val="99"/>
              </w:rPr>
              <w:t>201 Brookline Avenue, Suite 901</w:t>
            </w:r>
          </w:p>
        </w:tc>
      </w:tr>
      <w:tr>
        <w:trPr>
          <w:trHeight w:val="216"/>
        </w:trPr>
        <w:tc>
          <w:tcPr>
            <w:tcW w:w="2560" w:type="dxa"/>
            <w:vAlign w:val="bottom"/>
          </w:tcPr>
          <w:p>
            <w:pPr>
              <w:jc w:val="center"/>
              <w:ind w:right="650"/>
              <w:spacing w:after="0"/>
              <w:rPr>
                <w:sz w:val="20"/>
                <w:szCs w:val="20"/>
                <w:color w:val="auto"/>
              </w:rPr>
            </w:pPr>
            <w:r>
              <w:rPr>
                <w:rFonts w:ascii="Times New Roman" w:cs="Times New Roman" w:eastAsia="Times New Roman" w:hAnsi="Times New Roman"/>
                <w:sz w:val="18"/>
                <w:szCs w:val="18"/>
                <w:b w:val="1"/>
                <w:bCs w:val="1"/>
                <w:color w:val="auto"/>
              </w:rPr>
              <w:t>Boston, MA 02210</w:t>
            </w:r>
          </w:p>
        </w:tc>
        <w:tc>
          <w:tcPr>
            <w:tcW w:w="5160" w:type="dxa"/>
            <w:vAlign w:val="bottom"/>
          </w:tcPr>
          <w:p>
            <w:pPr>
              <w:jc w:val="center"/>
              <w:ind w:left="2590"/>
              <w:spacing w:after="0"/>
              <w:rPr>
                <w:sz w:val="20"/>
                <w:szCs w:val="20"/>
                <w:color w:val="auto"/>
              </w:rPr>
            </w:pPr>
            <w:r>
              <w:rPr>
                <w:rFonts w:ascii="Times New Roman" w:cs="Times New Roman" w:eastAsia="Times New Roman" w:hAnsi="Times New Roman"/>
                <w:sz w:val="18"/>
                <w:szCs w:val="18"/>
                <w:b w:val="1"/>
                <w:bCs w:val="1"/>
                <w:color w:val="auto"/>
                <w:w w:val="98"/>
              </w:rPr>
              <w:t>Boston, MA 02215</w:t>
            </w:r>
          </w:p>
        </w:tc>
      </w:tr>
      <w:tr>
        <w:trPr>
          <w:trHeight w:val="238"/>
        </w:trPr>
        <w:tc>
          <w:tcPr>
            <w:tcW w:w="2560" w:type="dxa"/>
            <w:vAlign w:val="bottom"/>
          </w:tcPr>
          <w:p>
            <w:pPr>
              <w:jc w:val="center"/>
              <w:ind w:right="630"/>
              <w:spacing w:after="0"/>
              <w:rPr>
                <w:sz w:val="20"/>
                <w:szCs w:val="20"/>
                <w:color w:val="auto"/>
              </w:rPr>
            </w:pPr>
            <w:r>
              <w:rPr>
                <w:rFonts w:ascii="Times New Roman" w:cs="Times New Roman" w:eastAsia="Times New Roman" w:hAnsi="Times New Roman"/>
                <w:sz w:val="18"/>
                <w:szCs w:val="18"/>
                <w:b w:val="1"/>
                <w:bCs w:val="1"/>
                <w:color w:val="auto"/>
                <w:w w:val="99"/>
              </w:rPr>
              <w:t>(617) 570-1000</w:t>
            </w:r>
          </w:p>
        </w:tc>
        <w:tc>
          <w:tcPr>
            <w:tcW w:w="5160" w:type="dxa"/>
            <w:vAlign w:val="bottom"/>
          </w:tcPr>
          <w:p>
            <w:pPr>
              <w:jc w:val="center"/>
              <w:ind w:left="2590"/>
              <w:spacing w:after="0"/>
              <w:rPr>
                <w:sz w:val="20"/>
                <w:szCs w:val="20"/>
                <w:color w:val="auto"/>
              </w:rPr>
            </w:pPr>
            <w:r>
              <w:rPr>
                <w:rFonts w:ascii="Times New Roman" w:cs="Times New Roman" w:eastAsia="Times New Roman" w:hAnsi="Times New Roman"/>
                <w:sz w:val="18"/>
                <w:szCs w:val="18"/>
                <w:b w:val="1"/>
                <w:bCs w:val="1"/>
                <w:color w:val="auto"/>
                <w:w w:val="99"/>
              </w:rPr>
              <w:t>(857) 320-4900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231775</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6" w:lineRule="exact"/>
        <w:rPr>
          <w:sz w:val="24"/>
          <w:szCs w:val="24"/>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2" w:lineRule="exact"/>
        <w:rPr>
          <w:sz w:val="24"/>
          <w:szCs w:val="24"/>
          <w:color w:val="auto"/>
        </w:rPr>
      </w:pPr>
    </w:p>
    <w:tbl>
      <w:tblPr>
        <w:tblLayout w:type="fixed"/>
        <w:tblInd w:w="0" w:type="dxa"/>
        <w:tblCellMar>
          <w:top w:w="0" w:type="dxa"/>
          <w:left w:w="0" w:type="dxa"/>
          <w:bottom w:w="0" w:type="dxa"/>
          <w:right w:w="0" w:type="dxa"/>
        </w:tblCellMar>
      </w:tblPr>
      <w:tr>
        <w:trPr>
          <w:trHeight w:val="303"/>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32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0" w:lineRule="exact"/>
        <w:rPr>
          <w:sz w:val="24"/>
          <w:szCs w:val="24"/>
          <w:color w:val="auto"/>
        </w:rPr>
      </w:pPr>
    </w:p>
    <w:p>
      <w:pPr>
        <w:ind w:right="2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128270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171450</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60"/>
          </w:cols>
          <w:pgMar w:left="440" w:top="225" w:right="499" w:bottom="892" w:gutter="0" w:footer="0" w:header="0"/>
        </w:sectPr>
      </w:pPr>
    </w:p>
    <w:bookmarkStart w:id="1" w:name="page2"/>
    <w:bookmarkEnd w:id="1"/>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EXPLANATORY NOTE AND STATEMENT OF INCORPORATION BY REFERENCE</w:t>
      </w:r>
    </w:p>
    <w:p>
      <w:pPr>
        <w:spacing w:after="0" w:line="229" w:lineRule="exact"/>
        <w:rPr>
          <w:sz w:val="20"/>
          <w:szCs w:val="20"/>
          <w:color w:val="auto"/>
        </w:rPr>
      </w:pPr>
    </w:p>
    <w:p>
      <w:pPr>
        <w:ind w:left="4" w:right="60" w:firstLine="440"/>
        <w:spacing w:after="0" w:line="255"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This Registration Statement on Form S-8 (the “Registration Statement”) is being filed for the purpose of (i) registering the offer and sale of an additional 5,110,138 shares of the Registrant’s common stock, par value $0.001 per share (the “Common Stock”), to be issued under the Registrant’s 2021 Stock Option and Incentive Plan and (ii) registering the offer and sale of an additional 949,873 shares of the Registrant’s Common Stock, to be issued under the Registrant’s 2021 Employee Stock Purchase Plan. This Registration Statement incorporates by reference the contents of the registration </w:t>
      </w:r>
      <w:hyperlink r:id="rId19">
        <w:r>
          <w:rPr>
            <w:rFonts w:ascii="Times New Roman" w:cs="Times New Roman" w:eastAsia="Times New Roman" w:hAnsi="Times New Roman"/>
            <w:sz w:val="18"/>
            <w:szCs w:val="18"/>
            <w:color w:val="auto"/>
          </w:rPr>
          <w:t xml:space="preserve">statements on Form S-8, filed by the Registrant on </w:t>
        </w:r>
        <w:r>
          <w:rPr>
            <w:rFonts w:ascii="Times New Roman" w:cs="Times New Roman" w:eastAsia="Times New Roman" w:hAnsi="Times New Roman"/>
            <w:sz w:val="18"/>
            <w:szCs w:val="18"/>
            <w:u w:val="single" w:color="auto"/>
            <w:color w:val="0000EE"/>
          </w:rPr>
          <w:t>October 14, 2021</w:t>
        </w:r>
        <w:r>
          <w:rPr>
            <w:rFonts w:ascii="Times New Roman" w:cs="Times New Roman" w:eastAsia="Times New Roman" w:hAnsi="Times New Roman"/>
            <w:sz w:val="18"/>
            <w:szCs w:val="18"/>
            <w:color w:val="auto"/>
          </w:rPr>
          <w:t xml:space="preserve"> (File No. 333-260258), </w:t>
        </w:r>
        <w:r>
          <w:rPr>
            <w:rFonts w:ascii="Times New Roman" w:cs="Times New Roman" w:eastAsia="Times New Roman" w:hAnsi="Times New Roman"/>
            <w:sz w:val="18"/>
            <w:szCs w:val="18"/>
            <w:u w:val="single" w:color="auto"/>
            <w:color w:val="0000EE"/>
          </w:rPr>
          <w:t>March 28, 2022</w:t>
        </w:r>
        <w:r>
          <w:rPr>
            <w:rFonts w:ascii="Times New Roman" w:cs="Times New Roman" w:eastAsia="Times New Roman" w:hAnsi="Times New Roman"/>
            <w:sz w:val="18"/>
            <w:szCs w:val="18"/>
            <w:color w:val="auto"/>
          </w:rPr>
          <w:t xml:space="preserve"> (File No. 333-263893) and </w:t>
        </w:r>
        <w:r>
          <w:rPr>
            <w:rFonts w:ascii="Times New Roman" w:cs="Times New Roman" w:eastAsia="Times New Roman" w:hAnsi="Times New Roman"/>
            <w:sz w:val="18"/>
            <w:szCs w:val="18"/>
            <w:u w:val="single" w:color="auto"/>
            <w:color w:val="0000EE"/>
          </w:rPr>
          <w:t>February 7,</w:t>
        </w:r>
      </w:hyperlink>
      <w:r>
        <w:rPr>
          <w:rFonts w:ascii="Times New Roman" w:cs="Times New Roman" w:eastAsia="Times New Roman" w:hAnsi="Times New Roman"/>
          <w:sz w:val="18"/>
          <w:szCs w:val="18"/>
          <w:color w:val="auto"/>
        </w:rPr>
        <w:t xml:space="preserve"> </w:t>
      </w:r>
      <w:hyperlink r:id="rId19">
        <w:r>
          <w:rPr>
            <w:rFonts w:ascii="Times New Roman" w:cs="Times New Roman" w:eastAsia="Times New Roman" w:hAnsi="Times New Roman"/>
            <w:sz w:val="18"/>
            <w:szCs w:val="18"/>
            <w:u w:val="single" w:color="auto"/>
            <w:color w:val="0000EE"/>
          </w:rPr>
          <w:t>2023</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(File No. 333-269620), relating to the Registrant’s 2021 Stock Option and Incentive Plan and 2021 Employee Stock Purchase Plan pursuant to</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General Instruction E.</w:t>
      </w:r>
    </w:p>
    <w:p>
      <w:pPr>
        <w:spacing w:after="0" w:line="200" w:lineRule="exact"/>
        <w:rPr>
          <w:sz w:val="20"/>
          <w:szCs w:val="20"/>
          <w:color w:val="auto"/>
        </w:rPr>
      </w:pPr>
    </w:p>
    <w:p>
      <w:pPr>
        <w:spacing w:after="0" w:line="20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0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8. Exhibits.</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See the Exhibit Index for a list of exhibits filed as part of this Registration Statement, which Exhibit Index is incorporated herein by reference.</w:t>
      </w:r>
    </w:p>
    <w:p>
      <w:pPr>
        <w:spacing w:after="0" w:line="200" w:lineRule="exact"/>
        <w:rPr>
          <w:sz w:val="20"/>
          <w:szCs w:val="20"/>
          <w:color w:val="auto"/>
        </w:rPr>
      </w:pPr>
    </w:p>
    <w:p>
      <w:pPr>
        <w:spacing w:after="0" w:line="237" w:lineRule="exact"/>
        <w:rPr>
          <w:sz w:val="20"/>
          <w:szCs w:val="20"/>
          <w:color w:val="auto"/>
        </w:rPr>
      </w:pPr>
    </w:p>
    <w:tbl>
      <w:tblPr>
        <w:tblLayout w:type="fixed"/>
        <w:tblInd w:w="4" w:type="dxa"/>
        <w:tblCellMar>
          <w:top w:w="0" w:type="dxa"/>
          <w:left w:w="0" w:type="dxa"/>
          <w:bottom w:w="0" w:type="dxa"/>
          <w:right w:w="0" w:type="dxa"/>
        </w:tblCellMar>
      </w:tblPr>
      <w:tr>
        <w:trPr>
          <w:trHeight w:val="238"/>
        </w:trPr>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40" w:type="dxa"/>
            <w:vAlign w:val="bottom"/>
            <w:gridSpan w:val="11"/>
          </w:tcPr>
          <w:p>
            <w:pPr>
              <w:ind w:left="2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367"/>
        </w:trPr>
        <w:tc>
          <w:tcPr>
            <w:tcW w:w="4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60" w:type="dxa"/>
            <w:vAlign w:val="bottom"/>
            <w:gridSpan w:val="10"/>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4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No.</w:t>
            </w:r>
          </w:p>
        </w:tc>
        <w:tc>
          <w:tcPr>
            <w:tcW w:w="420" w:type="dxa"/>
            <w:vAlign w:val="bottom"/>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5860" w:type="dxa"/>
            <w:vAlign w:val="bottom"/>
            <w:tcBorders>
              <w:bottom w:val="single" w:sz="8" w:color="auto"/>
            </w:tcBorders>
            <w:gridSpan w:val="10"/>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420" w:type="dxa"/>
            <w:vAlign w:val="bottom"/>
          </w:tcPr>
          <w:p>
            <w:pPr>
              <w:spacing w:after="0"/>
              <w:rPr>
                <w:sz w:val="22"/>
                <w:szCs w:val="22"/>
                <w:color w:val="auto"/>
              </w:rPr>
            </w:pPr>
          </w:p>
        </w:tc>
        <w:tc>
          <w:tcPr>
            <w:tcW w:w="10140" w:type="dxa"/>
            <w:vAlign w:val="bottom"/>
            <w:gridSpan w:val="19"/>
          </w:tcPr>
          <w:p>
            <w:pPr>
              <w:spacing w:after="0"/>
              <w:rPr>
                <w:rFonts w:ascii="Times New Roman" w:cs="Times New Roman" w:eastAsia="Times New Roman" w:hAnsi="Times New Roman"/>
                <w:sz w:val="18"/>
                <w:szCs w:val="18"/>
                <w:color w:val="0000EE"/>
              </w:rPr>
            </w:pPr>
            <w:hyperlink r:id="rId20">
              <w:r>
                <w:rPr>
                  <w:rFonts w:ascii="Times New Roman" w:cs="Times New Roman" w:eastAsia="Times New Roman" w:hAnsi="Times New Roman"/>
                  <w:sz w:val="18"/>
                  <w:szCs w:val="18"/>
                  <w:color w:val="0000EE"/>
                </w:rPr>
                <w:t>Second Amended and Restated Certificate of Incorporation of the Registrant (incorporated by reference to Exhibit 3.1 to the Registrant’s</w:t>
              </w:r>
            </w:hyperlink>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280" w:type="dxa"/>
            <w:vAlign w:val="bottom"/>
            <w:tcBorders>
              <w:top w:val="single" w:sz="8" w:color="0000EE"/>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20">
              <w:r>
                <w:rPr>
                  <w:rFonts w:ascii="Times New Roman" w:cs="Times New Roman" w:eastAsia="Times New Roman" w:hAnsi="Times New Roman"/>
                  <w:sz w:val="18"/>
                  <w:szCs w:val="18"/>
                  <w:color w:val="0000EE"/>
                  <w:w w:val="99"/>
                </w:rPr>
                <w:t>registration statement on Form S-1 filed with the Commission on September 10, 2021).</w:t>
              </w:r>
            </w:hyperlink>
          </w:p>
        </w:tc>
        <w:tc>
          <w:tcPr>
            <w:tcW w:w="3560" w:type="dxa"/>
            <w:vAlign w:val="bottom"/>
            <w:tcBorders>
              <w:top w:val="single" w:sz="8" w:color="0000EE"/>
            </w:tcBorders>
            <w:gridSpan w:val="3"/>
          </w:tcPr>
          <w:p>
            <w:pPr>
              <w:spacing w:after="0"/>
              <w:rPr>
                <w:sz w:val="17"/>
                <w:szCs w:val="17"/>
                <w:color w:val="auto"/>
              </w:rPr>
            </w:pPr>
          </w:p>
        </w:tc>
        <w:tc>
          <w:tcPr>
            <w:tcW w:w="30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420" w:type="dxa"/>
            <w:vAlign w:val="bottom"/>
          </w:tcPr>
          <w:p>
            <w:pPr>
              <w:spacing w:after="0"/>
              <w:rPr>
                <w:sz w:val="24"/>
                <w:szCs w:val="24"/>
                <w:color w:val="auto"/>
              </w:rPr>
            </w:pPr>
          </w:p>
        </w:tc>
        <w:tc>
          <w:tcPr>
            <w:tcW w:w="10140" w:type="dxa"/>
            <w:vAlign w:val="bottom"/>
            <w:gridSpan w:val="19"/>
          </w:tcPr>
          <w:p>
            <w:pPr>
              <w:spacing w:after="0"/>
              <w:rPr>
                <w:rFonts w:ascii="Times New Roman" w:cs="Times New Roman" w:eastAsia="Times New Roman" w:hAnsi="Times New Roman"/>
                <w:sz w:val="18"/>
                <w:szCs w:val="18"/>
                <w:color w:val="0000EE"/>
              </w:rPr>
            </w:pPr>
            <w:hyperlink r:id="rId21">
              <w:r>
                <w:rPr>
                  <w:rFonts w:ascii="Times New Roman" w:cs="Times New Roman" w:eastAsia="Times New Roman" w:hAnsi="Times New Roman"/>
                  <w:sz w:val="18"/>
                  <w:szCs w:val="18"/>
                  <w:color w:val="0000EE"/>
                </w:rPr>
                <w:t>Amended and Restated Bylaws of the Registrant (incorporated by reference to Exhibit 4.2 to the Registrant’s registration statement on Form</w:t>
              </w:r>
            </w:hyperlink>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84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21">
              <w:r>
                <w:rPr>
                  <w:rFonts w:ascii="Times New Roman" w:cs="Times New Roman" w:eastAsia="Times New Roman" w:hAnsi="Times New Roman"/>
                  <w:sz w:val="18"/>
                  <w:szCs w:val="18"/>
                  <w:color w:val="0000EE"/>
                  <w:w w:val="99"/>
                </w:rPr>
                <w:t>S-8 filed with the Commission on October 14, 2021).</w:t>
              </w:r>
            </w:hyperlink>
          </w:p>
        </w:tc>
        <w:tc>
          <w:tcPr>
            <w:tcW w:w="6240" w:type="dxa"/>
            <w:vAlign w:val="bottom"/>
            <w:tcBorders>
              <w:top w:val="single" w:sz="8" w:color="0000EE"/>
            </w:tcBorders>
            <w:gridSpan w:val="11"/>
          </w:tcPr>
          <w:p>
            <w:pPr>
              <w:spacing w:after="0"/>
              <w:rPr>
                <w:sz w:val="17"/>
                <w:szCs w:val="17"/>
                <w:color w:val="auto"/>
              </w:rPr>
            </w:pPr>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420" w:type="dxa"/>
            <w:vAlign w:val="bottom"/>
          </w:tcPr>
          <w:p>
            <w:pPr>
              <w:spacing w:after="0"/>
              <w:rPr>
                <w:sz w:val="24"/>
                <w:szCs w:val="24"/>
                <w:color w:val="auto"/>
              </w:rPr>
            </w:pPr>
          </w:p>
        </w:tc>
        <w:tc>
          <w:tcPr>
            <w:tcW w:w="1006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r:id="rId22">
              <w:r>
                <w:rPr>
                  <w:rFonts w:ascii="Times New Roman" w:cs="Times New Roman" w:eastAsia="Times New Roman" w:hAnsi="Times New Roman"/>
                  <w:sz w:val="18"/>
                  <w:szCs w:val="18"/>
                  <w:color w:val="0000EE"/>
                  <w:w w:val="99"/>
                </w:rPr>
                <w:t>Specimen common stock certificate (incorporated by reference to Exhibit 4.5 to the Registrant’s registration statement on Form S-4/A, filed</w:t>
              </w:r>
            </w:hyperlink>
          </w:p>
        </w:tc>
        <w:tc>
          <w:tcPr>
            <w:tcW w:w="8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140" w:type="dxa"/>
            <w:vAlign w:val="bottom"/>
            <w:gridSpan w:val="19"/>
          </w:tcPr>
          <w:p>
            <w:pPr>
              <w:spacing w:after="0" w:line="196" w:lineRule="exact"/>
              <w:rPr>
                <w:rFonts w:ascii="Times New Roman" w:cs="Times New Roman" w:eastAsia="Times New Roman" w:hAnsi="Times New Roman"/>
                <w:sz w:val="18"/>
                <w:szCs w:val="18"/>
                <w:color w:val="0000EE"/>
              </w:rPr>
            </w:pPr>
            <w:hyperlink r:id="rId22">
              <w:r>
                <w:rPr>
                  <w:rFonts w:ascii="Times New Roman" w:cs="Times New Roman" w:eastAsia="Times New Roman" w:hAnsi="Times New Roman"/>
                  <w:sz w:val="18"/>
                  <w:szCs w:val="18"/>
                  <w:color w:val="0000EE"/>
                </w:rPr>
                <w:t>with the Commission on July 16, 2021).</w:t>
              </w:r>
            </w:hyperlink>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4.4</w:t>
            </w:r>
          </w:p>
        </w:tc>
        <w:tc>
          <w:tcPr>
            <w:tcW w:w="420" w:type="dxa"/>
            <w:vAlign w:val="bottom"/>
          </w:tcPr>
          <w:p>
            <w:pPr>
              <w:spacing w:after="0"/>
              <w:rPr>
                <w:sz w:val="24"/>
                <w:szCs w:val="24"/>
                <w:color w:val="auto"/>
              </w:rPr>
            </w:pPr>
          </w:p>
        </w:tc>
        <w:tc>
          <w:tcPr>
            <w:tcW w:w="966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r:id="rId23">
              <w:r>
                <w:rPr>
                  <w:rFonts w:ascii="Times New Roman" w:cs="Times New Roman" w:eastAsia="Times New Roman" w:hAnsi="Times New Roman"/>
                  <w:sz w:val="18"/>
                  <w:szCs w:val="18"/>
                  <w:color w:val="0000EE"/>
                  <w:w w:val="99"/>
                </w:rPr>
                <w:t>Description of Securities (incorporated by reference to Exhibit 4.2 to the Registrant’s Annual Report on Form 10-K for the year ended</w:t>
              </w:r>
            </w:hyperlink>
          </w:p>
        </w:tc>
        <w:tc>
          <w:tcPr>
            <w:tcW w:w="48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94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23">
              <w:r>
                <w:rPr>
                  <w:rFonts w:ascii="Times New Roman" w:cs="Times New Roman" w:eastAsia="Times New Roman" w:hAnsi="Times New Roman"/>
                  <w:sz w:val="18"/>
                  <w:szCs w:val="18"/>
                  <w:color w:val="0000EE"/>
                  <w:w w:val="99"/>
                </w:rPr>
                <w:t>December 31, 2021, filed with the Commission on March 28, 2022).</w:t>
              </w:r>
            </w:hyperlink>
          </w:p>
        </w:tc>
        <w:tc>
          <w:tcPr>
            <w:tcW w:w="520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5.1*</w:t>
            </w:r>
          </w:p>
        </w:tc>
        <w:tc>
          <w:tcPr>
            <w:tcW w:w="420" w:type="dxa"/>
            <w:vAlign w:val="bottom"/>
          </w:tcPr>
          <w:p>
            <w:pPr>
              <w:spacing w:after="0"/>
              <w:rPr>
                <w:sz w:val="24"/>
                <w:szCs w:val="24"/>
                <w:color w:val="auto"/>
              </w:rPr>
            </w:pPr>
          </w:p>
        </w:tc>
        <w:tc>
          <w:tcPr>
            <w:tcW w:w="1014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Opinion of Goodwin Procter LLP.</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40" w:type="dxa"/>
            <w:vAlign w:val="bottom"/>
            <w:gridSpan w:val="3"/>
          </w:tcPr>
          <w:p>
            <w:pPr>
              <w:spacing w:after="0" w:line="20" w:lineRule="exact"/>
              <w:rPr>
                <w:sz w:val="1"/>
                <w:szCs w:val="1"/>
                <w:color w:val="auto"/>
              </w:rPr>
            </w:pPr>
          </w:p>
        </w:tc>
        <w:tc>
          <w:tcPr>
            <w:tcW w:w="330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420" w:type="dxa"/>
            <w:vAlign w:val="bottom"/>
          </w:tcPr>
          <w:p>
            <w:pPr>
              <w:spacing w:after="0"/>
              <w:rPr>
                <w:sz w:val="24"/>
                <w:szCs w:val="24"/>
                <w:color w:val="auto"/>
              </w:rPr>
            </w:pPr>
          </w:p>
        </w:tc>
        <w:tc>
          <w:tcPr>
            <w:tcW w:w="1014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Consent of Goodwin Procter LLP (included in Exhibit 5.1).</w:t>
            </w: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23.2*</w:t>
            </w:r>
          </w:p>
        </w:tc>
        <w:tc>
          <w:tcPr>
            <w:tcW w:w="420" w:type="dxa"/>
            <w:vAlign w:val="bottom"/>
          </w:tcPr>
          <w:p>
            <w:pPr>
              <w:spacing w:after="0"/>
              <w:rPr>
                <w:sz w:val="24"/>
                <w:szCs w:val="24"/>
                <w:color w:val="auto"/>
              </w:rPr>
            </w:pPr>
          </w:p>
        </w:tc>
        <w:tc>
          <w:tcPr>
            <w:tcW w:w="4280" w:type="dxa"/>
            <w:vAlign w:val="bottom"/>
            <w:tcBorders>
              <w:top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rPr>
              <w:t>Consent of PricewaterhouseCoopers LLP.</w:t>
            </w:r>
          </w:p>
        </w:tc>
        <w:tc>
          <w:tcPr>
            <w:tcW w:w="586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820" w:type="dxa"/>
            <w:vAlign w:val="bottom"/>
            <w:gridSpan w:val="3"/>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20" w:type="dxa"/>
            <w:vAlign w:val="bottom"/>
            <w:gridSpan w:val="4"/>
          </w:tcPr>
          <w:p>
            <w:pPr>
              <w:spacing w:after="0" w:line="20" w:lineRule="exact"/>
              <w:rPr>
                <w:sz w:val="1"/>
                <w:szCs w:val="1"/>
                <w:color w:val="auto"/>
              </w:rPr>
            </w:pPr>
          </w:p>
        </w:tc>
        <w:tc>
          <w:tcPr>
            <w:tcW w:w="330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420" w:type="dxa"/>
            <w:vAlign w:val="bottom"/>
          </w:tcPr>
          <w:p>
            <w:pPr>
              <w:spacing w:after="0"/>
              <w:rPr>
                <w:sz w:val="24"/>
                <w:szCs w:val="24"/>
                <w:color w:val="auto"/>
              </w:rPr>
            </w:pPr>
          </w:p>
        </w:tc>
        <w:tc>
          <w:tcPr>
            <w:tcW w:w="1014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Power of attorney (included on signature page).</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240" w:type="dxa"/>
            <w:vAlign w:val="bottom"/>
            <w:gridSpan w:val="4"/>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20" w:type="dxa"/>
            <w:vAlign w:val="bottom"/>
            <w:gridSpan w:val="4"/>
          </w:tcPr>
          <w:p>
            <w:pPr>
              <w:spacing w:after="0" w:line="20" w:lineRule="exact"/>
              <w:rPr>
                <w:sz w:val="1"/>
                <w:szCs w:val="1"/>
                <w:color w:val="auto"/>
              </w:rPr>
            </w:pPr>
          </w:p>
        </w:tc>
        <w:tc>
          <w:tcPr>
            <w:tcW w:w="330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420" w:type="dxa"/>
            <w:vAlign w:val="bottom"/>
          </w:tcPr>
          <w:p>
            <w:pPr>
              <w:spacing w:after="0"/>
              <w:rPr>
                <w:sz w:val="24"/>
                <w:szCs w:val="24"/>
                <w:color w:val="auto"/>
              </w:rPr>
            </w:pPr>
          </w:p>
        </w:tc>
        <w:tc>
          <w:tcPr>
            <w:tcW w:w="10140" w:type="dxa"/>
            <w:vAlign w:val="bottom"/>
            <w:gridSpan w:val="19"/>
          </w:tcPr>
          <w:p>
            <w:pPr>
              <w:spacing w:after="0"/>
              <w:rPr>
                <w:rFonts w:ascii="Times New Roman" w:cs="Times New Roman" w:eastAsia="Times New Roman" w:hAnsi="Times New Roman"/>
                <w:sz w:val="18"/>
                <w:szCs w:val="18"/>
                <w:color w:val="0000EE"/>
                <w:w w:val="99"/>
              </w:rPr>
            </w:pPr>
            <w:hyperlink r:id="rId24">
              <w:r>
                <w:rPr>
                  <w:rFonts w:ascii="Times New Roman" w:cs="Times New Roman" w:eastAsia="Times New Roman" w:hAnsi="Times New Roman"/>
                  <w:sz w:val="18"/>
                  <w:szCs w:val="18"/>
                  <w:color w:val="0000EE"/>
                  <w:w w:val="99"/>
                </w:rPr>
                <w:t>Tango Therapeutics, Inc. 2021 Stock Option and Incentive Plan (incorporated by reference to Exhibit 10.4 to the Registrant’s Current Report</w:t>
              </w:r>
            </w:hyperlink>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900" w:type="dxa"/>
            <w:vAlign w:val="bottom"/>
            <w:tcBorders>
              <w:top w:val="single" w:sz="8" w:color="0000EE"/>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24">
              <w:r>
                <w:rPr>
                  <w:rFonts w:ascii="Times New Roman" w:cs="Times New Roman" w:eastAsia="Times New Roman" w:hAnsi="Times New Roman"/>
                  <w:sz w:val="18"/>
                  <w:szCs w:val="18"/>
                  <w:color w:val="0000EE"/>
                  <w:w w:val="99"/>
                </w:rPr>
                <w:t>on Form 8-K filed with the SEC on August 13, 2021).</w:t>
              </w:r>
            </w:hyperlink>
          </w:p>
        </w:tc>
        <w:tc>
          <w:tcPr>
            <w:tcW w:w="6220" w:type="dxa"/>
            <w:vAlign w:val="bottom"/>
            <w:tcBorders>
              <w:top w:val="single" w:sz="8" w:color="0000EE"/>
            </w:tcBorders>
            <w:gridSpan w:val="10"/>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99.2</w:t>
            </w:r>
          </w:p>
        </w:tc>
        <w:tc>
          <w:tcPr>
            <w:tcW w:w="420" w:type="dxa"/>
            <w:vAlign w:val="bottom"/>
          </w:tcPr>
          <w:p>
            <w:pPr>
              <w:spacing w:after="0"/>
              <w:rPr>
                <w:sz w:val="24"/>
                <w:szCs w:val="24"/>
                <w:color w:val="auto"/>
              </w:rPr>
            </w:pPr>
          </w:p>
        </w:tc>
        <w:tc>
          <w:tcPr>
            <w:tcW w:w="1014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9"/>
              </w:rPr>
            </w:pPr>
            <w:hyperlink r:id="rId25">
              <w:r>
                <w:rPr>
                  <w:rFonts w:ascii="Times New Roman" w:cs="Times New Roman" w:eastAsia="Times New Roman" w:hAnsi="Times New Roman"/>
                  <w:sz w:val="18"/>
                  <w:szCs w:val="18"/>
                  <w:color w:val="0000EE"/>
                  <w:w w:val="99"/>
                </w:rPr>
                <w:t>Forms of Award Agreements under the Tango Therapeutics, Inc. 2021 Stock Option and Incentive Plan (incorporated by reference to Exhibit</w:t>
              </w:r>
            </w:hyperlink>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140" w:type="dxa"/>
            <w:vAlign w:val="bottom"/>
            <w:gridSpan w:val="19"/>
          </w:tcPr>
          <w:p>
            <w:pPr>
              <w:spacing w:after="0" w:line="196" w:lineRule="exact"/>
              <w:rPr>
                <w:rFonts w:ascii="Times New Roman" w:cs="Times New Roman" w:eastAsia="Times New Roman" w:hAnsi="Times New Roman"/>
                <w:sz w:val="18"/>
                <w:szCs w:val="18"/>
                <w:color w:val="0000EE"/>
              </w:rPr>
            </w:pPr>
            <w:hyperlink r:id="rId25">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5</w:t>
              </w:r>
              <w:r>
                <w:rPr>
                  <w:rFonts w:ascii="Times New Roman" w:cs="Times New Roman" w:eastAsia="Times New Roman" w:hAnsi="Times New Roman"/>
                  <w:sz w:val="18"/>
                  <w:szCs w:val="18"/>
                  <w:color w:val="0000EE"/>
                </w:rPr>
                <w:t xml:space="preserve"> to the Registrant’s Current Report on Form 8-K filed with the SEC on August 13, 2021).</w:t>
              </w:r>
            </w:hyperlink>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700" w:type="dxa"/>
            <w:vAlign w:val="bottom"/>
            <w:gridSpan w:val="6"/>
            <w:shd w:val="clear" w:color="auto" w:fill="0000EE"/>
          </w:tcPr>
          <w:p>
            <w:pPr>
              <w:spacing w:after="0" w:line="20" w:lineRule="exact"/>
              <w:rPr>
                <w:sz w:val="1"/>
                <w:szCs w:val="1"/>
                <w:color w:val="auto"/>
              </w:rPr>
            </w:pPr>
          </w:p>
        </w:tc>
        <w:tc>
          <w:tcPr>
            <w:tcW w:w="2840" w:type="dxa"/>
            <w:vAlign w:val="bottom"/>
            <w:gridSpan w:val="5"/>
            <w:shd w:val="clear" w:color="auto" w:fill="0000EE"/>
          </w:tcPr>
          <w:p>
            <w:pPr>
              <w:spacing w:after="0" w:line="20" w:lineRule="exact"/>
              <w:rPr>
                <w:sz w:val="1"/>
                <w:szCs w:val="1"/>
                <w:color w:val="auto"/>
              </w:rPr>
            </w:pPr>
          </w:p>
        </w:tc>
        <w:tc>
          <w:tcPr>
            <w:tcW w:w="3300" w:type="dxa"/>
            <w:vAlign w:val="bottom"/>
            <w:gridSpan w:val="3"/>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99.3</w:t>
            </w:r>
          </w:p>
        </w:tc>
        <w:tc>
          <w:tcPr>
            <w:tcW w:w="420" w:type="dxa"/>
            <w:vAlign w:val="bottom"/>
          </w:tcPr>
          <w:p>
            <w:pPr>
              <w:spacing w:after="0"/>
              <w:rPr>
                <w:sz w:val="24"/>
                <w:szCs w:val="24"/>
                <w:color w:val="auto"/>
              </w:rPr>
            </w:pPr>
          </w:p>
        </w:tc>
        <w:tc>
          <w:tcPr>
            <w:tcW w:w="10140" w:type="dxa"/>
            <w:vAlign w:val="bottom"/>
            <w:gridSpan w:val="19"/>
          </w:tcPr>
          <w:p>
            <w:pPr>
              <w:spacing w:after="0"/>
              <w:rPr>
                <w:rFonts w:ascii="Times New Roman" w:cs="Times New Roman" w:eastAsia="Times New Roman" w:hAnsi="Times New Roman"/>
                <w:sz w:val="18"/>
                <w:szCs w:val="18"/>
                <w:color w:val="0000EE"/>
              </w:rPr>
            </w:pPr>
            <w:hyperlink r:id="rId26">
              <w:r>
                <w:rPr>
                  <w:rFonts w:ascii="Times New Roman" w:cs="Times New Roman" w:eastAsia="Times New Roman" w:hAnsi="Times New Roman"/>
                  <w:sz w:val="18"/>
                  <w:szCs w:val="18"/>
                  <w:color w:val="0000EE"/>
                </w:rPr>
                <w:t>Tango Therapeutics, Inc. 2021 Employee Stock Purchase Plan (incorporated by reference to Exhibit 10.6 to the Registrant’s Current Report</w:t>
              </w:r>
            </w:hyperlink>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20" w:type="dxa"/>
            <w:vAlign w:val="bottom"/>
            <w:tcBorders>
              <w:top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26">
              <w:r>
                <w:rPr>
                  <w:rFonts w:ascii="Times New Roman" w:cs="Times New Roman" w:eastAsia="Times New Roman" w:hAnsi="Times New Roman"/>
                  <w:sz w:val="18"/>
                  <w:szCs w:val="18"/>
                  <w:color w:val="0000EE"/>
                </w:rPr>
                <w:t>on Form 8-K filed with the SEC on August 13, 2021).</w:t>
              </w:r>
            </w:hyperlink>
          </w:p>
        </w:tc>
        <w:tc>
          <w:tcPr>
            <w:tcW w:w="12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420" w:type="dxa"/>
            <w:vAlign w:val="bottom"/>
          </w:tcPr>
          <w:p>
            <w:pPr>
              <w:spacing w:after="0"/>
              <w:rPr>
                <w:sz w:val="24"/>
                <w:szCs w:val="24"/>
                <w:color w:val="auto"/>
              </w:rPr>
            </w:pPr>
          </w:p>
        </w:tc>
        <w:tc>
          <w:tcPr>
            <w:tcW w:w="118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Filing Fee Table</w:t>
            </w:r>
          </w:p>
        </w:tc>
        <w:tc>
          <w:tcPr>
            <w:tcW w:w="2700" w:type="dxa"/>
            <w:vAlign w:val="bottom"/>
            <w:tcBorders>
              <w:top w:val="single" w:sz="8" w:color="0000EE"/>
            </w:tcBorders>
            <w:gridSpan w:val="6"/>
          </w:tcPr>
          <w:p>
            <w:pPr>
              <w:spacing w:after="0"/>
              <w:rPr>
                <w:sz w:val="24"/>
                <w:szCs w:val="24"/>
                <w:color w:val="auto"/>
              </w:rPr>
            </w:pPr>
          </w:p>
        </w:tc>
        <w:tc>
          <w:tcPr>
            <w:tcW w:w="626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111125</wp:posOffset>
            </wp:positionV>
            <wp:extent cx="77152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78" w:lineRule="exact"/>
        <w:rPr>
          <w:sz w:val="20"/>
          <w:szCs w:val="20"/>
          <w:color w:val="auto"/>
        </w:rPr>
      </w:pPr>
    </w:p>
    <w:p>
      <w:pPr>
        <w:ind w:left="424" w:hanging="424"/>
        <w:spacing w:after="0"/>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ectPr>
          <w:pgSz w:w="11900" w:h="16838" w:orient="portrait"/>
          <w:cols w:equalWidth="0" w:num="1">
            <w:col w:w="11024"/>
          </w:cols>
          <w:pgMar w:left="436" w:top="266" w:right="4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Boston, Commonwealth of Massachusetts, on the 18th day of March, 2024.</w:t>
      </w:r>
    </w:p>
    <w:p>
      <w:pPr>
        <w:spacing w:after="0" w:line="19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Tango Therapeutics, Inc.</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Barbara Weber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9">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Barbara Weber, M.D.</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President and Chief Executive Officer</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Each person whose signature appears below constitutes and appoints each of Barbara Weber and Daniella Beckman, acting alone or together with another attorney-in-fact, as his or her true and lawful attorney-in-fact and agent, with full power of substitution and resubstitution, for such person and in his or her name, place and stead, in any and all capacities, to sign any or all further amendments (including post-effective amendments) to this registration statement (and any additional registration statement related hereto permitted by Rule 462(b) promulgated under the Securities Act, (and all further amendments, including post-effective amendments, thereto)),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attorney-in-fact and agent, or her substitute or substitutes, may lawfully do or cause to be done by virtue hereof.</w:t>
      </w:r>
    </w:p>
    <w:p>
      <w:pPr>
        <w:spacing w:after="0" w:line="18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dates indicated.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420" w:type="dxa"/>
            <w:vAlign w:val="bottom"/>
            <w:tcBorders>
              <w:bottom w:val="single" w:sz="8" w:color="auto"/>
            </w:tcBorders>
          </w:tcPr>
          <w:p>
            <w:pPr>
              <w:ind w:left="15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tcPr>
          <w:p>
            <w:pPr>
              <w:spacing w:after="0"/>
              <w:rPr>
                <w:sz w:val="16"/>
                <w:szCs w:val="16"/>
                <w:color w:val="auto"/>
              </w:rPr>
            </w:pPr>
          </w:p>
        </w:tc>
        <w:tc>
          <w:tcPr>
            <w:tcW w:w="5820" w:type="dxa"/>
            <w:vAlign w:val="bottom"/>
            <w:tcBorders>
              <w:bottom w:val="single" w:sz="8" w:color="auto"/>
            </w:tcBorders>
          </w:tcPr>
          <w:p>
            <w:pPr>
              <w:ind w:left="276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20" w:type="dxa"/>
            <w:vAlign w:val="bottom"/>
          </w:tcPr>
          <w:p>
            <w:pPr>
              <w:spacing w:after="0"/>
              <w:rPr>
                <w:sz w:val="16"/>
                <w:szCs w:val="16"/>
                <w:color w:val="auto"/>
              </w:rPr>
            </w:pPr>
          </w:p>
        </w:tc>
        <w:tc>
          <w:tcPr>
            <w:tcW w:w="154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412"/>
        </w:trPr>
        <w:tc>
          <w:tcPr>
            <w:tcW w:w="3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Barbara Weber</w:t>
            </w:r>
          </w:p>
        </w:tc>
        <w:tc>
          <w:tcPr>
            <w:tcW w:w="120" w:type="dxa"/>
            <w:vAlign w:val="bottom"/>
          </w:tcPr>
          <w:p>
            <w:pPr>
              <w:spacing w:after="0"/>
              <w:rPr>
                <w:sz w:val="24"/>
                <w:szCs w:val="24"/>
                <w:color w:val="auto"/>
              </w:rPr>
            </w:pPr>
          </w:p>
        </w:tc>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March 18, 2024</w:t>
            </w:r>
          </w:p>
        </w:tc>
      </w:tr>
      <w:tr>
        <w:trPr>
          <w:trHeight w:val="228"/>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Barbara Weber, M.D.</w:t>
            </w:r>
          </w:p>
        </w:tc>
        <w:tc>
          <w:tcPr>
            <w:tcW w:w="120" w:type="dxa"/>
            <w:vAlign w:val="bottom"/>
          </w:tcPr>
          <w:p>
            <w:pPr>
              <w:spacing w:after="0"/>
              <w:rPr>
                <w:sz w:val="19"/>
                <w:szCs w:val="19"/>
                <w:color w:val="auto"/>
              </w:rPr>
            </w:pPr>
          </w:p>
        </w:tc>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540" w:type="dxa"/>
            <w:vAlign w:val="bottom"/>
          </w:tcPr>
          <w:p>
            <w:pPr>
              <w:spacing w:after="0"/>
              <w:rPr>
                <w:sz w:val="19"/>
                <w:szCs w:val="19"/>
                <w:color w:val="auto"/>
              </w:rPr>
            </w:pPr>
          </w:p>
        </w:tc>
      </w:tr>
      <w:tr>
        <w:trPr>
          <w:trHeight w:val="427"/>
        </w:trPr>
        <w:tc>
          <w:tcPr>
            <w:tcW w:w="3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Daniella Beckman</w:t>
            </w:r>
          </w:p>
        </w:tc>
        <w:tc>
          <w:tcPr>
            <w:tcW w:w="120" w:type="dxa"/>
            <w:vAlign w:val="bottom"/>
          </w:tcPr>
          <w:p>
            <w:pPr>
              <w:spacing w:after="0"/>
              <w:rPr>
                <w:sz w:val="24"/>
                <w:szCs w:val="24"/>
                <w:color w:val="auto"/>
              </w:rPr>
            </w:pPr>
          </w:p>
        </w:tc>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March 18, 2024</w:t>
            </w:r>
          </w:p>
        </w:tc>
      </w:tr>
      <w:tr>
        <w:trPr>
          <w:trHeight w:val="228"/>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Daniella Beckman</w:t>
            </w:r>
          </w:p>
        </w:tc>
        <w:tc>
          <w:tcPr>
            <w:tcW w:w="120" w:type="dxa"/>
            <w:vAlign w:val="bottom"/>
          </w:tcPr>
          <w:p>
            <w:pPr>
              <w:spacing w:after="0"/>
              <w:rPr>
                <w:sz w:val="19"/>
                <w:szCs w:val="19"/>
                <w:color w:val="auto"/>
              </w:rPr>
            </w:pPr>
          </w:p>
        </w:tc>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tc>
        <w:tc>
          <w:tcPr>
            <w:tcW w:w="1540" w:type="dxa"/>
            <w:vAlign w:val="bottom"/>
          </w:tcPr>
          <w:p>
            <w:pPr>
              <w:spacing w:after="0"/>
              <w:rPr>
                <w:sz w:val="19"/>
                <w:szCs w:val="19"/>
                <w:color w:val="auto"/>
              </w:rPr>
            </w:pPr>
          </w:p>
        </w:tc>
      </w:tr>
      <w:tr>
        <w:trPr>
          <w:trHeight w:val="427"/>
        </w:trPr>
        <w:tc>
          <w:tcPr>
            <w:tcW w:w="3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Alexis Borisy</w:t>
            </w:r>
          </w:p>
        </w:tc>
        <w:tc>
          <w:tcPr>
            <w:tcW w:w="120" w:type="dxa"/>
            <w:vAlign w:val="bottom"/>
          </w:tcPr>
          <w:p>
            <w:pPr>
              <w:spacing w:after="0"/>
              <w:rPr>
                <w:sz w:val="24"/>
                <w:szCs w:val="24"/>
                <w:color w:val="auto"/>
              </w:rPr>
            </w:pPr>
          </w:p>
        </w:tc>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March 18, 2024</w:t>
            </w:r>
          </w:p>
        </w:tc>
      </w:tr>
      <w:tr>
        <w:trPr>
          <w:trHeight w:val="228"/>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Alexis Borisy</w:t>
            </w:r>
          </w:p>
        </w:tc>
        <w:tc>
          <w:tcPr>
            <w:tcW w:w="120" w:type="dxa"/>
            <w:vAlign w:val="bottom"/>
          </w:tcPr>
          <w:p>
            <w:pPr>
              <w:spacing w:after="0"/>
              <w:rPr>
                <w:sz w:val="19"/>
                <w:szCs w:val="19"/>
                <w:color w:val="auto"/>
              </w:rPr>
            </w:pPr>
          </w:p>
        </w:tc>
        <w:tc>
          <w:tcPr>
            <w:tcW w:w="5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427"/>
        </w:trPr>
        <w:tc>
          <w:tcPr>
            <w:tcW w:w="3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Lesley Calhoun</w:t>
            </w:r>
          </w:p>
        </w:tc>
        <w:tc>
          <w:tcPr>
            <w:tcW w:w="120" w:type="dxa"/>
            <w:vAlign w:val="bottom"/>
          </w:tcPr>
          <w:p>
            <w:pPr>
              <w:spacing w:after="0"/>
              <w:rPr>
                <w:sz w:val="24"/>
                <w:szCs w:val="24"/>
                <w:color w:val="auto"/>
              </w:rPr>
            </w:pPr>
          </w:p>
        </w:tc>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March 18, 2024</w:t>
            </w:r>
          </w:p>
        </w:tc>
      </w:tr>
      <w:tr>
        <w:trPr>
          <w:trHeight w:val="228"/>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Lesley Calhoun</w:t>
            </w:r>
          </w:p>
        </w:tc>
        <w:tc>
          <w:tcPr>
            <w:tcW w:w="120" w:type="dxa"/>
            <w:vAlign w:val="bottom"/>
          </w:tcPr>
          <w:p>
            <w:pPr>
              <w:spacing w:after="0"/>
              <w:rPr>
                <w:sz w:val="19"/>
                <w:szCs w:val="19"/>
                <w:color w:val="auto"/>
              </w:rPr>
            </w:pPr>
          </w:p>
        </w:tc>
        <w:tc>
          <w:tcPr>
            <w:tcW w:w="5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427"/>
        </w:trPr>
        <w:tc>
          <w:tcPr>
            <w:tcW w:w="3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John Ketchum</w:t>
            </w:r>
          </w:p>
        </w:tc>
        <w:tc>
          <w:tcPr>
            <w:tcW w:w="120" w:type="dxa"/>
            <w:vAlign w:val="bottom"/>
          </w:tcPr>
          <w:p>
            <w:pPr>
              <w:spacing w:after="0"/>
              <w:rPr>
                <w:sz w:val="24"/>
                <w:szCs w:val="24"/>
                <w:color w:val="auto"/>
              </w:rPr>
            </w:pPr>
          </w:p>
        </w:tc>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March 18, 2024</w:t>
            </w:r>
          </w:p>
        </w:tc>
      </w:tr>
      <w:tr>
        <w:trPr>
          <w:trHeight w:val="228"/>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John Ketchum</w:t>
            </w:r>
          </w:p>
        </w:tc>
        <w:tc>
          <w:tcPr>
            <w:tcW w:w="120" w:type="dxa"/>
            <w:vAlign w:val="bottom"/>
          </w:tcPr>
          <w:p>
            <w:pPr>
              <w:spacing w:after="0"/>
              <w:rPr>
                <w:sz w:val="19"/>
                <w:szCs w:val="19"/>
                <w:color w:val="auto"/>
              </w:rPr>
            </w:pPr>
          </w:p>
        </w:tc>
        <w:tc>
          <w:tcPr>
            <w:tcW w:w="5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427"/>
        </w:trPr>
        <w:tc>
          <w:tcPr>
            <w:tcW w:w="3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Kanishka Pothula</w:t>
            </w:r>
          </w:p>
        </w:tc>
        <w:tc>
          <w:tcPr>
            <w:tcW w:w="120" w:type="dxa"/>
            <w:vAlign w:val="bottom"/>
          </w:tcPr>
          <w:p>
            <w:pPr>
              <w:spacing w:after="0"/>
              <w:rPr>
                <w:sz w:val="24"/>
                <w:szCs w:val="24"/>
                <w:color w:val="auto"/>
              </w:rPr>
            </w:pPr>
          </w:p>
        </w:tc>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March 18, 2024</w:t>
            </w:r>
          </w:p>
        </w:tc>
      </w:tr>
      <w:tr>
        <w:trPr>
          <w:trHeight w:val="228"/>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Kanishka Pothula</w:t>
            </w:r>
          </w:p>
        </w:tc>
        <w:tc>
          <w:tcPr>
            <w:tcW w:w="120" w:type="dxa"/>
            <w:vAlign w:val="bottom"/>
          </w:tcPr>
          <w:p>
            <w:pPr>
              <w:spacing w:after="0"/>
              <w:rPr>
                <w:sz w:val="19"/>
                <w:szCs w:val="19"/>
                <w:color w:val="auto"/>
              </w:rPr>
            </w:pPr>
          </w:p>
        </w:tc>
        <w:tc>
          <w:tcPr>
            <w:tcW w:w="5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427"/>
        </w:trPr>
        <w:tc>
          <w:tcPr>
            <w:tcW w:w="3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Malte Peters</w:t>
            </w:r>
          </w:p>
        </w:tc>
        <w:tc>
          <w:tcPr>
            <w:tcW w:w="120" w:type="dxa"/>
            <w:vAlign w:val="bottom"/>
          </w:tcPr>
          <w:p>
            <w:pPr>
              <w:spacing w:after="0"/>
              <w:rPr>
                <w:sz w:val="24"/>
                <w:szCs w:val="24"/>
                <w:color w:val="auto"/>
              </w:rPr>
            </w:pPr>
          </w:p>
        </w:tc>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March 18, 2024</w:t>
            </w:r>
          </w:p>
        </w:tc>
      </w:tr>
      <w:tr>
        <w:trPr>
          <w:trHeight w:val="228"/>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Malte Peters, M.D.</w:t>
            </w:r>
          </w:p>
        </w:tc>
        <w:tc>
          <w:tcPr>
            <w:tcW w:w="120" w:type="dxa"/>
            <w:vAlign w:val="bottom"/>
          </w:tcPr>
          <w:p>
            <w:pPr>
              <w:spacing w:after="0"/>
              <w:rPr>
                <w:sz w:val="19"/>
                <w:szCs w:val="19"/>
                <w:color w:val="auto"/>
              </w:rPr>
            </w:pPr>
          </w:p>
        </w:tc>
        <w:tc>
          <w:tcPr>
            <w:tcW w:w="5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427"/>
        </w:trPr>
        <w:tc>
          <w:tcPr>
            <w:tcW w:w="3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Mace Rothenberg</w:t>
            </w:r>
          </w:p>
        </w:tc>
        <w:tc>
          <w:tcPr>
            <w:tcW w:w="120" w:type="dxa"/>
            <w:vAlign w:val="bottom"/>
          </w:tcPr>
          <w:p>
            <w:pPr>
              <w:spacing w:after="0"/>
              <w:rPr>
                <w:sz w:val="24"/>
                <w:szCs w:val="24"/>
                <w:color w:val="auto"/>
              </w:rPr>
            </w:pPr>
          </w:p>
        </w:tc>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March 18, 2024</w:t>
            </w:r>
          </w:p>
        </w:tc>
      </w:tr>
      <w:tr>
        <w:trPr>
          <w:trHeight w:val="228"/>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Mace Rothenberg, M.D.</w:t>
            </w:r>
          </w:p>
        </w:tc>
        <w:tc>
          <w:tcPr>
            <w:tcW w:w="120" w:type="dxa"/>
            <w:vAlign w:val="bottom"/>
          </w:tcPr>
          <w:p>
            <w:pPr>
              <w:spacing w:after="0"/>
              <w:rPr>
                <w:sz w:val="19"/>
                <w:szCs w:val="19"/>
                <w:color w:val="auto"/>
              </w:rPr>
            </w:pPr>
          </w:p>
        </w:tc>
        <w:tc>
          <w:tcPr>
            <w:tcW w:w="5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r>
    </w:tbl>
    <w:p>
      <w:pPr>
        <w:sectPr>
          <w:pgSz w:w="11900" w:h="16838" w:orient="portrait"/>
          <w:cols w:equalWidth="0" w:num="1">
            <w:col w:w="11020"/>
          </w:cols>
          <w:pgMar w:left="440" w:top="266" w:right="4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56" w:lineRule="exact"/>
        <w:rPr>
          <w:sz w:val="20"/>
          <w:szCs w:val="20"/>
          <w:color w:val="auto"/>
        </w:rPr>
      </w:pPr>
    </w:p>
    <w:p>
      <w:pPr>
        <w:ind w:left="7840"/>
        <w:spacing w:after="0"/>
        <w:rPr>
          <w:sz w:val="20"/>
          <w:szCs w:val="20"/>
          <w:color w:val="auto"/>
        </w:rPr>
      </w:pPr>
      <w:r>
        <w:rPr>
          <w:rFonts w:ascii="Times New Roman" w:cs="Times New Roman" w:eastAsia="Times New Roman" w:hAnsi="Times New Roman"/>
          <w:sz w:val="18"/>
          <w:szCs w:val="18"/>
          <w:color w:val="auto"/>
        </w:rPr>
        <w:t xml:space="preserve">Goodwin Procter </w:t>
      </w:r>
      <w:r>
        <w:rPr>
          <w:rFonts w:ascii="Times New Roman" w:cs="Times New Roman" w:eastAsia="Times New Roman" w:hAnsi="Times New Roman"/>
          <w:sz w:val="14"/>
          <w:szCs w:val="14"/>
          <w:color w:val="auto"/>
        </w:rPr>
        <w:t>LLP</w:t>
      </w:r>
    </w:p>
    <w:p>
      <w:pPr>
        <w:spacing w:after="0" w:line="27" w:lineRule="exact"/>
        <w:rPr>
          <w:sz w:val="20"/>
          <w:szCs w:val="20"/>
          <w:color w:val="auto"/>
        </w:rPr>
      </w:pPr>
    </w:p>
    <w:p>
      <w:pPr>
        <w:ind w:left="7840"/>
        <w:spacing w:after="0"/>
        <w:rPr>
          <w:sz w:val="20"/>
          <w:szCs w:val="20"/>
          <w:color w:val="auto"/>
        </w:rPr>
      </w:pPr>
      <w:r>
        <w:rPr>
          <w:rFonts w:ascii="Times New Roman" w:cs="Times New Roman" w:eastAsia="Times New Roman" w:hAnsi="Times New Roman"/>
          <w:sz w:val="18"/>
          <w:szCs w:val="18"/>
          <w:color w:val="auto"/>
        </w:rPr>
        <w:t>100 Northern Avenue</w:t>
      </w:r>
    </w:p>
    <w:p>
      <w:pPr>
        <w:spacing w:after="0" w:line="9" w:lineRule="exact"/>
        <w:rPr>
          <w:sz w:val="20"/>
          <w:szCs w:val="20"/>
          <w:color w:val="auto"/>
        </w:rPr>
      </w:pPr>
    </w:p>
    <w:p>
      <w:pPr>
        <w:ind w:left="7840"/>
        <w:spacing w:after="0"/>
        <w:rPr>
          <w:sz w:val="20"/>
          <w:szCs w:val="20"/>
          <w:color w:val="auto"/>
        </w:rPr>
      </w:pPr>
      <w:r>
        <w:rPr>
          <w:rFonts w:ascii="Times New Roman" w:cs="Times New Roman" w:eastAsia="Times New Roman" w:hAnsi="Times New Roman"/>
          <w:sz w:val="18"/>
          <w:szCs w:val="18"/>
          <w:color w:val="auto"/>
        </w:rPr>
        <w:t>Boston, MA 02210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1962785" cy="4718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0">
                      <a:extLst>
                        <a:ext uri="{28A0092B-C50C-407E-A947-70E740481C1C}"/>
                      </a:extLst>
                    </a:blip>
                    <a:srcRect/>
                    <a:stretch>
                      <a:fillRect/>
                    </a:stretch>
                  </pic:blipFill>
                  <pic:spPr bwMode="auto">
                    <a:xfrm>
                      <a:off x="0" y="0"/>
                      <a:ext cx="1962785" cy="471805"/>
                    </a:xfrm>
                    <a:prstGeom prst="rect">
                      <a:avLst/>
                    </a:prstGeom>
                    <a:noFill/>
                  </pic:spPr>
                </pic:pic>
              </a:graphicData>
            </a:graphic>
          </wp:anchor>
        </w:drawing>
      </w:r>
    </w:p>
    <w:p>
      <w:pPr>
        <w:spacing w:after="0" w:line="227" w:lineRule="exact"/>
        <w:rPr>
          <w:sz w:val="20"/>
          <w:szCs w:val="20"/>
          <w:color w:val="auto"/>
        </w:rPr>
      </w:pPr>
    </w:p>
    <w:p>
      <w:pPr>
        <w:ind w:left="7840"/>
        <w:spacing w:after="0"/>
        <w:rPr>
          <w:sz w:val="20"/>
          <w:szCs w:val="20"/>
          <w:color w:val="auto"/>
        </w:rPr>
      </w:pPr>
      <w:r>
        <w:rPr>
          <w:rFonts w:ascii="Times New Roman" w:cs="Times New Roman" w:eastAsia="Times New Roman" w:hAnsi="Times New Roman"/>
          <w:sz w:val="18"/>
          <w:szCs w:val="18"/>
          <w:color w:val="auto"/>
        </w:rPr>
        <w:t>goodwinlaw.com</w:t>
      </w:r>
    </w:p>
    <w:p>
      <w:pPr>
        <w:spacing w:after="0" w:line="77" w:lineRule="exact"/>
        <w:rPr>
          <w:sz w:val="20"/>
          <w:szCs w:val="20"/>
          <w:color w:val="auto"/>
        </w:rPr>
      </w:pPr>
    </w:p>
    <w:p>
      <w:pPr>
        <w:ind w:left="7840"/>
        <w:spacing w:after="0"/>
        <w:rPr>
          <w:sz w:val="20"/>
          <w:szCs w:val="20"/>
          <w:color w:val="auto"/>
        </w:rPr>
      </w:pPr>
      <w:r>
        <w:rPr>
          <w:rFonts w:ascii="Times New Roman" w:cs="Times New Roman" w:eastAsia="Times New Roman" w:hAnsi="Times New Roman"/>
          <w:sz w:val="18"/>
          <w:szCs w:val="18"/>
          <w:color w:val="auto"/>
        </w:rPr>
        <w:t>+1 617 570 1000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March 18,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Tango Therapeutics,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 Brookline Ave., Suite 901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 02215</w:t>
      </w:r>
    </w:p>
    <w:p>
      <w:pPr>
        <w:spacing w:after="0" w:line="23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u w:val="single" w:color="auto"/>
          <w:color w:val="auto"/>
        </w:rPr>
        <w:t>Securities Being Registered under Registration Statement on Form S-8</w:t>
      </w:r>
    </w:p>
    <w:p>
      <w:pPr>
        <w:spacing w:after="0" w:line="225"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We have acted as counsel to you in connection with your filing of a Registration Statement on Form S-8 (the “Registration Statement”) pursuant to the Securities Act of 1933, as amended (the “Securities Act”), on or about the date hereof relating to an aggregate of 6,060,011 shares (the “Shares”) of Common Stock, $0.001 par value per share (“Common Stock”), of Tango Therapeutics, Inc., a Delaware corporation (the “Company”), that may be issued pursuant to the Company’s 2021 Stock Option and Incentive Plan and 2021 Employee Stock Purchase Plan (collectively, the “Plans”).</w:t>
      </w:r>
    </w:p>
    <w:p>
      <w:pPr>
        <w:spacing w:after="0" w:line="18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have reviewed such documents and made such examination of law as we have deemed appropriate to give the opinion set forth below. We have relied, without independent verification, on certificates of public officials and, as to matters of fact material to the opinion set forth below, on certificates of officers of the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opinion set forth below is limited to the Delaware General Corporation Law.</w:t>
      </w:r>
    </w:p>
    <w:p>
      <w:pPr>
        <w:spacing w:after="0" w:line="225"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For purposes of the opinion set forth below, we have assumed that no event occurs that causes the number of authorized shares of Common Stock available for issuance by the Company to be less than the number of then unissued Shares.</w:t>
      </w:r>
    </w:p>
    <w:p>
      <w:pPr>
        <w:spacing w:after="0" w:line="162"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Based on the foregoing, we are of the opinion that the Shares have been duly authorized and, upon issuance and delivery against payment therefor in accordance with the terms of the Plans, will be validly issued, fully paid and nonassessable.</w:t>
      </w:r>
    </w:p>
    <w:p>
      <w:pPr>
        <w:spacing w:after="0" w:line="160" w:lineRule="exact"/>
        <w:rPr>
          <w:sz w:val="20"/>
          <w:szCs w:val="20"/>
          <w:color w:val="auto"/>
        </w:rPr>
      </w:pPr>
    </w:p>
    <w:p>
      <w:pPr>
        <w:ind w:right="240"/>
        <w:spacing w:after="0" w:line="284" w:lineRule="auto"/>
        <w:rPr>
          <w:sz w:val="20"/>
          <w:szCs w:val="20"/>
          <w:color w:val="auto"/>
        </w:rPr>
      </w:pPr>
      <w:r>
        <w:rPr>
          <w:rFonts w:ascii="Times New Roman" w:cs="Times New Roman" w:eastAsia="Times New Roman" w:hAnsi="Times New Roman"/>
          <w:sz w:val="18"/>
          <w:szCs w:val="18"/>
          <w:color w:val="auto"/>
        </w:rPr>
        <w:t xml:space="preserve">This opinion letter and the opinion it contains shall be interpreted in accordance with the Core Opinion Principles as published in 74 </w:t>
      </w:r>
      <w:r>
        <w:rPr>
          <w:rFonts w:ascii="Times New Roman" w:cs="Times New Roman" w:eastAsia="Times New Roman" w:hAnsi="Times New Roman"/>
          <w:sz w:val="18"/>
          <w:szCs w:val="18"/>
          <w:i w:val="1"/>
          <w:iCs w:val="1"/>
          <w:color w:val="auto"/>
        </w:rPr>
        <w:t>Business Lawyer</w:t>
      </w:r>
      <w:r>
        <w:rPr>
          <w:rFonts w:ascii="Times New Roman" w:cs="Times New Roman" w:eastAsia="Times New Roman" w:hAnsi="Times New Roman"/>
          <w:sz w:val="18"/>
          <w:szCs w:val="18"/>
          <w:color w:val="auto"/>
        </w:rPr>
        <w:t xml:space="preserve"> 815 (Summer 2019).</w:t>
      </w:r>
    </w:p>
    <w:p>
      <w:pPr>
        <w:spacing w:after="0" w:line="16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We hereby consent to the inclusion of this opinion as Exhibit 5.1 to the Registration Statement. In giving our consent, we do not admit that we are in the category of persons whose consent is required under Section 7 of the Securities Act or the rules and regulations thereunder.</w:t>
      </w:r>
    </w:p>
    <w:p>
      <w:pPr>
        <w:spacing w:after="0" w:line="16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Goodwin Procter LLP</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GOODWIN PROCTER LLP</w:t>
      </w:r>
    </w:p>
    <w:p>
      <w:pPr>
        <w:sectPr>
          <w:pgSz w:w="11900" w:h="16838" w:orient="portrait"/>
          <w:cols w:equalWidth="0" w:num="1">
            <w:col w:w="11020"/>
          </w:cols>
          <w:pgMar w:left="440" w:top="117" w:right="4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5" w:lineRule="exact"/>
        <w:rPr>
          <w:sz w:val="20"/>
          <w:szCs w:val="20"/>
          <w:color w:val="auto"/>
        </w:rPr>
      </w:pPr>
    </w:p>
    <w:p>
      <w:pPr>
        <w:ind w:right="560"/>
        <w:spacing w:after="0" w:line="266" w:lineRule="auto"/>
        <w:rPr>
          <w:sz w:val="20"/>
          <w:szCs w:val="20"/>
          <w:color w:val="auto"/>
        </w:rPr>
      </w:pPr>
      <w:r>
        <w:rPr>
          <w:rFonts w:ascii="Times New Roman" w:cs="Times New Roman" w:eastAsia="Times New Roman" w:hAnsi="Times New Roman"/>
          <w:sz w:val="18"/>
          <w:szCs w:val="18"/>
          <w:color w:val="auto"/>
        </w:rPr>
        <w:t>We hereby consent to the incorporation by reference in this Registration Statement on Form S-8 of Tango Therapeutics, Inc. of our report dated March 18, 2024 relating to the financial statements, which appears in Tango Therapeutics, Inc.’s Annual Report on Form 10-K for the year ended December 31, 2023.</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18, 2024</w:t>
      </w:r>
    </w:p>
    <w:p>
      <w:pPr>
        <w:sectPr>
          <w:pgSz w:w="11900" w:h="16838" w:orient="portrait"/>
          <w:cols w:equalWidth="0" w:num="1">
            <w:col w:w="11020"/>
          </w:cols>
          <w:pgMar w:left="440" w:top="117" w:right="4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Calculation of Filing Fee Tables</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u w:val="single" w:color="auto"/>
          <w:color w:val="auto"/>
        </w:rPr>
        <w:t>Form S-8</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(Form Type)</w:t>
      </w:r>
    </w:p>
    <w:p>
      <w:pPr>
        <w:spacing w:after="0" w:line="20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Tango Therapeutics, Inc.</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u w:val="single" w:color="auto"/>
          <w:color w:val="auto"/>
        </w:rPr>
        <w:t>Table 1: Newly Registered Securities</w:t>
      </w:r>
    </w:p>
    <w:p>
      <w:pPr>
        <w:spacing w:after="0" w:line="250" w:lineRule="exact"/>
        <w:rPr>
          <w:sz w:val="20"/>
          <w:szCs w:val="20"/>
          <w:color w:val="auto"/>
        </w:rPr>
      </w:pPr>
    </w:p>
    <w:tbl>
      <w:tblPr>
        <w:tblLayout w:type="fixed"/>
        <w:tblInd w:w="1334" w:type="dxa"/>
        <w:tblCellMar>
          <w:top w:w="0" w:type="dxa"/>
          <w:left w:w="0" w:type="dxa"/>
          <w:bottom w:w="0" w:type="dxa"/>
          <w:right w:w="0" w:type="dxa"/>
        </w:tblCellMar>
      </w:tblPr>
      <w:tr>
        <w:trPr>
          <w:trHeight w:val="142"/>
        </w:trPr>
        <w:tc>
          <w:tcPr>
            <w:tcW w:w="960" w:type="dxa"/>
            <w:vAlign w:val="bottom"/>
            <w:tcBorders>
              <w:top w:val="single" w:sz="8" w:color="auto"/>
              <w:left w:val="single" w:sz="8" w:color="auto"/>
              <w:right w:val="single" w:sz="8" w:color="auto"/>
            </w:tcBorders>
          </w:tcPr>
          <w:p>
            <w:pPr>
              <w:spacing w:after="0"/>
              <w:rPr>
                <w:sz w:val="12"/>
                <w:szCs w:val="12"/>
                <w:color w:val="auto"/>
              </w:rPr>
            </w:pPr>
          </w:p>
        </w:tc>
        <w:tc>
          <w:tcPr>
            <w:tcW w:w="1300" w:type="dxa"/>
            <w:vAlign w:val="bottom"/>
            <w:tcBorders>
              <w:top w:val="single" w:sz="8" w:color="auto"/>
              <w:right w:val="single" w:sz="8" w:color="auto"/>
            </w:tcBorders>
          </w:tcPr>
          <w:p>
            <w:pPr>
              <w:spacing w:after="0"/>
              <w:rPr>
                <w:sz w:val="12"/>
                <w:szCs w:val="12"/>
                <w:color w:val="auto"/>
              </w:rPr>
            </w:pPr>
          </w:p>
        </w:tc>
        <w:tc>
          <w:tcPr>
            <w:tcW w:w="800" w:type="dxa"/>
            <w:vAlign w:val="bottom"/>
            <w:tcBorders>
              <w:top w:val="single" w:sz="8" w:color="auto"/>
              <w:right w:val="single" w:sz="8" w:color="auto"/>
            </w:tcBorders>
          </w:tcPr>
          <w:p>
            <w:pPr>
              <w:spacing w:after="0"/>
              <w:rPr>
                <w:sz w:val="12"/>
                <w:szCs w:val="12"/>
                <w:color w:val="auto"/>
              </w:rPr>
            </w:pPr>
          </w:p>
        </w:tc>
        <w:tc>
          <w:tcPr>
            <w:tcW w:w="1500" w:type="dxa"/>
            <w:vAlign w:val="bottom"/>
            <w:tcBorders>
              <w:top w:val="single" w:sz="8" w:color="auto"/>
              <w:right w:val="single" w:sz="8" w:color="auto"/>
            </w:tcBorders>
          </w:tcPr>
          <w:p>
            <w:pPr>
              <w:spacing w:after="0"/>
              <w:rPr>
                <w:sz w:val="12"/>
                <w:szCs w:val="12"/>
                <w:color w:val="auto"/>
              </w:rPr>
            </w:pPr>
          </w:p>
        </w:tc>
        <w:tc>
          <w:tcPr>
            <w:tcW w:w="760" w:type="dxa"/>
            <w:vAlign w:val="bottom"/>
            <w:tcBorders>
              <w:top w:val="single" w:sz="8" w:color="auto"/>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9"/>
              </w:rPr>
              <w:t>Proposed</w:t>
            </w:r>
          </w:p>
        </w:tc>
        <w:tc>
          <w:tcPr>
            <w:tcW w:w="108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Maximum</w:t>
            </w:r>
          </w:p>
        </w:tc>
        <w:tc>
          <w:tcPr>
            <w:tcW w:w="1080" w:type="dxa"/>
            <w:vAlign w:val="bottom"/>
            <w:tcBorders>
              <w:top w:val="single" w:sz="8" w:color="auto"/>
              <w:right w:val="single" w:sz="8" w:color="auto"/>
            </w:tcBorders>
          </w:tcPr>
          <w:p>
            <w:pPr>
              <w:spacing w:after="0"/>
              <w:rPr>
                <w:sz w:val="12"/>
                <w:szCs w:val="12"/>
                <w:color w:val="auto"/>
              </w:rPr>
            </w:pPr>
          </w:p>
        </w:tc>
        <w:tc>
          <w:tcPr>
            <w:tcW w:w="900" w:type="dxa"/>
            <w:vAlign w:val="bottom"/>
            <w:tcBorders>
              <w:top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960" w:type="dxa"/>
            <w:vAlign w:val="bottom"/>
            <w:tcBorders>
              <w:left w:val="single" w:sz="8" w:color="auto"/>
              <w:right w:val="single" w:sz="8" w:color="auto"/>
            </w:tcBorders>
          </w:tcPr>
          <w:p>
            <w:pPr>
              <w:spacing w:after="0"/>
              <w:rPr>
                <w:sz w:val="11"/>
                <w:szCs w:val="11"/>
                <w:color w:val="auto"/>
              </w:rPr>
            </w:pPr>
          </w:p>
        </w:tc>
        <w:tc>
          <w:tcPr>
            <w:tcW w:w="130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50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6"/>
              </w:rPr>
              <w:t>Maximum</w:t>
            </w:r>
          </w:p>
        </w:tc>
        <w:tc>
          <w:tcPr>
            <w:tcW w:w="1080" w:type="dxa"/>
            <w:vAlign w:val="bottom"/>
            <w:tcBorders>
              <w:right w:val="single" w:sz="8" w:color="auto"/>
            </w:tcBorders>
            <w:vMerge w:val="continue"/>
          </w:tcPr>
          <w:p>
            <w:pPr>
              <w:spacing w:after="0"/>
              <w:rPr>
                <w:sz w:val="11"/>
                <w:szCs w:val="11"/>
                <w:color w:val="auto"/>
              </w:rPr>
            </w:pPr>
          </w:p>
        </w:tc>
        <w:tc>
          <w:tcPr>
            <w:tcW w:w="108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60" w:type="dxa"/>
            <w:vAlign w:val="bottom"/>
            <w:tcBorders>
              <w:left w:val="single" w:sz="8" w:color="auto"/>
              <w:right w:val="single" w:sz="8" w:color="auto"/>
            </w:tcBorders>
          </w:tcPr>
          <w:p>
            <w:pPr>
              <w:spacing w:after="0"/>
              <w:rPr>
                <w:sz w:val="11"/>
                <w:szCs w:val="11"/>
                <w:color w:val="auto"/>
              </w:rPr>
            </w:pPr>
          </w:p>
        </w:tc>
        <w:tc>
          <w:tcPr>
            <w:tcW w:w="13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Security</w:t>
            </w:r>
          </w:p>
        </w:tc>
        <w:tc>
          <w:tcPr>
            <w:tcW w:w="8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2"/>
              </w:rPr>
              <w:t>Fee</w:t>
            </w:r>
          </w:p>
        </w:tc>
        <w:tc>
          <w:tcPr>
            <w:tcW w:w="150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Offering</w:t>
            </w:r>
          </w:p>
        </w:tc>
        <w:tc>
          <w:tcPr>
            <w:tcW w:w="10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Aggregate</w:t>
            </w:r>
          </w:p>
        </w:tc>
        <w:tc>
          <w:tcPr>
            <w:tcW w:w="108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Amount of</w:t>
            </w:r>
          </w:p>
        </w:tc>
        <w:tc>
          <w:tcPr>
            <w:tcW w:w="0" w:type="dxa"/>
            <w:vAlign w:val="bottom"/>
          </w:tcPr>
          <w:p>
            <w:pPr>
              <w:spacing w:after="0"/>
              <w:rPr>
                <w:sz w:val="1"/>
                <w:szCs w:val="1"/>
                <w:color w:val="auto"/>
              </w:rPr>
            </w:pPr>
          </w:p>
        </w:tc>
      </w:tr>
      <w:tr>
        <w:trPr>
          <w:trHeight w:val="135"/>
        </w:trPr>
        <w:tc>
          <w:tcPr>
            <w:tcW w:w="960" w:type="dxa"/>
            <w:vAlign w:val="bottom"/>
            <w:tcBorders>
              <w:left w:val="single" w:sz="8" w:color="auto"/>
              <w:right w:val="single" w:sz="8" w:color="auto"/>
            </w:tcBorders>
          </w:tcPr>
          <w:p>
            <w:pPr>
              <w:spacing w:after="0"/>
              <w:rPr>
                <w:sz w:val="11"/>
                <w:szCs w:val="11"/>
                <w:color w:val="auto"/>
              </w:rPr>
            </w:pPr>
          </w:p>
        </w:tc>
        <w:tc>
          <w:tcPr>
            <w:tcW w:w="13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Class</w:t>
            </w:r>
          </w:p>
        </w:tc>
        <w:tc>
          <w:tcPr>
            <w:tcW w:w="8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Calculation</w:t>
            </w:r>
          </w:p>
        </w:tc>
        <w:tc>
          <w:tcPr>
            <w:tcW w:w="15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Amount</w:t>
            </w:r>
          </w:p>
        </w:tc>
        <w:tc>
          <w:tcPr>
            <w:tcW w:w="7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Price Per</w:t>
            </w:r>
          </w:p>
        </w:tc>
        <w:tc>
          <w:tcPr>
            <w:tcW w:w="10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Offering</w:t>
            </w:r>
          </w:p>
        </w:tc>
        <w:tc>
          <w:tcPr>
            <w:tcW w:w="10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2"/>
              </w:rPr>
              <w:t>Fee</w:t>
            </w:r>
          </w:p>
        </w:tc>
        <w:tc>
          <w:tcPr>
            <w:tcW w:w="9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Registration</w:t>
            </w:r>
          </w:p>
        </w:tc>
        <w:tc>
          <w:tcPr>
            <w:tcW w:w="0" w:type="dxa"/>
            <w:vAlign w:val="bottom"/>
          </w:tcPr>
          <w:p>
            <w:pPr>
              <w:spacing w:after="0"/>
              <w:rPr>
                <w:sz w:val="1"/>
                <w:szCs w:val="1"/>
                <w:color w:val="auto"/>
              </w:rPr>
            </w:pPr>
          </w:p>
        </w:tc>
      </w:tr>
      <w:tr>
        <w:trPr>
          <w:trHeight w:val="174"/>
        </w:trPr>
        <w:tc>
          <w:tcPr>
            <w:tcW w:w="960" w:type="dxa"/>
            <w:vAlign w:val="bottom"/>
            <w:tcBorders>
              <w:left w:val="single" w:sz="8" w:color="auto"/>
              <w:bottom w:val="single" w:sz="8" w:color="auto"/>
              <w:right w:val="single" w:sz="8" w:color="auto"/>
            </w:tcBorders>
          </w:tcPr>
          <w:p>
            <w:pPr>
              <w:jc w:val="center"/>
              <w:ind w:left="59"/>
              <w:spacing w:after="0"/>
              <w:rPr>
                <w:sz w:val="20"/>
                <w:szCs w:val="20"/>
                <w:color w:val="auto"/>
              </w:rPr>
            </w:pPr>
            <w:r>
              <w:rPr>
                <w:rFonts w:ascii="Times New Roman" w:cs="Times New Roman" w:eastAsia="Times New Roman" w:hAnsi="Times New Roman"/>
                <w:sz w:val="13"/>
                <w:szCs w:val="13"/>
                <w:b w:val="1"/>
                <w:bCs w:val="1"/>
                <w:color w:val="auto"/>
                <w:w w:val="97"/>
              </w:rPr>
              <w:t>Security Type </w:t>
            </w:r>
          </w:p>
        </w:tc>
        <w:tc>
          <w:tcPr>
            <w:tcW w:w="1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Title</w:t>
            </w:r>
          </w:p>
        </w:tc>
        <w:tc>
          <w:tcPr>
            <w:tcW w:w="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Rule</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Registered (1)</w:t>
            </w: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Share</w:t>
            </w:r>
          </w:p>
        </w:tc>
        <w:tc>
          <w:tcPr>
            <w:tcW w:w="1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Price</w:t>
            </w:r>
          </w:p>
        </w:tc>
        <w:tc>
          <w:tcPr>
            <w:tcW w:w="1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Rate</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Fee</w:t>
            </w:r>
          </w:p>
        </w:tc>
        <w:tc>
          <w:tcPr>
            <w:tcW w:w="0" w:type="dxa"/>
            <w:vAlign w:val="bottom"/>
          </w:tcPr>
          <w:p>
            <w:pPr>
              <w:spacing w:after="0"/>
              <w:rPr>
                <w:sz w:val="1"/>
                <w:szCs w:val="1"/>
                <w:color w:val="auto"/>
              </w:rPr>
            </w:pPr>
          </w:p>
        </w:tc>
      </w:tr>
      <w:tr>
        <w:trPr>
          <w:trHeight w:val="202"/>
        </w:trPr>
        <w:tc>
          <w:tcPr>
            <w:tcW w:w="960" w:type="dxa"/>
            <w:vAlign w:val="bottom"/>
            <w:tcBorders>
              <w:left w:val="single" w:sz="8" w:color="auto"/>
              <w:right w:val="single" w:sz="8" w:color="auto"/>
            </w:tcBorders>
          </w:tcPr>
          <w:p>
            <w:pPr>
              <w:spacing w:after="0"/>
              <w:rPr>
                <w:sz w:val="17"/>
                <w:szCs w:val="17"/>
                <w:color w:val="auto"/>
              </w:rPr>
            </w:pPr>
          </w:p>
        </w:tc>
        <w:tc>
          <w:tcPr>
            <w:tcW w:w="1300" w:type="dxa"/>
            <w:vAlign w:val="bottom"/>
            <w:tcBorders>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rPr>
              <w:t>2021 Stock</w:t>
            </w:r>
          </w:p>
        </w:tc>
        <w:tc>
          <w:tcPr>
            <w:tcW w:w="800" w:type="dxa"/>
            <w:vAlign w:val="bottom"/>
            <w:tcBorders>
              <w:right w:val="single" w:sz="8" w:color="auto"/>
            </w:tcBorders>
          </w:tcPr>
          <w:p>
            <w:pPr>
              <w:spacing w:after="0"/>
              <w:rPr>
                <w:sz w:val="17"/>
                <w:szCs w:val="17"/>
                <w:color w:val="auto"/>
              </w:rPr>
            </w:pPr>
          </w:p>
        </w:tc>
        <w:tc>
          <w:tcPr>
            <w:tcW w:w="150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60" w:type="dxa"/>
            <w:vAlign w:val="bottom"/>
            <w:tcBorders>
              <w:left w:val="single" w:sz="8" w:color="auto"/>
              <w:right w:val="single" w:sz="8" w:color="auto"/>
            </w:tcBorders>
          </w:tcPr>
          <w:p>
            <w:pPr>
              <w:spacing w:after="0"/>
              <w:rPr>
                <w:sz w:val="18"/>
                <w:szCs w:val="18"/>
                <w:color w:val="auto"/>
              </w:rPr>
            </w:pP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Option and</w:t>
            </w:r>
          </w:p>
        </w:tc>
        <w:tc>
          <w:tcPr>
            <w:tcW w:w="800" w:type="dxa"/>
            <w:vAlign w:val="bottom"/>
            <w:tcBorders>
              <w:right w:val="single" w:sz="8" w:color="auto"/>
            </w:tcBorders>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960" w:type="dxa"/>
            <w:vAlign w:val="bottom"/>
            <w:tcBorders>
              <w:left w:val="single" w:sz="8" w:color="auto"/>
              <w:right w:val="single" w:sz="8" w:color="auto"/>
            </w:tcBorders>
          </w:tcPr>
          <w:p>
            <w:pPr>
              <w:spacing w:after="0"/>
              <w:rPr>
                <w:sz w:val="19"/>
                <w:szCs w:val="19"/>
                <w:color w:val="auto"/>
              </w:rPr>
            </w:pP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Incentive Plan</w:t>
            </w:r>
          </w:p>
        </w:tc>
        <w:tc>
          <w:tcPr>
            <w:tcW w:w="800" w:type="dxa"/>
            <w:vAlign w:val="bottom"/>
            <w:tcBorders>
              <w:right w:val="single" w:sz="8" w:color="auto"/>
            </w:tcBorders>
          </w:tcPr>
          <w:p>
            <w:pPr>
              <w:spacing w:after="0"/>
              <w:rPr>
                <w:sz w:val="19"/>
                <w:szCs w:val="19"/>
                <w:color w:val="auto"/>
              </w:rPr>
            </w:pPr>
          </w:p>
        </w:tc>
        <w:tc>
          <w:tcPr>
            <w:tcW w:w="1500" w:type="dxa"/>
            <w:vAlign w:val="bottom"/>
            <w:tcBorders>
              <w:right w:val="single" w:sz="8" w:color="auto"/>
            </w:tcBorders>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1080" w:type="dxa"/>
            <w:vAlign w:val="bottom"/>
            <w:tcBorders>
              <w:right w:val="single" w:sz="8" w:color="auto"/>
            </w:tcBorders>
          </w:tcPr>
          <w:p>
            <w:pPr>
              <w:spacing w:after="0"/>
              <w:rPr>
                <w:sz w:val="19"/>
                <w:szCs w:val="19"/>
                <w:color w:val="auto"/>
              </w:rPr>
            </w:pPr>
          </w:p>
        </w:tc>
        <w:tc>
          <w:tcPr>
            <w:tcW w:w="108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60" w:type="dxa"/>
            <w:vAlign w:val="bottom"/>
            <w:tcBorders>
              <w:left w:val="single" w:sz="8" w:color="auto"/>
              <w:right w:val="single" w:sz="8" w:color="auto"/>
            </w:tcBorders>
          </w:tcPr>
          <w:p>
            <w:pPr>
              <w:spacing w:after="0"/>
              <w:rPr>
                <w:sz w:val="18"/>
                <w:szCs w:val="18"/>
                <w:color w:val="auto"/>
              </w:rPr>
            </w:pP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w:t>
            </w:r>
          </w:p>
        </w:tc>
        <w:tc>
          <w:tcPr>
            <w:tcW w:w="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457(c)</w:t>
            </w:r>
          </w:p>
        </w:tc>
        <w:tc>
          <w:tcPr>
            <w:tcW w:w="150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Borders>
              <w:left w:val="single" w:sz="8" w:color="auto"/>
              <w:right w:val="single" w:sz="8" w:color="auto"/>
            </w:tcBorders>
          </w:tcPr>
          <w:p>
            <w:pPr>
              <w:spacing w:after="0"/>
              <w:rPr>
                <w:sz w:val="18"/>
                <w:szCs w:val="18"/>
                <w:color w:val="auto"/>
              </w:rPr>
            </w:pP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$0.001 par value</w:t>
            </w:r>
          </w:p>
        </w:tc>
        <w:tc>
          <w:tcPr>
            <w:tcW w:w="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and</w:t>
            </w:r>
          </w:p>
        </w:tc>
        <w:tc>
          <w:tcPr>
            <w:tcW w:w="150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960" w:type="dxa"/>
            <w:vAlign w:val="bottom"/>
            <w:tcBorders>
              <w:left w:val="single" w:sz="8" w:color="auto"/>
              <w:bottom w:val="single" w:sz="8" w:color="auto"/>
              <w:right w:val="single" w:sz="8" w:color="auto"/>
            </w:tcBorders>
          </w:tcPr>
          <w:p>
            <w:pPr>
              <w:jc w:val="center"/>
              <w:ind w:left="39"/>
              <w:spacing w:after="0"/>
              <w:rPr>
                <w:sz w:val="20"/>
                <w:szCs w:val="20"/>
                <w:color w:val="auto"/>
              </w:rPr>
            </w:pPr>
            <w:r>
              <w:rPr>
                <w:rFonts w:ascii="Times New Roman" w:cs="Times New Roman" w:eastAsia="Times New Roman" w:hAnsi="Times New Roman"/>
                <w:sz w:val="18"/>
                <w:szCs w:val="18"/>
                <w:color w:val="auto"/>
                <w:w w:val="99"/>
              </w:rPr>
              <w:t>Equity</w:t>
            </w:r>
          </w:p>
        </w:tc>
        <w:tc>
          <w:tcPr>
            <w:tcW w:w="1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per share</w:t>
            </w:r>
          </w:p>
        </w:tc>
        <w:tc>
          <w:tcPr>
            <w:tcW w:w="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457(h)(1)</w:t>
            </w:r>
          </w:p>
        </w:tc>
        <w:tc>
          <w:tcPr>
            <w:tcW w:w="1500" w:type="dxa"/>
            <w:vAlign w:val="bottom"/>
            <w:tcBorders>
              <w:bottom w:val="single" w:sz="8" w:color="auto"/>
              <w:right w:val="single" w:sz="8" w:color="auto"/>
            </w:tcBorders>
          </w:tcPr>
          <w:p>
            <w:pPr>
              <w:jc w:val="center"/>
              <w:spacing w:after="0" w:line="261" w:lineRule="exact"/>
              <w:rPr>
                <w:sz w:val="20"/>
                <w:szCs w:val="20"/>
                <w:color w:val="auto"/>
              </w:rPr>
            </w:pPr>
            <w:r>
              <w:rPr>
                <w:rFonts w:ascii="Times New Roman" w:cs="Times New Roman" w:eastAsia="Times New Roman" w:hAnsi="Times New Roman"/>
                <w:sz w:val="18"/>
                <w:szCs w:val="18"/>
                <w:color w:val="auto"/>
                <w:w w:val="95"/>
              </w:rPr>
              <w:t xml:space="preserve">5,110,138 shares </w:t>
            </w:r>
            <w:r>
              <w:rPr>
                <w:rFonts w:ascii="Times New Roman" w:cs="Times New Roman" w:eastAsia="Times New Roman" w:hAnsi="Times New Roman"/>
                <w:sz w:val="26"/>
                <w:szCs w:val="26"/>
                <w:color w:val="auto"/>
                <w:w w:val="95"/>
                <w:vertAlign w:val="superscript"/>
              </w:rPr>
              <w:t>(2)</w:t>
            </w:r>
          </w:p>
        </w:tc>
        <w:tc>
          <w:tcPr>
            <w:tcW w:w="760" w:type="dxa"/>
            <w:vAlign w:val="bottom"/>
            <w:tcBorders>
              <w:bottom w:val="single" w:sz="8" w:color="auto"/>
              <w:right w:val="single" w:sz="8" w:color="auto"/>
            </w:tcBorders>
          </w:tcPr>
          <w:p>
            <w:pPr>
              <w:jc w:val="center"/>
              <w:spacing w:after="0" w:line="261" w:lineRule="exact"/>
              <w:rPr>
                <w:sz w:val="20"/>
                <w:szCs w:val="20"/>
                <w:color w:val="auto"/>
              </w:rPr>
            </w:pPr>
            <w:r>
              <w:rPr>
                <w:rFonts w:ascii="Times New Roman" w:cs="Times New Roman" w:eastAsia="Times New Roman" w:hAnsi="Times New Roman"/>
                <w:sz w:val="18"/>
                <w:szCs w:val="18"/>
                <w:color w:val="auto"/>
                <w:w w:val="91"/>
              </w:rPr>
              <w:t xml:space="preserve">$9.12 </w:t>
            </w:r>
            <w:r>
              <w:rPr>
                <w:rFonts w:ascii="Times New Roman" w:cs="Times New Roman" w:eastAsia="Times New Roman" w:hAnsi="Times New Roman"/>
                <w:sz w:val="26"/>
                <w:szCs w:val="26"/>
                <w:color w:val="auto"/>
                <w:w w:val="91"/>
                <w:vertAlign w:val="superscript"/>
              </w:rPr>
              <w:t>(3)</w:t>
            </w:r>
          </w:p>
        </w:tc>
        <w:tc>
          <w:tcPr>
            <w:tcW w:w="1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$46,604,458</w:t>
            </w:r>
          </w:p>
        </w:tc>
        <w:tc>
          <w:tcPr>
            <w:tcW w:w="1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$0.00014760</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$6,878.82</w:t>
            </w:r>
          </w:p>
        </w:tc>
        <w:tc>
          <w:tcPr>
            <w:tcW w:w="0" w:type="dxa"/>
            <w:vAlign w:val="bottom"/>
          </w:tcPr>
          <w:p>
            <w:pPr>
              <w:spacing w:after="0"/>
              <w:rPr>
                <w:sz w:val="1"/>
                <w:szCs w:val="1"/>
                <w:color w:val="auto"/>
              </w:rPr>
            </w:pPr>
          </w:p>
        </w:tc>
      </w:tr>
      <w:tr>
        <w:trPr>
          <w:trHeight w:val="201"/>
        </w:trPr>
        <w:tc>
          <w:tcPr>
            <w:tcW w:w="960" w:type="dxa"/>
            <w:vAlign w:val="bottom"/>
            <w:tcBorders>
              <w:left w:val="single" w:sz="8" w:color="auto"/>
              <w:right w:val="single" w:sz="8" w:color="auto"/>
            </w:tcBorders>
          </w:tcPr>
          <w:p>
            <w:pPr>
              <w:spacing w:after="0"/>
              <w:rPr>
                <w:sz w:val="17"/>
                <w:szCs w:val="17"/>
                <w:color w:val="auto"/>
              </w:rPr>
            </w:pPr>
          </w:p>
        </w:tc>
        <w:tc>
          <w:tcPr>
            <w:tcW w:w="1300" w:type="dxa"/>
            <w:vAlign w:val="bottom"/>
            <w:tcBorders>
              <w:right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9"/>
              </w:rPr>
              <w:t>2021 Employee</w:t>
            </w:r>
          </w:p>
        </w:tc>
        <w:tc>
          <w:tcPr>
            <w:tcW w:w="800" w:type="dxa"/>
            <w:vAlign w:val="bottom"/>
            <w:tcBorders>
              <w:right w:val="single" w:sz="8" w:color="auto"/>
            </w:tcBorders>
          </w:tcPr>
          <w:p>
            <w:pPr>
              <w:spacing w:after="0"/>
              <w:rPr>
                <w:sz w:val="17"/>
                <w:szCs w:val="17"/>
                <w:color w:val="auto"/>
              </w:rPr>
            </w:pPr>
          </w:p>
        </w:tc>
        <w:tc>
          <w:tcPr>
            <w:tcW w:w="150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60" w:type="dxa"/>
            <w:vAlign w:val="bottom"/>
            <w:tcBorders>
              <w:left w:val="single" w:sz="8" w:color="auto"/>
              <w:right w:val="single" w:sz="8" w:color="auto"/>
            </w:tcBorders>
          </w:tcPr>
          <w:p>
            <w:pPr>
              <w:spacing w:after="0"/>
              <w:rPr>
                <w:sz w:val="18"/>
                <w:szCs w:val="18"/>
                <w:color w:val="auto"/>
              </w:rPr>
            </w:pP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Stock Purchase</w:t>
            </w:r>
          </w:p>
        </w:tc>
        <w:tc>
          <w:tcPr>
            <w:tcW w:w="800" w:type="dxa"/>
            <w:vAlign w:val="bottom"/>
            <w:tcBorders>
              <w:right w:val="single" w:sz="8" w:color="auto"/>
            </w:tcBorders>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960" w:type="dxa"/>
            <w:vAlign w:val="bottom"/>
            <w:tcBorders>
              <w:left w:val="single" w:sz="8" w:color="auto"/>
              <w:right w:val="single" w:sz="8" w:color="auto"/>
            </w:tcBorders>
          </w:tcPr>
          <w:p>
            <w:pPr>
              <w:spacing w:after="0"/>
              <w:rPr>
                <w:sz w:val="19"/>
                <w:szCs w:val="19"/>
                <w:color w:val="auto"/>
              </w:rPr>
            </w:pP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Plan</w:t>
            </w:r>
          </w:p>
        </w:tc>
        <w:tc>
          <w:tcPr>
            <w:tcW w:w="800" w:type="dxa"/>
            <w:vAlign w:val="bottom"/>
            <w:tcBorders>
              <w:right w:val="single" w:sz="8" w:color="auto"/>
            </w:tcBorders>
          </w:tcPr>
          <w:p>
            <w:pPr>
              <w:spacing w:after="0"/>
              <w:rPr>
                <w:sz w:val="19"/>
                <w:szCs w:val="19"/>
                <w:color w:val="auto"/>
              </w:rPr>
            </w:pPr>
          </w:p>
        </w:tc>
        <w:tc>
          <w:tcPr>
            <w:tcW w:w="1500" w:type="dxa"/>
            <w:vAlign w:val="bottom"/>
            <w:tcBorders>
              <w:right w:val="single" w:sz="8" w:color="auto"/>
            </w:tcBorders>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1080" w:type="dxa"/>
            <w:vAlign w:val="bottom"/>
            <w:tcBorders>
              <w:right w:val="single" w:sz="8" w:color="auto"/>
            </w:tcBorders>
          </w:tcPr>
          <w:p>
            <w:pPr>
              <w:spacing w:after="0"/>
              <w:rPr>
                <w:sz w:val="19"/>
                <w:szCs w:val="19"/>
                <w:color w:val="auto"/>
              </w:rPr>
            </w:pPr>
          </w:p>
        </w:tc>
        <w:tc>
          <w:tcPr>
            <w:tcW w:w="108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60" w:type="dxa"/>
            <w:vAlign w:val="bottom"/>
            <w:tcBorders>
              <w:left w:val="single" w:sz="8" w:color="auto"/>
              <w:right w:val="single" w:sz="8" w:color="auto"/>
            </w:tcBorders>
          </w:tcPr>
          <w:p>
            <w:pPr>
              <w:spacing w:after="0"/>
              <w:rPr>
                <w:sz w:val="18"/>
                <w:szCs w:val="18"/>
                <w:color w:val="auto"/>
              </w:rPr>
            </w:pP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w:t>
            </w:r>
          </w:p>
        </w:tc>
        <w:tc>
          <w:tcPr>
            <w:tcW w:w="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457(c)</w:t>
            </w:r>
          </w:p>
        </w:tc>
        <w:tc>
          <w:tcPr>
            <w:tcW w:w="150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Borders>
              <w:left w:val="single" w:sz="8" w:color="auto"/>
              <w:right w:val="single" w:sz="8" w:color="auto"/>
            </w:tcBorders>
          </w:tcPr>
          <w:p>
            <w:pPr>
              <w:spacing w:after="0"/>
              <w:rPr>
                <w:sz w:val="18"/>
                <w:szCs w:val="18"/>
                <w:color w:val="auto"/>
              </w:rPr>
            </w:pP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$0.001 par value</w:t>
            </w:r>
          </w:p>
        </w:tc>
        <w:tc>
          <w:tcPr>
            <w:tcW w:w="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and</w:t>
            </w:r>
          </w:p>
        </w:tc>
        <w:tc>
          <w:tcPr>
            <w:tcW w:w="150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960" w:type="dxa"/>
            <w:vAlign w:val="bottom"/>
            <w:tcBorders>
              <w:left w:val="single" w:sz="8" w:color="auto"/>
              <w:bottom w:val="single" w:sz="8" w:color="auto"/>
              <w:right w:val="single" w:sz="8" w:color="auto"/>
            </w:tcBorders>
          </w:tcPr>
          <w:p>
            <w:pPr>
              <w:jc w:val="center"/>
              <w:ind w:left="39"/>
              <w:spacing w:after="0"/>
              <w:rPr>
                <w:sz w:val="20"/>
                <w:szCs w:val="20"/>
                <w:color w:val="auto"/>
              </w:rPr>
            </w:pPr>
            <w:r>
              <w:rPr>
                <w:rFonts w:ascii="Times New Roman" w:cs="Times New Roman" w:eastAsia="Times New Roman" w:hAnsi="Times New Roman"/>
                <w:sz w:val="18"/>
                <w:szCs w:val="18"/>
                <w:color w:val="auto"/>
                <w:w w:val="99"/>
              </w:rPr>
              <w:t>Equity</w:t>
            </w:r>
          </w:p>
        </w:tc>
        <w:tc>
          <w:tcPr>
            <w:tcW w:w="1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per share</w:t>
            </w:r>
          </w:p>
        </w:tc>
        <w:tc>
          <w:tcPr>
            <w:tcW w:w="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457(h)(1)</w:t>
            </w:r>
          </w:p>
        </w:tc>
        <w:tc>
          <w:tcPr>
            <w:tcW w:w="1500" w:type="dxa"/>
            <w:vAlign w:val="bottom"/>
            <w:tcBorders>
              <w:bottom w:val="single" w:sz="8" w:color="auto"/>
              <w:right w:val="single" w:sz="8" w:color="auto"/>
            </w:tcBorders>
          </w:tcPr>
          <w:p>
            <w:pPr>
              <w:jc w:val="center"/>
              <w:spacing w:after="0" w:line="261" w:lineRule="exact"/>
              <w:rPr>
                <w:sz w:val="20"/>
                <w:szCs w:val="20"/>
                <w:color w:val="auto"/>
              </w:rPr>
            </w:pPr>
            <w:r>
              <w:rPr>
                <w:rFonts w:ascii="Times New Roman" w:cs="Times New Roman" w:eastAsia="Times New Roman" w:hAnsi="Times New Roman"/>
                <w:sz w:val="18"/>
                <w:szCs w:val="18"/>
                <w:color w:val="auto"/>
                <w:w w:val="96"/>
              </w:rPr>
              <w:t xml:space="preserve">949,873 shares </w:t>
            </w:r>
            <w:r>
              <w:rPr>
                <w:rFonts w:ascii="Times New Roman" w:cs="Times New Roman" w:eastAsia="Times New Roman" w:hAnsi="Times New Roman"/>
                <w:sz w:val="26"/>
                <w:szCs w:val="26"/>
                <w:color w:val="auto"/>
                <w:w w:val="96"/>
                <w:vertAlign w:val="superscript"/>
              </w:rPr>
              <w:t>(4)</w:t>
            </w:r>
          </w:p>
        </w:tc>
        <w:tc>
          <w:tcPr>
            <w:tcW w:w="760" w:type="dxa"/>
            <w:vAlign w:val="bottom"/>
            <w:tcBorders>
              <w:bottom w:val="single" w:sz="8" w:color="auto"/>
              <w:right w:val="single" w:sz="8" w:color="auto"/>
            </w:tcBorders>
          </w:tcPr>
          <w:p>
            <w:pPr>
              <w:jc w:val="center"/>
              <w:spacing w:after="0" w:line="261" w:lineRule="exact"/>
              <w:rPr>
                <w:sz w:val="20"/>
                <w:szCs w:val="20"/>
                <w:color w:val="auto"/>
              </w:rPr>
            </w:pPr>
            <w:r>
              <w:rPr>
                <w:rFonts w:ascii="Times New Roman" w:cs="Times New Roman" w:eastAsia="Times New Roman" w:hAnsi="Times New Roman"/>
                <w:sz w:val="18"/>
                <w:szCs w:val="18"/>
                <w:color w:val="auto"/>
                <w:w w:val="91"/>
              </w:rPr>
              <w:t xml:space="preserve">$7.76 </w:t>
            </w:r>
            <w:r>
              <w:rPr>
                <w:rFonts w:ascii="Times New Roman" w:cs="Times New Roman" w:eastAsia="Times New Roman" w:hAnsi="Times New Roman"/>
                <w:sz w:val="26"/>
                <w:szCs w:val="26"/>
                <w:color w:val="auto"/>
                <w:w w:val="91"/>
                <w:vertAlign w:val="superscript"/>
              </w:rPr>
              <w:t>(5)</w:t>
            </w:r>
          </w:p>
        </w:tc>
        <w:tc>
          <w:tcPr>
            <w:tcW w:w="1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$7,371,014</w:t>
            </w:r>
          </w:p>
        </w:tc>
        <w:tc>
          <w:tcPr>
            <w:tcW w:w="1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$0.00014760</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$1,087.96</w:t>
            </w:r>
          </w:p>
        </w:tc>
        <w:tc>
          <w:tcPr>
            <w:tcW w:w="0" w:type="dxa"/>
            <w:vAlign w:val="bottom"/>
          </w:tcPr>
          <w:p>
            <w:pPr>
              <w:spacing w:after="0"/>
              <w:rPr>
                <w:sz w:val="1"/>
                <w:szCs w:val="1"/>
                <w:color w:val="auto"/>
              </w:rPr>
            </w:pPr>
          </w:p>
        </w:tc>
      </w:tr>
      <w:tr>
        <w:trPr>
          <w:trHeight w:val="232"/>
        </w:trPr>
        <w:tc>
          <w:tcPr>
            <w:tcW w:w="960" w:type="dxa"/>
            <w:vAlign w:val="bottom"/>
            <w:tcBorders>
              <w:left w:val="single" w:sz="8" w:color="auto"/>
              <w:bottom w:val="single" w:sz="8" w:color="auto"/>
            </w:tcBorders>
          </w:tcPr>
          <w:p>
            <w:pPr>
              <w:spacing w:after="0"/>
              <w:rPr>
                <w:sz w:val="20"/>
                <w:szCs w:val="20"/>
                <w:color w:val="auto"/>
              </w:rPr>
            </w:pPr>
          </w:p>
        </w:tc>
        <w:tc>
          <w:tcPr>
            <w:tcW w:w="3600" w:type="dxa"/>
            <w:vAlign w:val="bottom"/>
            <w:tcBorders>
              <w:bottom w:val="single" w:sz="8" w:color="auto"/>
              <w:right w:val="single" w:sz="8" w:color="auto"/>
            </w:tcBorders>
            <w:gridSpan w:val="3"/>
          </w:tcPr>
          <w:p>
            <w:pPr>
              <w:jc w:val="center"/>
              <w:ind w:right="744"/>
              <w:spacing w:after="0"/>
              <w:rPr>
                <w:sz w:val="20"/>
                <w:szCs w:val="20"/>
                <w:color w:val="auto"/>
              </w:rPr>
            </w:pPr>
            <w:r>
              <w:rPr>
                <w:rFonts w:ascii="Times New Roman" w:cs="Times New Roman" w:eastAsia="Times New Roman" w:hAnsi="Times New Roman"/>
                <w:sz w:val="18"/>
                <w:szCs w:val="18"/>
                <w:color w:val="auto"/>
                <w:w w:val="99"/>
              </w:rPr>
              <w:t>Total Offering Amounts</w:t>
            </w:r>
          </w:p>
        </w:tc>
        <w:tc>
          <w:tcPr>
            <w:tcW w:w="76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$53,975,473</w:t>
            </w:r>
          </w:p>
        </w:tc>
        <w:tc>
          <w:tcPr>
            <w:tcW w:w="108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$7,966.78</w:t>
            </w:r>
          </w:p>
        </w:tc>
        <w:tc>
          <w:tcPr>
            <w:tcW w:w="0" w:type="dxa"/>
            <w:vAlign w:val="bottom"/>
          </w:tcPr>
          <w:p>
            <w:pPr>
              <w:spacing w:after="0"/>
              <w:rPr>
                <w:sz w:val="1"/>
                <w:szCs w:val="1"/>
                <w:color w:val="auto"/>
              </w:rPr>
            </w:pPr>
          </w:p>
        </w:tc>
      </w:tr>
      <w:tr>
        <w:trPr>
          <w:trHeight w:val="237"/>
        </w:trPr>
        <w:tc>
          <w:tcPr>
            <w:tcW w:w="960" w:type="dxa"/>
            <w:vAlign w:val="bottom"/>
            <w:tcBorders>
              <w:left w:val="single" w:sz="8" w:color="auto"/>
              <w:bottom w:val="single" w:sz="8" w:color="auto"/>
            </w:tcBorders>
          </w:tcPr>
          <w:p>
            <w:pPr>
              <w:spacing w:after="0"/>
              <w:rPr>
                <w:sz w:val="20"/>
                <w:szCs w:val="20"/>
                <w:color w:val="auto"/>
              </w:rPr>
            </w:pPr>
          </w:p>
        </w:tc>
        <w:tc>
          <w:tcPr>
            <w:tcW w:w="2100" w:type="dxa"/>
            <w:vAlign w:val="bottom"/>
            <w:tcBorders>
              <w:bottom w:val="single" w:sz="8" w:color="auto"/>
            </w:tcBorders>
            <w:gridSpan w:val="2"/>
          </w:tcPr>
          <w:p>
            <w:pPr>
              <w:jc w:val="center"/>
              <w:ind w:left="595"/>
              <w:spacing w:after="0"/>
              <w:rPr>
                <w:sz w:val="20"/>
                <w:szCs w:val="20"/>
                <w:color w:val="auto"/>
              </w:rPr>
            </w:pPr>
            <w:r>
              <w:rPr>
                <w:rFonts w:ascii="Times New Roman" w:cs="Times New Roman" w:eastAsia="Times New Roman" w:hAnsi="Times New Roman"/>
                <w:sz w:val="18"/>
                <w:szCs w:val="18"/>
                <w:color w:val="auto"/>
                <w:w w:val="97"/>
              </w:rPr>
              <w:t>Total Fee Offsets</w:t>
            </w:r>
          </w:p>
        </w:tc>
        <w:tc>
          <w:tcPr>
            <w:tcW w:w="1500" w:type="dxa"/>
            <w:vAlign w:val="bottom"/>
            <w:tcBorders>
              <w:bottom w:val="single" w:sz="8" w:color="auto"/>
              <w:right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0" w:type="dxa"/>
            <w:vAlign w:val="bottom"/>
          </w:tcPr>
          <w:p>
            <w:pPr>
              <w:spacing w:after="0"/>
              <w:rPr>
                <w:sz w:val="1"/>
                <w:szCs w:val="1"/>
                <w:color w:val="auto"/>
              </w:rPr>
            </w:pPr>
          </w:p>
        </w:tc>
      </w:tr>
      <w:tr>
        <w:trPr>
          <w:trHeight w:val="236"/>
        </w:trPr>
        <w:tc>
          <w:tcPr>
            <w:tcW w:w="960" w:type="dxa"/>
            <w:vAlign w:val="bottom"/>
            <w:tcBorders>
              <w:left w:val="single" w:sz="8" w:color="auto"/>
              <w:bottom w:val="single" w:sz="8" w:color="auto"/>
            </w:tcBorders>
          </w:tcPr>
          <w:p>
            <w:pPr>
              <w:spacing w:after="0"/>
              <w:rPr>
                <w:sz w:val="20"/>
                <w:szCs w:val="20"/>
                <w:color w:val="auto"/>
              </w:rPr>
            </w:pPr>
          </w:p>
        </w:tc>
        <w:tc>
          <w:tcPr>
            <w:tcW w:w="2100" w:type="dxa"/>
            <w:vAlign w:val="bottom"/>
            <w:tcBorders>
              <w:bottom w:val="single" w:sz="8" w:color="auto"/>
            </w:tcBorders>
            <w:gridSpan w:val="2"/>
          </w:tcPr>
          <w:p>
            <w:pPr>
              <w:jc w:val="center"/>
              <w:ind w:left="595"/>
              <w:spacing w:after="0"/>
              <w:rPr>
                <w:sz w:val="20"/>
                <w:szCs w:val="20"/>
                <w:color w:val="auto"/>
              </w:rPr>
            </w:pPr>
            <w:r>
              <w:rPr>
                <w:rFonts w:ascii="Times New Roman" w:cs="Times New Roman" w:eastAsia="Times New Roman" w:hAnsi="Times New Roman"/>
                <w:sz w:val="18"/>
                <w:szCs w:val="18"/>
                <w:color w:val="auto"/>
                <w:w w:val="98"/>
              </w:rPr>
              <w:t>Net Fee Due</w:t>
            </w:r>
          </w:p>
        </w:tc>
        <w:tc>
          <w:tcPr>
            <w:tcW w:w="1500" w:type="dxa"/>
            <w:vAlign w:val="bottom"/>
            <w:tcBorders>
              <w:bottom w:val="single" w:sz="8" w:color="auto"/>
              <w:right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$7,966.78</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24" w:right="380" w:hanging="424"/>
        <w:spacing w:after="0" w:line="276" w:lineRule="auto"/>
        <w:tabs>
          <w:tab w:leader="none" w:pos="424"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Pursuant to Rule 416 under the Securities Act of 1933, as amended (the “Securities Act”), this registration statement shall also cover any additional shares of common stock, $0.001 par value per share (“Common Stock”) which become issuable under the Tango Therapeutics, Inc.</w:t>
      </w:r>
    </w:p>
    <w:p>
      <w:pPr>
        <w:ind w:left="424" w:right="140"/>
        <w:spacing w:after="0" w:line="25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2021 Stock Option and Incentive Plan (the “2021 Plan”) or the Tango Therapeutics, Inc. 2021 Employee Stock Purchase Plan (the “2021 ESPP”) by reason of any stock dividend, stock split, recapitalization or any other similar transaction effected without the receipt of consideration which results in an increase in the number of the Registrant’s outstanding shares of Common Stock. Pursuant to Rule 416(c) under the Securities Act, this Registration Statement shall also cover an indeterminate amount of interests to be offered or sold pursuant to the employee benefit plans described herein.</w:t>
      </w:r>
    </w:p>
    <w:p>
      <w:pPr>
        <w:spacing w:after="0" w:line="1" w:lineRule="exact"/>
        <w:rPr>
          <w:rFonts w:ascii="Times New Roman" w:cs="Times New Roman" w:eastAsia="Times New Roman" w:hAnsi="Times New Roman"/>
          <w:sz w:val="17"/>
          <w:szCs w:val="17"/>
          <w:color w:val="auto"/>
        </w:rPr>
      </w:pPr>
    </w:p>
    <w:p>
      <w:pPr>
        <w:ind w:left="424" w:right="60" w:hanging="424"/>
        <w:spacing w:after="0" w:line="250" w:lineRule="auto"/>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 automatic increase of 5,110,138 shares of common stock to the number of shares available for issuance under the 2021 Plan effective as of January 1, 2024. Shares available for issuance under the 2021 Plan were previously registered on Form S-8 filed with the Securities and Exchange Commission on October 14, 2021 (File No. 333-260258), March 28, 2022 (File No. 333-263893) and February 7, 2023</w:t>
      </w:r>
    </w:p>
    <w:p>
      <w:pPr>
        <w:spacing w:after="0" w:line="1" w:lineRule="exact"/>
        <w:rPr>
          <w:rFonts w:ascii="Times New Roman" w:cs="Times New Roman" w:eastAsia="Times New Roman" w:hAnsi="Times New Roman"/>
          <w:sz w:val="18"/>
          <w:szCs w:val="18"/>
          <w:color w:val="auto"/>
        </w:rPr>
      </w:pPr>
    </w:p>
    <w:p>
      <w:pPr>
        <w:ind w:left="4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No. 333-269620).</w:t>
      </w:r>
    </w:p>
    <w:p>
      <w:pPr>
        <w:spacing w:after="0" w:line="9" w:lineRule="exact"/>
        <w:rPr>
          <w:rFonts w:ascii="Times New Roman" w:cs="Times New Roman" w:eastAsia="Times New Roman" w:hAnsi="Times New Roman"/>
          <w:sz w:val="18"/>
          <w:szCs w:val="18"/>
          <w:color w:val="auto"/>
        </w:rPr>
      </w:pPr>
    </w:p>
    <w:p>
      <w:pPr>
        <w:ind w:left="424" w:right="20" w:hanging="424"/>
        <w:spacing w:after="0" w:line="250" w:lineRule="auto"/>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solely for the purpose of calculating the registration fee pursuant to Rule 457(c) and (h)(1) of the Securities Act, and based on $9.12, the average of the high and low sale prices of the Registrant’s common stock as reported on the Nasdaq Global Market on March 15, 2024.</w:t>
      </w:r>
    </w:p>
    <w:p>
      <w:pPr>
        <w:ind w:left="424" w:right="180" w:hanging="424"/>
        <w:spacing w:after="0" w:line="250" w:lineRule="auto"/>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 automatic increase of 949,873 shares of common stock to the number of shares available for issuance under the 2021 ESPP effective as of January 1, 2024. Shares available for issuance under the 2021 ESPP were previously registered on Form S-8 filed with the Securities and Exchange Commission on October 14, 2021 (File No. 333-260258), March 28, 2022 (File No. 333-263893) and February 7, 2023 (File No. 333-269620).</w:t>
      </w:r>
    </w:p>
    <w:p>
      <w:pPr>
        <w:spacing w:after="0" w:line="1" w:lineRule="exact"/>
        <w:rPr>
          <w:rFonts w:ascii="Times New Roman" w:cs="Times New Roman" w:eastAsia="Times New Roman" w:hAnsi="Times New Roman"/>
          <w:sz w:val="18"/>
          <w:szCs w:val="18"/>
          <w:color w:val="auto"/>
        </w:rPr>
      </w:pPr>
    </w:p>
    <w:p>
      <w:pPr>
        <w:ind w:left="424" w:right="100" w:hanging="424"/>
        <w:spacing w:after="0" w:line="253" w:lineRule="auto"/>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solely for the purpose of calculating the registration fee pursuant to Rule 457(c) and (h)(1) of the Securities Act, and based on 85% of $9.12, the average of the high and low sale prices of the Registrant’s common stock as reported on the Nasdaq Global Market on March 15, 2024. Pursuant to the 2021 ESPP, the purchase price of the shares of common stock reserved for issuance thereunder will be at a maximum discount of 15% of the fair market value of a share of common stock on the first trading day of the applicable offering period or on the last trading day of the applicable offering period, whichever is less.</w:t>
      </w:r>
    </w:p>
    <w:sectPr>
      <w:pgSz w:w="11900" w:h="16838" w:orient="portrait"/>
      <w:cols w:equalWidth="0" w:num="1">
        <w:col w:w="11024"/>
      </w:cols>
      <w:pgMar w:left="436"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7" Type="http://schemas.openxmlformats.org/officeDocument/2006/relationships/image" Target="media/image12.png"/><Relationship Id="rId28" Type="http://schemas.openxmlformats.org/officeDocument/2006/relationships/image" Target="media/image13.png"/><Relationship Id="rId29" Type="http://schemas.openxmlformats.org/officeDocument/2006/relationships/image" Target="media/image14.png"/><Relationship Id="rId30" Type="http://schemas.openxmlformats.org/officeDocument/2006/relationships/image" Target="media/image15.jpeg"/><Relationship Id="rId19" Type="http://schemas.openxmlformats.org/officeDocument/2006/relationships/hyperlink" Target="http://www.sec.gov/Archives/edgar/data/1819133/000119312523026914/d644136ds8.htm" TargetMode="External"/><Relationship Id="rId20" Type="http://schemas.openxmlformats.org/officeDocument/2006/relationships/hyperlink" Target="http://www.sec.gov/Archives/edgar/data/1819133/000119312521269987/d118907dex31.htm" TargetMode="External"/><Relationship Id="rId21" Type="http://schemas.openxmlformats.org/officeDocument/2006/relationships/hyperlink" Target="http://www.sec.gov/Archives/edgar/data/1819133/000119312521298942/d211731dex42.htm" TargetMode="External"/><Relationship Id="rId22" Type="http://schemas.openxmlformats.org/officeDocument/2006/relationships/hyperlink" Target="http://www.sec.gov/Archives/edgar/data/1819133/000121390021037131/ea144230ex4-5_bctgacq.htm" TargetMode="External"/><Relationship Id="rId23" Type="http://schemas.openxmlformats.org/officeDocument/2006/relationships/hyperlink" Target="http://www.sec.gov/Archives/edgar/data/1819133/000095017022004721/tngx-ex4_2.htm" TargetMode="External"/><Relationship Id="rId24" Type="http://schemas.openxmlformats.org/officeDocument/2006/relationships/hyperlink" Target="http://www.sec.gov/Archives/edgar/data/1819133/000119312521246234/d203347dex104.htm" TargetMode="External"/><Relationship Id="rId25" Type="http://schemas.openxmlformats.org/officeDocument/2006/relationships/hyperlink" Target="http://www.sec.gov/Archives/edgar/data/1819133/000119312521246234/d203347dex105.htm" TargetMode="External"/><Relationship Id="rId26" Type="http://schemas.openxmlformats.org/officeDocument/2006/relationships/hyperlink" Target="http://www.sec.gov/Archives/edgar/data/1819133/000119312521246234/d203347dex10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2024-03-18T07:31:20Z</dcterms:created>
  <dcterms:modified xsi:type="dcterms:W3CDTF">2024-03-18T07:31:20Z</dcterms:modified>
</cp:coreProperties>
</file>