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38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38035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Crystal Adam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440"/>
        <w:spacing w:after="0" w:line="327" w:lineRule="auto"/>
        <w:rPr>
          <w:sz w:val="20"/>
          <w:szCs w:val="20"/>
          <w:color w:val="auto"/>
        </w:rPr>
      </w:pPr>
      <w:r>
        <w:rPr>
          <w:rFonts w:ascii="Times New Roman" w:cs="Times New Roman" w:eastAsia="Times New Roman" w:hAnsi="Times New Roman"/>
          <w:sz w:val="16"/>
          <w:szCs w:val="16"/>
          <w:color w:val="0000FF"/>
        </w:rPr>
        <w:t>C/O TANGO THERAPEUTICS, INC., 201 BROOKLINE AVE., SUITE 901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Tango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TNGX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7"/>
          <w:szCs w:val="17"/>
          <w:color w:val="0000FF"/>
        </w:rPr>
        <w:t>President, R&amp;D</w:t>
      </w:r>
    </w:p>
    <w:p>
      <w:pPr>
        <w:spacing w:after="0" w:line="43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560" w:type="dxa"/>
            <w:vAlign w:val="bottom"/>
            <w:gridSpan w:val="6"/>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760" w:type="dxa"/>
            <w:vAlign w:val="bottom"/>
            <w:gridSpan w:val="10"/>
          </w:tcPr>
          <w:p>
            <w:pPr>
              <w:ind w:left="42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02215</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06/01/2026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27,000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53"/>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5.2</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142,743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06/01/2026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6,140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22.252</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136,603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06/01/2026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20,860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23.0558</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115,743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16"/>
                <w:szCs w:val="16"/>
                <w:color w:val="auto"/>
              </w:rPr>
            </w:pPr>
          </w:p>
        </w:tc>
        <w:tc>
          <w:tcPr>
            <w:tcW w:w="44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27,000</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03/01/2033</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27,000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94"/>
              </w:rPr>
              <w:t>341,040</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were effected by the Reporting Person pursuant to a Rule 10b5-1 trading plan adopted on October 27, 2025.</w:t>
      </w:r>
    </w:p>
    <w:p>
      <w:pPr>
        <w:spacing w:after="0" w:line="43" w:lineRule="exact"/>
        <w:rPr>
          <w:rFonts w:ascii="Times New Roman" w:cs="Times New Roman" w:eastAsia="Times New Roman" w:hAnsi="Times New Roman"/>
          <w:sz w:val="13"/>
          <w:szCs w:val="13"/>
          <w:color w:val="008000"/>
        </w:rPr>
      </w:pPr>
    </w:p>
    <w:p>
      <w:pPr>
        <w:ind w:left="40" w:right="3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$21.58 to $22.57 per share. Full information regarding the number of shares sold at each price shall be provided upon request to the staff of the U.S. Securities and Exchange Commission, the Issuer, or a security holder of the Issuer.</w:t>
      </w:r>
    </w:p>
    <w:p>
      <w:pPr>
        <w:spacing w:after="0" w:line="17" w:lineRule="exact"/>
        <w:rPr>
          <w:rFonts w:ascii="Times New Roman" w:cs="Times New Roman" w:eastAsia="Times New Roman" w:hAnsi="Times New Roman"/>
          <w:sz w:val="13"/>
          <w:szCs w:val="13"/>
          <w:color w:val="008000"/>
        </w:rPr>
      </w:pPr>
    </w:p>
    <w:p>
      <w:pPr>
        <w:ind w:left="40" w:right="3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$22.60 to $23.42 per share. Full information regarding the number of shares sold at each price shall be provided upon request to the staff of the U.S. Securities and Exchange Commission, the Issuer, or a security holder of the Issuer.</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and become exercisable over a four-year period, at a rate of 25% on February 27, 2024, with the remaining option shares vesting in 36 equal monthly installments thereafter.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Julie Fogarty, as attorney-in- </w:t>
      </w:r>
      <w:r>
        <w:rPr>
          <w:rFonts w:ascii="Times New Roman" w:cs="Times New Roman" w:eastAsia="Times New Roman" w:hAnsi="Times New Roman"/>
          <w:sz w:val="33"/>
          <w:szCs w:val="33"/>
          <w:color w:val="0000FF"/>
          <w:vertAlign w:val="subscript"/>
        </w:rPr>
        <w:t>06/03/2026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500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59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5938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25445" TargetMode="External"/><Relationship Id="rId14"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2026-06-03T17:39:02Z</dcterms:created>
  <dcterms:modified xsi:type="dcterms:W3CDTF">2026-06-03T17:39:02Z</dcterms:modified>
</cp:coreProperties>
</file>