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TANGO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2"/>
          <w:szCs w:val="12"/>
          <w:b w:val="1"/>
          <w:bCs w:val="1"/>
          <w:color w:val="auto"/>
        </w:rPr>
        <w:t>001-39485</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85-1195036</w:t>
      </w:r>
    </w:p>
    <w:p>
      <w:pPr>
        <w:spacing w:after="0" w:line="13" w:lineRule="exact"/>
        <w:rPr>
          <w:sz w:val="24"/>
          <w:szCs w:val="24"/>
          <w:color w:val="auto"/>
        </w:rPr>
      </w:pPr>
    </w:p>
    <w:p>
      <w:pPr>
        <w:sectPr>
          <w:pgSz w:w="11900" w:h="16838" w:orient="portrait"/>
          <w:cols w:equalWidth="0" w:num="3">
            <w:col w:w="3600" w:space="720"/>
            <w:col w:w="1800" w:space="720"/>
            <w:col w:w="217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23"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201 Brookline Avenue</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Suite 901</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Boston, MA 02215</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857-320-4900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162560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76"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TNGX</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 Results of Operations and Financial Condition.</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On January 13, 2025, Tango Therapeutics, Inc. (the “Company”) disclosed that its cash, cash equivalents and marketable securities as of December 31, 2024 totaled $257.9 million (unaudited). The information in this Item 2.02 does not present all information necessary for an understanding of the Company’s financial condition as of December 31, 2024.</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80"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On January 13, 2025, the Company updated its corporate presentation to be used from time to time with investors, analysts and other third parties. A copy of the Company’s presentation is furnished as Exhibit 99.1 to this Current Report on Form 8-K.</w:t>
      </w:r>
    </w:p>
    <w:p>
      <w:pPr>
        <w:spacing w:after="0" w:line="122"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information disclosed under Item 2.02 and 7.01, as well as Exhibit 99.1 to the Current Report on Form 8-K,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Note Regarding Forward-Looking Statements</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This Current Report on Form 8-K contains forward-looking statements that are made pursuant to the safe harbor provisions of the Private Securities Litigation Reform Act of 1995, including the Company’s anticipated financial results and cash runway. The use of words such as “anticipate,” “believe,” “continue,” “could,” “endeavor,” “estimate,” “expect,” “anticipate,” “intend,” “may,” “might,” “plan,” “potential,” “predict,” “project,” “seek,” “should,” “target,” “will” or “would” or the negative of such words or other similar expressions can be used to identify forward-looking statements. Each forward-looking statement is subject to risks and uncertainties that could cause actual results to differ materially from those expressed or implied in such statement, including (i) the initiation, timing, progress, and cost of our research and development programs and our current and future preclinical studies and clinical trials (including combination clinical trials), enrollment and dosing in our clinical trials (including combination clinical trials), and the timing of initial and interim (and final) safety and efficacy or clinical activity data from our clinical trials may not take place in the timeframe that the Company expects; and (ii) we may be required to utilize our cash resources more quickly than we expect. These and other risks and uncertainties are described in additional detail in the section entitled “Risk Factors” in the Company’s Annual Report on Form 10-K filed March 18, 2024 and its other filings made with the SEC from time to time. Although the Company’s forward-looking statements reflect the good faith judgment of its management, these statements are based only on facts and factors currently known by the Company. As a result, you are cautioned not to rely on these forward-looking statements. Any forward-looking statement made in this Current Report on Form 8-K speaks only as of the date on which it is made. Except as required by applicable law, the Company undertakes no obligation to publicly update or revise any forward-looking statement, whether as a result of new information, future developments, or otherwise.</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 Exhibits.</w:t>
      </w:r>
    </w:p>
    <w:p>
      <w:pPr>
        <w:spacing w:after="0" w:line="173"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0"/>
          <w:szCs w:val="10"/>
          <w:color w:val="auto"/>
        </w:rPr>
        <w:t>Exhibit</w:t>
      </w:r>
      <w:r>
        <w:rPr>
          <w:sz w:val="20"/>
          <w:szCs w:val="20"/>
          <w:color w:val="auto"/>
        </w:rPr>
        <w:tab/>
      </w:r>
      <w:r>
        <w:rPr>
          <w:rFonts w:ascii="Times New Roman" w:cs="Times New Roman" w:eastAsia="Times New Roman" w:hAnsi="Times New Roman"/>
          <w:sz w:val="10"/>
          <w:szCs w:val="10"/>
          <w:color w:val="auto"/>
        </w:rPr>
        <w:t>Description</w:t>
      </w:r>
    </w:p>
    <w:p>
      <w:pPr>
        <w:spacing w:after="0" w:line="6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Presentation, dated January 13, 2025</w:t>
      </w:r>
    </w:p>
    <w:p>
      <w:pPr>
        <w:spacing w:after="0" w:line="78"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Dated: January 13, 2025</w:t>
      </w:r>
    </w:p>
    <w:p>
      <w:pPr>
        <w:spacing w:after="0" w:line="17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TANGO THERAPEUTICS, INC.</w:t>
      </w:r>
    </w:p>
    <w:p>
      <w:pPr>
        <w:spacing w:after="0" w:line="156" w:lineRule="exact"/>
        <w:rPr>
          <w:sz w:val="20"/>
          <w:szCs w:val="20"/>
          <w:color w:val="auto"/>
        </w:rPr>
      </w:pPr>
    </w:p>
    <w:p>
      <w:pPr>
        <w:ind w:left="4580"/>
        <w:spacing w:after="0"/>
        <w:tabs>
          <w:tab w:leader="none" w:pos="48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1"/>
          <w:szCs w:val="11"/>
          <w:color w:val="auto"/>
        </w:rPr>
        <w:t>   /s/ Douglas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Name: Douglas Barry</w:t>
      </w:r>
    </w:p>
    <w:p>
      <w:pPr>
        <w:spacing w:after="0" w:line="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Title: General Counsel</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2025-01-13T06:55:36Z</dcterms:created>
  <dcterms:modified xsi:type="dcterms:W3CDTF">2025-01-13T06:55:36Z</dcterms:modified>
</cp:coreProperties>
</file>