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TANGO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47-2452488</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201 Brookline Avenue</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Suite 901</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Boston, MA 02215</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857-320-4900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233045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38"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TNGX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 Amendments to Articles of Incorporation or Bylaws; Change in Fiscal Year.</w:t>
      </w:r>
    </w:p>
    <w:p>
      <w:pPr>
        <w:spacing w:after="0" w:line="121"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At the 2025 annual meeting of stockholders (the “Annual Meeting”) of Tango Therapeutics, Inc. (the “Company”), held on June 5, 2025, the stockholders of the Company approved an amendment to Company’s Second Amended and Restated Certificate of Incorporation, as amended to date, to increase the number of authorized shares of common stock from 200,000,000 to 400,000,000. The certificate of amendment of the Company’s Second Amended and Restated Certificate of Incorporation (the “Certificate of Amendment”), was filed with the Secretary of State of the State of Delaware on June 5, 2025 and became effective upon filing.</w:t>
      </w:r>
    </w:p>
    <w:p>
      <w:pPr>
        <w:spacing w:after="0" w:line="183" w:lineRule="exact"/>
        <w:rPr>
          <w:sz w:val="20"/>
          <w:szCs w:val="20"/>
          <w:color w:val="auto"/>
        </w:rPr>
      </w:pPr>
    </w:p>
    <w:p>
      <w:pPr>
        <w:ind w:left="4" w:right="880"/>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the Certificate of Amendment, which is attached as Exhibit 3.1 to this Current Report on Form 8-K and is incorporated herein by reference.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left="4" w:right="20"/>
        <w:spacing w:after="0" w:line="272" w:lineRule="auto"/>
        <w:rPr>
          <w:sz w:val="20"/>
          <w:szCs w:val="20"/>
          <w:color w:val="auto"/>
        </w:rPr>
      </w:pPr>
      <w:r>
        <w:rPr>
          <w:rFonts w:ascii="Times New Roman" w:cs="Times New Roman" w:eastAsia="Times New Roman" w:hAnsi="Times New Roman"/>
          <w:sz w:val="17"/>
          <w:szCs w:val="17"/>
          <w:color w:val="auto"/>
        </w:rPr>
        <w:t>The Annual Meeting of the Company was held in a virtual-only format on June 5, 2025 at 9:00 a.m., Eastern Time via live webcast. Proxies were solicited pursuant to the Company’s amended and restated proxy statement filed on April 24, 2025 with the Securities and Exchange Commission under Section 14(a) of the Securities Exchange Act of 1934, as amended (the “Proxy Statement”). As of April 8, 2025, the record date for the Annual Meeting, the number of shares of the Company’s common stock, $0.001 par value per share (“Common Stock”), outstanding and entitled to vote at the Annual Meeting was 108,107,890. The number of shares of Common Stock present or represented by valid proxy at the Annual Meeting was 96,845,552, representing 89.58% of the total number of shares of Common Stock entitled to vote at the Annual Meeting, thus establishing a quorum for the Annual Meeting. Shares present virtually during the Annual Meeting were considered shares of Common Stock represented in person at the Annual Meeting. Each share of Common Stock was entitled to one vote with respect to matters submitted to the Company’s stockholders at the Annual Meeting.</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 the Annual Meeting, the Company’s stockholders were asked to vote on the following matters, which are described in detail in the Proxy Statement:</w:t>
      </w:r>
    </w:p>
    <w:p>
      <w:pPr>
        <w:spacing w:after="0" w:line="27" w:lineRule="exact"/>
        <w:rPr>
          <w:sz w:val="20"/>
          <w:szCs w:val="20"/>
          <w:color w:val="auto"/>
        </w:rPr>
      </w:pPr>
    </w:p>
    <w:p>
      <w:pPr>
        <w:ind w:left="4" w:hanging="4"/>
        <w:spacing w:after="0" w:line="252" w:lineRule="auto"/>
        <w:tabs>
          <w:tab w:leader="none" w:pos="2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one Class I director nominee to the Company’s Board of Directors (the “Board”), to hold office until the 2028 annual meeting of stockholders and her successor is duly elected and qualified, or until her earlier resignation or removal (“Proposal 1”), (ii) to ratify the selection of PricewaterhouseCoopers, LLP as the Company’s independent registered public accounting firm for the fiscal year ending December 31, 2025 (“Proposal 2”); (iii) to approve an amendment to the Company’s Second Amended and Restated Certificate of Incorporation to increase the number of authorized shares of common stock from 200,000,000 to 400,000,000 (“Proposal 3”); (iv) to approve, on a non-binding, advisory basis, of the compensation of the Company’s named executive officers (“Proposal 4”); (v) to vote, on a non-binding, advisory basis, on the frequency of future non-binding, advisory votes on the compensation of the Company’s named executive officers (“Proposal 5”).</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voting results reported below are final.</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 xml:space="preserve">Proposal 1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 xml:space="preserve"> Election of Directors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Lesley Ann Calhoun was duly elected to the Company’s Board as the Class I director. The results of the election were as follows:</w:t>
      </w:r>
    </w:p>
    <w:p>
      <w:pPr>
        <w:spacing w:after="0" w:line="233"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1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1"/>
                <w:szCs w:val="11"/>
                <w:b w:val="1"/>
                <w:bCs w:val="1"/>
                <w:color w:val="auto"/>
              </w:rPr>
              <w:t>LASS</w:t>
            </w:r>
            <w:r>
              <w:rPr>
                <w:rFonts w:ascii="Times New Roman" w:cs="Times New Roman" w:eastAsia="Times New Roman" w:hAnsi="Times New Roman"/>
                <w:sz w:val="14"/>
                <w:szCs w:val="14"/>
                <w:b w:val="1"/>
                <w:bCs w:val="1"/>
                <w:color w:val="auto"/>
              </w:rPr>
              <w:t xml:space="preserve"> I D</w:t>
            </w:r>
            <w:r>
              <w:rPr>
                <w:rFonts w:ascii="Times New Roman" w:cs="Times New Roman" w:eastAsia="Times New Roman" w:hAnsi="Times New Roman"/>
                <w:sz w:val="11"/>
                <w:szCs w:val="11"/>
                <w:b w:val="1"/>
                <w:bCs w:val="1"/>
                <w:color w:val="auto"/>
              </w:rPr>
              <w:t>IRECTOR</w:t>
            </w:r>
            <w:r>
              <w:rPr>
                <w:rFonts w:ascii="Times New Roman" w:cs="Times New Roman" w:eastAsia="Times New Roman" w:hAnsi="Times New Roman"/>
                <w:sz w:val="14"/>
                <w:szCs w:val="14"/>
                <w:b w:val="1"/>
                <w:bCs w:val="1"/>
                <w:color w:val="auto"/>
              </w:rPr>
              <w:t xml:space="preserve"> N</w:t>
            </w:r>
            <w:r>
              <w:rPr>
                <w:rFonts w:ascii="Times New Roman" w:cs="Times New Roman" w:eastAsia="Times New Roman" w:hAnsi="Times New Roman"/>
                <w:sz w:val="11"/>
                <w:szCs w:val="11"/>
                <w:b w:val="1"/>
                <w:bCs w:val="1"/>
                <w:color w:val="auto"/>
              </w:rPr>
              <w:t>OMINEE</w:t>
            </w:r>
          </w:p>
        </w:tc>
        <w:tc>
          <w:tcPr>
            <w:tcW w:w="4260" w:type="dxa"/>
            <w:vAlign w:val="bottom"/>
          </w:tcPr>
          <w:p>
            <w:pPr>
              <w:spacing w:after="0"/>
              <w:rPr>
                <w:sz w:val="13"/>
                <w:szCs w:val="13"/>
                <w:color w:val="auto"/>
              </w:rPr>
            </w:pP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1"/>
                <w:szCs w:val="11"/>
                <w:b w:val="1"/>
                <w:bCs w:val="1"/>
                <w:color w:val="auto"/>
              </w:rPr>
              <w:t>OR</w:t>
            </w: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ITHHELD</w:t>
            </w: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ROKER</w:t>
            </w:r>
          </w:p>
        </w:tc>
        <w:tc>
          <w:tcPr>
            <w:tcW w:w="0" w:type="dxa"/>
            <w:vAlign w:val="bottom"/>
          </w:tcPr>
          <w:p>
            <w:pPr>
              <w:spacing w:after="0"/>
              <w:rPr>
                <w:sz w:val="1"/>
                <w:szCs w:val="1"/>
                <w:color w:val="auto"/>
              </w:rPr>
            </w:pPr>
          </w:p>
        </w:tc>
      </w:tr>
      <w:tr>
        <w:trPr>
          <w:trHeight w:val="180"/>
        </w:trPr>
        <w:tc>
          <w:tcPr>
            <w:tcW w:w="1840" w:type="dxa"/>
            <w:vAlign w:val="bottom"/>
            <w:tcBorders>
              <w:bottom w:val="single" w:sz="8" w:color="auto"/>
            </w:tcBorders>
            <w:vMerge w:val="continue"/>
          </w:tcPr>
          <w:p>
            <w:pPr>
              <w:spacing w:after="0"/>
              <w:rPr>
                <w:sz w:val="15"/>
                <w:szCs w:val="15"/>
                <w:color w:val="auto"/>
              </w:rPr>
            </w:pPr>
          </w:p>
        </w:tc>
        <w:tc>
          <w:tcPr>
            <w:tcW w:w="42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96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ON</w:t>
            </w:r>
            <w:r>
              <w:rPr>
                <w:rFonts w:ascii="Times New Roman" w:cs="Times New Roman" w:eastAsia="Times New Roman" w:hAnsi="Times New Roman"/>
                <w:sz w:val="14"/>
                <w:szCs w:val="14"/>
                <w:b w:val="1"/>
                <w:bCs w:val="1"/>
                <w:color w:val="auto"/>
              </w:rPr>
              <w:t>-V</w:t>
            </w:r>
            <w:r>
              <w:rPr>
                <w:rFonts w:ascii="Times New Roman" w:cs="Times New Roman" w:eastAsia="Times New Roman" w:hAnsi="Times New Roman"/>
                <w:sz w:val="11"/>
                <w:szCs w:val="11"/>
                <w:b w:val="1"/>
                <w:bCs w:val="1"/>
                <w:color w:val="auto"/>
              </w:rPr>
              <w:t>OTES</w:t>
            </w:r>
          </w:p>
        </w:tc>
        <w:tc>
          <w:tcPr>
            <w:tcW w:w="0" w:type="dxa"/>
            <w:vAlign w:val="bottom"/>
          </w:tcPr>
          <w:p>
            <w:pPr>
              <w:spacing w:after="0"/>
              <w:rPr>
                <w:sz w:val="1"/>
                <w:szCs w:val="1"/>
                <w:color w:val="auto"/>
              </w:rPr>
            </w:pPr>
          </w:p>
        </w:tc>
      </w:tr>
      <w:tr>
        <w:trPr>
          <w:trHeight w:val="203"/>
        </w:trPr>
        <w:tc>
          <w:tcPr>
            <w:tcW w:w="18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Lesley Ann Calhoun</w:t>
            </w:r>
          </w:p>
        </w:tc>
        <w:tc>
          <w:tcPr>
            <w:tcW w:w="4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73,142,486</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8"/>
              </w:rPr>
              <w:t>10,476,404</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6"/>
              </w:rPr>
              <w:t>13,226,662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04"/>
          </w:cols>
          <w:pgMar w:left="436"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Proposal 2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 xml:space="preserve"> Ratify the Selection of Independent Registered Public Accounting Firm</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selection of PricewaterhouseCoopers, LLP as the Company’s independent registered public accounting firm for the fiscal year ending December 31, 2025 was ratified. The results of the ratification were as follows:</w:t>
      </w:r>
    </w:p>
    <w:p>
      <w:pPr>
        <w:spacing w:after="0" w:line="170"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1"/>
                <w:szCs w:val="11"/>
                <w:b w:val="1"/>
                <w:bCs w:val="1"/>
                <w:color w:val="auto"/>
              </w:rPr>
              <w:t>OR</w:t>
            </w:r>
          </w:p>
        </w:tc>
        <w:tc>
          <w:tcPr>
            <w:tcW w:w="2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GAINST</w:t>
            </w:r>
          </w:p>
        </w:tc>
        <w:tc>
          <w:tcPr>
            <w:tcW w:w="2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BSTAIN</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ROKER</w:t>
            </w:r>
          </w:p>
        </w:tc>
        <w:tc>
          <w:tcPr>
            <w:tcW w:w="0" w:type="dxa"/>
            <w:vAlign w:val="bottom"/>
          </w:tcPr>
          <w:p>
            <w:pPr>
              <w:spacing w:after="0"/>
              <w:rPr>
                <w:sz w:val="1"/>
                <w:szCs w:val="1"/>
                <w:color w:val="auto"/>
              </w:rPr>
            </w:pPr>
          </w:p>
        </w:tc>
      </w:tr>
      <w:tr>
        <w:trPr>
          <w:trHeight w:val="187"/>
        </w:trPr>
        <w:tc>
          <w:tcPr>
            <w:tcW w:w="2240" w:type="dxa"/>
            <w:vAlign w:val="bottom"/>
            <w:gridSpan w:val="2"/>
            <w:vMerge w:val="continue"/>
          </w:tcPr>
          <w:p>
            <w:pPr>
              <w:spacing w:after="0"/>
              <w:rPr>
                <w:sz w:val="16"/>
                <w:szCs w:val="16"/>
                <w:color w:val="auto"/>
              </w:rPr>
            </w:pPr>
          </w:p>
        </w:tc>
        <w:tc>
          <w:tcPr>
            <w:tcW w:w="2180" w:type="dxa"/>
            <w:vAlign w:val="bottom"/>
            <w:gridSpan w:val="2"/>
            <w:vMerge w:val="continue"/>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ON</w:t>
            </w:r>
            <w:r>
              <w:rPr>
                <w:rFonts w:ascii="Times New Roman" w:cs="Times New Roman" w:eastAsia="Times New Roman" w:hAnsi="Times New Roman"/>
                <w:sz w:val="14"/>
                <w:szCs w:val="14"/>
                <w:b w:val="1"/>
                <w:bCs w:val="1"/>
                <w:color w:val="auto"/>
              </w:rPr>
              <w:t>-V</w:t>
            </w:r>
            <w:r>
              <w:rPr>
                <w:rFonts w:ascii="Times New Roman" w:cs="Times New Roman" w:eastAsia="Times New Roman" w:hAnsi="Times New Roman"/>
                <w:sz w:val="11"/>
                <w:szCs w:val="11"/>
                <w:b w:val="1"/>
                <w:bCs w:val="1"/>
                <w:color w:val="auto"/>
              </w:rPr>
              <w:t>OTES</w:t>
            </w:r>
          </w:p>
        </w:tc>
        <w:tc>
          <w:tcPr>
            <w:tcW w:w="0" w:type="dxa"/>
            <w:vAlign w:val="bottom"/>
          </w:tcPr>
          <w:p>
            <w:pPr>
              <w:spacing w:after="0"/>
              <w:rPr>
                <w:sz w:val="1"/>
                <w:szCs w:val="1"/>
                <w:color w:val="auto"/>
              </w:rPr>
            </w:pPr>
          </w:p>
        </w:tc>
      </w:tr>
      <w:tr>
        <w:trPr>
          <w:trHeight w:val="209"/>
        </w:trPr>
        <w:tc>
          <w:tcPr>
            <w:tcW w:w="210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96,740,238</w:t>
            </w:r>
          </w:p>
        </w:tc>
        <w:tc>
          <w:tcPr>
            <w:tcW w:w="1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61,309</w:t>
            </w:r>
          </w:p>
        </w:tc>
        <w:tc>
          <w:tcPr>
            <w:tcW w:w="8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44,005</w:t>
            </w:r>
          </w:p>
        </w:tc>
        <w:tc>
          <w:tcPr>
            <w:tcW w:w="8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xml:space="preserve">Proposal 3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 xml:space="preserve"> Approval of an Amendment to the Company’s Second Amended and Restated Certificate of Incorporation</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amendment to the Company’s Second Amended and Restated Certificate of Incorporations, as amended to date, to increase the number of authorized shares of common stock from 200,000,000 to 400,000,000 was approved. The results were as follows:</w:t>
      </w:r>
    </w:p>
    <w:p>
      <w:pPr>
        <w:spacing w:after="0" w:line="170"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1"/>
                <w:szCs w:val="11"/>
                <w:b w:val="1"/>
                <w:bCs w:val="1"/>
                <w:color w:val="auto"/>
              </w:rPr>
              <w:t>OR</w:t>
            </w:r>
          </w:p>
        </w:tc>
        <w:tc>
          <w:tcPr>
            <w:tcW w:w="2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GAINST</w:t>
            </w:r>
          </w:p>
        </w:tc>
        <w:tc>
          <w:tcPr>
            <w:tcW w:w="2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BSTAIN</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ROKER</w:t>
            </w:r>
          </w:p>
        </w:tc>
        <w:tc>
          <w:tcPr>
            <w:tcW w:w="0" w:type="dxa"/>
            <w:vAlign w:val="bottom"/>
          </w:tcPr>
          <w:p>
            <w:pPr>
              <w:spacing w:after="0"/>
              <w:rPr>
                <w:sz w:val="1"/>
                <w:szCs w:val="1"/>
                <w:color w:val="auto"/>
              </w:rPr>
            </w:pPr>
          </w:p>
        </w:tc>
      </w:tr>
      <w:tr>
        <w:trPr>
          <w:trHeight w:val="187"/>
        </w:trPr>
        <w:tc>
          <w:tcPr>
            <w:tcW w:w="2240" w:type="dxa"/>
            <w:vAlign w:val="bottom"/>
            <w:gridSpan w:val="2"/>
            <w:vMerge w:val="continue"/>
          </w:tcPr>
          <w:p>
            <w:pPr>
              <w:spacing w:after="0"/>
              <w:rPr>
                <w:sz w:val="16"/>
                <w:szCs w:val="16"/>
                <w:color w:val="auto"/>
              </w:rPr>
            </w:pPr>
          </w:p>
        </w:tc>
        <w:tc>
          <w:tcPr>
            <w:tcW w:w="2180" w:type="dxa"/>
            <w:vAlign w:val="bottom"/>
            <w:gridSpan w:val="2"/>
            <w:vMerge w:val="continue"/>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ON</w:t>
            </w:r>
            <w:r>
              <w:rPr>
                <w:rFonts w:ascii="Times New Roman" w:cs="Times New Roman" w:eastAsia="Times New Roman" w:hAnsi="Times New Roman"/>
                <w:sz w:val="14"/>
                <w:szCs w:val="14"/>
                <w:b w:val="1"/>
                <w:bCs w:val="1"/>
                <w:color w:val="auto"/>
              </w:rPr>
              <w:t>-V</w:t>
            </w:r>
            <w:r>
              <w:rPr>
                <w:rFonts w:ascii="Times New Roman" w:cs="Times New Roman" w:eastAsia="Times New Roman" w:hAnsi="Times New Roman"/>
                <w:sz w:val="11"/>
                <w:szCs w:val="11"/>
                <w:b w:val="1"/>
                <w:bCs w:val="1"/>
                <w:color w:val="auto"/>
              </w:rPr>
              <w:t>OTES</w:t>
            </w:r>
          </w:p>
        </w:tc>
        <w:tc>
          <w:tcPr>
            <w:tcW w:w="0" w:type="dxa"/>
            <w:vAlign w:val="bottom"/>
          </w:tcPr>
          <w:p>
            <w:pPr>
              <w:spacing w:after="0"/>
              <w:rPr>
                <w:sz w:val="1"/>
                <w:szCs w:val="1"/>
                <w:color w:val="auto"/>
              </w:rPr>
            </w:pPr>
          </w:p>
        </w:tc>
      </w:tr>
      <w:tr>
        <w:trPr>
          <w:trHeight w:val="210"/>
        </w:trPr>
        <w:tc>
          <w:tcPr>
            <w:tcW w:w="210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85,825,060</w:t>
            </w:r>
          </w:p>
        </w:tc>
        <w:tc>
          <w:tcPr>
            <w:tcW w:w="1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11,001,501</w:t>
            </w:r>
          </w:p>
        </w:tc>
        <w:tc>
          <w:tcPr>
            <w:tcW w:w="8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18,991</w:t>
            </w:r>
          </w:p>
        </w:tc>
        <w:tc>
          <w:tcPr>
            <w:tcW w:w="8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xml:space="preserve">Proposal 4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 xml:space="preserve"> Approval on a Non-Binding, Advisory Basis, of the Compensation of the Company’s Named Executive Officers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the non-binding, advisory vote on the compensation of the Company’s named executive officers. The results were as follows:</w:t>
      </w:r>
    </w:p>
    <w:p>
      <w:pPr>
        <w:spacing w:after="0" w:line="170"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1"/>
                <w:szCs w:val="11"/>
                <w:b w:val="1"/>
                <w:bCs w:val="1"/>
                <w:color w:val="auto"/>
              </w:rPr>
              <w:t>OR</w:t>
            </w:r>
          </w:p>
        </w:tc>
        <w:tc>
          <w:tcPr>
            <w:tcW w:w="2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GAINST</w:t>
            </w:r>
          </w:p>
        </w:tc>
        <w:tc>
          <w:tcPr>
            <w:tcW w:w="2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BSTAIN</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1"/>
                <w:szCs w:val="11"/>
                <w:b w:val="1"/>
                <w:bCs w:val="1"/>
                <w:color w:val="auto"/>
              </w:rPr>
              <w:t>ROKER</w:t>
            </w:r>
          </w:p>
        </w:tc>
        <w:tc>
          <w:tcPr>
            <w:tcW w:w="0" w:type="dxa"/>
            <w:vAlign w:val="bottom"/>
          </w:tcPr>
          <w:p>
            <w:pPr>
              <w:spacing w:after="0"/>
              <w:rPr>
                <w:sz w:val="1"/>
                <w:szCs w:val="1"/>
                <w:color w:val="auto"/>
              </w:rPr>
            </w:pPr>
          </w:p>
        </w:tc>
      </w:tr>
      <w:tr>
        <w:trPr>
          <w:trHeight w:val="187"/>
        </w:trPr>
        <w:tc>
          <w:tcPr>
            <w:tcW w:w="2240" w:type="dxa"/>
            <w:vAlign w:val="bottom"/>
            <w:gridSpan w:val="2"/>
            <w:vMerge w:val="continue"/>
          </w:tcPr>
          <w:p>
            <w:pPr>
              <w:spacing w:after="0"/>
              <w:rPr>
                <w:sz w:val="16"/>
                <w:szCs w:val="16"/>
                <w:color w:val="auto"/>
              </w:rPr>
            </w:pPr>
          </w:p>
        </w:tc>
        <w:tc>
          <w:tcPr>
            <w:tcW w:w="2180" w:type="dxa"/>
            <w:vAlign w:val="bottom"/>
            <w:gridSpan w:val="2"/>
            <w:vMerge w:val="continue"/>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ON</w:t>
            </w:r>
            <w:r>
              <w:rPr>
                <w:rFonts w:ascii="Times New Roman" w:cs="Times New Roman" w:eastAsia="Times New Roman" w:hAnsi="Times New Roman"/>
                <w:sz w:val="14"/>
                <w:szCs w:val="14"/>
                <w:b w:val="1"/>
                <w:bCs w:val="1"/>
                <w:color w:val="auto"/>
              </w:rPr>
              <w:t>-V</w:t>
            </w:r>
            <w:r>
              <w:rPr>
                <w:rFonts w:ascii="Times New Roman" w:cs="Times New Roman" w:eastAsia="Times New Roman" w:hAnsi="Times New Roman"/>
                <w:sz w:val="11"/>
                <w:szCs w:val="11"/>
                <w:b w:val="1"/>
                <w:bCs w:val="1"/>
                <w:color w:val="auto"/>
              </w:rPr>
              <w:t>OTES</w:t>
            </w:r>
          </w:p>
        </w:tc>
        <w:tc>
          <w:tcPr>
            <w:tcW w:w="0" w:type="dxa"/>
            <w:vAlign w:val="bottom"/>
          </w:tcPr>
          <w:p>
            <w:pPr>
              <w:spacing w:after="0"/>
              <w:rPr>
                <w:sz w:val="1"/>
                <w:szCs w:val="1"/>
                <w:color w:val="auto"/>
              </w:rPr>
            </w:pPr>
          </w:p>
        </w:tc>
      </w:tr>
      <w:tr>
        <w:trPr>
          <w:trHeight w:val="209"/>
        </w:trPr>
        <w:tc>
          <w:tcPr>
            <w:tcW w:w="210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63,495,351</w:t>
            </w:r>
          </w:p>
        </w:tc>
        <w:tc>
          <w:tcPr>
            <w:tcW w:w="1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20,089,177</w:t>
            </w:r>
          </w:p>
        </w:tc>
        <w:tc>
          <w:tcPr>
            <w:tcW w:w="8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34,362</w:t>
            </w:r>
          </w:p>
        </w:tc>
        <w:tc>
          <w:tcPr>
            <w:tcW w:w="8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13,226,662</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xml:space="preserve">Proposal 5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 xml:space="preserve"> Approval on a Non-Binding, Advisory Basis, of the Frequency of Future Non-Binding, Advisory Votes on Executive Compensation</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stockholders determined that future advisory votes on the compensation paid to its named executive officers would be held every year. The results of the stockholders’ non-binding, advisory vote with respect to the frequency of future non-binding advisory votes on the compensation paid to the Company’s named executive officers were as follows:</w:t>
      </w:r>
    </w:p>
    <w:p>
      <w:pPr>
        <w:spacing w:after="0" w:line="196" w:lineRule="exact"/>
        <w:rPr>
          <w:sz w:val="20"/>
          <w:szCs w:val="20"/>
          <w:color w:val="auto"/>
        </w:rPr>
      </w:pPr>
    </w:p>
    <w:tbl>
      <w:tblPr>
        <w:tblLayout w:type="fixed"/>
        <w:tblInd w:w="1100" w:type="dxa"/>
        <w:tblCellMar>
          <w:top w:w="0" w:type="dxa"/>
          <w:left w:w="0" w:type="dxa"/>
          <w:bottom w:w="0" w:type="dxa"/>
          <w:right w:w="0" w:type="dxa"/>
        </w:tblCellMar>
      </w:tblPr>
      <w:tr>
        <w:trPr>
          <w:trHeight w:val="187"/>
        </w:trPr>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NE</w:t>
            </w:r>
            <w:r>
              <w:rPr>
                <w:rFonts w:ascii="Times New Roman" w:cs="Times New Roman" w:eastAsia="Times New Roman" w:hAnsi="Times New Roman"/>
                <w:sz w:val="14"/>
                <w:szCs w:val="14"/>
                <w:b w:val="1"/>
                <w:bCs w:val="1"/>
                <w:color w:val="auto"/>
              </w:rPr>
              <w:t xml:space="preserve"> Y</w:t>
            </w:r>
            <w:r>
              <w:rPr>
                <w:rFonts w:ascii="Times New Roman" w:cs="Times New Roman" w:eastAsia="Times New Roman" w:hAnsi="Times New Roman"/>
                <w:sz w:val="11"/>
                <w:szCs w:val="11"/>
                <w:b w:val="1"/>
                <w:bCs w:val="1"/>
                <w:color w:val="auto"/>
              </w:rPr>
              <w:t>EAR</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WO</w:t>
            </w:r>
            <w:r>
              <w:rPr>
                <w:rFonts w:ascii="Times New Roman" w:cs="Times New Roman" w:eastAsia="Times New Roman" w:hAnsi="Times New Roman"/>
                <w:sz w:val="14"/>
                <w:szCs w:val="14"/>
                <w:b w:val="1"/>
                <w:bCs w:val="1"/>
                <w:color w:val="auto"/>
              </w:rPr>
              <w:t xml:space="preserve"> Y</w:t>
            </w:r>
            <w:r>
              <w:rPr>
                <w:rFonts w:ascii="Times New Roman" w:cs="Times New Roman" w:eastAsia="Times New Roman" w:hAnsi="Times New Roman"/>
                <w:sz w:val="11"/>
                <w:szCs w:val="11"/>
                <w:b w:val="1"/>
                <w:bCs w:val="1"/>
                <w:color w:val="auto"/>
              </w:rPr>
              <w:t>EARS</w:t>
            </w: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HREE</w:t>
            </w:r>
            <w:r>
              <w:rPr>
                <w:rFonts w:ascii="Times New Roman" w:cs="Times New Roman" w:eastAsia="Times New Roman" w:hAnsi="Times New Roman"/>
                <w:sz w:val="14"/>
                <w:szCs w:val="14"/>
                <w:b w:val="1"/>
                <w:bCs w:val="1"/>
                <w:color w:val="auto"/>
              </w:rPr>
              <w:t xml:space="preserve"> Y</w:t>
            </w:r>
            <w:r>
              <w:rPr>
                <w:rFonts w:ascii="Times New Roman" w:cs="Times New Roman" w:eastAsia="Times New Roman" w:hAnsi="Times New Roman"/>
                <w:sz w:val="11"/>
                <w:szCs w:val="11"/>
                <w:b w:val="1"/>
                <w:bCs w:val="1"/>
                <w:color w:val="auto"/>
              </w:rPr>
              <w:t>EARS</w:t>
            </w:r>
          </w:p>
        </w:tc>
        <w:tc>
          <w:tcPr>
            <w:tcW w:w="210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1"/>
                <w:szCs w:val="11"/>
                <w:b w:val="1"/>
                <w:bCs w:val="1"/>
                <w:color w:val="auto"/>
              </w:rPr>
              <w:t>BSTAIN</w:t>
            </w:r>
          </w:p>
        </w:tc>
      </w:tr>
      <w:tr>
        <w:trPr>
          <w:trHeight w:val="210"/>
        </w:trPr>
        <w:tc>
          <w:tcPr>
            <w:tcW w:w="210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72,992,992</w:t>
            </w:r>
          </w:p>
        </w:tc>
        <w:tc>
          <w:tcPr>
            <w:tcW w:w="1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10,589,359</w:t>
            </w:r>
          </w:p>
        </w:tc>
        <w:tc>
          <w:tcPr>
            <w:tcW w:w="8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35,547</w:t>
            </w:r>
          </w:p>
        </w:tc>
      </w:tr>
    </w:tbl>
    <w:p>
      <w:pPr>
        <w:spacing w:after="0" w:line="19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Based on these voting results, and the recommendation of the Board that was included in the Proxy Statement, the Company has determined that it will hold future advisory votes on the compensation of the Company’s named executive officers on an annual basis until the next stockholder advisory vote on the frequency of future votes on the compensation of the Company’s named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matters were submitted to or voted on by the Company’s stockholders at the Annual Meeting.</w:t>
      </w:r>
    </w:p>
    <w:p>
      <w:pPr>
        <w:sectPr>
          <w:pgSz w:w="11900" w:h="16838" w:orient="portrait"/>
          <w:cols w:equalWidth="0" w:num="1">
            <w:col w:w="10980"/>
          </w:cols>
          <w:pgMar w:left="440" w:top="293"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740" w:type="dxa"/>
            <w:vAlign w:val="bottom"/>
          </w:tcPr>
          <w:p>
            <w:pPr>
              <w:spacing w:after="0"/>
              <w:rPr>
                <w:sz w:val="23"/>
                <w:szCs w:val="23"/>
                <w:color w:val="auto"/>
              </w:rPr>
            </w:pPr>
          </w:p>
        </w:tc>
        <w:tc>
          <w:tcPr>
            <w:tcW w:w="9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Certificate of Amendment to the Second Amended and Restated Certificate of Incorporation of Tango Therapeutics, Inc.</w:t>
            </w: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4"/>
                <w:szCs w:val="24"/>
                <w:color w:val="auto"/>
              </w:rPr>
            </w:pPr>
          </w:p>
        </w:tc>
        <w:tc>
          <w:tcPr>
            <w:tcW w:w="86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900" w:type="dxa"/>
            <w:vAlign w:val="bottom"/>
          </w:tcPr>
          <w:p>
            <w:pPr>
              <w:spacing w:after="0"/>
              <w:rPr>
                <w:sz w:val="24"/>
                <w:szCs w:val="24"/>
                <w:color w:val="auto"/>
              </w:rPr>
            </w:pPr>
          </w:p>
        </w:tc>
      </w:tr>
    </w:tbl>
    <w:p>
      <w:pPr>
        <w:sectPr>
          <w:pgSz w:w="11900" w:h="16838" w:orient="portrait"/>
          <w:cols w:equalWidth="0" w:num="1">
            <w:col w:w="11020"/>
          </w:cols>
          <w:pgMar w:left="440" w:top="293" w:right="439" w:bottom="1440" w:gutter="0" w:footer="0" w:header="0"/>
        </w:sectPr>
      </w:pPr>
    </w:p>
    <w:bookmarkStart w:id="4" w:name="page5"/>
    <w:bookmarkEnd w:id="4"/>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Dated: June 6, 2025</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Douglas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Douglas Barry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10700"/>
          </w:cols>
          <w:pgMar w:left="440" w:top="293" w:right="7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242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7"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Tango Therapeutics, Inc., a corporation organized and existing under the laws of the State of Delaware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54" w:lineRule="exact"/>
        <w:rPr>
          <w:sz w:val="20"/>
          <w:szCs w:val="20"/>
          <w:color w:val="auto"/>
        </w:rPr>
      </w:pPr>
    </w:p>
    <w:p>
      <w:pPr>
        <w:ind w:right="300" w:firstLine="436"/>
        <w:spacing w:after="0" w:line="261"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was originally incorporated pursuant to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on May 21, 2020. An Amended and Restated Certificate of Incorporation was filed with the Secretary of State of the State of Delaware on September 2, 2020, as amended by the Certificate of Amendment filed with the Secretary of State of the State of Delaware on June 5, 2024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Pursuant to Section 242 of the DGCL, this Certificate of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amends certain provisions of the Charter.</w:t>
      </w:r>
    </w:p>
    <w:p>
      <w:pPr>
        <w:spacing w:after="0" w:line="179" w:lineRule="exact"/>
        <w:rPr>
          <w:rFonts w:ascii="Times New Roman" w:cs="Times New Roman" w:eastAsia="Times New Roman" w:hAnsi="Times New Roman"/>
          <w:sz w:val="18"/>
          <w:szCs w:val="18"/>
          <w:color w:val="auto"/>
        </w:rPr>
      </w:pPr>
    </w:p>
    <w:p>
      <w:pPr>
        <w:ind w:right="640" w:firstLine="436"/>
        <w:spacing w:after="0" w:line="28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has been approved and duly adopted by the Corporation’s Board of Directors and stockholders in accordance with the provisions of Section 242 of the DGCL.</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paragraph of Article IV of the Charter is hereby amended to read in its entirety as follows:</w:t>
      </w:r>
    </w:p>
    <w:p>
      <w:pPr>
        <w:spacing w:after="0" w:line="117" w:lineRule="exact"/>
        <w:rPr>
          <w:sz w:val="20"/>
          <w:szCs w:val="20"/>
          <w:color w:val="auto"/>
        </w:rPr>
      </w:pPr>
    </w:p>
    <w:p>
      <w:pPr>
        <w:ind w:left="440" w:right="120"/>
        <w:spacing w:after="0" w:line="261"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four hundred and ten million (410,000,000), of which (i) four hundred million (400,000,000) shares shall be a class designated as common stock, par value $0.001 per share (the “Common Stock”), and (ii) ten million (10,000,000) shares shall be a class designated as undesignated preferred stock, par value $0.001 per share (the “</w:t>
      </w:r>
      <w:r>
        <w:rPr>
          <w:rFonts w:ascii="Times New Roman" w:cs="Times New Roman" w:eastAsia="Times New Roman" w:hAnsi="Times New Roman"/>
          <w:sz w:val="18"/>
          <w:szCs w:val="18"/>
          <w:u w:val="single" w:color="auto"/>
          <w:color w:val="auto"/>
        </w:rPr>
        <w:t>Undesignated Preferred Stock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this Amendment, having been duly adopted in accordance with Section 242 of the DGCL, has been duly executed by a duly authorized officer of the Corporation on this 5th day of June, 2025.</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Barbara Weber, M.D.</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Barbara Weber, M.D.</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2025-06-06T15:12:10Z</dcterms:created>
  <dcterms:modified xsi:type="dcterms:W3CDTF">2025-06-06T15:12:10Z</dcterms:modified>
</cp:coreProperties>
</file>