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Boxer Capital, LLC</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700"/>
        <w:spacing w:after="0" w:line="357" w:lineRule="auto"/>
        <w:rPr>
          <w:sz w:val="20"/>
          <w:szCs w:val="20"/>
          <w:color w:val="auto"/>
        </w:rPr>
      </w:pPr>
      <w:r>
        <w:rPr>
          <w:rFonts w:ascii="Arial" w:cs="Arial" w:eastAsia="Arial" w:hAnsi="Arial"/>
          <w:sz w:val="17"/>
          <w:szCs w:val="17"/>
          <w:color w:val="0000FF"/>
        </w:rPr>
        <w:t>12860 EL CAMINO REAL SUITE 300</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SAN DIEGO</w:t>
            </w:r>
          </w:p>
        </w:tc>
        <w:tc>
          <w:tcPr>
            <w:tcW w:w="960" w:type="dxa"/>
            <w:vAlign w:val="bottom"/>
          </w:tcPr>
          <w:p>
            <w:pPr>
              <w:ind w:left="14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92130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Tango Therapeutics,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TNGX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420" w:type="dxa"/>
            <w:vAlign w:val="bottom"/>
          </w:tcPr>
          <w:p>
            <w:pPr>
              <w:spacing w:after="0"/>
              <w:rPr>
                <w:sz w:val="3"/>
                <w:szCs w:val="3"/>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2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80" w:type="dxa"/>
            <w:vAlign w:val="bottom"/>
          </w:tcPr>
          <w:p>
            <w:pPr>
              <w:spacing w:after="0"/>
              <w:rPr>
                <w:sz w:val="7"/>
                <w:szCs w:val="7"/>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7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1700" w:type="dxa"/>
            <w:vAlign w:val="bottom"/>
          </w:tcPr>
          <w:p>
            <w:pPr>
              <w:ind w:left="600"/>
              <w:spacing w:after="0" w:line="121" w:lineRule="exact"/>
              <w:rPr>
                <w:sz w:val="20"/>
                <w:szCs w:val="20"/>
                <w:color w:val="auto"/>
              </w:rPr>
            </w:pPr>
            <w:r>
              <w:rPr>
                <w:rFonts w:ascii="Arial" w:cs="Arial" w:eastAsia="Arial" w:hAnsi="Arial"/>
                <w:sz w:val="13"/>
                <w:szCs w:val="13"/>
                <w:color w:val="auto"/>
              </w:rPr>
              <w:t>below)</w:t>
            </w:r>
          </w:p>
        </w:tc>
        <w:tc>
          <w:tcPr>
            <w:tcW w:w="420" w:type="dxa"/>
            <w:vAlign w:val="bottom"/>
            <w:vMerge w:val="continue"/>
          </w:tcPr>
          <w:p>
            <w:pPr>
              <w:spacing w:after="0"/>
              <w:rPr>
                <w:sz w:val="10"/>
                <w:szCs w:val="10"/>
                <w:color w:val="auto"/>
              </w:rPr>
            </w:pPr>
          </w:p>
        </w:tc>
        <w:tc>
          <w:tcPr>
            <w:tcW w:w="1180" w:type="dxa"/>
            <w:vAlign w:val="bottom"/>
          </w:tcPr>
          <w:p>
            <w:pPr>
              <w:ind w:left="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180" w:type="dxa"/>
            <w:vAlign w:val="bottom"/>
            <w:gridSpan w:val="2"/>
          </w:tcPr>
          <w:p>
            <w:pPr>
              <w:ind w:left="80"/>
              <w:spacing w:after="0"/>
              <w:rPr>
                <w:sz w:val="20"/>
                <w:szCs w:val="20"/>
                <w:color w:val="auto"/>
              </w:rPr>
            </w:pPr>
            <w:r>
              <w:rPr>
                <w:rFonts w:ascii="Arial" w:cs="Arial" w:eastAsia="Arial" w:hAnsi="Arial"/>
                <w:sz w:val="17"/>
                <w:szCs w:val="17"/>
                <w:color w:val="0000FF"/>
              </w:rPr>
              <w:t>10/13/2023</w:t>
            </w:r>
          </w:p>
        </w:tc>
        <w:tc>
          <w:tcPr>
            <w:tcW w:w="1640" w:type="dxa"/>
            <w:vAlign w:val="bottom"/>
          </w:tcPr>
          <w:p>
            <w:pPr>
              <w:spacing w:after="0"/>
              <w:rPr>
                <w:sz w:val="19"/>
                <w:szCs w:val="19"/>
                <w:color w:val="auto"/>
              </w:rPr>
            </w:pPr>
          </w:p>
        </w:tc>
        <w:tc>
          <w:tcPr>
            <w:tcW w:w="2120" w:type="dxa"/>
            <w:vAlign w:val="bottom"/>
            <w:gridSpan w:val="2"/>
            <w:vMerge w:val="restart"/>
          </w:tcPr>
          <w:p>
            <w:pPr>
              <w:ind w:left="1220"/>
              <w:spacing w:after="0"/>
              <w:rPr>
                <w:sz w:val="20"/>
                <w:szCs w:val="20"/>
                <w:color w:val="auto"/>
              </w:rPr>
            </w:pPr>
            <w:r>
              <w:rPr>
                <w:rFonts w:ascii="Arial" w:cs="Arial" w:eastAsia="Arial" w:hAnsi="Arial"/>
                <w:sz w:val="17"/>
                <w:szCs w:val="17"/>
                <w:color w:val="0000FF"/>
                <w:w w:val="91"/>
              </w:rPr>
              <w:t>See remarks</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120" w:type="dxa"/>
            <w:vAlign w:val="bottom"/>
            <w:gridSpan w:val="2"/>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180" w:type="dxa"/>
            <w:vAlign w:val="bottom"/>
            <w:gridSpan w:val="2"/>
          </w:tcPr>
          <w:p>
            <w:pPr>
              <w:ind w:left="80"/>
              <w:spacing w:after="0" w:line="187" w:lineRule="exact"/>
              <w:rPr>
                <w:sz w:val="20"/>
                <w:szCs w:val="20"/>
                <w:color w:val="auto"/>
              </w:rPr>
            </w:pPr>
            <w:r>
              <w:rPr>
                <w:rFonts w:ascii="Arial" w:cs="Arial" w:eastAsia="Arial" w:hAnsi="Arial"/>
                <w:sz w:val="17"/>
                <w:szCs w:val="17"/>
                <w:color w:val="0000FF"/>
              </w:rPr>
              <w:t>10/17/2023</w:t>
            </w:r>
          </w:p>
        </w:tc>
        <w:tc>
          <w:tcPr>
            <w:tcW w:w="1640" w:type="dxa"/>
            <w:vAlign w:val="bottom"/>
          </w:tcPr>
          <w:p>
            <w:pPr>
              <w:spacing w:after="0"/>
              <w:rPr>
                <w:sz w:val="16"/>
                <w:szCs w:val="16"/>
                <w:color w:val="auto"/>
              </w:rPr>
            </w:pPr>
          </w:p>
        </w:tc>
        <w:tc>
          <w:tcPr>
            <w:tcW w:w="1700" w:type="dxa"/>
            <w:vAlign w:val="bottom"/>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300" w:type="dxa"/>
            <w:vAlign w:val="bottom"/>
            <w:gridSpan w:val="3"/>
          </w:tcPr>
          <w:p>
            <w:pPr>
              <w:ind w:left="6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bl>
    <w:p>
      <w:pPr>
        <w:spacing w:after="0" w:line="28" w:lineRule="exact"/>
        <w:rPr>
          <w:sz w:val="24"/>
          <w:szCs w:val="24"/>
          <w:color w:val="auto"/>
        </w:rPr>
      </w:pPr>
    </w:p>
    <w:tbl>
      <w:tblPr>
        <w:tblLayout w:type="fixed"/>
        <w:tblInd w:w="4100" w:type="dxa"/>
        <w:tblCellMar>
          <w:top w:w="0" w:type="dxa"/>
          <w:left w:w="0" w:type="dxa"/>
          <w:bottom w:w="0" w:type="dxa"/>
          <w:right w:w="0" w:type="dxa"/>
        </w:tblCellMar>
      </w:tblPr>
      <w:tr>
        <w:trPr>
          <w:trHeight w:val="14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44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0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40"/>
              <w:spacing w:after="0"/>
              <w:rPr>
                <w:sz w:val="20"/>
                <w:szCs w:val="20"/>
                <w:color w:val="auto"/>
              </w:rPr>
            </w:pPr>
            <w:r>
              <w:rPr>
                <w:rFonts w:ascii="Arial" w:cs="Arial" w:eastAsia="Arial" w:hAnsi="Arial"/>
                <w:sz w:val="17"/>
                <w:szCs w:val="17"/>
                <w:color w:val="0000FF"/>
              </w:rPr>
              <w:t>10/13/2023</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750,000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7.07</w:t>
            </w:r>
            <w:r>
              <w:rPr>
                <w:rFonts w:ascii="Arial" w:cs="Arial" w:eastAsia="Arial" w:hAnsi="Arial"/>
                <w:sz w:val="22"/>
                <w:szCs w:val="22"/>
                <w:color w:val="008000"/>
                <w:w w:val="95"/>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7,698,642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(3)</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40"/>
              <w:spacing w:after="0"/>
              <w:rPr>
                <w:sz w:val="20"/>
                <w:szCs w:val="20"/>
                <w:color w:val="auto"/>
              </w:rPr>
            </w:pPr>
            <w:r>
              <w:rPr>
                <w:rFonts w:ascii="Arial" w:cs="Arial" w:eastAsia="Arial" w:hAnsi="Arial"/>
                <w:sz w:val="17"/>
                <w:szCs w:val="17"/>
                <w:color w:val="0000FF"/>
              </w:rPr>
              <w:t>10/16/2023</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500,000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6.84</w:t>
            </w:r>
            <w:r>
              <w:rPr>
                <w:rFonts w:ascii="Arial" w:cs="Arial" w:eastAsia="Arial" w:hAnsi="Arial"/>
                <w:sz w:val="22"/>
                <w:szCs w:val="22"/>
                <w:color w:val="008000"/>
                <w:w w:val="95"/>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8,198,642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(3)</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693,524</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5,000</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26,961</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6,988,450</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20" w:type="dxa"/>
            <w:vAlign w:val="bottom"/>
            <w:gridSpan w:val="16"/>
          </w:tcPr>
          <w:p>
            <w:pPr>
              <w:ind w:lef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60" w:type="dxa"/>
            <w:vAlign w:val="bottom"/>
            <w:gridSpan w:val="12"/>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Boxer Capital, LLC</w:t>
              </w:r>
            </w:hyperlink>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12860 EL CAMINO REAL</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SUITE 300</w:t>
            </w: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SAN DIEGO</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240"/>
              <w:spacing w:after="0"/>
              <w:rPr>
                <w:sz w:val="20"/>
                <w:szCs w:val="20"/>
                <w:color w:val="auto"/>
              </w:rPr>
            </w:pPr>
            <w:r>
              <w:rPr>
                <w:rFonts w:ascii="Arial" w:cs="Arial" w:eastAsia="Arial" w:hAnsi="Arial"/>
                <w:sz w:val="17"/>
                <w:szCs w:val="17"/>
                <w:color w:val="0000FF"/>
              </w:rPr>
              <w:t>92130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Davis Aaron I.</w:t>
              </w:r>
            </w:hyperlink>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-4234180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12860 EL CAMINO REAL, SUITE 300</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3417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63417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SAN DIEGO</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92130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LEWIS JOSEPH</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CAY HOUSE</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EP TAYLOR DRIVE N7776, LYFORD CAY</w:t>
      </w:r>
    </w:p>
    <w:p>
      <w:pPr>
        <w:spacing w:after="0" w:line="297"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pacing w:after="0" w:line="37"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NEW</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PROVIDENCE</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BAHAMAS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4"/>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MVA Investors,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17"/>
                <w:szCs w:val="17"/>
                <w:color w:val="0000FF"/>
              </w:rPr>
              <w:t>12860 EL CAMINO REAL</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SUITE 300</w:t>
            </w: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SAN DIEGO</w:t>
            </w:r>
          </w:p>
        </w:tc>
        <w:tc>
          <w:tcPr>
            <w:tcW w:w="1520" w:type="dxa"/>
            <w:vAlign w:val="bottom"/>
            <w:gridSpan w:val="3"/>
          </w:tcPr>
          <w:p>
            <w:pPr>
              <w:ind w:left="2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92130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4"/>
          </w:tcPr>
          <w:p>
            <w:pPr>
              <w:spacing w:after="0" w:line="221" w:lineRule="exact"/>
              <w:rPr>
                <w:rFonts w:ascii="Arial" w:cs="Arial" w:eastAsia="Arial" w:hAnsi="Arial"/>
                <w:sz w:val="21"/>
                <w:szCs w:val="21"/>
                <w:color w:val="0000EE"/>
                <w:w w:val="95"/>
              </w:rPr>
            </w:pPr>
            <w:hyperlink r:id="rId19">
              <w:r>
                <w:rPr>
                  <w:rFonts w:ascii="Arial" w:cs="Arial" w:eastAsia="Arial" w:hAnsi="Arial"/>
                  <w:sz w:val="21"/>
                  <w:szCs w:val="21"/>
                  <w:color w:val="0000EE"/>
                  <w:w w:val="95"/>
                </w:rPr>
                <w:t>Boxer Asset Management Inc.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17"/>
                <w:szCs w:val="17"/>
                <w:color w:val="0000FF"/>
              </w:rPr>
              <w:t>12860 EL CAMINO REAL</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SUITE 300</w:t>
            </w: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SAN DIEGO</w:t>
            </w:r>
          </w:p>
        </w:tc>
        <w:tc>
          <w:tcPr>
            <w:tcW w:w="1520" w:type="dxa"/>
            <w:vAlign w:val="bottom"/>
            <w:gridSpan w:val="3"/>
          </w:tcPr>
          <w:p>
            <w:pPr>
              <w:ind w:left="2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92130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$6.95 to $7.10, inclusive.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5" w:lineRule="exact"/>
        <w:rPr>
          <w:rFonts w:ascii="Arial" w:cs="Arial" w:eastAsia="Arial" w:hAnsi="Arial"/>
          <w:sz w:val="13"/>
          <w:szCs w:val="13"/>
          <w:color w:val="008000"/>
        </w:rPr>
      </w:pPr>
    </w:p>
    <w:p>
      <w:pPr>
        <w:ind w:left="20" w:righ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$6.54 to $7.01, inclusive.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5"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owned directly by Boxer Capital, LLC ("Boxer Capital"). Boxer Asset Management Inc. is the managing member of Boxer Capital. Joseph Lewis is the sole indirect owner of Boxer Asset Management Inc. Mr. Davis is a member of Boxer Capital. Each reporting person other than Boxer Capital disclaims beneficial ownership of these securities except to the extent of such person's pecuniary interest therein, if any.</w:t>
      </w:r>
    </w:p>
    <w:p>
      <w:pPr>
        <w:spacing w:after="0" w:line="25" w:lineRule="exact"/>
        <w:rPr>
          <w:rFonts w:ascii="Arial" w:cs="Arial" w:eastAsia="Arial" w:hAnsi="Arial"/>
          <w:sz w:val="13"/>
          <w:szCs w:val="13"/>
          <w:color w:val="008000"/>
        </w:rPr>
      </w:pPr>
    </w:p>
    <w:p>
      <w:pPr>
        <w:ind w:left="20" w:right="36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owned directly by MVA Investors, LLC ("MVA Investors"). Aaron I. Davis is a member of and has voting and dispositive power over securities held by MVA Investors. Each reporting person other than MVA Investors disclaims beneficial ownership of these securities except to the extent of such person's pecuniary interest therein, if any.</w:t>
      </w:r>
    </w:p>
    <w:p>
      <w:pPr>
        <w:spacing w:after="0" w:line="1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owned directly by Mr. Davis. Each reporting person other than Mr. Davis disclaims beneficial ownership of these securities.</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owned directly by Braslyn Ltd. Mr. Lewis is the sole indirect own of Braslyn Ltd. Each reporting person other than Mr. Lewis disclaims beneficial ownership of these securities.</w:t>
      </w:r>
    </w:p>
    <w:p>
      <w:pPr>
        <w:spacing w:after="0" w:line="61" w:lineRule="exact"/>
        <w:rPr>
          <w:rFonts w:ascii="Arial" w:cs="Arial" w:eastAsia="Arial" w:hAnsi="Arial"/>
          <w:sz w:val="12"/>
          <w:szCs w:val="12"/>
          <w:color w:val="008000"/>
        </w:rPr>
      </w:pPr>
    </w:p>
    <w:p>
      <w:pPr>
        <w:ind w:left="20" w:right="340" w:firstLine="7"/>
        <w:spacing w:after="0" w:line="29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owned directly by BCTG Holdings, LLC ("BCTG"). Boxer Capital is the majority member of BCTG and MVA Investors is a member of BCTG. Mr. Davis is a member of the investment committee of BCTG. Each reporting person disclaims beneficial ownership of these securities except to the extent of such person's pecuniary interest therein, if any.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right="240"/>
        <w:spacing w:after="0" w:line="241" w:lineRule="auto"/>
        <w:rPr>
          <w:sz w:val="20"/>
          <w:szCs w:val="20"/>
          <w:color w:val="auto"/>
        </w:rPr>
      </w:pPr>
      <w:r>
        <w:rPr>
          <w:rFonts w:ascii="Arial" w:cs="Arial" w:eastAsia="Arial" w:hAnsi="Arial"/>
          <w:sz w:val="13"/>
          <w:szCs w:val="13"/>
          <w:color w:val="008000"/>
        </w:rPr>
        <w:t>The reporting persons may be deemed members of a group that beneficially owns more than 10% of the outstanding shares of common stock, $0.001 par value per share ("Common Stock"), of Tango Therapeutics, Inc. Boxer and Mr. Davis have informed the issuer that the purchases disclosed herein may give rise to profit subject to recovery by the issuer pursuant to Section 16(b) of the Securities Exchange Act of 1934. Without conceding the application of Section 16(b) of the Securities Exchange Act of 1934, Boxer and Mr. Davis have paid to the issuer the entire amount that would be recoverable by the issuer thereunder if the same is applicable to Boxer and Mr. Davis. As to any reporting person that is not a beneficial owner of more than 10% of the outstanding shares of Common Stock, this Form 4 shall not be deemed a concession that such person is subject to Section 16 of the Securities Exchange Act of 1934 with respect to the issuer. This Form 4/A amends and restates the Form 4 filed earlier on the same date.</w:t>
      </w:r>
    </w:p>
    <w:p>
      <w:pPr>
        <w:spacing w:after="0" w:line="5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Aaron I. Davis,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81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spacing w:after="0" w:line="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Executive Officer, MVA</w:t>
      </w:r>
      <w:r>
        <w:rPr>
          <w:sz w:val="20"/>
          <w:szCs w:val="20"/>
          <w:color w:val="auto"/>
        </w:rPr>
        <w:tab/>
      </w:r>
      <w:r>
        <w:rPr>
          <w:rFonts w:ascii="Arial" w:cs="Arial" w:eastAsia="Arial" w:hAnsi="Arial"/>
          <w:sz w:val="15"/>
          <w:szCs w:val="15"/>
          <w:color w:val="0000FF"/>
        </w:rPr>
        <w:t>10/17/2023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6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ectPr>
          <w:pgSz w:w="11900" w:h="16871" w:orient="portrait"/>
          <w:cols w:equalWidth="0" w:num="1">
            <w:col w:w="10900"/>
          </w:cols>
          <w:pgMar w:left="480" w:top="251" w:right="519" w:bottom="0" w:gutter="0" w:footer="0" w:header="0"/>
        </w:sectPr>
      </w:pPr>
    </w:p>
    <w:p>
      <w:pPr>
        <w:spacing w:after="0" w:line="6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Paul Higgs, Director, Boxer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582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Asset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93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553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85534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8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8232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Aaron I. Davis,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814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Executive Officer, Boxer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530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5530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0000FF"/>
        </w:rPr>
        <w:t>10/17/2023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0000FF"/>
        </w:rPr>
        <w:t>10/17/2023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0000FF"/>
        </w:rPr>
        <w:t>10/17/2023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0000FF"/>
        </w:rPr>
        <w:t>10/17/2023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07" w:lineRule="exact"/>
        <w:rPr>
          <w:sz w:val="20"/>
          <w:szCs w:val="20"/>
          <w:color w:val="auto"/>
        </w:rPr>
      </w:pPr>
    </w:p>
    <w:p>
      <w:pPr>
        <w:sectPr>
          <w:pgSz w:w="11900" w:h="16871" w:orient="portrait"/>
          <w:cols w:equalWidth="0" w:num="2">
            <w:col w:w="8700" w:space="60"/>
            <w:col w:w="2140"/>
          </w:cols>
          <w:pgMar w:left="480" w:top="251" w:right="51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71" w:orient="portrait"/>
          <w:cols w:equalWidth="0" w:num="1">
            <w:col w:w="10900"/>
          </w:cols>
          <w:pgMar w:left="480" w:top="251" w:right="51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12" Type="http://schemas.openxmlformats.org/officeDocument/2006/relationships/hyperlink" Target="http://www.sec.gov/cgi-bin/browse-edgar?action=getcompany&amp;CIK=0001465837" TargetMode="External"/><Relationship Id="rId13" Type="http://schemas.openxmlformats.org/officeDocument/2006/relationships/hyperlink" Target="http://www.sec.gov/cgi-bin/browse-edgar?action=getcompany&amp;CIK=0001819133" TargetMode="External"/><Relationship Id="rId14" Type="http://schemas.openxmlformats.org/officeDocument/2006/relationships/hyperlink" Target="http://www.sec.gov/cgi-bin/browse-edgar?action=getcompany&amp;CIK=0001465914" TargetMode="External"/><Relationship Id="rId17" Type="http://schemas.openxmlformats.org/officeDocument/2006/relationships/hyperlink" Target="http://www.sec.gov/cgi-bin/browse-edgar?action=getcompany&amp;CIK=0001015747" TargetMode="External"/><Relationship Id="rId18" Type="http://schemas.openxmlformats.org/officeDocument/2006/relationships/hyperlink" Target="http://www.sec.gov/cgi-bin/browse-edgar?action=getcompany&amp;CIK=0001468223" TargetMode="External"/><Relationship Id="rId19" Type="http://schemas.openxmlformats.org/officeDocument/2006/relationships/hyperlink" Target="http://www.sec.gov/cgi-bin/browse-edgar?action=getcompany&amp;CIK=00014658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2023-10-17T18:47:01Z</dcterms:created>
  <dcterms:modified xsi:type="dcterms:W3CDTF">2023-10-17T18:47:01Z</dcterms:modified>
</cp:coreProperties>
</file>