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gx-20250424.htm"/>
      <w:bookmarkStart w:id="1" w:name="kstngx20250424"/>
      <w:bookmarkEnd w:id="0"/>
      <w:bookmarkEnd w:id="1"/>
      <w:r>
        <w:rPr/>
        <w:t> </w:t>
      </w:r>
    </w:p>
    <w:p>
      <w:pPr>
        <w:pStyle w:val="TextBody"/>
        <w:bidi w:val="0"/>
        <w:spacing w:before="12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0"/>
        </w:rPr>
        <w:t>Schedule 14A</w:t>
      </w:r>
      <w:r>
        <w:rPr>
          <w:rFonts w:ascii="Times New Roman" w:hAnsi="Times New Roman"/>
          <w:color w:val="000000"/>
          <w:sz w:val="20"/>
        </w:rPr>
        <w:t xml:space="preserve"> </w:t>
      </w:r>
      <w:r>
        <w:rPr>
          <w:rFonts w:ascii="Times New Roman" w:hAnsi="Times New Roman"/>
          <w:b/>
          <w:color w:val="000000"/>
          <w:sz w:val="30"/>
        </w:rPr>
        <w:t>Information</w:t>
      </w:r>
    </w:p>
    <w:p>
      <w:pPr>
        <w:pStyle w:val="TextBody"/>
        <w:bidi w:val="0"/>
        <w:spacing w:before="240" w:after="283"/>
        <w:jc w:val="center"/>
        <w:rPr>
          <w:rFonts w:ascii="Times New Roman" w:hAnsi="Times New Roman"/>
          <w:sz w:val="20"/>
        </w:rPr>
      </w:pPr>
      <w:r>
        <w:rPr>
          <w:rFonts w:ascii="Times New Roman" w:hAnsi="Times New Roman"/>
          <w:b/>
          <w:color w:val="000000"/>
          <w:sz w:val="22"/>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(Amendment No. 1)</w:t>
      </w:r>
    </w:p>
    <w:p>
      <w:pPr>
        <w:pStyle w:val="TextBody"/>
        <w:bidi w:val="0"/>
        <w:spacing w:before="240" w:after="283"/>
        <w:jc w:val="left"/>
        <w:rPr>
          <w:rFonts w:ascii="Times New Roman" w:hAnsi="Times New Roman"/>
          <w:sz w:val="20"/>
        </w:rPr>
      </w:pPr>
      <w:r>
        <w:rPr>
          <w:rFonts w:ascii="Times New Roman" w:hAnsi="Times New Roman"/>
          <w:color w:val="000000"/>
          <w:sz w:val="18"/>
        </w:rPr>
        <w:t>Filed by the Registrant ☒ Filed by a Party other than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Preliminary Proxy Statement</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color w:val="000000"/>
          <w:sz w:val="18"/>
        </w:rPr>
        <w:t>Confidential, for Use of the Commission Only (as permitted by Rule 14a-6(e)(2))</w:t>
      </w:r>
      <w:r>
        <w:rPr>
          <w:rFonts w:ascii="Times New Roman" w:hAnsi="Times New Roman"/>
          <w:color w:val="000000"/>
          <w:sz w:val="20"/>
        </w:rPr>
        <w:t xml:space="preserve"> </w:t>
      </w:r>
    </w:p>
    <w:p>
      <w:pPr>
        <w:pStyle w:val="TextBody"/>
        <w:bidi w:val="0"/>
        <w:spacing w:before="120" w:after="283"/>
        <w:jc w:val="left"/>
        <w:rPr>
          <w:color w:val="000000"/>
        </w:rPr>
      </w:pPr>
      <w:r>
        <w:rPr>
          <w:color w:val="000000"/>
        </w:rPr>
        <w:t xml:space="preserve">☐ </w:t>
      </w:r>
      <w:r>
        <w:rPr>
          <w:rFonts w:ascii="Times New Roman" w:hAnsi="Times New Roman"/>
          <w:color w:val="000000"/>
          <w:sz w:val="18"/>
        </w:rPr>
        <w:t xml:space="preserve">Definitive Proxy Statement </w:t>
      </w:r>
    </w:p>
    <w:p>
      <w:pPr>
        <w:pStyle w:val="TextBody"/>
        <w:bidi w:val="0"/>
        <w:spacing w:before="120" w:after="283"/>
        <w:jc w:val="left"/>
        <w:rPr>
          <w:color w:val="000000"/>
        </w:rPr>
      </w:pPr>
      <w:r>
        <w:rPr>
          <w:color w:val="000000"/>
        </w:rPr>
        <w:t xml:space="preserve">☒ </w:t>
      </w:r>
      <w:r>
        <w:rPr>
          <w:rFonts w:ascii="Times New Roman" w:hAnsi="Times New Roman"/>
          <w:color w:val="000000"/>
          <w:sz w:val="18"/>
        </w:rPr>
        <w:t xml:space="preserve">Definitive Additional Materials </w:t>
      </w:r>
    </w:p>
    <w:p>
      <w:pPr>
        <w:pStyle w:val="TextBody"/>
        <w:bidi w:val="0"/>
        <w:spacing w:before="120" w:after="480"/>
        <w:jc w:val="left"/>
        <w:rPr>
          <w:color w:val="000000"/>
        </w:rPr>
      </w:pPr>
      <w:r>
        <w:rPr>
          <w:color w:val="000000"/>
        </w:rPr>
        <w:t xml:space="preserve">☐ </w:t>
      </w:r>
      <w:r>
        <w:rPr>
          <w:rFonts w:ascii="Times New Roman" w:hAnsi="Times New Roman"/>
          <w:color w:val="000000"/>
          <w:sz w:val="18"/>
        </w:rPr>
        <w:t>Soliciting Material under §240.14a-12</w:t>
      </w:r>
    </w:p>
    <w:p>
      <w:pPr>
        <w:pStyle w:val="TextBody"/>
        <w:bidi w:val="0"/>
        <w:jc w:val="center"/>
        <w:rPr>
          <w:rFonts w:ascii="Times New Roman" w:hAnsi="Times New Roman"/>
          <w:b/>
          <w:color w:val="000000"/>
          <w:sz w:val="44"/>
        </w:rPr>
      </w:pPr>
      <w:r>
        <w:rPr>
          <w:rFonts w:ascii="Times New Roman" w:hAnsi="Times New Roman"/>
          <w:b/>
          <w:color w:val="000000"/>
          <w:sz w:val="44"/>
        </w:rPr>
        <w:t>TANGO THERAPEUTICS, INC.</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(Name of Person(s) Filing Proxy Statement, if other than the Registrant)</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Times New Roman" w:hAnsi="Times New Roman"/>
          <w:color w:val="000000"/>
          <w:sz w:val="18"/>
        </w:rPr>
        <w:t>Payment of Filing Fee (Check all boxes that apply):</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No fee required.</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paid previously with preliminary materials.</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color w:val="000000"/>
          <w:sz w:val="18"/>
        </w:rPr>
        <w:t>Fee computed on table in exhibit required by Item 25(b) per Exchange Act Rules 14a-6(i)(1) and 0-11.</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Amendment No. 1 (this Amended Proxy Statement) amends and restates in its entirety the Definitive Proxy Statement on Schedule 14A of Tango Therapeutics, Inc. (the Company) that was originally filed with the Securities and Exchange Commission on April 21, 2025 (the Original Proxy Statement). This Amended Proxy Statement is being filed for the purpose of correcting the vote required to approve Proposal No. 3, the treatment of abstentions and broker non-votes with respect to Proposal No. 3 and that Proposal No. 3 is a discretionary item. Other than these changes on pages 5 and 45, this Amended Proxy Statement does not otherwise modify or update any other disclosures presented in the Original Proxy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should read this Amended Proxy Statement in its entirety and in place of the Original Proxy Statement. The Company will make available to its stockholders this Amended Proxy Statement in lieu of the Original Proxy Statement.</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924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771525"/>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Dear Fellow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Tango Therapeutics was founded with a clear mission: to discover the next generation of targeted therapies in oncology by addressing the specific genetic alterations that drive cancer. We develop new drugs directed at tumor suppressor gene loss in defined patient populations with high unmet medical need. We made significant progress across our research and clinical development programs in 2024 and early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 our next generation brain-penetrant PRMT5 inhibitor being developed for glioblastoma.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U.S. Food and Drug Administration, or FDA, cleared the Investigational New Drug, or IND, application for TNG45.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TNG260, our first-in-class CoREST inhibitor,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and I are pleased to invite you to attend the 2025 Annual Meeting of Stockholders, or the Annual Meeting, of Tango Therapeutics, Inc., or Tango, or the Company, to be held virtually on Wednesday, June 5, 2025 at 9:00 a.m. Eastern Time. Stockholders will have the ability to participate in the Annual Meeting, vote their shares and ask questions by accessing the virtual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Annual Meeting, our stockholders will be asked to: (1) elect one nominee who is named in the Proxy Statement as a Class I Director; (2) ratify the appointment of PricewaterhouseCoopers LLP as our independent registered public accounting firm for the fiscal year ending December 31, 2025; (3) approve an amendment to our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certificate of incorporation, as amended to date, to increase to the number of shares of authorized common stock from 200,000,000 to 400,000,000; (3) hold a non-binding, advisory vote to approve the compensation of our named executive officers; (4) hold a non-binding, advisory vote on the frequency of further non-binding, advisory votes on the compensation of our named executive officers; and (5) transact any other business that properly comes before the Annual Meeting (including adjournments, continuations and postponements thereof). Our board of directors recommends that you vote “FOR” the election of the director nominee, “FOR” the ratification of the appointment of PricewaterhouseCoopers LLP, “FOR” the amendment to our amended and restated certificate of incorporation, as amended to date, to increase the number of shares of authorized common stock, “FOR” the compensation of our named executive officers and “FOR” the option of once every "one year" as the preferred frequency of future non-binding, advisory votes on the compensation of our named executive officers. You should carefully read our proxy materials, which contain detailed information concerning each of these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Securities and Exchange Commission rules, the Company is providing access to the proxy materials for the Annual Meeting to stockholders via the Internet. Accordingly, you can access the proxy materials and vote at www.proxyvote.com. Instructions for accessing the proxy materials and voting are described below and 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2024. This process allows us to provide our stockholders with the information they need on a more timely basis, while reducing the environmental impact and lowering the costs of printing and distributing our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or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behalf of our board of directors, team members, and patients, thank you for your ongoing support of, and continued interest in, Tango.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80" w:after="283"/>
        <w:jc w:val="left"/>
        <w:rPr/>
      </w:pPr>
      <w:r>
        <w:rPr/>
        <w:t> </w:t>
      </w:r>
    </w:p>
    <w:p>
      <w:pPr>
        <w:pStyle w:val="TextBody"/>
        <w:bidi w:val="0"/>
        <w:spacing w:before="80" w:after="283"/>
        <w:jc w:val="left"/>
        <w:rPr/>
      </w:pPr>
      <w:r>
        <w:rPr/>
        <w:drawing>
          <wp:inline distT="0" distB="0" distL="0" distR="0">
            <wp:extent cx="12954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552450"/>
                    </a:xfrm>
                    <a:prstGeom prst="rect">
                      <a:avLst/>
                    </a:prstGeom>
                  </pic:spPr>
                </pic:pic>
              </a:graphicData>
            </a:graphic>
          </wp:inline>
        </w:drawing>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Barbara Weber, M.D.</w:t>
      </w:r>
    </w:p>
    <w:p>
      <w:pPr>
        <w:pStyle w:val="TextBody"/>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145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771525"/>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2025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5, 2025</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2025 Annual Meeting of Stockholders, or Annual Meeting, of Tango Therapeutics, Inc., will be held online on Thursday, June 5, 2025.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purpose of the Annual Meeting is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To elect one Class I Director, Lesley Ann Calhoun, to our board of directors, to serve until the 2028 annual meeting of stockholders and until her successor has been duly elected and qualified, or until her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To ratify the appointment of PricewaterhouseCoopers LLP as the independent registered public accounting firm for the fiscal year ending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To approve an amendment to our Second Amended and Restated Certificate of Incorporation, as amended to date, to increase the number of authorized shares of common stock from 200,000,000 to 400,000,000;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To approve, on a non-binding, advisory basis,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To vote on a non-binding, advisory basis, on the frequency of future non-binding, advisory votes on executive compensation;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6. To transact any other business properly brought before the Annual Meeting or any adjournment or postponement of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Meeting will begin promptly at 9:00 a.m. Eastern Time. Only stockholders of record at the close of business on April 8, 2025 will be entitled to vote at the Annual Meeting and any adjournment or postponement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2024, or 2024 Annual Report. We plan to mail the Notice on or about April 21, 2025, and it contains instructions on how to access both the 2024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096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542925"/>
                          </a:xfrm>
                          <a:prstGeom prst="rect">
                            <a:avLst/>
                          </a:prstGeom>
                        </pic:spPr>
                      </pic:pic>
                    </a:graphicData>
                  </a:graphic>
                </wp:inline>
              </w:drawing>
            </w:r>
            <w:r>
              <w:rPr>
                <w:color w:val="000000"/>
              </w:rPr>
              <w:t xml:space="preserve"> </w:t>
            </w:r>
          </w:p>
        </w:tc>
      </w:tr>
      <w:tr>
        <w:trPr/>
        <w:tc>
          <w:tcPr>
            <w:tcW w:w="295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Douglas Barry</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Legal Officer, Chief Compliance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w:t>
      </w:r>
    </w:p>
    <w:p>
      <w:pPr>
        <w:pStyle w:val="TextBody"/>
        <w:bidi w:val="0"/>
        <w:jc w:val="left"/>
        <w:rPr>
          <w:rFonts w:ascii="Times New Roman" w:hAnsi="Times New Roman"/>
          <w:color w:val="000000"/>
          <w:sz w:val="20"/>
        </w:rPr>
      </w:pPr>
      <w:r>
        <w:rPr>
          <w:rFonts w:ascii="Times New Roman" w:hAnsi="Times New Roman"/>
          <w:color w:val="000000"/>
          <w:sz w:val="20"/>
        </w:rPr>
        <w:t>April 21, 2025</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xy_statement_summary">
              <w:r>
                <w:rPr>
                  <w:rStyle w:val="InternetLink"/>
                  <w:rFonts w:ascii="Times New Roman" w:hAnsi="Times New Roman"/>
                  <w:color w:val="0000FF"/>
                  <w:sz w:val="20"/>
                  <w:u w:val="single"/>
                </w:rPr>
                <w:t>Proxy Statement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general_information_regarding">
              <w:r>
                <w:rPr>
                  <w:rStyle w:val="InternetLink"/>
                  <w:rFonts w:ascii="Times New Roman" w:hAnsi="Times New Roman"/>
                  <w:color w:val="0000FF"/>
                  <w:sz w:val="20"/>
                  <w:u w:val="single"/>
                </w:rPr>
                <w:t>General Information Regarding the Meeting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overview_of_proposals">
              <w:r>
                <w:rPr>
                  <w:rStyle w:val="InternetLink"/>
                  <w:rFonts w:ascii="Times New Roman" w:hAnsi="Times New Roman"/>
                  <w:color w:val="0000FF"/>
                  <w:sz w:val="20"/>
                  <w:u w:val="single"/>
                </w:rPr>
                <w:t>Overview of Proposals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posal_no_1">
              <w:r>
                <w:rPr>
                  <w:rStyle w:val="InternetLink"/>
                  <w:rFonts w:ascii="Times New Roman" w:hAnsi="Times New Roman"/>
                  <w:color w:val="0000FF"/>
                  <w:sz w:val="20"/>
                  <w:u w:val="single"/>
                </w:rPr>
                <w:t>Proposal No. 1 – Election of Class I Director</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board">
              <w:r>
                <w:rPr>
                  <w:rStyle w:val="InternetLink"/>
                  <w:rFonts w:ascii="Times New Roman" w:hAnsi="Times New Roman"/>
                  <w:color w:val="0000FF"/>
                  <w:sz w:val="20"/>
                  <w:u w:val="single"/>
                </w:rPr>
                <w:t>General Information About the Board of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color w:val="0000FF"/>
                  <w:sz w:val="20"/>
                  <w:u w:val="single"/>
                </w:rPr>
                <w:t>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general_information_about_the_executive">
              <w:r>
                <w:rPr>
                  <w:rStyle w:val="InternetLink"/>
                  <w:rFonts w:ascii="Times New Roman" w:hAnsi="Times New Roman"/>
                  <w:color w:val="0000FF"/>
                  <w:sz w:val="20"/>
                  <w:u w:val="single"/>
                </w:rPr>
                <w:t>General Information About the Executive Officers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mpensation_discussion_and_analysis">
              <w:r>
                <w:rPr>
                  <w:rStyle w:val="InternetLink"/>
                  <w:rFonts w:ascii="Times New Roman" w:hAnsi="Times New Roman"/>
                  <w:color w:val="0000FF"/>
                  <w:sz w:val="20"/>
                  <w:u w:val="single"/>
                </w:rPr>
                <w:t>Compensation Discussion and Analysis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non_employee_director_compensation">
              <w:r>
                <w:rPr>
                  <w:rStyle w:val="InternetLink"/>
                  <w:rFonts w:ascii="Times New Roman" w:hAnsi="Times New Roman"/>
                  <w:color w:val="0000FF"/>
                  <w:sz w:val="20"/>
                  <w:u w:val="single"/>
                </w:rPr>
                <w:t>Non-Employee Director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report_of_the_compensation_committee">
              <w:r>
                <w:rPr>
                  <w:rStyle w:val="InternetLink"/>
                  <w:rFonts w:ascii="Times New Roman" w:hAnsi="Times New Roman"/>
                  <w:color w:val="0000FF"/>
                  <w:sz w:val="20"/>
                  <w:u w:val="single"/>
                </w:rPr>
                <w:t>Report of the Compensation Committee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posal_no_2">
              <w:r>
                <w:rPr>
                  <w:rStyle w:val="InternetLink"/>
                  <w:rFonts w:ascii="Times New Roman" w:hAnsi="Times New Roman"/>
                  <w:color w:val="0000FF"/>
                  <w:sz w:val="20"/>
                  <w:u w:val="single"/>
                </w:rPr>
                <w:t>Proposal No. 2 – Ratification of the Appointment of the Independent Registered Public Accounting Firm</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incipal_accountant_fees_and_services">
              <w:r>
                <w:rPr>
                  <w:rStyle w:val="InternetLink"/>
                  <w:rFonts w:ascii="Times New Roman" w:hAnsi="Times New Roman"/>
                  <w:color w:val="0000FF"/>
                  <w:sz w:val="20"/>
                  <w:u w:val="single"/>
                </w:rPr>
                <w:t>Principal Accountant Fees and Services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694"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proposal_no_3">
              <w:r>
                <w:rPr>
                  <w:rStyle w:val="InternetLink"/>
                  <w:rFonts w:ascii="Times New Roman" w:hAnsi="Times New Roman"/>
                  <w:color w:val="0000FF"/>
                  <w:sz w:val="20"/>
                  <w:u w:val="single"/>
                </w:rPr>
                <w:t>Proposal No. 3 - Vote to Amend the Second Amended and Restated Certificate of Incorporation to increase the Number of Authorized Shares of Common Stock</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pPr>
            <w:hyperlink w:anchor="proposal_no_3">
              <w:r>
                <w:rPr>
                  <w:rStyle w:val="InternetLink"/>
                  <w:rFonts w:ascii="Times New Roman" w:hAnsi="Times New Roman"/>
                  <w:color w:val="000000"/>
                  <w:sz w:val="20"/>
                </w:rPr>
                <w:t>44</w:t>
              </w:r>
            </w:hyperlink>
          </w:p>
        </w:tc>
      </w:tr>
      <w:tr>
        <w:trPr/>
        <w:tc>
          <w:tcPr>
            <w:tcW w:w="9694"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proposal_no_4">
              <w:r>
                <w:rPr>
                  <w:rStyle w:val="InternetLink"/>
                  <w:rFonts w:ascii="Times New Roman" w:hAnsi="Times New Roman"/>
                  <w:color w:val="0000FF"/>
                  <w:sz w:val="20"/>
                  <w:u w:val="single"/>
                </w:rPr>
                <w:t>Proposal No. 4 -</w:t>
              </w:r>
            </w:hyperlink>
            <w:hyperlink w:anchor="proposal_no_4">
              <w:r>
                <w:rPr>
                  <w:rStyle w:val="InternetLink"/>
                  <w:rFonts w:ascii="Times New Roman" w:hAnsi="Times New Roman"/>
                  <w:color w:val="0000FF"/>
                  <w:sz w:val="20"/>
                </w:rPr>
                <w:t xml:space="preserve"> </w:t>
              </w:r>
            </w:hyperlink>
            <w:hyperlink w:anchor="proposal_no_4">
              <w:r>
                <w:rPr>
                  <w:rStyle w:val="InternetLink"/>
                  <w:rFonts w:ascii="Times New Roman" w:hAnsi="Times New Roman"/>
                  <w:color w:val="0000FF"/>
                  <w:sz w:val="20"/>
                  <w:u w:val="single"/>
                </w:rPr>
                <w:t>Non-Binding Advisory Vote To Approve Named Executive Officer Compensation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pPr>
            <w:hyperlink w:anchor="proposal_no_4">
              <w:r>
                <w:rPr>
                  <w:rStyle w:val="InternetLink"/>
                  <w:rFonts w:ascii="Times New Roman" w:hAnsi="Times New Roman"/>
                  <w:color w:val="000000"/>
                  <w:sz w:val="20"/>
                </w:rPr>
                <w:t>46</w:t>
              </w:r>
            </w:hyperlink>
          </w:p>
        </w:tc>
      </w:tr>
      <w:tr>
        <w:trPr/>
        <w:tc>
          <w:tcPr>
            <w:tcW w:w="9694"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proposal_no_5">
              <w:r>
                <w:rPr>
                  <w:rStyle w:val="InternetLink"/>
                  <w:rFonts w:ascii="Times New Roman" w:hAnsi="Times New Roman"/>
                  <w:color w:val="0000FF"/>
                  <w:sz w:val="20"/>
                  <w:u w:val="single"/>
                </w:rPr>
                <w:t>Proposal No. 5 - Non-Binding, Advisory Vote On The Preferred Frequency Of Future Advisory Votes On Named Executive Officers</w:t>
              </w:r>
            </w:hyperlink>
            <w:r>
              <w:rPr>
                <w:rFonts w:ascii="Times New Roman" w:hAnsi="Times New Roman"/>
                <w:color w:val="000000"/>
                <w:sz w:val="20"/>
              </w:rPr>
              <w:t xml:space="preserve"> </w:t>
            </w:r>
            <w:hyperlink w:anchor="proposal_no_4">
              <w:r>
                <w:rPr>
                  <w:rStyle w:val="InternetLink"/>
                  <w:rFonts w:ascii="Times New Roman" w:hAnsi="Times New Roman"/>
                  <w:color w:val="0000FF"/>
                  <w:sz w:val="20"/>
                  <w:u w:val="single"/>
                </w:rPr>
                <w:t>Compensation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694"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694" w:type="dxa"/>
            <w:tcBorders/>
            <w:tcMar>
              <w:top w:w="0" w:type="dxa"/>
              <w:left w:w="0" w:type="dxa"/>
              <w:bottom w:w="0" w:type="dxa"/>
              <w:right w:w="0" w:type="dxa"/>
            </w:tcMar>
            <w:vAlign w:val="center"/>
          </w:tcPr>
          <w:p>
            <w:pPr>
              <w:pStyle w:val="TableContents"/>
              <w:bidi w:val="0"/>
              <w:spacing w:before="0" w:after="283"/>
              <w:ind w:left="0" w:right="0" w:firstLine="137"/>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50</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FF"/>
                  <w:sz w:val="20"/>
                  <w:u w:val="single"/>
                </w:rPr>
                <w:t>Additional Information and Other Business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Annex A</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943100"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781050"/>
                    </a:xfrm>
                    <a:prstGeom prst="rect">
                      <a:avLst/>
                    </a:prstGeom>
                  </pic:spPr>
                </pic:pic>
              </a:graphicData>
            </a:graphic>
          </wp:inline>
        </w:drawing>
      </w:r>
    </w:p>
    <w:p>
      <w:pPr>
        <w:pStyle w:val="TextBody"/>
        <w:bidi w:val="0"/>
        <w:spacing w:before="0" w:after="240"/>
        <w:jc w:val="center"/>
        <w:rPr>
          <w:rFonts w:ascii="Times New Roman" w:hAnsi="Times New Roman"/>
          <w:b/>
          <w:caps/>
          <w:color w:val="000000"/>
          <w:sz w:val="24"/>
        </w:rPr>
      </w:pPr>
      <w:bookmarkStart w:id="2" w:name="proxy_statement_summary"/>
      <w:bookmarkEnd w:id="2"/>
      <w:r>
        <w:rPr>
          <w:rFonts w:ascii="Times New Roman" w:hAnsi="Times New Roman"/>
          <w:b/>
          <w:caps/>
          <w:color w:val="000000"/>
          <w:sz w:val="24"/>
        </w:rPr>
        <w:t>PROXY STATEMENT SUMMARY</w:t>
      </w:r>
    </w:p>
    <w:p>
      <w:pPr>
        <w:pStyle w:val="TextBody"/>
        <w:bidi w:val="0"/>
        <w:jc w:val="center"/>
        <w:rPr>
          <w:rFonts w:ascii="Times New Roman" w:hAnsi="Times New Roman"/>
          <w:sz w:val="20"/>
        </w:rPr>
      </w:pPr>
      <w:r>
        <w:rPr>
          <w:rFonts w:ascii="Times New Roman" w:hAnsi="Times New Roman"/>
          <w:b/>
          <w:caps/>
          <w:color w:val="000000"/>
          <w:sz w:val="20"/>
        </w:rPr>
        <w:t>FOR THE 2025 ANNUAL MEETING OF STOCKHOLDERS</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JUNE 5,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information about the 2025 Annual Meeting of Stockholders, or the Annual Meeting, of Tango Therapeutics, Inc., which will be held online on June 5, 2025 at 9:00 a.m. Eastern Time. You may attend the Annual Meeting virtually via the Internet at www.virtualshareholdermeeting.com/TNGX2025,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 We are mailing to our stockholders a Notice of Internet Availability of proxy materials, or the Notice, and our 2024 Annual Report on or about April 21, 2025.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Annual Meeting of Stockholders to be Held on June 5, 2025:</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i/>
          <w:color w:val="000000"/>
          <w:sz w:val="20"/>
        </w:rPr>
        <w:t>This proxy statement and our 2024 Annual Report on Form 10-K are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available for viewing, printing and downloading at www.proxyvote.com.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 copy of our 2024 Annual Report on Form 10-K, as filed with the Securities Exchange Commission, or SEC, except for exhibits, will be furnished without charge to any stockholder upon written request or oral request to Tango Therapeutics, Inc., 201 Brookline Avenue, Suite 901, Boston, Massachusetts, 02215, (857) 320-4900, Attention: Corporate Secretary. This proxy statement and our 2024 Annual Report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 w:name="general_information_regarding"/>
      <w:bookmarkEnd w:id="3"/>
      <w:r>
        <w:rPr>
          <w:rFonts w:ascii="Times New Roman" w:hAnsi="Times New Roman"/>
          <w:b/>
          <w:caps/>
          <w:color w:val="000000"/>
          <w:sz w:val="20"/>
        </w:rPr>
        <w:t>GENERAL INFORMATION REGARDING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Why is Tango holding a virtual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year’s Annual Meeting will be a “virtual meeting” of stockholders. We believe that the virtual meeting format facilitates greater stockholder attendance and participation at our Annual Meeting by allowing all stockholders to participate equally through the Internet, free of cost. Stockholders will, to the extent possible, be afforded rights and opportunities to participate at the virtual meeting similar to those they would have at an in-person meeting. We have designed our virtual format to enhance, rather than constrain, stockholder access, participation and communication.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virtually attend the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attend and participate in the Annual Meeting, stockholders will need to access the live webcast of the meeting. To do so, stockholders will need to visit www.virtualshareholdermeeting.com/TNGX2025 and enter the 16-digit control number provided in the Notice of Internet Availability of the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day of the Annual Meeting, stockholders may log-in to the online virtual annual meeting platform beginning at 8:45 a.m. Eastern Time, and the meeting will begin promptly at 9:00 a.m. Eastern Time. Please allow ample time for on-line login so that you may participate in the entire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www.virtualshareholdermeeting.com/TNGX2025.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get help if I have trouble checking in or listening to the meeting online?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(www.virtualshareholdermeeting.com/TNGX2025), which may be accessed beginning 15 minutes prior to the scheduled start time of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When are this proxy statement and the accompanying materials scheduled to be sent to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mailing to our stockholders a Notice instead of a paper copy of the accompanying proxy statement and our 2024 Annual Report on or about April 21, 2025,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pStyle w:val="TextBody"/>
        <w:bidi w:val="0"/>
        <w:spacing w:before="240" w:after="283"/>
        <w:jc w:val="left"/>
        <w:rPr>
          <w:rFonts w:ascii="Times New Roman" w:hAnsi="Times New Roman"/>
          <w:sz w:val="20"/>
        </w:rPr>
      </w:pPr>
      <w:r>
        <w:rPr>
          <w:rFonts w:ascii="Times New Roman" w:hAnsi="Times New Roman"/>
          <w:b/>
          <w:color w:val="000000"/>
          <w:sz w:val="20"/>
        </w:rPr>
        <w:t>Who is soliciting my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is soliciting your vote for the Annual Meeting, including at any adjournments or postponements of the meeting.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When is the record date for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determination of stockholders entitled to vote at the Annual Meeting is the close of business on April 8, 2025. Only stockholders of record at the close of business on April 8, 2025 are entitled to notice of and to vote at the Annual Meeting and any adjournment or postponement of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many votes can be cast by all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108,107,890 shares of our voting common stock, par value $0.001 per share, outstanding on April 8, 2025,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8, 2025. </w:t>
      </w:r>
    </w:p>
    <w:p>
      <w:pPr>
        <w:pStyle w:val="TextBody"/>
        <w:bidi w:val="0"/>
        <w:spacing w:before="24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Registered Stockholders</w:t>
      </w:r>
      <w:r>
        <w:rPr>
          <w:rFonts w:ascii="Times New Roman" w:hAnsi="Times New Roman"/>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bank, broker or other nominee explaining how to vote your shares, and you will have the option to cast your vote by telephone or over the Internet if your voting instruction form from your bank, broker or nominee includes instructions and a toll-free telephone number or Internet website to do so. Note that if your shares are held in "street name," you should also be receiving a voting instruction form for you to use from your broker. Throughout this proxy statement, we refer to stockholders who hold their shares through a bank, broker, bank or other nominee as “street name stockholders.”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matters are being voted 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Elect one director, Lesley Ann Calhoun, as a Class I Director of the board of directors, to serve until the 2028 annual meeting of stockholders and until her successor has been duly elected and qualified.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Ratify the appointment of PricewaterhouseCoopers LLP as Tango's independent registered public accounting firm for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Approve an amendment to our Second Amended and Restated Certificate of Incorporation, as amended to date, to increase the number of authorized shares of common stock from 200,000,000 to 400,000,000;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To hold a non-binding, advisory vote to approve the compensation of our named executive officers;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To hold a non-binding, advisory vote on the frequency of future non-binding, advisory votes on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pStyle w:val="TextBody"/>
        <w:bidi w:val="0"/>
        <w:spacing w:before="24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there are four ways to vote: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Internet. </w:t>
      </w:r>
      <w:r>
        <w:rPr>
          <w:rFonts w:ascii="Times New Roman" w:hAnsi="Times New Roman"/>
          <w:color w:val="000000"/>
          <w:sz w:val="20"/>
        </w:rPr>
        <w:t xml:space="preserve">You may vote at www.proxyvote.com, 24 hours a day, seven days a week. You will need the control number included on your Notice or proxy card in order to vote by Internet.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During the Annual Meeting. </w:t>
      </w:r>
      <w:r>
        <w:rPr>
          <w:rFonts w:ascii="Times New Roman" w:hAnsi="Times New Roman"/>
          <w:color w:val="000000"/>
          <w:sz w:val="20"/>
        </w:rPr>
        <w:t xml:space="preserve">You may vote in person virtually by attending the Annual Meeting through www.virtualshareholdermeeting.com/TNGX2025. To attend the Annual Meeting virtually and vote your shares, you must register for the Annual Meeting and provide the control number located on your Notice or proxy card.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 xml:space="preserve">By Telephone. </w:t>
      </w:r>
      <w:r>
        <w:rPr>
          <w:rFonts w:ascii="Times New Roman" w:hAnsi="Times New Roman"/>
          <w:color w:val="000000"/>
          <w:sz w:val="20"/>
        </w:rPr>
        <w:t xml:space="preserve">You may vote using a touch-tone telephone by calling 1-800-690-6903, 24 hours a day, seven days a week. You will need the control number included on your Notice or proxy card to vote by telephone.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b/>
          <w:i/>
          <w:color w:val="000000"/>
          <w:sz w:val="20"/>
        </w:rPr>
        <w:t>By Mail</w:t>
      </w:r>
      <w:r>
        <w:rPr>
          <w:rFonts w:ascii="Times New Roman" w:hAnsi="Times New Roman"/>
          <w:color w:val="000000"/>
          <w:sz w:val="20"/>
        </w:rPr>
        <w:t xml:space="preserve">. You may vote by completing and mailing your proxy card.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you plan to participate in our virtual Annual Meeting, we recommend that you vote by proxy in advance of the Annual Meeting date so that your vote will be counted if you later decide not to participate in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240" w:after="283"/>
        <w:jc w:val="left"/>
        <w:rPr>
          <w:rFonts w:ascii="Times New Roman" w:hAnsi="Times New Roman"/>
          <w:sz w:val="20"/>
        </w:rPr>
      </w:pPr>
      <w:r>
        <w:rPr>
          <w:rFonts w:ascii="Times New Roman" w:hAnsi="Times New Roman"/>
          <w:b/>
          <w:i/>
          <w:color w:val="000000"/>
          <w:sz w:val="20"/>
        </w:rPr>
        <w:t>By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will not be attending the Annual Meeting, you may vote by proxy. You can vote by proxy over the Internet or telephone by following the instructions provided in the enclosed proxy card. Proxies submitted by mail must be received by the deadline set forth on the proxy card.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40" w:after="283"/>
        <w:jc w:val="left"/>
        <w:rPr>
          <w:rFonts w:ascii="Times New Roman" w:hAnsi="Times New Roman"/>
          <w:sz w:val="20"/>
        </w:rPr>
      </w:pPr>
      <w:r>
        <w:rPr>
          <w:rFonts w:ascii="Times New Roman" w:hAnsi="Times New Roman"/>
          <w:b/>
          <w:color w:val="000000"/>
          <w:sz w:val="20"/>
        </w:rPr>
        <w:t>How do I change or revoke my vote or proxy?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revoke your proxy by (1) entering a new vote by mail, over the Internet or via telephone that we receive before the start of the Annual Meeting,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broker, bank, or other nominee holds your shares, you must contact such broker, bank, or nominee in order to find out how to change your vote. </w:t>
      </w:r>
    </w:p>
    <w:p>
      <w:pPr>
        <w:pStyle w:val="TextBody"/>
        <w:bidi w:val="0"/>
        <w:spacing w:before="240" w:after="283"/>
        <w:jc w:val="left"/>
        <w:rPr>
          <w:rFonts w:ascii="Times New Roman" w:hAnsi="Times New Roman"/>
          <w:sz w:val="20"/>
        </w:rPr>
      </w:pPr>
      <w:r>
        <w:rPr>
          <w:rFonts w:ascii="Times New Roman" w:hAnsi="Times New Roman"/>
          <w:b/>
          <w:color w:val="000000"/>
          <w:sz w:val="20"/>
        </w:rPr>
        <w:t>How is a quorum reached?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Bylaws, or bylaws, provide that a majority of the shares entitled to vote, present or represented by proxy, will constitute a quorum for the transaction of business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108,107,890 shares of common stock outstanding and entitled to vote on April 8, 2025, our record date. Therefore, a quorum will be present if 54,053,946 shares of our common stock are present in person or represented by executed proxies timely received by us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What vote is required for each proposal?</w:t>
      </w:r>
      <w:r>
        <w:rPr>
          <w:rFonts w:ascii="Times New Roman" w:hAnsi="Times New Roman"/>
          <w:color w:val="000000"/>
          <w:sz w:val="20"/>
        </w:rPr>
        <w:t xml:space="preserve">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840"/>
        <w:gridCol w:w="3070"/>
        <w:gridCol w:w="1832"/>
        <w:gridCol w:w="1417"/>
        <w:gridCol w:w="1714"/>
        <w:gridCol w:w="1332"/>
      </w:tblGrid>
      <w:tr>
        <w:trPr/>
        <w:tc>
          <w:tcPr>
            <w:tcW w:w="840"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84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307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8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Board's Recommendation</w:t>
            </w:r>
          </w:p>
        </w:tc>
        <w:tc>
          <w:tcPr>
            <w:tcW w:w="141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Broker Discretionary Voting Allowed</w:t>
            </w:r>
          </w:p>
        </w:tc>
        <w:tc>
          <w:tcPr>
            <w:tcW w:w="171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xml:space="preserve">Treatment of Votes Withheld, Abstentions and Broker Non-Votes </w:t>
            </w:r>
          </w:p>
        </w:tc>
        <w:tc>
          <w:tcPr>
            <w:tcW w:w="13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Required</w:t>
            </w:r>
          </w:p>
        </w:tc>
      </w:tr>
      <w:tr>
        <w:trPr/>
        <w:tc>
          <w:tcPr>
            <w:tcW w:w="8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1</w:t>
            </w:r>
          </w:p>
        </w:tc>
        <w:tc>
          <w:tcPr>
            <w:tcW w:w="30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Class I Director</w:t>
            </w:r>
          </w:p>
        </w:tc>
        <w:tc>
          <w:tcPr>
            <w:tcW w:w="18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Class I Director Nominee (Lesley Ann Calhoun) </w:t>
            </w:r>
          </w:p>
        </w:tc>
        <w:tc>
          <w:tcPr>
            <w:tcW w:w="14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71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Votes withheld and broker non-votes, if any, will have no effect on the outcome of the proposal</w:t>
            </w:r>
          </w:p>
        </w:tc>
        <w:tc>
          <w:tcPr>
            <w:tcW w:w="13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Plurality of votes properly cast</w:t>
            </w:r>
          </w:p>
        </w:tc>
      </w:tr>
      <w:tr>
        <w:trPr/>
        <w:tc>
          <w:tcPr>
            <w:tcW w:w="8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2</w:t>
            </w:r>
          </w:p>
        </w:tc>
        <w:tc>
          <w:tcPr>
            <w:tcW w:w="30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PricewaterhouseCoopers LLP as independent auditors for 2025</w:t>
            </w:r>
          </w:p>
        </w:tc>
        <w:tc>
          <w:tcPr>
            <w:tcW w:w="18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4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71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3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properly cast</w:t>
            </w:r>
          </w:p>
        </w:tc>
      </w:tr>
      <w:tr>
        <w:trPr/>
        <w:tc>
          <w:tcPr>
            <w:tcW w:w="8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3</w:t>
            </w:r>
          </w:p>
        </w:tc>
        <w:tc>
          <w:tcPr>
            <w:tcW w:w="30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amendment to our Second Amended and Restated Certificate of Incorporation to increase the number of authorized shares of common stock</w:t>
            </w:r>
          </w:p>
        </w:tc>
        <w:tc>
          <w:tcPr>
            <w:tcW w:w="18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4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71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3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r>
      <w:tr>
        <w:trPr/>
        <w:tc>
          <w:tcPr>
            <w:tcW w:w="8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4</w:t>
            </w:r>
          </w:p>
        </w:tc>
        <w:tc>
          <w:tcPr>
            <w:tcW w:w="30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on a non-binding, advisory basis, of the compensation of our named executive officers</w:t>
            </w:r>
          </w:p>
        </w:tc>
        <w:tc>
          <w:tcPr>
            <w:tcW w:w="18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4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71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3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properly cast</w:t>
            </w:r>
          </w:p>
        </w:tc>
      </w:tr>
      <w:tr>
        <w:trPr/>
        <w:tc>
          <w:tcPr>
            <w:tcW w:w="8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5</w:t>
            </w:r>
          </w:p>
        </w:tc>
        <w:tc>
          <w:tcPr>
            <w:tcW w:w="30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Non-binding, advisory vote on the frequency of future non-binding, advisory votes on the compensation of our named executive officers</w:t>
            </w:r>
          </w:p>
        </w:tc>
        <w:tc>
          <w:tcPr>
            <w:tcW w:w="18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Year</w:t>
            </w:r>
          </w:p>
        </w:tc>
        <w:tc>
          <w:tcPr>
            <w:tcW w:w="14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71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Abstentions and broker non-votes, if any, will have no effect on the outcome of the proposal</w:t>
            </w:r>
          </w:p>
        </w:tc>
        <w:tc>
          <w:tcPr>
            <w:tcW w:w="13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Highest number of affirmative votes properly cast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How is the vote counted?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bylaws, any proposal other than an election of directors is decided by a majority of the votes properly cast for and against such proposal, except where a larger vote is required by law, our bylaws, or by our Second Amended and Restated Certificate of Incorporation, as amended to date, or charter.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Proposal No. 4 and Proposal 5 are “non-discretionary” items. If you do not instruct your broker how to vote with respect to these proposals, your broker may not vote for these proposals, and those votes will be counted as broker “non-votes.” Proposal No. 2 and Proposal No. 3 are considered to be a discretionary items, and your brokerage firm will be able to vote on these proposals even if it does not receive instructions from you.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approved, the proposal for the amendment to our charter must receive an affirmative vote by the majority of the votes cast. Abstentions and broker non-votes, if any, will have no effect on the outcome of Proposal No.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 elected, the director nominated via Proposal No. 1 must receive a plurality of the votes properly cast and entitled to vote on the proposal, meaning that the director nominee receiving the most votes will be elected (even if it is less than a majority of the votes cast). You may vote for the director nominee or withhold authority to vote your shares. Shares voting “withheld” have no effect on the election of the director. Broker non-votes will have no effect on the election of the nominee for Class I Director.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non-binding, advisory vote to approve the compensation of our named executive officers, or the say-on-pay vote, is a “non-routine” matter. If you do not instruct your broker how to vote with respect to this proposal, your broker may not vote for this proposal, and those votes will be counted as broker “non-votes.” For this proposal, a majority of the votes properly cast thereon is required to approve on a non-binding, advisory basis, the compensation of the Company’s named executive officers. Abstentions and broker non-votes, if any, will have no effect on the outcome of the vote on this proposal. Because this vote is advisory and not binding on us, our board of directors or our compensation committee in any way, our board of directors and compensation committee may decide that it is in our and our stockholders’ best interests to compensate our named executive officers in an amount or manner that differs from what is approved by our stockholders, but our board of directors and compensation committee will take into account the outcome of the vote when considering future executive compensation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non-binding, advisory vote on the frequency of future non-binding, advisory votes on the compensation of our named executive officers, or the say-on-frequency vote, is a “non-routine” matter. If you do not instruct your broker how to vote with respect to this proposal, your broker may not vote for this proposal, and those votes will be counted as broker “non-votes.” For this proposal, stockholders will not be voting to approve or disapprove of the recommendation of our board of directors on the preferred frequency of future non-binding, advisory votes on the compensation of our named executive officers.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Abstentions and broker non-votes, if any, will have no effect on the outcome of the vote on this proposal. The vote required, and the method of calculation, for each proposal at the Annual Meeting is described above.</w:t>
      </w:r>
    </w:p>
    <w:p>
      <w:pPr>
        <w:pStyle w:val="TextBody"/>
        <w:bidi w:val="0"/>
        <w:spacing w:before="240" w:after="283"/>
        <w:jc w:val="left"/>
        <w:rPr>
          <w:rFonts w:ascii="Times New Roman" w:hAnsi="Times New Roman"/>
          <w:sz w:val="20"/>
        </w:rPr>
      </w:pPr>
      <w:r>
        <w:rPr>
          <w:rFonts w:ascii="Times New Roman" w:hAnsi="Times New Roman"/>
          <w:b/>
          <w:color w:val="000000"/>
          <w:sz w:val="20"/>
        </w:rPr>
        <w:t>Who pays the cost for soliciting proxies?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bidi w:val="0"/>
        <w:spacing w:before="240" w:after="283"/>
        <w:jc w:val="left"/>
        <w:rPr>
          <w:rFonts w:ascii="Times New Roman" w:hAnsi="Times New Roman"/>
          <w:sz w:val="20"/>
        </w:rPr>
      </w:pPr>
      <w:r>
        <w:rPr>
          <w:rFonts w:ascii="Times New Roman" w:hAnsi="Times New Roman"/>
          <w:b/>
          <w:color w:val="000000"/>
          <w:sz w:val="20"/>
        </w:rPr>
        <w:t>How may stockholders submit matters for consideration at an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was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See the section titled “</w:t>
      </w:r>
      <w:r>
        <w:rPr>
          <w:rFonts w:ascii="Times New Roman" w:hAnsi="Times New Roman"/>
          <w:i/>
          <w:color w:val="000000"/>
          <w:sz w:val="20"/>
        </w:rPr>
        <w:t>Stockholder Proposals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stockholder proposal intended to be included in the proxy statement for the next annual meeting of our stockholders in 2026 must also satisfy the requirements of SEC Rule 14a-8 under the Exchange Act, and be received not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overview_of_proposals"/>
      <w:bookmarkEnd w:id="4"/>
      <w:r>
        <w:rPr>
          <w:rFonts w:ascii="Times New Roman" w:hAnsi="Times New Roman"/>
          <w:b/>
          <w:color w:val="000000"/>
          <w:sz w:val="20"/>
        </w:rPr>
        <w:t>OVERVIEW OF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Proxy Statement contains four proposals requiring stockholder action. </w:t>
      </w:r>
    </w:p>
    <w:p>
      <w:pPr>
        <w:pStyle w:val="TextBody"/>
        <w:bidi w:val="0"/>
        <w:spacing w:before="240" w:after="283"/>
        <w:jc w:val="left"/>
        <w:rPr>
          <w:rFonts w:ascii="Times New Roman" w:hAnsi="Times New Roman"/>
          <w:sz w:val="20"/>
        </w:rPr>
      </w:pPr>
      <w:r>
        <w:rPr>
          <w:rFonts w:ascii="Times New Roman" w:hAnsi="Times New Roman"/>
          <w:b/>
          <w:color w:val="000000"/>
          <w:sz w:val="20"/>
        </w:rPr>
        <w:t>Proposal No. 1 - Election of Class I Director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being asked to vote on the election of one Class I Director, Lesley Ann Calhoun, to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Proposal No. 2 - Ratification of PricewaterhouseCoopers LLP as our independent registered public accounting firm</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You are being asked to vote to ratify the appointment of PricewaterhouseCoopers LLP as our independent registered public accounting firm for the fiscal year ending December 31, 2025. </w:t>
      </w:r>
    </w:p>
    <w:p>
      <w:pPr>
        <w:pStyle w:val="TextBody"/>
        <w:bidi w:val="0"/>
        <w:spacing w:before="0" w:after="240"/>
        <w:jc w:val="left"/>
        <w:rPr>
          <w:rFonts w:ascii="Times New Roman" w:hAnsi="Times New Roman"/>
          <w:sz w:val="20"/>
        </w:rPr>
      </w:pPr>
      <w:r>
        <w:rPr>
          <w:rFonts w:ascii="Times New Roman" w:hAnsi="Times New Roman"/>
          <w:b/>
          <w:color w:val="000000"/>
          <w:sz w:val="20"/>
        </w:rPr>
        <w:t>Proposal No. 3 – Approval of an Amendment to our Second Amended and Restated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are being asked to vote to approve an amendment to our Second Amended and Restated Certificate of Incorporation to increase the number of authorized shares of common stock.</w:t>
      </w:r>
    </w:p>
    <w:p>
      <w:pPr>
        <w:pStyle w:val="TextBody"/>
        <w:bidi w:val="0"/>
        <w:jc w:val="left"/>
        <w:rPr>
          <w:rFonts w:ascii="Times New Roman" w:hAnsi="Times New Roman"/>
          <w:b/>
          <w:color w:val="000000"/>
          <w:sz w:val="20"/>
        </w:rPr>
      </w:pPr>
      <w:r>
        <w:rPr>
          <w:rFonts w:ascii="Times New Roman" w:hAnsi="Times New Roman"/>
          <w:b/>
          <w:color w:val="000000"/>
          <w:sz w:val="20"/>
        </w:rPr>
        <w:t>Proposal No. 4 – Non-binding, advisory vote on the compensation of our named executive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You are being asked to vote on a non-binding, advisory basis, to approve the compensation of our named executive officers. </w:t>
      </w:r>
    </w:p>
    <w:p>
      <w:pPr>
        <w:pStyle w:val="TextBody"/>
        <w:bidi w:val="0"/>
        <w:spacing w:before="240" w:after="240"/>
        <w:jc w:val="left"/>
        <w:rPr>
          <w:rFonts w:ascii="Times New Roman" w:hAnsi="Times New Roman"/>
          <w:sz w:val="20"/>
        </w:rPr>
      </w:pPr>
      <w:r>
        <w:rPr>
          <w:rFonts w:ascii="Times New Roman" w:hAnsi="Times New Roman"/>
          <w:b/>
          <w:color w:val="000000"/>
          <w:sz w:val="20"/>
        </w:rPr>
        <w:t>Proposal No. 5 – Non-binding, advisory vote on the frequency of future advisory votes on executive compensation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are being asked to vote on a non-binding, advisory basis, on the frequency of future advisory votes on executive compensation.</w:t>
      </w:r>
    </w:p>
    <w:p>
      <w:pPr>
        <w:pStyle w:val="TextBody"/>
        <w:bidi w:val="0"/>
        <w:jc w:val="left"/>
        <w:rPr>
          <w:rFonts w:ascii="Times New Roman" w:hAnsi="Times New Roman"/>
          <w:sz w:val="20"/>
        </w:rPr>
      </w:pPr>
      <w:r>
        <w:rPr>
          <w:rFonts w:ascii="Times New Roman" w:hAnsi="Times New Roman"/>
          <w:color w:val="000000"/>
          <w:sz w:val="20"/>
        </w:rPr>
        <w:t xml:space="preserve">The board of directors recommends that you vote </w:t>
      </w:r>
      <w:r>
        <w:rPr>
          <w:rFonts w:ascii="Times New Roman" w:hAnsi="Times New Roman"/>
          <w:b/>
          <w:color w:val="000000"/>
          <w:sz w:val="20"/>
        </w:rPr>
        <w:t>FOR</w:t>
      </w:r>
      <w:r>
        <w:rPr>
          <w:rFonts w:ascii="Times New Roman" w:hAnsi="Times New Roman"/>
          <w:color w:val="000000"/>
          <w:sz w:val="20"/>
        </w:rPr>
        <w:t xml:space="preserve"> the director nominee in Proposal 1 and </w:t>
      </w:r>
      <w:r>
        <w:rPr>
          <w:rFonts w:ascii="Times New Roman" w:hAnsi="Times New Roman"/>
          <w:b/>
          <w:color w:val="000000"/>
          <w:sz w:val="20"/>
        </w:rPr>
        <w:t>FOR</w:t>
      </w:r>
      <w:r>
        <w:rPr>
          <w:rFonts w:ascii="Times New Roman" w:hAnsi="Times New Roman"/>
          <w:color w:val="000000"/>
          <w:sz w:val="20"/>
        </w:rPr>
        <w:t xml:space="preserve"> Proposal No. 2, Proposal No. 3, and Proposal No. 4. The board of directors unanimously recommends a vote, on a non-binding, advisory basis, for “</w:t>
      </w:r>
      <w:r>
        <w:rPr>
          <w:rFonts w:ascii="Times New Roman" w:hAnsi="Times New Roman"/>
          <w:b/>
          <w:color w:val="000000"/>
          <w:sz w:val="20"/>
        </w:rPr>
        <w:t>ONE YEAR</w:t>
      </w:r>
      <w:r>
        <w:rPr>
          <w:rFonts w:ascii="Times New Roman" w:hAnsi="Times New Roman"/>
          <w:color w:val="000000"/>
          <w:sz w:val="20"/>
        </w:rPr>
        <w:t>” as the preferred frequency for future non-binding, advisory votes on the compensation of our named executed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proposals listed above is discussed in more detail in the pages that follow.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roposal_no_1"/>
      <w:bookmarkEnd w:id="5"/>
      <w:r>
        <w:rPr>
          <w:rFonts w:ascii="Times New Roman" w:hAnsi="Times New Roman"/>
          <w:b/>
          <w:caps/>
          <w:color w:val="000000"/>
          <w:sz w:val="20"/>
        </w:rPr>
        <w:t>PROPOSAL NO. 1 – ELECTION OF CLASS I DIRECTOR</w:t>
      </w:r>
      <w:r>
        <w:rPr>
          <w:rFonts w:ascii="Times New Roman" w:hAnsi="Times New Roman"/>
          <w:caps/>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board of directors currently consists of seven members. In accordance with the terms of our charter and bylaws, our board of directors is divided into three classes – Class I, Class II and Class III – with members of each class serving staggered three-year terms. </w:t>
      </w:r>
    </w:p>
    <w:p>
      <w:pPr>
        <w:pStyle w:val="TextBody"/>
        <w:bidi w:val="0"/>
        <w:jc w:val="left"/>
        <w:rPr>
          <w:rFonts w:ascii="Times New Roman" w:hAnsi="Times New Roman"/>
          <w:color w:val="000000"/>
          <w:sz w:val="20"/>
        </w:rPr>
      </w:pPr>
      <w:r>
        <w:rPr>
          <w:rFonts w:ascii="Times New Roman" w:hAnsi="Times New Roman"/>
          <w:color w:val="000000"/>
          <w:sz w:val="20"/>
        </w:rPr>
        <w:t>One director has been nominated for election at the Annual Meeting to serve until the 2028 annual meeting of stockholders and until her successor has been duly elected and qualified. In the event the nominee is unable to serve as a director, the shares represented by the proxy will be voted for such other candidate, if any, who is nominated by the board of directors to replace the nominee. The nominee has consented to be named in the proxy statement and has indicated her intent to serve if elected. The board of directors has no reason to believe that the nominee will be unable to serve. Pursuant to our bylaws, directors are elected by plurality vote in uncontested director elections such as this one. The number of candidates for election as Class I Directors at the Annual Meeting is the same as the number of Class I Directors to be elected at the Annual Meeting. Therefore, this is an uncontested election and the director will be elected by the affirmative vote of a plurality of the votes properly cast by the shares present or represented and entitled to vote at the Annual Meeting, in person or by proxy. The nominee for election as director is identified in this proxy statement.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our current directors, their respective term on the board of directors, ages and positions as of April 8, 2025. Director service dates in the table below and elsewhere in this proxy statement reflect the periods such director commenced director service with Tango prior to the completion of the Business Combination (as described below). </w:t>
      </w:r>
    </w:p>
    <w:tbl>
      <w:tblPr>
        <w:tblW w:w="8399" w:type="dxa"/>
        <w:jc w:val="left"/>
        <w:tblInd w:w="0" w:type="dxa"/>
        <w:tblLayout w:type="fixed"/>
        <w:tblCellMar>
          <w:top w:w="28" w:type="dxa"/>
          <w:left w:w="28" w:type="dxa"/>
          <w:bottom w:w="28" w:type="dxa"/>
          <w:right w:w="28" w:type="dxa"/>
        </w:tblCellMar>
      </w:tblPr>
      <w:tblGrid>
        <w:gridCol w:w="1861"/>
        <w:gridCol w:w="146"/>
        <w:gridCol w:w="146"/>
        <w:gridCol w:w="286"/>
        <w:gridCol w:w="146"/>
        <w:gridCol w:w="146"/>
        <w:gridCol w:w="3466"/>
        <w:gridCol w:w="146"/>
        <w:gridCol w:w="205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Served as a Director Since</w:t>
            </w:r>
          </w:p>
        </w:tc>
      </w:tr>
      <w:tr>
        <w:trPr/>
        <w:tc>
          <w:tcPr>
            <w:tcW w:w="6197" w:type="dxa"/>
            <w:gridSpan w:val="7"/>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 Directors with terms that will expire at the Annual Meeting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Lesley Ann Calhoun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6197" w:type="dxa"/>
            <w:gridSpan w:val="7"/>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 Directors with terms that will expire at the 2026 Annual Meeting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Malte Peters,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2018</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Mace Rothenberg,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2021</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Kanishka Pothula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2023</w:t>
            </w:r>
          </w:p>
        </w:tc>
      </w:tr>
      <w:tr>
        <w:trPr/>
        <w:tc>
          <w:tcPr>
            <w:tcW w:w="6197" w:type="dxa"/>
            <w:gridSpan w:val="7"/>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III Directors with terms that will expire at the 2027 Annual Meeting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Alexis Borisy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1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Ketchum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2023</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bidi w:val="0"/>
        <w:spacing w:before="240" w:after="283"/>
        <w:jc w:val="left"/>
        <w:rPr>
          <w:rFonts w:ascii="Times New Roman" w:hAnsi="Times New Roman"/>
          <w:sz w:val="20"/>
        </w:rPr>
      </w:pPr>
      <w:r>
        <w:rPr>
          <w:rFonts w:ascii="Times New Roman" w:hAnsi="Times New Roman"/>
          <w:b/>
          <w:color w:val="000000"/>
          <w:sz w:val="20"/>
        </w:rPr>
        <w:t>Nominee for Election as Class I</w:t>
      </w:r>
      <w:r>
        <w:rPr>
          <w:rFonts w:ascii="Times New Roman" w:hAnsi="Times New Roman"/>
          <w:color w:val="000000"/>
          <w:sz w:val="20"/>
        </w:rPr>
        <w:t xml:space="preserve"> </w:t>
      </w:r>
      <w:r>
        <w:rPr>
          <w:rFonts w:ascii="Times New Roman" w:hAnsi="Times New Roman"/>
          <w:b/>
          <w:color w:val="000000"/>
          <w:sz w:val="20"/>
        </w:rPr>
        <w:t>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nominated Lesley Ann Calhoun for election as a Class I Director to serve for a three-year term ending at the 2028 annual meeting of stockholders and until her successor is elected and qualified. Ms. Calhoun is a current member of our board of directors and has consented to serve if elected. </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stockholder has one vote per share. Stockholders do not have the right to vote cumulatively in electing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nominee for Class I Director who receives the most votes (also known as a plurality) will be elected. You may vote either FOR the nominee or WITHHOLD your vote from the nominee. Shares voting “withheld” will have no effect on the election of a director. If your shares are held in “street name” by a broker, bank or other nominee, your broker, bank or other nominee does not have authority to vote your unvoted shares held by the firm for the election of a director. As a result, any shares not voted by you will be treated as a broker non-vote. Such broker non-votes will have no effect on the results of this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proxies will be voted in favor of the above nominee unless a contrary specification is made in the proxy. The nominee has consented to serve as our director if elected. However, if the nominee is unable to serve or for good cause will not serve as a director, the proxies will be voted for the election of such substitute nominee as our board of directors may designate.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the election of Lesley Ann Calhoun as a Class I Director, to serve for a three-year term ending at the annual meeting of stockholders to be held in 2028.</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6" w:name="general_information_about_the_board"/>
      <w:bookmarkEnd w:id="6"/>
      <w:r>
        <w:rPr>
          <w:rFonts w:ascii="Times New Roman" w:hAnsi="Times New Roman"/>
          <w:b/>
          <w:color w:val="000000"/>
          <w:sz w:val="20"/>
        </w:rPr>
        <w:t>GENERAL INFORMATION ABOUT THE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Combination).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the Class I Director, at the annual meeting of stockholders to be held during the year 2026 for Class II Directors and at the annual meeting of stockholders to be held during the year 2027 for Class III Directors. Lesley Ann Calhoun currently serves as our Class I Director, Malte Peters, M.D., Mace Rothenberg, M.D. and Kanishka Pothula currently serve as our Class II Directors and Alexis Borisy, John Ketchum and Barbara Weber, M.D. currently serve as our Class III Directors. </w:t>
      </w:r>
    </w:p>
    <w:p>
      <w:pPr>
        <w:pStyle w:val="TextBody"/>
        <w:bidi w:val="0"/>
        <w:jc w:val="left"/>
        <w:rPr>
          <w:rFonts w:ascii="Times New Roman" w:hAnsi="Times New Roman"/>
          <w:color w:val="000000"/>
          <w:sz w:val="20"/>
        </w:rPr>
      </w:pPr>
      <w:r>
        <w:rPr>
          <w:rFonts w:ascii="Times New Roman" w:hAnsi="Times New Roman"/>
          <w:color w:val="000000"/>
          <w:sz w:val="20"/>
        </w:rPr>
        <w:t>Our charter and bylaws provide that the number of directors shall be fixed solely and exclusively by a resolution adopted from time to time by our board of directors.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 Director Nominee for Election for a Three-Year Term Ending at the 2028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Lesley Ann Calhoun</w:t>
      </w:r>
      <w:r>
        <w:rPr>
          <w:rFonts w:ascii="Times New Roman" w:hAnsi="Times New Roman"/>
          <w:color w:val="000000"/>
          <w:sz w:val="20"/>
        </w:rPr>
        <w:t xml:space="preserve"> has served as a member of our board of directors since March 2021. Since June 2020, Ms. Calhoun has served as Executive Vice President and Chief Financial Officer at Aligos Therapeutics, Inc., (NASDAQ: ALGS), or Aligos, a clinical stage biopharmaceutical company; in January 2025, she was also appointed Chief Operating Officer at Aligos. From August 2016 to June 2020, Ms. Calhoun served as Senior Vice President of Finance &amp; Administration and Chief Accounting Officer at Global Blood Therapeutics, Inc. (NASDAQ: GBT). From January 2013 to September 2015, Ms. Calhoun served as Vice President of Finance at Hyperion Therapeutics, Inc., a commercial pharmaceutical company that was acquired by Horizon Pharma plc, a biopharmaceutical company, in May 2015. Ms. Calhoun served as Senior Director of Finance and Corporate Controller at Theravance, Inc. (NASDAQ: TBPH),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companies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pStyle w:val="TextBody"/>
        <w:bidi w:val="0"/>
        <w:jc w:val="left"/>
        <w:rPr>
          <w:rFonts w:ascii="Times New Roman" w:hAnsi="Times New Roman"/>
          <w:b/>
          <w:color w:val="000000"/>
          <w:sz w:val="20"/>
        </w:rPr>
      </w:pPr>
      <w:r>
        <w:rPr>
          <w:rFonts w:ascii="Times New Roman" w:hAnsi="Times New Roman"/>
          <w:b/>
          <w:color w:val="000000"/>
          <w:sz w:val="20"/>
        </w:rPr>
        <w:t>Class II Directors Continuing in Office Until the 2026 Annual Meeting</w:t>
      </w:r>
    </w:p>
    <w:p>
      <w:pPr>
        <w:pStyle w:val="TextBody"/>
        <w:bidi w:val="0"/>
        <w:spacing w:before="240" w:after="240"/>
        <w:jc w:val="left"/>
        <w:rPr>
          <w:rFonts w:ascii="Times New Roman" w:hAnsi="Times New Roman"/>
          <w:sz w:val="20"/>
        </w:rPr>
      </w:pPr>
      <w:r>
        <w:rPr>
          <w:rFonts w:ascii="Times New Roman" w:hAnsi="Times New Roman"/>
          <w:i/>
          <w:color w:val="000000"/>
          <w:sz w:val="20"/>
        </w:rPr>
        <w:t>Malte Peters, M.D.</w:t>
      </w:r>
      <w:r>
        <w:rPr>
          <w:rFonts w:ascii="Times New Roman" w:hAnsi="Times New Roman"/>
          <w:color w:val="000000"/>
          <w:sz w:val="20"/>
        </w:rPr>
        <w:t>, has served on our board of directors since September 2018. Dr. Peters has been Chief Executive Officer of HOOKIPA Pharma Inc. (NASDAQ: HOOK), or HOOKIPA, a clinical stage biopharmaceutical company, since July 2024. In December 2022, Dr. Peters joined the board of directors of HOOKIPA, where he also served as an interim Senior Clinical Advisor from November 2023 to July 2024.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Peters’s extensive knowledge of the biotechnology industry makes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Mace Rothenberg, M.D., </w:t>
      </w:r>
      <w:r>
        <w:rPr>
          <w:rFonts w:ascii="Times New Roman" w:hAnsi="Times New Roman"/>
          <w:color w:val="000000"/>
          <w:sz w:val="20"/>
        </w:rPr>
        <w:t xml:space="preserve">has served on our board of directors since March 2021. Dr. Rothenberg currently serves as the President and Executive Director of the Museum of Medicine and Biomedical Discovery, a position he has held since September 2022. Dr. Rothenberg was previously at Pfizer, Inc., a pharmaceutical company, where he served as Chief Medical Officer and Head of Worldwide Medical and Safety from 2019 to 2021, Chief Development Officer for Oncology from 2016 to 2018, and Senior Vice President for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(NASDAQ: SRZN), a biotechnology company discovering and developing drug candidates to selectively modulate the Wnt pathway, since May 2021, Aulos Bioscience, a privately-held immuno-oncology company, since March 2021, and Chiara Biosciences, a privately-held biotechnology company, since January 2023. Dr. Rothenberg received his B.A. from the University of Pennsylvania and his M.D. from the New York University School of Medicine. He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Kanishka Pothula</w:t>
      </w:r>
      <w:r>
        <w:rPr>
          <w:rFonts w:ascii="Times New Roman" w:hAnsi="Times New Roman"/>
          <w:color w:val="000000"/>
          <w:sz w:val="20"/>
        </w:rPr>
        <w:t xml:space="preserve"> has served as a member of our board of directors since November 2023. Mr. Pothula joined Nextech Ventures (US), an affiliate of Nextech Invest, in March 2023 and currently serves as a Managing Partner. Prior to joining Nextech Ventures (US), Mr. Pothula spent eleven years at BVF Partners, a biotechnology-focused hedge fund, where he served various roles throughout his tenure, most recently as Managing Partner. Mr. Pothula holds a M.S. in biotechnology from Georgetown University and a B.S. in bioengineering from the University of California, San Diego. We believe that Mr. Pothula’s extensive experience in finance and the life sciences industry make him qualified to serve on our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Class III Directors Continuing in Office Until the 2027 Annual Meeting</w:t>
      </w:r>
    </w:p>
    <w:p>
      <w:pPr>
        <w:pStyle w:val="TextBody"/>
        <w:bidi w:val="0"/>
        <w:spacing w:before="0" w:after="240"/>
        <w:jc w:val="left"/>
        <w:rPr>
          <w:rFonts w:ascii="Times New Roman" w:hAnsi="Times New Roman"/>
          <w:sz w:val="20"/>
        </w:rPr>
      </w:pPr>
      <w:r>
        <w:rPr>
          <w:rFonts w:ascii="Times New Roman" w:hAnsi="Times New Roman"/>
          <w:i/>
          <w:color w:val="000000"/>
          <w:sz w:val="20"/>
        </w:rPr>
        <w:t>Alexis Borisy</w:t>
      </w:r>
      <w:r>
        <w:rPr>
          <w:rFonts w:ascii="Times New Roman" w:hAnsi="Times New Roman"/>
          <w:color w:val="000000"/>
          <w:sz w:val="20"/>
        </w:rPr>
        <w:t xml:space="preserve"> has served as a member of our board of directors since our founding in 2017 and as the chairman of the board of directors since August 2021. Mr. Borisy is the co-founder and operating chairman of Curie.Bio, a new model for venture in biotech that Mr. Borisy founded in 2022. In 2022, Mr. Borisy co-founded IDRx, Inc., a biopharmaceutical company (which was acquired by GlaxoSmithKline, LLC in February 2025) and did the initial build through Borisy Labs Production, LLC. Also in 2022, Mr. Borisy became a director of Nextech Invest, a Swiss-based venture firm, where he also serves as Chairman. Prior to its acquisition by Revolution Medicines, Inc. (NASDAQ: RVMD), Mr. Borisy served as Chief Executive Officer and Chairman of EQRx, Inc., (formerly NASDAQ: EQRX), a biotechnology company, from June 2019 to November 2023.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Mr. Borisy serves as a member of the board of directors of Relay Therapeutics, Inc. (NASDAQ: RLAY), Revolution Medicines, Inc. (NASDAQ: RVMD), and Blueprint Medicines (NASDAQ: BPMC). Mr. Borisy previously served on the board of directors of OPKO Health Inc. (NASDAQ: OPKO) and Magenta Therapeutics (formerly NASDAQ: MGTA, prior to its acquisition by Dianthus Therapeutics, Inc.).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pStyle w:val="TextBody"/>
        <w:bidi w:val="0"/>
        <w:jc w:val="left"/>
        <w:rPr>
          <w:rFonts w:ascii="Times New Roman" w:hAnsi="Times New Roman"/>
          <w:sz w:val="20"/>
        </w:rPr>
      </w:pPr>
      <w:r>
        <w:rPr>
          <w:rFonts w:ascii="Times New Roman" w:hAnsi="Times New Roman"/>
          <w:i/>
          <w:color w:val="000000"/>
          <w:sz w:val="20"/>
        </w:rPr>
        <w:t>John Ketchum</w:t>
      </w:r>
      <w:r>
        <w:rPr>
          <w:rFonts w:ascii="Times New Roman" w:hAnsi="Times New Roman"/>
          <w:color w:val="000000"/>
          <w:sz w:val="20"/>
        </w:rPr>
        <w:t xml:space="preserve"> has served as a member of our board of directors since August 2023. Since 2018, Mr. Ketchum has operated Bonnieview Consulting, LLC, a consulting agency that provides strategic and business services to pharmaceutical and biotech companies from research and development to full commercialization stages. In 2019, Mr. Ketchum founded, and continues to provide advisory services to, CureLeads, a company that provides a range of services for biomedical firms commercializing specialty drugs in the Middle East and North Africa. From 1996 to 2017, Mr. Ketchum held various positions at Novartis International AG, including as Senior Vice President, Region Head, Emerging Growth Markets from 2014 to 2017 and Senior Vice President, Region Head, Latin America, from 2014 to 2017. Mr. Ketchum serves as an advisor and the Chairman of the Board of Ernest Pharmaceuticals LLC, a privately held oncology company. Mr. Ketchum received his B.A. from Hamilton College and his M.B.A. from the University of North Carolina at Chapel Hill. We believe Mr. Ketchum's industry experience and life science expertise, including his extensive work in commercializing pharmaceuticals in the U.S. and in international markets, make him qualified to serve on our board of directors.</w:t>
      </w:r>
    </w:p>
    <w:p>
      <w:pPr>
        <w:pStyle w:val="TextBody"/>
        <w:bidi w:val="0"/>
        <w:spacing w:before="240" w:after="240"/>
        <w:jc w:val="left"/>
        <w:rPr>
          <w:rFonts w:ascii="Times New Roman" w:hAnsi="Times New Roman"/>
          <w:sz w:val="20"/>
        </w:rPr>
      </w:pPr>
      <w:r>
        <w:rPr>
          <w:rFonts w:ascii="Times New Roman" w:hAnsi="Times New Roman"/>
          <w:i/>
          <w:color w:val="000000"/>
          <w:sz w:val="20"/>
        </w:rPr>
        <w:t>Barbara Weber, M.D.</w:t>
      </w:r>
      <w:r>
        <w:rPr>
          <w:rFonts w:ascii="Times New Roman" w:hAnsi="Times New Roman"/>
          <w:color w:val="000000"/>
          <w:sz w:val="20"/>
        </w:rPr>
        <w:t xml:space="preserve"> has served as our President and Chief Executive Officer since March 2017. Dr. Weber was a Venture Partner at Third Rock Ventures from March 2015 until June 2022, during which time she led the formation of the Company. Previously, Dr. Weber served as Senior Vice President, Oncology Translational Medicine, Novartis from 2009 to 2015, Vice President, Oncology, GSK plc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served as a director of OPY Acquisition Corp. I (NASDAQ: OHAA), a special purpose acquisition company from October 2021 to December 2023. Dr. Weber received a B.S. in Chemistry and an M.D. from the University of Washington, and was a resident in internal medicine at Yale University and a fellow in Medical Oncology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Dana-Farber Cancer Institute. We believe Dr. Weber is qualified to serve on our board based on her position as our President and Chief Executive Officer, her leadership experience and her extensive experience in the biopharmaceutical industry.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jc w:val="left"/>
        <w:rPr>
          <w:rFonts w:ascii="Times New Roman" w:hAnsi="Times New Roman"/>
          <w:color w:val="000000"/>
          <w:sz w:val="20"/>
        </w:rPr>
      </w:pPr>
      <w:r>
        <w:rPr>
          <w:rFonts w:ascii="Times New Roman" w:hAnsi="Times New Roman"/>
          <w:color w:val="000000"/>
          <w:sz w:val="20"/>
        </w:rPr>
        <w:t>The rules of the Nasdaq market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Adverse Proceedings</w:t>
      </w:r>
    </w:p>
    <w:p>
      <w:pPr>
        <w:pStyle w:val="TextBody"/>
        <w:bidi w:val="0"/>
        <w:jc w:val="left"/>
        <w:rPr>
          <w:rFonts w:ascii="Times New Roman" w:hAnsi="Times New Roman"/>
          <w:color w:val="000000"/>
          <w:sz w:val="20"/>
        </w:rPr>
      </w:pPr>
      <w:r>
        <w:rPr>
          <w:rFonts w:ascii="Times New Roman" w:hAnsi="Times New Roman"/>
          <w:color w:val="000000"/>
          <w:sz w:val="20"/>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7" w:name="corporate_governance"/>
      <w:bookmarkEnd w:id="7"/>
      <w:r>
        <w:rPr>
          <w:rFonts w:ascii="Times New Roman" w:hAnsi="Times New Roman"/>
          <w:b/>
          <w:caps/>
          <w:color w:val="000000"/>
          <w:sz w:val="20"/>
        </w:rPr>
        <w:t>CORPORATE GOVERNANCE</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charter is reviewed on an annual basis by the applicable committee and any changes are approved by the board of directors. Each committee charter is posted on our website, www.tangotx.com, under the “Governance” subsection of the “Investors” section. The current members of our audit committee are Lesley Ann Calhoun, Kanishka Pothula and Alexis Borisy; Lesley Ann Calhoun serves as the chairperson of the audit committee. The current members of our compensation committee are Malte Peters, Mace Rothenberg and John Ketchum; Malte Peters is the chairperson of the compensation committee. The current members of our nominating and corporate governance committee are Mace Rothenberg, Kanishka Pothula and Lesley Ann Calhoun; Mace Rothenberg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2024, our board of directors held four meetings. During 2024,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members of the board of directors then in office attended the annual meeting of stockholders on June 5, 2024.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currently consists of Lesley Ann Calhoun, Kanishka Pothula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2024.</w:t>
      </w:r>
    </w:p>
    <w:p>
      <w:pPr>
        <w:pStyle w:val="TextBody"/>
        <w:bidi w:val="0"/>
        <w:jc w:val="left"/>
        <w:rPr>
          <w:rFonts w:ascii="Times New Roman" w:hAnsi="Times New Roman"/>
          <w:color w:val="000000"/>
          <w:sz w:val="20"/>
        </w:rPr>
      </w:pPr>
      <w:r>
        <w:rPr>
          <w:rFonts w:ascii="Times New Roman" w:hAnsi="Times New Roman"/>
          <w:color w:val="000000"/>
          <w:sz w:val="20"/>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helping our board of directors oversee corporate accounting and financial reporting processes;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managing the selection, engagement and qualifications of a qualified firm to serve as the independent registered public accounting firm to audit our financial statements;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helping to ensure the independence and performance of the independent registered public accounting firm;</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procedures for employees to submit concerns anonymously about questionable accounting or audit matters;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policies on financial risk assessment and financial risk management, as well as discussing with management the guidelines and policies that govern the process by which the Company's exposure to risks, including financial, operational, privacy, security, cybersecurity, competition, legal, regulatory, hedging and accounting, is assessed and managed by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related party transactions;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approving (or, as permitted, pre-approving) all audit and all permissible non-audit service to be performed by the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jc w:val="left"/>
        <w:rPr>
          <w:rFonts w:ascii="Times New Roman" w:hAnsi="Times New Roman"/>
          <w:color w:val="000000"/>
          <w:sz w:val="20"/>
        </w:rPr>
      </w:pPr>
      <w:r>
        <w:rPr>
          <w:rFonts w:ascii="Times New Roman" w:hAnsi="Times New Roman"/>
          <w:color w:val="000000"/>
          <w:sz w:val="20"/>
        </w:rPr>
        <w:t>Our compensation committee currently consists of Malte Peters, Mace Rothenberg and John Ketchum. Our board has determined that each member of our compensation committee is independent under Nasdaq listing standards and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responsibilities of our compensation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approving, or recommending that our board approve, the compensation of our executive officers and senior management;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recommending to our board the compensation of our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administering our stock and equity incentive plans;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selecting independent compensation consultants and assessing whether there are any conflicts of interest with any of the committee’s compensation advisors;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reviewing and establishing general policies relating to compensation and benefits of our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Peters, Dr. Rothenberg and Mr. Ketchum served on the compensation committee during the year ended December 31, 2024.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nominating and corporate governance committee currently consists of Mace Rothenberg, Kanishka Pothula, and Lesley Ann Calhoun. Our board has determined each member is independent under Nasdaq listing standards. The chairperson of the nominating and corporate governance committee is Mace Rothenberg. The nominating and corporate governance committee held two meetings during 2024. </w:t>
      </w:r>
    </w:p>
    <w:p>
      <w:pPr>
        <w:pStyle w:val="TextBody"/>
        <w:bidi w:val="0"/>
        <w:jc w:val="left"/>
        <w:rPr>
          <w:rFonts w:ascii="Times New Roman" w:hAnsi="Times New Roman"/>
          <w:color w:val="000000"/>
          <w:sz w:val="20"/>
        </w:rPr>
      </w:pPr>
      <w:r>
        <w:rPr>
          <w:rFonts w:ascii="Times New Roman" w:hAnsi="Times New Roman"/>
          <w:color w:val="000000"/>
          <w:sz w:val="20"/>
        </w:rPr>
        <w:t>Specific responsibilities of our nominating and corporate governance committee include: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identifying, evaluating and selecting, or recommending that our board approve, nominees for election to our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performance of our board and of individual directors;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the adequacy of our corporate governance practices and reporting;</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overseeing the environmental, social and governance, or ESG, programs and policies, the scope of risk related to such matters, and the potential risks and liabilities related thereto;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developing and making recommendations to our board regarding corporate governance guidelines and matters.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Role of Our Board of Directors in Risk Oversight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One of the key functions of our board of directors is informed oversight of our risk management process. Our board does not have a standing risk management committee, but rather administers this oversight function directly through our board as a whole, as well as through its standing committees. In particular, our board is responsible for monitoring and assessing strategic risk exposure. Our audit committee oversees the policies and programs relating to our financial and accounting systems, accounting policies, and our internal audit function. It also is responsible for appointing our independent auditor and considering and discussing our major risk exposures (including financial, operational, privacy, security, cybersecurity, competition, legal, regulatory, hedging and accounting) and the steps that the Company’s management has taken to monitor and, to the extent practicable, control such exposures. Our audit committee also monitors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compliance with legal and regulatory requirements and evaluates risk associated with related party transactions. Our compensation committee assesses and monitors whether our compensation plans, policies and programs comply with applicable legal and regulatory requirements and whether our compensation program may encourage excessive risk-taking. </w:t>
      </w:r>
      <w:r>
        <w:rPr>
          <w:rFonts w:ascii="Times New Roman" w:hAnsi="Times New Roman"/>
          <w:color w:val="212529"/>
          <w:sz w:val="20"/>
        </w:rPr>
        <w:t>Our nominating and corporate governance committee oversees risks related to our governance structure and our environmental, social and governance risk.</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board of directors encourages management to promote a culture that incorporates risk management into our day-to-day business operations. Management discusses strategic and operational risks at regular meetings, and throughout the year, reviews these risks with the board of directors as part of management presentations focusing on particular business functions, operations or strategies, including the steps taken by management to mitigate or eliminate such risks.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an annual basis, the management team conducts an enterprise risk assessment to identify the significant risks related to our corporate operations and strategic goals. This assessment includes meetings with our executive committee and functional leaders throughout the organization, a review with the management team of the most significant risks, the identification of a management team member responsible for oversight of each applicable risk and an overview of risk mitigation procedures (if applicable). The results of the annual enterprise risk assessment are presented to the audit committee.</w:t>
      </w:r>
      <w:r>
        <w:rPr>
          <w:rFonts w:ascii="Arial" w:hAnsi="Arial"/>
          <w:color w:val="212529"/>
          <w:sz w:val="24"/>
        </w:rPr>
        <w:br/>
      </w:r>
      <w:r>
        <w:rPr>
          <w:rFonts w:ascii="Times New Roman" w:hAnsi="Times New Roman"/>
          <w:color w:val="212529"/>
          <w:sz w:val="20"/>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Separation of the Roles of Chairman and Chief Executive Officer</w:t>
      </w:r>
    </w:p>
    <w:p>
      <w:pPr>
        <w:pStyle w:val="TextBody"/>
        <w:bidi w:val="0"/>
        <w:jc w:val="left"/>
        <w:rPr>
          <w:rFonts w:ascii="Times New Roman" w:hAnsi="Times New Roman"/>
          <w:color w:val="212529"/>
          <w:sz w:val="20"/>
        </w:rPr>
      </w:pPr>
      <w:r>
        <w:rPr>
          <w:rFonts w:ascii="Times New Roman" w:hAnsi="Times New Roman"/>
          <w:color w:val="212529"/>
          <w:sz w:val="20"/>
        </w:rPr>
        <w:t>Our governing documents permit the roles of chairman of the board and Chief Executive Officer, or CEO, to be filled by the same or different individuals. Our board recognizes that one of its key responsibilities is to periodically evaluate the optimal leadership structure to ensure the board is operating efficiently, effectively, and in the best interests of the Company and its shareholders. The board values the flexibility to determine the optimal model for board leadership at any given time.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At this time, the board has chosen to separate the roles of chairman of the board, held by Alexis Borisy, and CEO, held by Dr. Weber. The board believes that separating these roles is the most appropriate structure for Tango and its shareholders at this time. </w:t>
      </w:r>
      <w:r>
        <w:rPr>
          <w:rFonts w:ascii="Times New Roman" w:hAnsi="Times New Roman"/>
          <w:color w:val="212529"/>
          <w:sz w:val="20"/>
        </w:rPr>
        <w:t xml:space="preserve">Separating these positions allows our CEO to focus on our day-to-day business operations and company performance, while the chairman focuses on independent oversight and key strategic decisions while also supporting our supporting our board’s oversight of risk and other key governance matters.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Code of Ethics</w:t>
      </w:r>
    </w:p>
    <w:p>
      <w:pPr>
        <w:pStyle w:val="TextBody"/>
        <w:bidi w:val="0"/>
        <w:jc w:val="left"/>
        <w:rPr>
          <w:rFonts w:ascii="Times New Roman" w:hAnsi="Times New Roman"/>
          <w:color w:val="000000"/>
          <w:sz w:val="20"/>
        </w:rPr>
      </w:pPr>
      <w:r>
        <w:rPr>
          <w:rFonts w:ascii="Times New Roman" w:hAnsi="Times New Roman"/>
          <w:color w:val="000000"/>
          <w:sz w:val="20"/>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Form 8-K with the SEC, disclosing such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240" w:after="283"/>
        <w:jc w:val="left"/>
        <w:rPr>
          <w:rFonts w:ascii="Times New Roman" w:hAnsi="Times New Roman"/>
          <w:sz w:val="20"/>
        </w:rPr>
      </w:pPr>
      <w:r>
        <w:rPr>
          <w:rFonts w:ascii="Times New Roman" w:hAnsi="Times New Roman"/>
          <w:color w:val="000000"/>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 I</w:t>
      </w:r>
      <w:r>
        <w:rPr>
          <w:rFonts w:ascii="Times New Roman" w:hAnsi="Times New Roman"/>
          <w:color w:val="010101"/>
          <w:sz w:val="20"/>
        </w:rPr>
        <w:t xml:space="preserve">t is also the policy of the Company to comply with all applicable securities laws when transacting in its own securities. </w:t>
      </w:r>
      <w:r>
        <w:rPr>
          <w:rFonts w:ascii="Times New Roman" w:hAnsi="Times New Roman"/>
          <w:color w:val="000000"/>
          <w:sz w:val="20"/>
        </w:rPr>
        <w:t>We believe that our policies and procedures are reasonably designed to promote compliance</w:t>
      </w:r>
      <w:r>
        <w:rPr>
          <w:rFonts w:ascii="Times New Roman" w:hAnsi="Times New Roman"/>
          <w:color w:val="010101"/>
          <w:sz w:val="20"/>
        </w:rPr>
        <w:t xml:space="preserve"> with insider trading laws, any applicable securities laws, rules, regulations and any exchange listing standards.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its charter, the nominating and corporate governance committee requires the following qualifications to be satisfied by any nominee for a position on the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High standards of personal and professional ethics and integrity;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Proven achievement and competence in the nominee’s field and the ability to exercise sound business judgment;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Skills that are complementary to those of members of the existing board;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ability to assist and support management and make significant contributions to the Company’s success;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 understanding of the fiduciary responsibilities required of a director and a commitment to devote the time and energy necessary to perform those responsibilities.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 Communications with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interested party who wishes to communicate with our board of directors or our board chairman may submit a written communication to the attention of such director at the following address:</w:t>
      </w:r>
    </w:p>
    <w:p>
      <w:pPr>
        <w:pStyle w:val="TextBody"/>
        <w:bidi w:val="0"/>
        <w:jc w:val="center"/>
        <w:rPr>
          <w:rFonts w:ascii="Times New Roman" w:hAnsi="Times New Roman"/>
          <w:color w:val="000000"/>
          <w:sz w:val="20"/>
        </w:rPr>
      </w:pPr>
      <w:r>
        <w:rPr>
          <w:rFonts w:ascii="Times New Roman" w:hAnsi="Times New Roman"/>
          <w:color w:val="000000"/>
          <w:sz w:val="20"/>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201 Brookline Avenue, Suite 901</w:t>
      </w:r>
    </w:p>
    <w:p>
      <w:pPr>
        <w:pStyle w:val="TextBody"/>
        <w:bidi w:val="0"/>
        <w:jc w:val="center"/>
        <w:rPr>
          <w:rFonts w:ascii="Times New Roman" w:hAnsi="Times New Roman"/>
          <w:color w:val="000000"/>
          <w:sz w:val="20"/>
        </w:rPr>
      </w:pPr>
      <w:r>
        <w:rPr>
          <w:rFonts w:ascii="Times New Roman" w:hAnsi="Times New Roman"/>
          <w:color w:val="000000"/>
          <w:sz w:val="20"/>
        </w:rPr>
        <w:t>Boston, MA 02215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Tango’s legal counsel and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toll-free telephone number for the reporting of such activity, which is 1-855-495-2758. Submissions may also be reported online at:</w:t>
      </w:r>
      <w:r>
        <w:rPr>
          <w:rFonts w:ascii="Times New Roman" w:hAnsi="Times New Roman"/>
          <w:color w:val="2B333D"/>
          <w:sz w:val="20"/>
        </w:rPr>
        <w:t xml:space="preserve"> https://www.whistleblowerservices.com/TNGX.</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Sustainability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grow and progress as a company, we remain focused on sustainability, including social and environmental, or ESG, issues that affect our stakeholders, which include our future patients, our stockholders, our community and our employees. Our nominating and corporate governance committee has primary oversight over our sustainability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goal is to make the world healthier and improve the lives of patients by developing solutions in drug discovery, cancer biology, functional genomics and translational medicine, pursuing the bold goal of tackling the genetic complexity of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8" w:name="general_information_about_the_executive"/>
      <w:bookmarkEnd w:id="8"/>
      <w:r>
        <w:rPr>
          <w:rFonts w:ascii="Times New Roman" w:hAnsi="Times New Roman"/>
          <w:b/>
          <w:color w:val="000000"/>
          <w:sz w:val="20"/>
        </w:rPr>
        <w:t>GENERAL INFORMATION</w:t>
      </w:r>
      <w:r>
        <w:rPr>
          <w:rFonts w:ascii="Times New Roman" w:hAnsi="Times New Roman"/>
          <w:color w:val="000000"/>
          <w:sz w:val="20"/>
        </w:rPr>
        <w:t xml:space="preserve"> </w:t>
      </w:r>
      <w:r>
        <w:rPr>
          <w:rFonts w:ascii="Times New Roman" w:hAnsi="Times New Roman"/>
          <w:b/>
          <w:color w:val="000000"/>
          <w:sz w:val="20"/>
        </w:rPr>
        <w:t>ABOUT EXECUTIVE OFFICERS</w:t>
      </w:r>
    </w:p>
    <w:p>
      <w:pPr>
        <w:pStyle w:val="TextBody"/>
        <w:bidi w:val="0"/>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identifies and sets forth certain information regarding our executive officers as of April 8, 2025. Officer service dates in the table below and elsewhere in this proxy statement reflect, where applicable, the periods such officer commenced employment with Tango prior to the completion of the Business Combination (as described above). </w:t>
      </w:r>
    </w:p>
    <w:tbl>
      <w:tblPr>
        <w:tblW w:w="10205" w:type="dxa"/>
        <w:jc w:val="left"/>
        <w:tblInd w:w="0" w:type="dxa"/>
        <w:tblLayout w:type="fixed"/>
        <w:tblCellMar>
          <w:top w:w="28" w:type="dxa"/>
          <w:left w:w="28" w:type="dxa"/>
          <w:bottom w:w="28" w:type="dxa"/>
          <w:right w:w="28" w:type="dxa"/>
        </w:tblCellMar>
      </w:tblPr>
      <w:tblGrid>
        <w:gridCol w:w="2090"/>
        <w:gridCol w:w="146"/>
        <w:gridCol w:w="146"/>
        <w:gridCol w:w="286"/>
        <w:gridCol w:w="146"/>
        <w:gridCol w:w="146"/>
        <w:gridCol w:w="5126"/>
        <w:gridCol w:w="146"/>
        <w:gridCol w:w="1973"/>
      </w:tblGrid>
      <w:tr>
        <w:trPr/>
        <w:tc>
          <w:tcPr>
            <w:tcW w:w="2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Current Position Since</w:t>
            </w:r>
          </w:p>
        </w:tc>
      </w:tr>
      <w:tr>
        <w:trPr/>
        <w:tc>
          <w:tcPr>
            <w:tcW w:w="20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2017</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2019</w:t>
            </w:r>
          </w:p>
        </w:tc>
      </w:tr>
      <w:tr>
        <w:trPr/>
        <w:tc>
          <w:tcPr>
            <w:tcW w:w="20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Crystal, M.D., Ph.D.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of 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2023</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Legal Officer, Chief Compliance Officer and Corporate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2024</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See the section of this Proxy Statement captioned "General Information about the Board of Directors" for Dr. Weber's biography.</w:t>
      </w:r>
    </w:p>
    <w:p>
      <w:pPr>
        <w:pStyle w:val="TextBody"/>
        <w:bidi w:val="0"/>
        <w:jc w:val="left"/>
        <w:rPr>
          <w:rFonts w:ascii="Times New Roman" w:hAnsi="Times New Roman"/>
          <w:sz w:val="20"/>
        </w:rPr>
      </w:pPr>
      <w:r>
        <w:rPr>
          <w:rFonts w:ascii="Times New Roman" w:hAnsi="Times New Roman"/>
          <w:i/>
          <w:color w:val="000000"/>
          <w:sz w:val="20"/>
        </w:rPr>
        <w:t>Daniella Beckman</w:t>
      </w:r>
      <w:r>
        <w:rPr>
          <w:rFonts w:ascii="Times New Roman" w:hAnsi="Times New Roman"/>
          <w:color w:val="000000"/>
          <w:sz w:val="20"/>
        </w:rPr>
        <w:t xml:space="preserve"> has served as our Chief Financial Officer since September 2019 and served as our interim Chief Financial Officer from October 2016 to August 2019. Prior to joining Tango, she provided consulting and interim chief financial officer services for early-stage biotechnology companies from November 2015 to September 2019. Previously, Ms. Beckman was the Chief Financial Officer of Idenix Pharmaceuticals, Inc., a biopharmaceutical company, from June 2011 until it was acquired by Merck &amp; Co., Inc., a pharmaceutical company, in August 2014. Ms. Beckman currently serves on the board of directors of Upstream Biopharma (NASDAQ: UPB), a biotechnology company developing treatments for inflammatory diseases, since October 2024, Vor Biopharma Inc. (NASDAQ: VOR), a cell therapies company, since July 2020, and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Adam Crystal, M.D., Ph.D., </w:t>
      </w:r>
      <w:r>
        <w:rPr>
          <w:rFonts w:ascii="Times New Roman" w:hAnsi="Times New Roman"/>
          <w:color w:val="000000"/>
          <w:sz w:val="20"/>
        </w:rPr>
        <w:t>has served as our President of Research and Development since February 2023. Prior to joining Tango, Dr. Crystal served as 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Dana-Farber Cancer Institute in 2013. Dr. Crystal holds an M.D. and a Ph.D. in Neuroscience from the University of Pennsylvania School of Medicine.</w:t>
      </w:r>
    </w:p>
    <w:p>
      <w:pPr>
        <w:pStyle w:val="TextBody"/>
        <w:bidi w:val="0"/>
        <w:spacing w:before="240" w:after="283"/>
        <w:jc w:val="left"/>
        <w:rPr>
          <w:rFonts w:ascii="Times New Roman" w:hAnsi="Times New Roman"/>
          <w:sz w:val="20"/>
        </w:rPr>
      </w:pPr>
      <w:r>
        <w:rPr>
          <w:rFonts w:ascii="Times New Roman" w:hAnsi="Times New Roman"/>
          <w:i/>
          <w:color w:val="000000"/>
          <w:sz w:val="20"/>
        </w:rPr>
        <w:t>Douglas Barry</w:t>
      </w:r>
      <w:r>
        <w:rPr>
          <w:rFonts w:ascii="Times New Roman" w:hAnsi="Times New Roman"/>
          <w:color w:val="000000"/>
          <w:sz w:val="20"/>
        </w:rPr>
        <w:t xml:space="preserve"> has served as our Chief Legal Officer since January 2024 and as Chief Compliance Officer and Corporate Secretary since August 2021. From August 2021 to January 2024, Mr. Barry served as our General Counsel. Mr. Barry has been practicing law for over 20 years, and joined Tango from Alexion Pharmaceuticals, Inc.,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9" w:name="compensation_discussion_and_analysis"/>
      <w:bookmarkEnd w:id="9"/>
      <w:r>
        <w:rPr>
          <w:rFonts w:ascii="Times New Roman" w:hAnsi="Times New Roman"/>
          <w:b/>
          <w:color w:val="000000"/>
          <w:sz w:val="20"/>
        </w:rPr>
        <w:t>COMPENSATION DISCUSSION AND ANALYSIS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Compensation Discussion and Analysis, or CD&amp;A, describes the Company’s executive compensation program as it relates to the following named executive officers, or NEOs, for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Barbara Weber, M.D., our President and Chief Executive Officer;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Daniella Beckman, our Chief Financial Officer;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Adam Crystal, M.D., Ph.D., our President of Research and Development;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Douglas Barry, our Chief Legal Officer, Chief Compliance Officer and Corporate Secretary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only had four executive officers, as defined under Exchange Act Rule 3b-7, for the year ended December 31, 2024, we only have four named executive officers for the same time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0" w:after="240"/>
        <w:jc w:val="left"/>
        <w:rPr>
          <w:rFonts w:ascii="Times New Roman" w:hAnsi="Times New Roman"/>
          <w:sz w:val="20"/>
        </w:rPr>
      </w:pPr>
      <w:r>
        <w:rPr>
          <w:rFonts w:ascii="Times New Roman" w:hAnsi="Times New Roman"/>
          <w:color w:val="000000"/>
          <w:sz w:val="20"/>
        </w:rPr>
        <w:t>We are a clinical-stage biotechnology company focused on discovering the next wave of targeted therapies in oncology by addressing the specific genetic alterations that drive cancer. We are focused on using the concept of synthetic lethality</w:t>
      </w:r>
      <w:r>
        <w:rPr>
          <w:rFonts w:ascii="Times New Roman" w:hAnsi="Times New Roman"/>
          <w:color w:val="000000"/>
          <w:sz w:val="20"/>
          <w:u w:val="single"/>
        </w:rPr>
        <w:t xml:space="preserve"> – </w:t>
      </w:r>
      <w:r>
        <w:rPr>
          <w:rFonts w:ascii="Times New Roman" w:hAnsi="Times New Roman"/>
          <w:color w:val="000000"/>
          <w:sz w:val="20"/>
        </w:rPr>
        <w:t>a mechanism describing pairs of genes in which one is inactivated by a genetic alteration and the other is inhibited pharmacologically</w:t>
      </w:r>
      <w:r>
        <w:rPr>
          <w:rFonts w:ascii="Times New Roman" w:hAnsi="Times New Roman"/>
          <w:color w:val="000000"/>
          <w:sz w:val="20"/>
          <w:u w:val="single"/>
        </w:rPr>
        <w:t xml:space="preserve"> – </w:t>
      </w:r>
      <w:r>
        <w:rPr>
          <w:rFonts w:ascii="Times New Roman" w:hAnsi="Times New Roman"/>
          <w:color w:val="000000"/>
          <w:sz w:val="20"/>
        </w:rPr>
        <w:t xml:space="preserve">to target tumor suppressor gene loss. Our lead programs are PRMT5 inhibitors that utilize the synthetic lethal concept in cancer cells with a homozygous deletion of methylthioadenosine phosphorylase, or MTAP. In 2024 (and early 2025), we made significant progress across our clinical programs and continued to grow our development organization. </w:t>
      </w:r>
      <w:r>
        <w:rPr>
          <w:rFonts w:ascii="Times New Roman" w:hAnsi="Times New Roman"/>
          <w:color w:val="212529"/>
          <w:sz w:val="20"/>
        </w:rPr>
        <w:t>We achieved a number of significant milestones in 2024, including the following, toward our corporate goals described below in this CD&amp;A section.</w:t>
      </w:r>
    </w:p>
    <w:p>
      <w:pPr>
        <w:pStyle w:val="TextBody"/>
        <w:bidi w:val="0"/>
        <w:spacing w:before="0" w:after="240"/>
        <w:jc w:val="left"/>
        <w:rPr>
          <w:rFonts w:ascii="Times New Roman" w:hAnsi="Times New Roman"/>
          <w:sz w:val="20"/>
        </w:rPr>
      </w:pPr>
      <w:r>
        <w:rPr>
          <w:rFonts w:ascii="Times New Roman" w:hAnsi="Times New Roman"/>
          <w:b/>
          <w:color w:val="000000"/>
          <w:sz w:val="20"/>
        </w:rPr>
        <w:t>Target and Drug Discovery: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achieved the number of validated targets identified by the board of directors and performed the requisite ligandability assessments, all of which increased the possibility of introducing new novel targets for development by the drug discovery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meaningful progress towards selection of a potential new drug development candidate.</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Clinical Development: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November 2024, we reported positive early data from the ongoing Phase 1/2 clinical trial of TNG462, our lead PRMT5 inhibitor, demonstrating durable clinical activity across multiple cancer types with a strong safety and tolerability profile. We have initiated a robust clinical development program for TNG462.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we also announced data from the Phase 1/2 clinical trial of TNG908, our first brain-penetrant PRMT5 inhibitor. TNG908 demonstrated clinical activity and was well-tolerated in non-CNS solid tumors. However, TNG908 did not meet the pharmacokinetic exposure threshold for clinical efficacy in glioblastoma and, therefore, we decided to discontinue further development in TNG908 to focus our resources on TNG462 and TNG456.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FDA cleared the IND application for TNG456, our next-generation, brain-penetrant PRMT5 inhibitor.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TNG260, our first-in-class CoREST inhibitor, has demonstrated a favorable safety, tolerability, and pharmacokinetic profile in dose escalation, and we have established clinical proof-of-mechanism based on pharmacodynamic data from on-treatment patient biopsies. We are now enrolling lung cancer patients in the dose expansion portion of our Phase 1 study.</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Corporate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collaboration with Gilead Sciences, Inc., or Gilead, continued to progress, as Gilead licensed a drug discovery program for $12 million in June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maintained our visibility in the scientific and investment communities by submitting more manuscripts than the target number identified by the board of directors and presenting at more scientific and investor conferences than the target number identified by the board of directors.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People: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continued to build a world-class research and development organization by bringing on several key hires, including our Chief Human Resources Officer, Julie Carretero, and multiple key clinical development hires that position the organization to make the anticipated transition into pivotal trials for TNG462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 turnover rate remained well below market standards and the metric established by our board of directors for 2024.</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Elements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compensation committee seeks to ensure that our compensation program is aligned with the interest of our stockholders and our overall corporate goals. We strive to achieve this by offering a mix of fixed and performance-based compensation, including base salary,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performance-based cash bonus, and long-term equity incentive awards. As described more fully below, key elements of our compensation include: </w:t>
      </w:r>
    </w:p>
    <w:tbl>
      <w:tblPr>
        <w:tblW w:w="10205" w:type="dxa"/>
        <w:jc w:val="left"/>
        <w:tblInd w:w="0" w:type="dxa"/>
        <w:tblLayout w:type="fixed"/>
        <w:tblCellMar>
          <w:top w:w="28" w:type="dxa"/>
          <w:left w:w="28" w:type="dxa"/>
          <w:bottom w:w="28" w:type="dxa"/>
          <w:right w:w="28" w:type="dxa"/>
        </w:tblCellMar>
      </w:tblPr>
      <w:tblGrid>
        <w:gridCol w:w="1892"/>
        <w:gridCol w:w="4054"/>
        <w:gridCol w:w="4259"/>
      </w:tblGrid>
      <w:tr>
        <w:trPr/>
        <w:tc>
          <w:tcPr>
            <w:tcW w:w="1892"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c>
          <w:tcPr>
            <w:tcW w:w="4259" w:type="dxa"/>
            <w:tcBorders/>
            <w:vAlign w:val="center"/>
          </w:tcPr>
          <w:p>
            <w:pPr>
              <w:pStyle w:val="TableContents"/>
              <w:bidi w:val="0"/>
              <w:spacing w:before="0" w:after="283"/>
              <w:jc w:val="left"/>
              <w:rPr>
                <w:sz w:val="4"/>
                <w:szCs w:val="4"/>
              </w:rPr>
            </w:pPr>
            <w:r>
              <w:rPr>
                <w:sz w:val="4"/>
                <w:szCs w:val="4"/>
              </w:rPr>
            </w:r>
          </w:p>
        </w:tc>
      </w:tr>
      <w:tr>
        <w:trPr/>
        <w:tc>
          <w:tcPr>
            <w:tcW w:w="189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Element</w:t>
            </w:r>
          </w:p>
        </w:tc>
        <w:tc>
          <w:tcPr>
            <w:tcW w:w="405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Purpose</w:t>
            </w:r>
          </w:p>
        </w:tc>
        <w:tc>
          <w:tcPr>
            <w:tcW w:w="425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Features</w:t>
            </w:r>
          </w:p>
        </w:tc>
      </w:tr>
      <w:tr>
        <w:trPr/>
        <w:tc>
          <w:tcPr>
            <w:tcW w:w="18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salary</w:t>
            </w:r>
          </w:p>
        </w:tc>
        <w:tc>
          <w:tcPr>
            <w:tcW w:w="40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attract, motivate and retain individuals with superior executive talent. </w:t>
            </w:r>
          </w:p>
        </w:tc>
        <w:tc>
          <w:tcPr>
            <w:tcW w:w="42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component of compensation to provide financial stability, reflecting an individual's skill sets, experience, roles and responsibilities.</w:t>
            </w:r>
          </w:p>
        </w:tc>
      </w:tr>
      <w:tr>
        <w:trPr/>
        <w:tc>
          <w:tcPr>
            <w:tcW w:w="18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performance-based cash bonus</w:t>
            </w:r>
          </w:p>
        </w:tc>
        <w:tc>
          <w:tcPr>
            <w:tcW w:w="40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motivate and reward employees for achieving annual, short-term performance goals linked to the Company's growth and success which are intended to help drive the enhancement of stockholder value, as well as to facilitate executive retention.</w:t>
            </w:r>
          </w:p>
        </w:tc>
        <w:tc>
          <w:tcPr>
            <w:tcW w:w="42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component of pay based on annual quantitative and qualitative achievement of pre-determined corporate performance goals. and, in the case of NEOs other than our CEO, the achievement of pre-determined individual performance goals</w:t>
            </w:r>
          </w:p>
        </w:tc>
      </w:tr>
      <w:tr>
        <w:trPr/>
        <w:tc>
          <w:tcPr>
            <w:tcW w:w="18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compensation</w:t>
            </w:r>
          </w:p>
        </w:tc>
        <w:tc>
          <w:tcPr>
            <w:tcW w:w="405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align the interests of our NEOs with those of our stockholders through long-term incentives linked to the Company's stock price performance and to retain and motivate NEOs. </w:t>
            </w:r>
          </w:p>
        </w:tc>
        <w:tc>
          <w:tcPr>
            <w:tcW w:w="42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compensation in the form of stock options and RSUs, which we believe aligns executive and stockholder interest and provides incentives for employee retention.</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Compensation Objectives and Philosophy</w:t>
      </w:r>
    </w:p>
    <w:p>
      <w:pPr>
        <w:pStyle w:val="TextBody"/>
        <w:bidi w:val="0"/>
        <w:jc w:val="left"/>
        <w:rPr>
          <w:rFonts w:ascii="Times New Roman" w:hAnsi="Times New Roman"/>
          <w:color w:val="000000"/>
          <w:sz w:val="20"/>
        </w:rPr>
      </w:pPr>
      <w:r>
        <w:rPr>
          <w:rFonts w:ascii="Times New Roman" w:hAnsi="Times New Roman"/>
          <w:color w:val="000000"/>
          <w:sz w:val="20"/>
        </w:rPr>
        <w:t xml:space="preserve">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We have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attracting, motivating, and retaining executives and employees that position Tango to meet our corporate objectives, particularly in clinical development and advancing promising drugs towards the clinic, was of increasing importance as we continued to grow the size of our employee base, our operations became more sophisticated and our clinical programs advanced. We believe the work accomplished in 2024 positions us to, among other advancements, provide a clinical data update from our lead PRMT5 inhibitor, TNG462, in 2025, with the goal of moving TNG462 into pivotal trials in 2026. By building a talented and motivated organization around extraordinary leaders, we believe we can advance our product candidates closer to regulatory approval, grow our pipeline and, ultimately, drive long-term and sustainable stockholder value creation. Tango's compensation programs are designed by our compensation committee and our board of directors around the following imperatives: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Attract, Retain and Incentivize</w:t>
      </w:r>
      <w:r>
        <w:rPr>
          <w:rFonts w:ascii="Times New Roman" w:hAnsi="Times New Roman"/>
          <w:color w:val="000000"/>
          <w:sz w:val="20"/>
        </w:rPr>
        <w:t>: We are committed to (i) attracting, motivating, and retaining industry-leading talented individuals and (ii) designing our compensation programs to incentivize our employees to achieve rigorous corporate and individual objectives that are important to our long-term business and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Performance-based compensation pay-outs</w:t>
      </w:r>
      <w:r>
        <w:rPr>
          <w:rFonts w:ascii="Times New Roman" w:hAnsi="Times New Roman"/>
          <w:color w:val="000000"/>
          <w:sz w:val="20"/>
        </w:rPr>
        <w:t>: Rewarding performance is the keystone of our total compensation program. In our annual bonus program, performance is measured by research and development advances, operational and strategic metrics and, for executive officers other than our CEO, individual contributions. The amount actually earned is scaled with the achievement of these performance metrics.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structure competitive with peers</w:t>
      </w:r>
      <w:r>
        <w:rPr>
          <w:rFonts w:ascii="Times New Roman" w:hAnsi="Times New Roman"/>
          <w:color w:val="000000"/>
          <w:sz w:val="20"/>
        </w:rPr>
        <w:t>: We believe that compensation paid by our peer companies matters when we determine overall compensation. We evaluate the practices of our peers to validate that we are competitive with other companies with whom we compete for talent to ensure we are able to attract and retain superior executive talent.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Balanced combination of compensation components</w:t>
      </w:r>
      <w:r>
        <w:rPr>
          <w:rFonts w:ascii="Times New Roman" w:hAnsi="Times New Roman"/>
          <w:color w:val="000000"/>
          <w:sz w:val="20"/>
        </w:rPr>
        <w:t>: We strive for an appropriate balance between cash and equity incentives. We believe that annual cash incentives motivate individuals to successfully execute on short-term financial and strategic objectives, while equity incentives focus executives on the long-term success of the organization and align the interests of our executives with those of our stockholders.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date, the compensation of our named executive officers has primarily consisted of a combination of base salary, annual cash bonuses and long-term incentive compensation (in the form of stock options and restricted stock units, or RSUs). All full-time employees, including our named executive officers, are eligible to participate in our retirement and health and welfare benefit plans.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evaluate our compensation values and philosophy, as well as our compensation plans and arrangements, as circumstances merit. We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Governance Practices</w:t>
      </w:r>
    </w:p>
    <w:p>
      <w:pPr>
        <w:pStyle w:val="TextBody"/>
        <w:bidi w:val="0"/>
        <w:jc w:val="left"/>
        <w:rPr>
          <w:rFonts w:ascii="Times New Roman" w:hAnsi="Times New Roman"/>
          <w:color w:val="000000"/>
          <w:sz w:val="20"/>
        </w:rPr>
      </w:pPr>
      <w:r>
        <w:rPr>
          <w:rFonts w:ascii="Times New Roman" w:hAnsi="Times New Roman"/>
          <w:color w:val="000000"/>
          <w:sz w:val="20"/>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Committee</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consists solely of independent directors and they meet in executive session as needed and as required by the committee charter.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Independent Compensation Advisor</w:t>
      </w:r>
      <w:r>
        <w:rPr>
          <w:rFonts w:ascii="Times New Roman" w:hAnsi="Times New Roman"/>
          <w:b/>
          <w:i/>
          <w:color w:val="000000"/>
          <w:sz w:val="20"/>
        </w:rPr>
        <w:t>.</w:t>
      </w:r>
      <w:r>
        <w:rPr>
          <w:color w:val="000000"/>
        </w:rPr>
        <w:t xml:space="preserve"> </w:t>
      </w:r>
      <w:r>
        <w:rPr>
          <w:rFonts w:ascii="Times New Roman" w:hAnsi="Times New Roman"/>
          <w:color w:val="000000"/>
          <w:sz w:val="20"/>
        </w:rPr>
        <w:t>Our compensation committee engages Pearl Meyer &amp; Partners, LLC, or Pearl Meyer, its own independent compensation advisor, to provide information on compensation developments and trends, peer group analysis related to annual executive compensation decisions and other advice on executive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Pay-for-Performance Guides the Compensation Philosophy</w:t>
      </w:r>
      <w:r>
        <w:rPr>
          <w:rFonts w:ascii="Times New Roman" w:hAnsi="Times New Roman"/>
          <w:b/>
          <w:i/>
          <w:color w:val="000000"/>
          <w:sz w:val="20"/>
        </w:rPr>
        <w:t>.</w:t>
      </w:r>
      <w:r>
        <w:rPr>
          <w:color w:val="000000"/>
        </w:rPr>
        <w:t xml:space="preserve"> </w:t>
      </w:r>
      <w:r>
        <w:rPr>
          <w:rFonts w:ascii="Times New Roman" w:hAnsi="Times New Roman"/>
          <w:color w:val="000000"/>
          <w:sz w:val="20"/>
        </w:rPr>
        <w:t>A significant portion of executive officer compensation is linked to corporate performance and executive compensation includes a significant long-term equity component, thereby making a substantial portion of each executive officer’s total compensation at risk and dependent upon our performance and stock price. This incentive structure motivates our executives to take actions that are designed to improve overall Company value and thereby act in the best interests of our stockholders.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Single Trigger Payments on Change in Control</w:t>
      </w:r>
      <w:r>
        <w:rPr>
          <w:rFonts w:ascii="Times New Roman" w:hAnsi="Times New Roman"/>
          <w:color w:val="000000"/>
          <w:sz w:val="20"/>
        </w:rPr>
        <w:t>. Change in control payments to our executive officers occur only upon a qualifying termination of employment within a set period of time, not automatically upon a change in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No Tax Gross-Ups</w:t>
      </w:r>
      <w:r>
        <w:rPr>
          <w:rFonts w:ascii="Times New Roman" w:hAnsi="Times New Roman"/>
          <w:color w:val="000000"/>
          <w:sz w:val="20"/>
        </w:rPr>
        <w:t>. We do not provide for tax gross-ups on equity awards or "golden parachute" payments.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Compensation Clawback</w:t>
      </w:r>
      <w:r>
        <w:rPr>
          <w:rFonts w:ascii="Times New Roman" w:hAnsi="Times New Roman"/>
          <w:color w:val="000000"/>
          <w:sz w:val="20"/>
        </w:rPr>
        <w:t xml:space="preserve">. The compensation committee has adopted a compensation recovery policy, in compliance with the SEC and Nasdaq listing rules, that requires that, in the event we restate our financial statements due to material noncompliance with any financial reporting requirement, we will recover any incentive-based compensation received by any current or former executive officer in the three years prior to the date that we are required to restate our financial statements that was in excess of the amount that would have been received based on the restated financial statements.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Decision-Making Process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Role of Board and Compensation Committee</w:t>
      </w:r>
    </w:p>
    <w:p>
      <w:pPr>
        <w:pStyle w:val="TextBody"/>
        <w:bidi w:val="0"/>
        <w:jc w:val="left"/>
        <w:rPr>
          <w:rFonts w:ascii="Times New Roman" w:hAnsi="Times New Roman"/>
          <w:color w:val="000000"/>
          <w:sz w:val="20"/>
        </w:rPr>
      </w:pPr>
      <w:r>
        <w:rPr>
          <w:rFonts w:ascii="Times New Roman" w:hAnsi="Times New Roman"/>
          <w:color w:val="000000"/>
          <w:sz w:val="20"/>
        </w:rPr>
        <w:t xml:space="preserve">Our compensation committee oversees the design and implementation of our compensation program for our NEOs and other senior leaders and is primarily responsible for determining the compensation for all of our executive officers and senior leaders.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Role of Compensation Consultant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compensation committee has the authority to engage the services of a consulting firm or other outside advisors to assist it in designing our executive compensation programs and in making compensation decisions. During 2024, the compensation committee continued to retain the services of Pearl Meyer as its external compensation consultant. Pearl Meyer advises on executive compensation matters, including our overall compensation program design and collection of market data to inform our compensation programs for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officers and members of our board of directors. It also reviews executives' contract terms to confirm that such terms are consistent with market information and identifies new trends and developments in executive compensation that the compensation committee should be aware of as it reviews compensation matters. Pearl Meyer reports directly to our compensation committee. As part of the annual compensation review process, our compensation committee assessed Pearl Meyer's independence for 2024 (consistent with Nasdaq listing standards) and concluded that the engagement of such consultant did not raise any conflicts of interest.</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Peer Group Companies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evaluate the total compensation of our NEOs, our compensation committee, with guidance from Pearl Meyer, establishes a peer group of publicly traded biotechnology companies based on the following criteria:</w:t>
      </w:r>
    </w:p>
    <w:tbl>
      <w:tblPr>
        <w:tblW w:w="6797" w:type="dxa"/>
        <w:jc w:val="left"/>
        <w:tblInd w:w="0" w:type="dxa"/>
        <w:tblLayout w:type="fixed"/>
        <w:tblCellMar>
          <w:top w:w="28" w:type="dxa"/>
          <w:left w:w="28" w:type="dxa"/>
          <w:bottom w:w="28" w:type="dxa"/>
          <w:right w:w="28" w:type="dxa"/>
        </w:tblCellMar>
      </w:tblPr>
      <w:tblGrid>
        <w:gridCol w:w="2206"/>
        <w:gridCol w:w="4591"/>
      </w:tblGrid>
      <w:tr>
        <w:trPr/>
        <w:tc>
          <w:tcPr>
            <w:tcW w:w="220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Factor Considered</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Look For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Industry</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Biotechnology or Pharmaceuticals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Employees</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75 - 300 employees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Stage</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Pre-commercial clinical stage companies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Capitalization</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 million - $3 billion trailing market capitalization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$75-300 million operating expense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Area</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Geography</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States-based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Market Competitor</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Companies that we compete with for executive talent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20"/>
        </w:rPr>
        <w:t xml:space="preserve">While it is unlikely for all companies to align on all of the factors listed above, we look for the majority of companies to meet all of the factors. </w:t>
      </w:r>
      <w:r>
        <w:rPr>
          <w:rFonts w:ascii="Times New Roman" w:hAnsi="Times New Roman"/>
          <w:color w:val="000000"/>
          <w:sz w:val="20"/>
        </w:rPr>
        <w:t>Based on these criteria, our peer group for 2024 compensation setting, as approved by our compensation committee, consisted of the following companies:</w:t>
      </w:r>
    </w:p>
    <w:p>
      <w:pPr>
        <w:pStyle w:val="TextBody"/>
        <w:bidi w:val="0"/>
        <w:jc w:val="left"/>
        <w:rPr/>
      </w:pPr>
      <w:r>
        <w:rPr/>
        <w:t> </w:t>
      </w:r>
    </w:p>
    <w:tbl>
      <w:tblPr>
        <w:tblW w:w="9364" w:type="dxa"/>
        <w:jc w:val="left"/>
        <w:tblInd w:w="0" w:type="dxa"/>
        <w:tblLayout w:type="fixed"/>
        <w:tblCellMar>
          <w:top w:w="28" w:type="dxa"/>
          <w:left w:w="28" w:type="dxa"/>
          <w:bottom w:w="28" w:type="dxa"/>
          <w:right w:w="28" w:type="dxa"/>
        </w:tblCellMar>
      </w:tblPr>
      <w:tblGrid>
        <w:gridCol w:w="2296"/>
        <w:gridCol w:w="2221"/>
        <w:gridCol w:w="2281"/>
        <w:gridCol w:w="2566"/>
      </w:tblGrid>
      <w:tr>
        <w:trPr/>
        <w:tc>
          <w:tcPr>
            <w:tcW w:w="229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Ambrx Biopharma Inc.</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Inhibrx, Inc.</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Nurix Therapeutics, Inc.</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Replimune Group, Inc.</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Bicycle Therapeutics plc</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iTeos Therapeutics, Inc.</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Pliant Therapeutics, Inc.</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Revolution Medicines, Inc.</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Celldex Therapeutics, Inc.</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Keros Therapeutics, Inc.</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PMV Pharmaceuticals, Inc.</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Syndax Pharmaceuticals, Inc.</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Dyne Therapeutics, Inc.</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Kymera Therapeutics, Inc.</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Relay Therapeutics, Inc.</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Zentalis Pharmaceuticals, Inc.</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Foghorn Therapeutics, Inc.</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Merus N.V.</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Repare Therapeutics, Inc.</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12529"/>
          <w:sz w:val="20"/>
        </w:rPr>
      </w:pPr>
      <w:r>
        <w:rPr>
          <w:rFonts w:ascii="Times New Roman" w:hAnsi="Times New Roman"/>
          <w:color w:val="212529"/>
          <w:sz w:val="20"/>
        </w:rPr>
        <w:t xml:space="preserve">Our compensation committee reviews our peer group at least annually and updates the peer group as needed. Additionally, due to the nature of our business, we may also compete with larger pharmaceutical companies and prestigious academic and non-profit organizations for executive talent. Our compensation committee believes the compensation practices of our peer group provide us with appropriate benchmarks for evaluating the compensation of our named executive officers. </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In addition to the peer group, the compensation committee also reviews industry and size specific compensation survey data to understand the competitiveness for certain of our named executive officer compensation opportunities. This information is intended to generally reflect the profile of the companies in our peer group, and is used when the peer group results for a certain role, or set of roles, do not contain a sufficient enough sample to make appropriate comparisons.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Elements of Compensation</w:t>
      </w:r>
    </w:p>
    <w:p>
      <w:pPr>
        <w:pStyle w:val="TextBody"/>
        <w:bidi w:val="0"/>
        <w:spacing w:before="240" w:after="283"/>
        <w:jc w:val="left"/>
        <w:rPr>
          <w:rFonts w:ascii="Times New Roman" w:hAnsi="Times New Roman"/>
          <w:sz w:val="20"/>
        </w:rPr>
      </w:pPr>
      <w:r>
        <w:rPr>
          <w:rFonts w:ascii="Times New Roman" w:hAnsi="Times New Roman"/>
          <w:color w:val="000000"/>
          <w:sz w:val="20"/>
        </w:rPr>
        <w:t>As noted above, the primary elements of our executive compensation program are base salary, annual performance-based cash bonuses, and equity incentive awards</w:t>
      </w:r>
      <w:r>
        <w:rPr>
          <w:rFonts w:ascii="Times New Roman" w:hAnsi="Times New Roman"/>
          <w:color w:val="000000"/>
          <w:sz w:val="20"/>
          <w:u w:val="single"/>
        </w:rPr>
        <w:t>.</w:t>
      </w:r>
      <w:r>
        <w:rPr>
          <w:rFonts w:ascii="Times New Roman" w:hAnsi="Times New Roman"/>
          <w:color w:val="000000"/>
          <w:sz w:val="20"/>
        </w:rPr>
        <w:t xml:space="preserve"> In setting executive base salaries and target cash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setting NEO compensation, the compensation committee targets a general competitive position, based on independent third-party benchmark analytics to inform the mix of compensation of base salary, target cash bonus and long-term incentives. While the benchmark data informs the compensation committee's executive compensation decision-making, it does not set compensation at a given percentile relative to the peer group or market data, as the compensation committee recognizes that there are individual factors, such as experience, contribution, increased responsibilities, among other factors, that are also important in setting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Base Salaries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annual base salaries of our named executive officers are determined, approved and reviewed periodically by our compensation committee (and our board of directors for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 table below sets forth the named executive officers’ base salaries for 2023 and 2024:</w:t>
      </w:r>
    </w:p>
    <w:tbl>
      <w:tblPr>
        <w:tblW w:w="6118" w:type="dxa"/>
        <w:jc w:val="left"/>
        <w:tblInd w:w="0" w:type="dxa"/>
        <w:tblLayout w:type="fixed"/>
        <w:tblCellMar>
          <w:top w:w="28" w:type="dxa"/>
          <w:left w:w="28" w:type="dxa"/>
          <w:bottom w:w="28" w:type="dxa"/>
          <w:right w:w="28" w:type="dxa"/>
        </w:tblCellMar>
      </w:tblPr>
      <w:tblGrid>
        <w:gridCol w:w="2251"/>
        <w:gridCol w:w="146"/>
        <w:gridCol w:w="220"/>
        <w:gridCol w:w="220"/>
        <w:gridCol w:w="1179"/>
        <w:gridCol w:w="146"/>
        <w:gridCol w:w="146"/>
        <w:gridCol w:w="220"/>
        <w:gridCol w:w="220"/>
        <w:gridCol w:w="1179"/>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 Salary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Mr. Barry was not a named executive officer until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compensation committee, in setting base salary compensation for the named executive officers (and all Company employees) for 2024, implemented a minimum increase to base salaries of 3.5% which, based on regional market data, reflect an increase in the cost-of-living. This was done to ensure that employees had salaries that allowed them to maintain their purchasing power and to remain competitive with the companies with which we compete for talent. Base salary increases for 2024 were effective as of January 1,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Weber's base salary was increased in 2024 by an additional 5% (for a total increase of 8.5%). The compensation committee and the board of directors noted that the CEO's base salary was below the 50th percentile base salary for chief executive officers in the Company's peer group. The increase in Dr. Weber's base salary aligned her base salary with the 50th percentile chief executive officer base salary at our peer group companies (the compensation committee has generally targeted the CEO's base salary to be at the 50th percentile for all other peer group chief executive officer's base salaries). As noted above, the compensation committee compensation philosophy is to pay the executive officers a base salary that is competitive with the companies that we compete with for talent, and this increase was designed to, among other things, meet that compensation objective.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Ms. Beckman's base salary was increased in 2024 by an additional 6.5% (for a total increase of 10%) to reflect the increase in the cost-of-living and to bring Ms. Beckman's base salary into better alignment with the peer group. This base salary was consistent with the 50th percentile of the peer group and other market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Dr. Crystal's base salary was increased in 2024 by 3.5% to reflect the increase in the cost-of-living. This base salary was consistent with the 50th percentile of the peer group and other market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Mr. Barry's base salary was increased in 2024 by 3.5% to reflect the increase in the cost-of-living. This base salary was consistent with the 50th percentile of the peer group and other market data.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Non-Equity Incentive Plan Compensation</w:t>
      </w:r>
    </w:p>
    <w:p>
      <w:pPr>
        <w:pStyle w:val="TextBody"/>
        <w:bidi w:val="0"/>
        <w:jc w:val="left"/>
        <w:rPr>
          <w:rFonts w:ascii="Times New Roman" w:hAnsi="Times New Roman"/>
          <w:color w:val="000000"/>
          <w:sz w:val="20"/>
        </w:rPr>
      </w:pPr>
      <w:r>
        <w:rPr>
          <w:rFonts w:ascii="Times New Roman" w:hAnsi="Times New Roman"/>
          <w:color w:val="000000"/>
          <w:sz w:val="20"/>
        </w:rPr>
        <w:t>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(other than with respect to the CEO, whose annual cash bonus is determined solely based on corporate accomplishments). The compensation committee and the board endeavor to deliver a meaningful portion of total target cash compensation in the form of performance-based annual cash incentives. The board and the compensation committee believe that doing so is critical because the opportunity for a meaningful cash award will, together with strong management and accountability, drive executives to individually and collectively achieve and exceed our annual objectives. This approach supports the compensation committee's goal of linking a substantial portion of overall compensation to Company and the individual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established bonus metrics that the compensation committee utilized in connection with the 2024 annual cash bonus program. The board of directors sets goals at the start of each performance year, in consultation with the compensation committee, and then the board tracks actual performance against these goals at each board meeting, with a final assessment occurring at the end of the annual performance year. Our Company performance goals are consistent throughout the organization to ensure there is full alignment and clarity on the critical goals for Tango.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2024 annual cash bonus program provided for formula-based incentive payments based upon the achievement of certain corporate and individual performance goals and objectives approved by our compensation committee and board of directors. These targets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established in early 2024 and communicated to the executives (and remained unchanged during the year with the exception of the advancement of TNG348). Bonuses are targeted at a percentage of the executive officer’s base salary, and, to the extent earned, are paid out in the first quarter of the following year. In 2024, the board of directors and the compensation committee determined that it would maintain the bonus target for Ms. Beckman and Dr. Crystal to be consistent with their respective bonus targets in 2023, but increased the target bonuses, as a percentage of base salary, for Dr. Weber and Mr. Barry to better align with peer group data.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table below sets forth the named executive officers’ target annual cash bonus percentages for 2023 and 2024: </w:t>
      </w:r>
    </w:p>
    <w:tbl>
      <w:tblPr>
        <w:tblW w:w="6362" w:type="dxa"/>
        <w:jc w:val="left"/>
        <w:tblInd w:w="0" w:type="dxa"/>
        <w:tblLayout w:type="fixed"/>
        <w:tblCellMar>
          <w:top w:w="28" w:type="dxa"/>
          <w:left w:w="28" w:type="dxa"/>
          <w:bottom w:w="28" w:type="dxa"/>
          <w:right w:w="28" w:type="dxa"/>
        </w:tblCellMar>
      </w:tblPr>
      <w:tblGrid>
        <w:gridCol w:w="2251"/>
        <w:gridCol w:w="146"/>
        <w:gridCol w:w="361"/>
        <w:gridCol w:w="782"/>
        <w:gridCol w:w="671"/>
        <w:gridCol w:w="146"/>
        <w:gridCol w:w="361"/>
        <w:gridCol w:w="782"/>
        <w:gridCol w:w="67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Bonus Target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Mr. Barry was not a named executive officer until 2024.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corporate component of the 2024 annual cash bonus program consisted of the five separate metrics described below that were weighted as follows: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Target Discovery</w:t>
      </w:r>
      <w:r>
        <w:rPr>
          <w:color w:val="000000"/>
        </w:rPr>
        <w:t xml:space="preserve"> </w:t>
      </w:r>
      <w:r>
        <w:rPr>
          <w:rFonts w:ascii="Times New Roman" w:hAnsi="Times New Roman"/>
          <w:color w:val="000000"/>
          <w:sz w:val="20"/>
        </w:rPr>
        <w:t>- weighted 10%. This target was designed to encourage our employees to identify validated novel targets and perform ligandability assessments to establish an enhanced and sustainable product pipeline that is designed to serve as the foundation for future clinical stage assets and growth opportunities for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Drug Discovery</w:t>
      </w:r>
      <w:r>
        <w:rPr>
          <w:color w:val="000000"/>
        </w:rPr>
        <w:t xml:space="preserve"> </w:t>
      </w:r>
      <w:r>
        <w:rPr>
          <w:rFonts w:ascii="Times New Roman" w:hAnsi="Times New Roman"/>
          <w:color w:val="000000"/>
          <w:sz w:val="20"/>
        </w:rPr>
        <w:t>- weighted 10%. This target was established to incentivize our employees to continue to advance our identified programs into advanced drug discovery phases.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Clinical Development </w:t>
      </w:r>
      <w:r>
        <w:rPr>
          <w:rFonts w:ascii="Times New Roman" w:hAnsi="Times New Roman"/>
          <w:color w:val="000000"/>
          <w:sz w:val="20"/>
        </w:rPr>
        <w:t xml:space="preserve">- weighted 50%. Given the importance of the clinical trial program to the Company's overall success and its long-term intrinsic value, drug development was the factor with the highest weighting as determined by the board of directors. This target was designed to meet our goals of: submitting an IND for TNG456, progressing on-going TNG462 clinical trials into dose expansion and establishing proof-of-concept for TNG260. The board of directors had also established an objective relating to TNG348, but the program was discontinued due to toxicity observed in the initial study cohorts.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Corporate Strategy</w:t>
      </w:r>
      <w:r>
        <w:rPr>
          <w:color w:val="000000"/>
        </w:rPr>
        <w:t xml:space="preserve"> </w:t>
      </w:r>
      <w:r>
        <w:rPr>
          <w:rFonts w:ascii="Times New Roman" w:hAnsi="Times New Roman"/>
          <w:color w:val="000000"/>
          <w:sz w:val="20"/>
        </w:rPr>
        <w:t>- weighted 20%. This target was established to incentivize our employees to continue to generate scientific publications and disclosures that highlight the strength of our science, our discovery platform and our programs, as well as to meet budgetary and other important cash-based goals that are designed to allow for continued development of our product pipeline and the advance of clinical development programs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People</w:t>
      </w:r>
      <w:r>
        <w:rPr>
          <w:color w:val="000000"/>
        </w:rPr>
        <w:t xml:space="preserve"> </w:t>
      </w:r>
      <w:r>
        <w:rPr>
          <w:rFonts w:ascii="Times New Roman" w:hAnsi="Times New Roman"/>
          <w:color w:val="000000"/>
          <w:sz w:val="20"/>
        </w:rPr>
        <w:t>- weighted 10%. This target was designed to reward results with respect to: (i) engagement survey results conducted with our associates, (ii) building out critical functions of our organization as we advanced our clinical trials and (iii) limiting employee turnover in a competitive environment for talent.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consultation with the board of directors, the compensation committee determined that the overall achievement of the corporate performance metrics for the 2024 annual cash bonus program was 113% of target for all employees, including the named executive officers. The following provides a description of the factors that the board of directors and the compensation committee considered in determining achievement of the metrics and the approved level of achievement: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Target Discovery</w:t>
      </w:r>
      <w:r>
        <w:rPr>
          <w:color w:val="000000"/>
        </w:rPr>
        <w:t xml:space="preserve"> </w:t>
      </w:r>
      <w:r>
        <w:rPr>
          <w:rFonts w:ascii="Times New Roman" w:hAnsi="Times New Roman"/>
          <w:color w:val="000000"/>
          <w:sz w:val="20"/>
        </w:rPr>
        <w:t>- the goal was achieved at 110% of the target due to meeting the number of validated targets established by the board of directors and performing the requisite ligandability assessments, all of which increased the potential to introduce new novel targets for development by the drug discovery team.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Drug Discovery</w:t>
      </w:r>
      <w:r>
        <w:rPr>
          <w:color w:val="000000"/>
        </w:rPr>
        <w:t xml:space="preserve"> </w:t>
      </w:r>
      <w:r>
        <w:rPr>
          <w:rFonts w:ascii="Times New Roman" w:hAnsi="Times New Roman"/>
          <w:color w:val="000000"/>
          <w:sz w:val="20"/>
        </w:rPr>
        <w:t xml:space="preserve">- the goal was achieved at 90% of the target as a result of meaningful progress toward selection of a potential new development candidate, but there was slower progress on two targets.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Clinical Development</w:t>
      </w:r>
      <w:r>
        <w:rPr>
          <w:color w:val="000000"/>
        </w:rPr>
        <w:t xml:space="preserve"> </w:t>
      </w:r>
      <w:r>
        <w:rPr>
          <w:rFonts w:ascii="Times New Roman" w:hAnsi="Times New Roman"/>
          <w:color w:val="000000"/>
          <w:sz w:val="20"/>
        </w:rPr>
        <w:t xml:space="preserve">- the goal was achieved at 125% of the target due to having established proof-of-concept for each of TNG908, TNG462 and TNG260 during the year, completing the initial data release on TNG908 and TNG462, advancing substantial work on the TNG456 IND and the significant achievement of operating four clinical trials during the year and all being conducted either on schedule or ahead of schedule.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Corporate Strategy</w:t>
      </w:r>
      <w:r>
        <w:rPr>
          <w:rFonts w:ascii="Times New Roman" w:hAnsi="Times New Roman"/>
          <w:color w:val="000000"/>
          <w:sz w:val="20"/>
        </w:rPr>
        <w:t xml:space="preserve">- the goal was achieved at 90% of the target. While the scientific publications and presentations surpassed the existing objectives, goals with respect to certain financial metrics were below the established targets.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People</w:t>
      </w:r>
      <w:r>
        <w:rPr>
          <w:color w:val="000000"/>
        </w:rPr>
        <w:t xml:space="preserve"> </w:t>
      </w:r>
      <w:r>
        <w:rPr>
          <w:rFonts w:ascii="Times New Roman" w:hAnsi="Times New Roman"/>
          <w:color w:val="000000"/>
          <w:sz w:val="20"/>
        </w:rPr>
        <w:t>- the goal was achieved at 120% of the target due to the growth in the Company's headcount in certain important functional areas, including the additions of Ms. Carretero as Chief Human Resources Officer and key clinical development competencies that supported the conduct and advancement of our clinical trials. In addition, our employee turnover rate remained well below market standards and the metric established by the board of directors.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 a result of this performance, which exceeded many of the objective goals set for 2024, the bonus payout based on the achievement of such objectives was approved at 113% of target.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reflects the target bonus as a percentage of base salary, the cash bonus payment at target and the actual bonus payout based on the success Tango achieved in 2024.</w:t>
      </w:r>
    </w:p>
    <w:tbl>
      <w:tblPr>
        <w:tblW w:w="8450" w:type="dxa"/>
        <w:jc w:val="left"/>
        <w:tblInd w:w="0" w:type="dxa"/>
        <w:tblLayout w:type="fixed"/>
        <w:tblCellMar>
          <w:top w:w="28" w:type="dxa"/>
          <w:left w:w="28" w:type="dxa"/>
          <w:bottom w:w="28" w:type="dxa"/>
          <w:right w:w="28" w:type="dxa"/>
        </w:tblCellMar>
      </w:tblPr>
      <w:tblGrid>
        <w:gridCol w:w="2251"/>
        <w:gridCol w:w="146"/>
        <w:gridCol w:w="975"/>
        <w:gridCol w:w="840"/>
        <w:gridCol w:w="146"/>
        <w:gridCol w:w="236"/>
        <w:gridCol w:w="236"/>
        <w:gridCol w:w="1267"/>
        <w:gridCol w:w="146"/>
        <w:gridCol w:w="146"/>
        <w:gridCol w:w="234"/>
        <w:gridCol w:w="234"/>
        <w:gridCol w:w="1256"/>
        <w:gridCol w:w="146"/>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Bonus 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 2024 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8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final bonus payments to our named executive officers are determined by our compensation committee (with the exception of the CEO,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2024 bonus payment to the corporate performance metrics and 25% to individual performance for named executive officers other than the CEO, whose final bonus payment is determined solely based on corporate performance and does not have an individual performance allocation. The board of directors determined that since Dr. Weber is responsible for overall corporate performance, the full amount of her cash bonus payment should be determined by reference to corporate performance relative to the metrics set by the board of directors, and not take into account any individual performance metrics. Individual performance objectives used for the other named executive officers are generally related to such named executive officer’s performance in his or her area of responsibility and his or her contributions to Tango, as well as embodying and living the Company's core cultural values (which includes team building and contributions, investing time in developing leaders and modeling diligence and professionalism in interactions with colleagues). The individual objectives assigned in 2024 to our named executive officers other than our CEO were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Daniella Beckman: Ms. Beckman was assigned objectives related to: (i) expanding corporate presence and influence, both externally and internally; and (ii) ensuring the continued evolution and excellence of the finance, business development, communications, information systems and facilities functional capabilities and processes to meet the needs of the company. For 2024, the compensation committee determined that Ms. Beckman achieved the combined performance metrics (</w:t>
      </w:r>
      <w:r>
        <w:rPr>
          <w:rFonts w:ascii="Times New Roman" w:hAnsi="Times New Roman"/>
          <w:i/>
          <w:color w:val="000000"/>
          <w:sz w:val="20"/>
        </w:rPr>
        <w:t>i.e.</w:t>
      </w:r>
      <w:r>
        <w:rPr>
          <w:rFonts w:ascii="Times New Roman" w:hAnsi="Times New Roman"/>
          <w:color w:val="000000"/>
          <w:sz w:val="20"/>
        </w:rPr>
        <w:t>, corporate and individual metrics, including individual performance related to the Company's core values, together, at 110%).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Adam Crystal, M.D., Ph.D.: Dr. Crystal was assigned objectives related to (i) the continued advancement of the research and development pipeline, and (2) driving our clinical organization to enroll patients in clinical trials and execute on preparation for multiple monotherapy and combination trials in 2025 and 2026. For 2024, the compensation committee determined that Dr. Crystal achieved the combined performance factors at 116%.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Douglas Barry: Mr. Barry was assigned objectives relating to (i) establishing efficient contracting procedures to support the organization and (ii) developing standard operating procedures on certain legal and compliance processes. For 2024, the compensation committee determined that Mr. Barry achieved the combined performance factors at 114%.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incentive awards granted to our named executive officers are designed to align their interests with those of our stockholders, and to retain and motivate our NEOs.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We have historically used stock options as our primary form of long-term incentive compensation awards to our executive officers because stock options allow our executive officers to profit from this form of equity compensation only if our stock price increases relative to the stock option’s exercise price, which exercise price is set at the fair market value of our common shares on the date of grant. In 2023 and 2024, the compensation committee included restricted stock units, or RSUs, as a component of the long-term equity incentive package, in addition to stock options. The compensation committee determined that RSUs would be a valuable component of the overall compensation package for a number of reasons, including: (i) the use of RSUs as a part of equity compensation was being adopted by peer companies, and the inclusion of such awards allows for the attraction and retention of key talent as competition for talent increases, (ii) RSUs can provide value to executives and employees in a volatile market, and (iii) we can grant fewer RSUs than shares underlying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options at an equivalent grant date fair value, which minimizes the dilution to our existing stockholders. For 2023 and 2024, the compensation committee determined to grant one RSU for every two shares of stock subject to a stock option award (a 2:1 ratio).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Along with the 2024 cash bonus program, stock options and RSUs are a critical component of the variable portion of overall compensation that is designed to reward executive officer performance. Equity awards encourage our executives to focus on those corporate actions that drive increases in long-term value as reflected in our stock price. Further, the four-year vesting schedule encourages executives to remain employed by the Company for an extended period. As noted above, we believe RSUs, which accounted for a minority of the total annual equity package granted to each of our executives and employees in 2024, incentivize a focus on long-term value and stockholder interests even when market conditions may cause stock prices to decrease and further our objectives of retaining and motivating employees in a competitive market.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grant equity awards at such times as our board of directors or compensation committee determines appropriate. 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reward long-term performance and motivate and retain our NEOs.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executives generally are awarded an initial equity grant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service relationship with us. All options are granted with an exercise price that is no less than the fair market value of our common stock on the date of such grant of such award. Our RSUs typically vest in three equal annual installments, subject to the holder’s continued service relationship with the Company. From time to time, the board of directors or compensation committee may also use alternative vesting schedules as it determines are appropriate to motivate particular employees.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table below sets forth the equity awards granted to our named executive officers in 2024: </w:t>
      </w:r>
    </w:p>
    <w:tbl>
      <w:tblPr>
        <w:tblW w:w="10205" w:type="dxa"/>
        <w:jc w:val="left"/>
        <w:tblInd w:w="0" w:type="dxa"/>
        <w:tblLayout w:type="fixed"/>
        <w:tblCellMar>
          <w:top w:w="28" w:type="dxa"/>
          <w:left w:w="28" w:type="dxa"/>
          <w:bottom w:w="28" w:type="dxa"/>
          <w:right w:w="28" w:type="dxa"/>
        </w:tblCellMar>
      </w:tblPr>
      <w:tblGrid>
        <w:gridCol w:w="1987"/>
        <w:gridCol w:w="146"/>
        <w:gridCol w:w="575"/>
        <w:gridCol w:w="575"/>
        <w:gridCol w:w="2727"/>
        <w:gridCol w:w="146"/>
        <w:gridCol w:w="626"/>
        <w:gridCol w:w="626"/>
        <w:gridCol w:w="2601"/>
        <w:gridCol w:w="196"/>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Options Granted in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Stock Awards Granted in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Other Elements of Compensation; Perquisites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Health and Welfare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maintain a 401(k) retirement savings plan for our employees, including our NEOs, who satisfy certain eligibility requirements. The savings plan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 Our named executive officers are eligible to participate in the 401(k) plan on the same terms as other full-time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pStyle w:val="TextBody"/>
        <w:bidi w:val="0"/>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requirements of the SEC and Nasdaq listing rules, the compensation committee has adopted a compensation recovery policy (effective as of October 2, 2023). The compensation recovery policy provides that in the event we are required to prepare a restatement of our financial statements due to material noncompliance with any financial reporting requirement under securities laws, we will seek to recover (subject to certain limited exceptions set forth in the compensation recovery policy and permitted by Nasdaq listing rules)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The compensation recovery policy is filed as Exhibit 97.1 to the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Award Grant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an Equity Grant Award Policy to standardize the process of granting equity in accordance with applicable legal and regulatory requirements, and to enhance its internal controls. Under this policy, equity awards to the Company's employees, including NEOs, are typically approved by the board of directors, the compensation committee, or its/their delegate and granted on an annual basis on a predetermined date in the month of February. Equity grants to certain newly hired employees or promoted individuals, including executive officers, are made on the first trading day of each month following the later of (i) the date on which such individual's employment begins or promotion occurs or (ii) the date on which such grant is approved by the board of directors, the compensation committee, or its/there delegate(s). It is the Company's policy to not purposely accelerate or delay the release of material nonpublic information in consideration of a pending equity award in order to allow the grantee to benefit from a more favorable stock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pursuant to Item 402(x) of Regulations S-K, the following table provides information regarding option awards granted to our named executive officers in the fiscal year ended December 31, 2024, during any period beginning four business days before the filing or furnishing of a periodic report or current report disclosing material non-public information and ending one business day after the filing or furnishing of such report with the Securities and Exchange Commission.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9"/>
        <w:gridCol w:w="146"/>
        <w:gridCol w:w="613"/>
        <w:gridCol w:w="146"/>
        <w:gridCol w:w="194"/>
        <w:gridCol w:w="1047"/>
        <w:gridCol w:w="446"/>
        <w:gridCol w:w="446"/>
        <w:gridCol w:w="199"/>
        <w:gridCol w:w="784"/>
        <w:gridCol w:w="146"/>
        <w:gridCol w:w="146"/>
        <w:gridCol w:w="210"/>
        <w:gridCol w:w="671"/>
        <w:gridCol w:w="146"/>
        <w:gridCol w:w="146"/>
        <w:gridCol w:w="803"/>
        <w:gridCol w:w="2567"/>
        <w:gridCol w:w="320"/>
      </w:tblGrid>
      <w:tr>
        <w:trPr/>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 of Securities Underlying the Award</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Exercise Price of the Award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Grant Date Fair Value of 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523,012</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236,475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279,593</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Deductibility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Section 162(m) of the Internal Revenue Code, publicly held corporations generally may not deduct compensation in excess of $1 million paid to certain executive officers, subject to limited transition relief for certain arrangements in place as of November 2, 2017. The compensation committee believes that its primary responsibility is to provide a compensation program that attracts, engages, retains and rewards the executive officers necessary for the Company’s success, as described above. As a result, while the compensation committee considers tax deductibility as one factor in determining executive compensation, we currently and may in the future pay compensation that is not fully deductible, in whole or in part, under Section 162(m) in order to ensure competitive levels of total compensation for our executive officers and when we otherwise view such compensation as consistent with our compensation policies.</w:t>
      </w:r>
    </w:p>
    <w:p>
      <w:pPr>
        <w:pStyle w:val="TextBody"/>
        <w:bidi w:val="0"/>
        <w:jc w:val="left"/>
        <w:rPr>
          <w:rFonts w:ascii="Times New Roman" w:hAnsi="Times New Roman"/>
          <w:b/>
          <w:color w:val="000000"/>
          <w:sz w:val="20"/>
        </w:rPr>
      </w:pPr>
      <w:r>
        <w:rPr>
          <w:rFonts w:ascii="Times New Roman" w:hAnsi="Times New Roman"/>
          <w:b/>
          <w:color w:val="000000"/>
          <w:sz w:val="20"/>
        </w:rPr>
        <w:t>Accounting for Stock-Based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follow Financial Accounting Standards Board Accounting Standards Codification Topic 718, or ASC Topic 718, for our stock-based compensation awards to employees and directors. ASC Topic 718 requires companies to measure the compensation expense for all share-based awards, including stock options and RSUs, based on the grant date “fair value” of these awards. This calculation is performed for accounting purposes and reported in the compensation tables below, even though our executive officers or directors may never realize any value from their awards. ASC Topic 718 also requires companies to recognize the compensation cost of their stock-based compensation awards in their statements of operations over the period that an employee or director is required to render service in exchange for the option or other award. The compensation committee considers the impact of ASC Topic 718 when making stock-based compensation awards.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Summary Compensation Table</w:t>
      </w:r>
    </w:p>
    <w:tbl>
      <w:tblPr>
        <w:tblW w:w="10705" w:type="dxa"/>
        <w:jc w:val="left"/>
        <w:tblInd w:w="0" w:type="dxa"/>
        <w:tblLayout w:type="fixed"/>
        <w:tblCellMar>
          <w:top w:w="28" w:type="dxa"/>
          <w:left w:w="28" w:type="dxa"/>
          <w:bottom w:w="28" w:type="dxa"/>
          <w:right w:w="28" w:type="dxa"/>
        </w:tblCellMar>
      </w:tblPr>
      <w:tblGrid>
        <w:gridCol w:w="856"/>
        <w:gridCol w:w="146"/>
        <w:gridCol w:w="146"/>
        <w:gridCol w:w="406"/>
        <w:gridCol w:w="146"/>
        <w:gridCol w:w="146"/>
        <w:gridCol w:w="146"/>
        <w:gridCol w:w="146"/>
        <w:gridCol w:w="586"/>
        <w:gridCol w:w="146"/>
        <w:gridCol w:w="146"/>
        <w:gridCol w:w="146"/>
        <w:gridCol w:w="146"/>
        <w:gridCol w:w="146"/>
        <w:gridCol w:w="586"/>
        <w:gridCol w:w="146"/>
        <w:gridCol w:w="146"/>
        <w:gridCol w:w="146"/>
        <w:gridCol w:w="146"/>
        <w:gridCol w:w="691"/>
        <w:gridCol w:w="146"/>
        <w:gridCol w:w="146"/>
        <w:gridCol w:w="146"/>
        <w:gridCol w:w="146"/>
        <w:gridCol w:w="691"/>
        <w:gridCol w:w="146"/>
        <w:gridCol w:w="146"/>
        <w:gridCol w:w="159"/>
        <w:gridCol w:w="159"/>
        <w:gridCol w:w="643"/>
        <w:gridCol w:w="146"/>
        <w:gridCol w:w="146"/>
        <w:gridCol w:w="146"/>
        <w:gridCol w:w="146"/>
        <w:gridCol w:w="511"/>
        <w:gridCol w:w="146"/>
        <w:gridCol w:w="301"/>
        <w:gridCol w:w="146"/>
        <w:gridCol w:w="146"/>
        <w:gridCol w:w="146"/>
        <w:gridCol w:w="691"/>
        <w:gridCol w:w="19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 Incentive Plan 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Barbara Weber, M.D.(4)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659,996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1,070,423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4,345,288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6,541,200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Chief Executive Officer and 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465,634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1,885,613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3,391,059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3,740,625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363,688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4,681,787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1,964,682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3,166,290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1,522,744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1,516,879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Adam Crystal, M.D., Ph.D.(7)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572,236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2,322,915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297,149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3,777,318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of Research and Development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454,808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1,710,930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242,787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3,110,646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Douglas Barry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2,094,450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Legal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Salary amount represents actual amounts paid for the years noted. See the CD&amp;A above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(2) In accordance with SEC rules, this column reflects the aggregate grant date fair value of the stock option awards or RSU awards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(3) Reflects performance-based annual cash bonuses awarded to our named executive officers. See “CD&amp;A — Non-Equity Incentive Plan Compensation” above for a description of the material terms of the program pursuant to which this compensation was earned.</w:t>
      </w:r>
    </w:p>
    <w:p>
      <w:pPr>
        <w:pStyle w:val="TextBody"/>
        <w:bidi w:val="0"/>
        <w:jc w:val="left"/>
        <w:rPr>
          <w:rFonts w:ascii="Times New Roman" w:hAnsi="Times New Roman"/>
          <w:color w:val="000000"/>
          <w:sz w:val="20"/>
        </w:rPr>
      </w:pPr>
      <w:r>
        <w:rPr>
          <w:rFonts w:ascii="Times New Roman" w:hAnsi="Times New Roman"/>
          <w:color w:val="000000"/>
          <w:sz w:val="20"/>
        </w:rPr>
        <w:t>(4) Dr. Weber also serves as a member of our board of directors but does not receive any additional compensation for her service as a director.</w:t>
      </w:r>
    </w:p>
    <w:p>
      <w:pPr>
        <w:pStyle w:val="TextBody"/>
        <w:bidi w:val="0"/>
        <w:jc w:val="left"/>
        <w:rPr>
          <w:rFonts w:ascii="Times New Roman" w:hAnsi="Times New Roman"/>
          <w:color w:val="000000"/>
          <w:sz w:val="20"/>
        </w:rPr>
      </w:pPr>
      <w:r>
        <w:rPr>
          <w:rFonts w:ascii="Times New Roman" w:hAnsi="Times New Roman"/>
          <w:color w:val="000000"/>
          <w:sz w:val="20"/>
        </w:rPr>
        <w:t>(5) The amounts reported include $13,800 of matching contributions made under our 401(k) plan, $2,170 of commuter benefits and $1,300 of expenses for phone services that the Company paid for on behalf of Dr. Weber.</w:t>
      </w:r>
    </w:p>
    <w:p>
      <w:pPr>
        <w:pStyle w:val="TextBody"/>
        <w:bidi w:val="0"/>
        <w:jc w:val="left"/>
        <w:rPr>
          <w:rFonts w:ascii="Times New Roman" w:hAnsi="Times New Roman"/>
          <w:color w:val="000000"/>
          <w:sz w:val="20"/>
        </w:rPr>
      </w:pPr>
      <w:r>
        <w:rPr>
          <w:rFonts w:ascii="Times New Roman" w:hAnsi="Times New Roman"/>
          <w:color w:val="000000"/>
          <w:sz w:val="20"/>
        </w:rPr>
        <w:t>(6) The amounts reported include $13,800 of matching contributions made under our 401(k) plan, $2,170 of commuter benefits and $1,300 of expenses for phone services that the Company paid for on behalf of Ms. Beckman.</w:t>
      </w:r>
    </w:p>
    <w:p>
      <w:pPr>
        <w:pStyle w:val="TextBody"/>
        <w:bidi w:val="0"/>
        <w:jc w:val="left"/>
        <w:rPr>
          <w:rFonts w:ascii="Times New Roman" w:hAnsi="Times New Roman"/>
          <w:color w:val="000000"/>
          <w:sz w:val="20"/>
        </w:rPr>
      </w:pPr>
      <w:r>
        <w:rPr>
          <w:rFonts w:ascii="Times New Roman" w:hAnsi="Times New Roman"/>
          <w:color w:val="000000"/>
          <w:sz w:val="20"/>
        </w:rPr>
        <w:t>(7) Dr. Crystal’s employment with Tango began on February 27, 2023. His base salary and bonus were prorated to reflect his partial year of employment from February 27, 2023 through December 31, 2023.</w:t>
      </w:r>
    </w:p>
    <w:p>
      <w:pPr>
        <w:pStyle w:val="TextBody"/>
        <w:bidi w:val="0"/>
        <w:jc w:val="left"/>
        <w:rPr>
          <w:rFonts w:ascii="Times New Roman" w:hAnsi="Times New Roman"/>
          <w:color w:val="000000"/>
          <w:sz w:val="20"/>
        </w:rPr>
      </w:pPr>
      <w:r>
        <w:rPr>
          <w:rFonts w:ascii="Times New Roman" w:hAnsi="Times New Roman"/>
          <w:color w:val="000000"/>
          <w:sz w:val="20"/>
        </w:rPr>
        <w:t>(8) The amounts reported include $12,174 of matching contributions made under our 401(k) plan, $2,170 of commuter benefits and $1,300 of expenses for phone services that the Company paid for on behalf of Dr. Crystal.</w:t>
      </w:r>
    </w:p>
    <w:p>
      <w:pPr>
        <w:pStyle w:val="TextBody"/>
        <w:bidi w:val="0"/>
        <w:jc w:val="left"/>
        <w:rPr>
          <w:rFonts w:ascii="Times New Roman" w:hAnsi="Times New Roman"/>
          <w:color w:val="000000"/>
          <w:sz w:val="20"/>
        </w:rPr>
      </w:pPr>
      <w:r>
        <w:rPr>
          <w:rFonts w:ascii="Times New Roman" w:hAnsi="Times New Roman"/>
          <w:color w:val="000000"/>
          <w:sz w:val="20"/>
        </w:rPr>
        <w:t>(9) Douglas Barry was not a named executive officer until 2024. Prior year compensation is excluded.</w:t>
      </w:r>
    </w:p>
    <w:p>
      <w:pPr>
        <w:pStyle w:val="TextBody"/>
        <w:bidi w:val="0"/>
        <w:jc w:val="left"/>
        <w:rPr>
          <w:rFonts w:ascii="Times New Roman" w:hAnsi="Times New Roman"/>
          <w:color w:val="000000"/>
          <w:sz w:val="20"/>
        </w:rPr>
      </w:pPr>
      <w:r>
        <w:rPr>
          <w:rFonts w:ascii="Times New Roman" w:hAnsi="Times New Roman"/>
          <w:color w:val="000000"/>
          <w:sz w:val="20"/>
        </w:rPr>
        <w:t>(10) The amounts reported include $13,800 of matching contributions made under our 401(k) plan, $2,170 of commuter benefits and $1,300 of expenses for phone services that the Company paid for on behalf of Mr. Barry.</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Grants of Plan-Based Awards for Fiscal Year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information regarding each grant of an award made to our named executives officer during the fiscal year ended December 31, 2024 under any plan, contract, authorization or arrangement pursuant to which cash, securities, similar instruments or other property may be received.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9"/>
        <w:gridCol w:w="146"/>
        <w:gridCol w:w="502"/>
        <w:gridCol w:w="146"/>
        <w:gridCol w:w="1166"/>
        <w:gridCol w:w="146"/>
        <w:gridCol w:w="218"/>
        <w:gridCol w:w="1035"/>
        <w:gridCol w:w="146"/>
        <w:gridCol w:w="146"/>
        <w:gridCol w:w="220"/>
        <w:gridCol w:w="906"/>
        <w:gridCol w:w="146"/>
        <w:gridCol w:w="146"/>
        <w:gridCol w:w="215"/>
        <w:gridCol w:w="1022"/>
        <w:gridCol w:w="146"/>
        <w:gridCol w:w="146"/>
        <w:gridCol w:w="208"/>
        <w:gridCol w:w="730"/>
        <w:gridCol w:w="146"/>
        <w:gridCol w:w="146"/>
        <w:gridCol w:w="186"/>
        <w:gridCol w:w="1053"/>
        <w:gridCol w:w="199"/>
      </w:tblGrid>
      <w:tr>
        <w:trPr/>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 of Compensation Committee Approval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 Future Payouts Under Non-Equity Incentive Plan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stock awards: Number of shares of stock or units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 option awards: Number of securities underlying options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or base price of option awards ($/Sh)(3)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 fair value of stock and option awards (4)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1,070,423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4,345,288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483,992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1,964,682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572,236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2,322,915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1,139,519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(1) Amounts shown in the “Target ($)” column reflect the target amounts payable to each named executive officer under our 2024 annual cash bonus plan as described under “</w:t>
      </w:r>
      <w:r>
        <w:rPr>
          <w:rFonts w:ascii="Times New Roman" w:hAnsi="Times New Roman"/>
          <w:i/>
          <w:color w:val="000000"/>
          <w:sz w:val="20"/>
        </w:rPr>
        <w:t>CD&amp;A —Non-Equity Incentive Plan Compensation</w:t>
      </w:r>
      <w:r>
        <w:rPr>
          <w:rFonts w:ascii="Times New Roman" w:hAnsi="Times New Roman"/>
          <w:color w:val="000000"/>
          <w:sz w:val="20"/>
        </w:rPr>
        <w:t>” above. Actual payments attributable to performance in 2024 are provided in the “2024 Summary Compensation Table” above. There are no threshold or maximum amounts with respect to these performance-based cash payments.</w:t>
      </w:r>
    </w:p>
    <w:p>
      <w:pPr>
        <w:pStyle w:val="TextBody"/>
        <w:bidi w:val="0"/>
        <w:jc w:val="left"/>
        <w:rPr>
          <w:rFonts w:ascii="Times New Roman" w:hAnsi="Times New Roman"/>
          <w:color w:val="000000"/>
          <w:sz w:val="20"/>
        </w:rPr>
      </w:pPr>
      <w:r>
        <w:rPr>
          <w:rFonts w:ascii="Times New Roman" w:hAnsi="Times New Roman"/>
          <w:color w:val="000000"/>
          <w:sz w:val="20"/>
        </w:rPr>
        <w:t>(2) The amounts shown represent the number of RSUs granted pursuant to our 2021 Stock Option and Incentive Plan, or the 2021 Plan.</w:t>
      </w:r>
    </w:p>
    <w:p>
      <w:pPr>
        <w:pStyle w:val="TextBody"/>
        <w:bidi w:val="0"/>
        <w:jc w:val="left"/>
        <w:rPr>
          <w:rFonts w:ascii="Times New Roman" w:hAnsi="Times New Roman"/>
          <w:color w:val="000000"/>
          <w:sz w:val="20"/>
        </w:rPr>
      </w:pPr>
      <w:r>
        <w:rPr>
          <w:rFonts w:ascii="Times New Roman" w:hAnsi="Times New Roman"/>
          <w:color w:val="000000"/>
          <w:sz w:val="20"/>
        </w:rPr>
        <w:t>(3) The exercise price of these stock options is equal to the closing price of our common stock as reported on the Nasdaq Global Select Market on the grant date.</w:t>
      </w:r>
    </w:p>
    <w:p>
      <w:pPr>
        <w:pStyle w:val="TextBody"/>
        <w:bidi w:val="0"/>
        <w:jc w:val="left"/>
        <w:rPr>
          <w:rFonts w:ascii="Times New Roman" w:hAnsi="Times New Roman"/>
          <w:color w:val="000000"/>
          <w:sz w:val="20"/>
        </w:rPr>
      </w:pPr>
      <w:r>
        <w:rPr>
          <w:rFonts w:ascii="Times New Roman" w:hAnsi="Times New Roman"/>
          <w:color w:val="000000"/>
          <w:sz w:val="20"/>
        </w:rPr>
        <w:t>(4) These amounts represent the aggregate grant date fair value of stock option awards and RSU awards granted to our named executive officers in 2024, computed in accordance with ASC Topic 718, disregarding the effect of estimated forfeitures related to service-based vesting. See Note 2 and Note 11 to our audited financial statements contained in our Annual Report on Form 10-K filed with the SEC on February 27, 2025 for a discussion of assumptions made in determining the aggregate grant date fair value of stock option and RSU awards. These amounts do not reflect the actual economic value that may be realized by the named executive officer upon the vesting or exercise of the stock options or the sale of the common stock underlying such stock options or the vesting of RSUs and the sale of the shares received upon the vesting of the RSUs.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Outstanding Equity Awards at 2024 Fiscal Year-End</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information regarding all outstanding equity awards held by each of our named executive officers as of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
        <w:gridCol w:w="146"/>
        <w:gridCol w:w="146"/>
        <w:gridCol w:w="469"/>
        <w:gridCol w:w="256"/>
        <w:gridCol w:w="244"/>
        <w:gridCol w:w="782"/>
        <w:gridCol w:w="146"/>
        <w:gridCol w:w="149"/>
        <w:gridCol w:w="149"/>
        <w:gridCol w:w="845"/>
        <w:gridCol w:w="146"/>
        <w:gridCol w:w="146"/>
        <w:gridCol w:w="148"/>
        <w:gridCol w:w="148"/>
        <w:gridCol w:w="702"/>
        <w:gridCol w:w="148"/>
        <w:gridCol w:w="261"/>
        <w:gridCol w:w="146"/>
        <w:gridCol w:w="147"/>
        <w:gridCol w:w="147"/>
        <w:gridCol w:w="515"/>
        <w:gridCol w:w="146"/>
        <w:gridCol w:w="146"/>
        <w:gridCol w:w="146"/>
        <w:gridCol w:w="625"/>
        <w:gridCol w:w="146"/>
        <w:gridCol w:w="150"/>
        <w:gridCol w:w="619"/>
        <w:gridCol w:w="146"/>
        <w:gridCol w:w="256"/>
        <w:gridCol w:w="150"/>
        <w:gridCol w:w="712"/>
        <w:gridCol w:w="202"/>
      </w:tblGrid>
      <w:tr>
        <w:trPr/>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Stock Awards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Vesting Commencement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Unexercisable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Value of Shares or Units of Stock That Have Not Vested ($)(3)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1/24/2019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1,257,313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801,170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257,443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279,830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184,464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269,349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10/18/2019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121,786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264,063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167,373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279,593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74,684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Each stock option granted prior to the closing of the Business Combination in August 2021 was granted under our 2017 Stock Option and Grant Plan, or the 2017 Plan. Each stock option and RSU award granted after the closing of the Business Combination was granted pursuant to our 2021 Plan, unless otherwise noted.</w:t>
      </w:r>
    </w:p>
    <w:p>
      <w:pPr>
        <w:pStyle w:val="TextBody"/>
        <w:bidi w:val="0"/>
        <w:jc w:val="left"/>
        <w:rPr>
          <w:rFonts w:ascii="Times New Roman" w:hAnsi="Times New Roman"/>
          <w:color w:val="000000"/>
          <w:sz w:val="20"/>
        </w:rPr>
      </w:pPr>
      <w:r>
        <w:rPr>
          <w:rFonts w:ascii="Times New Roman" w:hAnsi="Times New Roman"/>
          <w:color w:val="000000"/>
          <w:sz w:val="20"/>
        </w:rPr>
        <w:t>(2) All of the option awards listed in the table were granted with an exercise price per share that is no less than the fair market value of our common stock on the date of grant of such award. For information regarding the valuation of equity awards, see Note 2 and Note 11 to our audited financial statements contained in our Annual Report on Form 10-K for the year ended December 31, 2024 as filed with the SEC on February 27, 2025. The amounts presented do not correspond to the actual value that may be recognized by the named executive officer upon vesting or exercise of the stock options or the sale of the shares of common stock underlying such stock options.</w:t>
      </w:r>
    </w:p>
    <w:p>
      <w:pPr>
        <w:pStyle w:val="TextBody"/>
        <w:bidi w:val="0"/>
        <w:jc w:val="left"/>
        <w:rPr>
          <w:rFonts w:ascii="Times New Roman" w:hAnsi="Times New Roman"/>
          <w:color w:val="000000"/>
          <w:sz w:val="20"/>
        </w:rPr>
      </w:pPr>
      <w:r>
        <w:rPr>
          <w:rFonts w:ascii="Times New Roman" w:hAnsi="Times New Roman"/>
          <w:color w:val="000000"/>
          <w:sz w:val="20"/>
        </w:rPr>
        <w:t>(3) The market value of the RSU awards is based on the closing price of $3.09 per share of the Company’s common stock on December 31, 2024, the last trading day of the year, as reported on the Nasdaq Global Market.</w:t>
      </w:r>
    </w:p>
    <w:p>
      <w:pPr>
        <w:pStyle w:val="TextBody"/>
        <w:bidi w:val="0"/>
        <w:jc w:val="left"/>
        <w:rPr>
          <w:rFonts w:ascii="Times New Roman" w:hAnsi="Times New Roman"/>
          <w:color w:val="000000"/>
          <w:sz w:val="20"/>
        </w:rPr>
      </w:pPr>
      <w:r>
        <w:rPr>
          <w:rFonts w:ascii="Times New Roman" w:hAnsi="Times New Roman"/>
          <w:color w:val="000000"/>
          <w:sz w:val="20"/>
        </w:rPr>
        <w:t>(4) These stock options vest as follows: 25% of the shares vest on the first anniversary of the vesting commencement date and the remaining 75% of the shares vest in 36 equal monthly installments thereafter, subject to continued employment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(5) These stock options vested in equal monthly installments over 48 months following the vesting commencement date, subject to continued employment with the Company through the applicable vesting date.</w:t>
      </w:r>
    </w:p>
    <w:p>
      <w:pPr>
        <w:pStyle w:val="TextBody"/>
        <w:bidi w:val="0"/>
        <w:jc w:val="left"/>
        <w:rPr>
          <w:rFonts w:ascii="Times New Roman" w:hAnsi="Times New Roman"/>
          <w:color w:val="000000"/>
          <w:sz w:val="20"/>
        </w:rPr>
      </w:pPr>
      <w:r>
        <w:rPr>
          <w:rFonts w:ascii="Times New Roman" w:hAnsi="Times New Roman"/>
          <w:color w:val="000000"/>
          <w:sz w:val="20"/>
        </w:rPr>
        <w:t>(6) These stock options and RSUs were granted pursuant to our 2023 Inducement Plan.</w:t>
      </w:r>
    </w:p>
    <w:p>
      <w:pPr>
        <w:pStyle w:val="TextBody"/>
        <w:bidi w:val="0"/>
        <w:jc w:val="left"/>
        <w:rPr>
          <w:rFonts w:ascii="Times New Roman" w:hAnsi="Times New Roman"/>
          <w:color w:val="000000"/>
          <w:sz w:val="20"/>
        </w:rPr>
      </w:pPr>
      <w:r>
        <w:rPr>
          <w:rFonts w:ascii="Times New Roman" w:hAnsi="Times New Roman"/>
          <w:color w:val="000000"/>
          <w:sz w:val="20"/>
        </w:rPr>
        <w:t>(7) These RSUs vest in equal annual installments over three years on each of February 5, 2024, February 3, 2025 and February 2, 2026, subject to the named executive officer's continued employment with the Company through the applicable vesting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 These RSUs vest in equal annual installments over three years on each of February 3, 2025, February 2, 2026 and February 1, 2027, subject to the named executive officer's continued employment with the Company through the applicable vesting date.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Option Exercises and Stock Vested in 2024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information regarding option exercises and the vesting of RSU awards by each of our named executive officers during the fiscal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146"/>
        <w:gridCol w:w="2204"/>
        <w:gridCol w:w="146"/>
        <w:gridCol w:w="1546"/>
        <w:gridCol w:w="146"/>
        <w:gridCol w:w="371"/>
        <w:gridCol w:w="1719"/>
        <w:gridCol w:w="146"/>
        <w:gridCol w:w="146"/>
        <w:gridCol w:w="268"/>
        <w:gridCol w:w="1439"/>
        <w:gridCol w:w="195"/>
      </w:tblGrid>
      <w:tr>
        <w:trPr/>
        <w:tc>
          <w:tcPr>
            <w:tcW w:w="1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Acquired on Exercise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Realized on Exercise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Acquired on 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Realized on Vesting ($)(2)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371,906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337,467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There were no option exercises by the named executive officers during the year ended December 31, 2024.</w:t>
      </w:r>
    </w:p>
    <w:p>
      <w:pPr>
        <w:pStyle w:val="TextBody"/>
        <w:bidi w:val="0"/>
        <w:jc w:val="left"/>
        <w:rPr>
          <w:rFonts w:ascii="Times New Roman" w:hAnsi="Times New Roman"/>
          <w:color w:val="000000"/>
          <w:sz w:val="20"/>
        </w:rPr>
      </w:pPr>
      <w:r>
        <w:rPr>
          <w:rFonts w:ascii="Times New Roman" w:hAnsi="Times New Roman"/>
          <w:color w:val="000000"/>
          <w:sz w:val="20"/>
        </w:rPr>
        <w:t>(2) The value realized upon vesting of RSUs is calculated by multiplying the number of RSUs vested by the closing price market price of a share of our common stock as reported on the Nasdaq Global Select Market on the vest date.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as of December 31, 2024 regarding shares of common stock that may be issued under our equity compensation plans, consisting of our 2023 Inducement Plan (as described below), our 2021 Plan, our 2021 Employee Stock Purchase Plan, or the ESPP, and our 2017 Plan. As of December 31, 2024, other than the 2023 Inducement Plan, we did not have any non-stockholder approved equity compensation plans. The compensation committee adopted the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w:t>
      </w:r>
    </w:p>
    <w:tbl>
      <w:tblPr>
        <w:tblW w:w="10205" w:type="dxa"/>
        <w:jc w:val="left"/>
        <w:tblInd w:w="0" w:type="dxa"/>
        <w:tblLayout w:type="fixed"/>
        <w:tblCellMar>
          <w:top w:w="28" w:type="dxa"/>
          <w:left w:w="28" w:type="dxa"/>
          <w:bottom w:w="28" w:type="dxa"/>
          <w:right w:w="28" w:type="dxa"/>
        </w:tblCellMar>
      </w:tblPr>
      <w:tblGrid>
        <w:gridCol w:w="1854"/>
        <w:gridCol w:w="146"/>
        <w:gridCol w:w="261"/>
        <w:gridCol w:w="1857"/>
        <w:gridCol w:w="146"/>
        <w:gridCol w:w="280"/>
        <w:gridCol w:w="429"/>
        <w:gridCol w:w="429"/>
        <w:gridCol w:w="1372"/>
        <w:gridCol w:w="146"/>
        <w:gridCol w:w="146"/>
        <w:gridCol w:w="328"/>
        <w:gridCol w:w="2334"/>
        <w:gridCol w:w="146"/>
        <w:gridCol w:w="331"/>
      </w:tblGrid>
      <w:tr>
        <w:trPr/>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 of Outstanding Options, Warrants and Rights($)(1)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stockholders(2)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19,835,164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10,085,905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18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20,824,356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12,061,295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The calculation does not take into account shares of common stock subject to outstanding RSUs, which do not have an associated exercise price.</w:t>
      </w:r>
    </w:p>
    <w:p>
      <w:pPr>
        <w:pStyle w:val="TextBody"/>
        <w:bidi w:val="0"/>
        <w:jc w:val="left"/>
        <w:rPr>
          <w:rFonts w:ascii="Times New Roman" w:hAnsi="Times New Roman"/>
          <w:color w:val="000000"/>
          <w:sz w:val="20"/>
        </w:rPr>
      </w:pPr>
      <w:r>
        <w:rPr>
          <w:rFonts w:ascii="Times New Roman" w:hAnsi="Times New Roman"/>
          <w:color w:val="000000"/>
          <w:sz w:val="20"/>
        </w:rPr>
        <w:t>(2) The 2021 Plan provides that the number of shares reserved and available for issuance under the 2021 Plan will automatically increase each January 1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pStyle w:val="TextBody"/>
        <w:bidi w:val="0"/>
        <w:jc w:val="left"/>
        <w:rPr>
          <w:rFonts w:ascii="Times New Roman" w:hAnsi="Times New Roman"/>
          <w:color w:val="000000"/>
          <w:sz w:val="20"/>
        </w:rPr>
      </w:pPr>
      <w:r>
        <w:rPr>
          <w:rFonts w:ascii="Times New Roman" w:hAnsi="Times New Roman"/>
          <w:color w:val="000000"/>
          <w:sz w:val="20"/>
        </w:rPr>
        <w:t xml:space="preserve">(3) This number includes 14,441,234 shares of our common stock subject to outstanding options granted under our 2021 Plan, 1,100,219 unvested RSUs under our 2021 Plan, and 4,293,711 shares of our common stock subject to outstanding options granted under our 2017 Plan. </w:t>
      </w:r>
    </w:p>
    <w:p>
      <w:pPr>
        <w:pStyle w:val="TextBody"/>
        <w:bidi w:val="0"/>
        <w:jc w:val="left"/>
        <w:rPr>
          <w:rFonts w:ascii="Times New Roman" w:hAnsi="Times New Roman"/>
          <w:color w:val="000000"/>
          <w:sz w:val="20"/>
        </w:rPr>
      </w:pPr>
      <w:r>
        <w:rPr>
          <w:rFonts w:ascii="Times New Roman" w:hAnsi="Times New Roman"/>
          <w:color w:val="000000"/>
          <w:sz w:val="20"/>
        </w:rPr>
        <w:t>(4) Includes 7,054,673 shares available for grant under the 2021 Plan, 3,031,232 shares available under the 2021 ESPP and zero shares available for grant under the 2017 Plan.</w:t>
      </w:r>
    </w:p>
    <w:p>
      <w:pPr>
        <w:pStyle w:val="TextBody"/>
        <w:bidi w:val="0"/>
        <w:jc w:val="left"/>
        <w:rPr>
          <w:rFonts w:ascii="Times New Roman" w:hAnsi="Times New Roman"/>
          <w:color w:val="000000"/>
          <w:sz w:val="20"/>
        </w:rPr>
      </w:pPr>
      <w:r>
        <w:rPr>
          <w:rFonts w:ascii="Times New Roman" w:hAnsi="Times New Roman"/>
          <w:color w:val="000000"/>
          <w:sz w:val="20"/>
        </w:rPr>
        <w:t xml:space="preserve">(5) Includes 880,078 shares of common stock issuable upon the exercise of outstanding stock options and 109,114 unvested RSUs.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Includes 1,975,390 shares of common stock available under the 2023 Inducement Plan.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Executive Compensation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Effective upon the closing of the Business Combination in 2021, we entered into employment agreements with Dr. Weber and Ms. Beckman that provide for specified payments and benefits in connection with a termination of employment in certain circumstances. Dr. Crystal and Mr. Barry each entered into an employment agreement in connection with the commencement of their employment in February 2023 and August 2021, respectively. These agreements provide for specified payments and benefits in connection with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Dr. Crystal, and Mr. Barry are summarized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Barbara Weber, M.D.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Dr. Weber’s employment agreement, or the Weber Employment Agreement, Dr. Weber serves as our Chief Executive Officer on an at-will basis. Dr. Weber’s annual base salary is subject to periodic review and adjustment by the board of directors, and she is eligible to earn an annual bonus with a target amount expressed as a percentage of her base salary, which target amount is set annually by the board of directors. Dr. Weber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Weber Employment Agreement, in the event that Dr. Weber's employment is terminated by us without “cause” or Dr. Weber resigns for “good reason” (as each term is defined in the Weber Employment Agreement), subject to her execution and the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she will be entitled to 12 months of acceleration of the unvested portion of all stock options and other stock-based awards subject solely to time-based vesting held by Dr. Weber.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her execution and the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Daniella Beckman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Ms. Beckman’s employment agreement, or the Beckman Employment Agreement, Ms. Beckman serves as our Chief Financial Officer on an at-will basis. Ms. Beckman’s annual base salary is subject to periodic review and adjustment by the compensation committee, and she is eligible to earn an annual bonus with a target amount expressed as a percentage of her base salary, which target amount is set annually by the compensation committee. Ms. Beckman is eligible to participate in the employee benefit plans available to our employees, subject to the terms of those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Pursuant to the Beckman Employment Agreement, in the event that Ms. Beckman's employment is terminated by us without “cause” or Ms. Beckman resigns for “good reason” (as each term is defined in the Beckman Employment Agreement), subject to her execution and the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her execution and the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Adam Crystal, M.D., Ph.D.</w:t>
      </w:r>
    </w:p>
    <w:p>
      <w:pPr>
        <w:pStyle w:val="TextBody"/>
        <w:bidi w:val="0"/>
        <w:jc w:val="left"/>
        <w:rPr>
          <w:rFonts w:ascii="Times New Roman" w:hAnsi="Times New Roman"/>
          <w:color w:val="000000"/>
          <w:sz w:val="20"/>
        </w:rPr>
      </w:pPr>
      <w:r>
        <w:rPr>
          <w:rFonts w:ascii="Times New Roman" w:hAnsi="Times New Roman"/>
          <w:color w:val="000000"/>
          <w:sz w:val="20"/>
        </w:rPr>
        <w:t>Under Dr. Crystal's employment agreement, or the Crystal Employment Agreement, Dr. Crystal's annual base salary is subject to periodic review and adjustment by the compensation committee, and he is eligible to earn an annual bonus with a target amount expressed as a percentage of his base salary, which target amount is set annually by the compensation committee. Dr. Crystal also received a one-time sign-on bonus of $275,000, which was subject to repayment by Dr. Crystal if he had voluntarily left Tango prior to February 27, 2024. Dr. Crystal is eligible to participate in the employee benefit plans available to our employees, subject to the terms of those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Crystal Employment Agreement, in the event that Dr. Crystal's employment is terminated by us without “cause” or Dr. Crystal resigns for “good reason” (as each term is defined in the Crystal Employment Agreement), subject to his execution and the effectiveness of a separation agreement, including a general release of claims in our favor, (i) he will be entitled to receive base salary continuation for twelve (12) months following termination and his unpaid cash bonus payments for the preceding year, (ii) he will be entitled to receive any unpaid cash bonus for the preceding fiscal year and a pro-rata bonus for the portion of the year through the date of termination, and (iii)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12 months following termination, (B) Dr. Crystal’s eligibility for group medical plan benefits under any other employer’s group medical plan or (C) the end of Dr. Crystal’s COBRA health continuation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Dr. Crystal’s employment is terminated by the Company without cause or Dr. Crystal resigns for good reason on or within 12 months following a “change in control” (as defined in the Crystal Employment Agreement), subject to his execution and the effectiveness of a separation agreement, including a general release of claims in our favor, (i) he will be entitled to receive a lump sum in cash equal to 12 months of his then-current annual base salary (or Dr. Crystal’s base salary in effect immediately prior to a change in control, if higher), (ii) he will be entitled to receive a lump sum in cash equal to his target annual cash incentive compensation for the year of termination, (iii) he will be entitled to receive any unpaid cash bonus for the preceding fiscal year and pro-rata bonus for the portion of the year through the date of termination, (iv)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12 months following termination, (B) Dr. Crystal’s eligibility for group medical plan benefits under any other employer’s group medical plan or (C) the end of Dr. Crystal’s COBRA health continuation period, and (v) he will be entitled to acceleration of 100% of all stock options and other stock-based awards subject solely to time-based vesting held by Dr. Crystal.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Douglas Barry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Mr. Barry’s employment agreement, or the Barry Employment Agreement, Mr. Barry serves as our Chief Legal Officer, Chief Compliance Officer, and Corporate Secretary on an at-will basis. Mr. Barry’s annual base salary is subject to periodic review and adjustment by the compensation committee, and he is eligible to earn an annual bonus with a target amount expressed as a percentage of his base salary, which target amount is set annually by the compensation committee. Mr. Barry is eligible to participate in the employee benefit plans available to our employees, subject to the terms of those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Barry Employment Agreement, in the event that Mr. Barry's employment is terminated by us without “cause” or Mr. Barry resigns for “good reason” (as each term is defined in the Barry Employment Agreement), subject to his execution and the effectiveness of a separation agreement, including a general release of claims in our favor, (i) he will be entitled to receive base salary continuation for six months following termination, and (ii)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six months following termination, (B) Mr. Barry’s eligibility for group medical plan benefits under any other employer’s group medical plan or (C) the end of Mr. Barry’s COBRA health continuation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lieu of the payments and benefits described in the preceding sentence, in the event that Mr. Barry’s employment is terminated by us without cause or Mr. Barry resigns for good reason on or within 12 months following a “change in control” (as defined in the Barry Employment Agreement), subject to his execution and the effectiveness of a separation agreement, including a general release of claims in our favor, (i) he will be entitled to receive a lump sum in cash equal to nine months of his then-current annual base salary (or Mr. Barry’s annual base salary in effect immediately prior to the change in control, if higher), (ii) he will be entitled to receive a lump sum in cash equal to his target annual cash incentive compensation for the year of termination, (iii) subject to Mr. Barry’s copayment of premium amounts at the applicable active employees’ rate and proper election to continue COBRA health coverage, we will cover the portion of the premium amount equal to the amount that we would have paid to provide health insurance to Mr. Barry had he remained employed with us until the earliest of (A) nine months following termination, (B) Mr. Barry’s eligibility for group medical plan benefits under any other employer’s group medical plan or (C) the end of Mr. Barry’s COBRA health continuation period, and (iv) he will be entitled to acceleration of 100% of all stock options and other stock-based awards subject solely to time-based vesting held by him.</w:t>
      </w:r>
    </w:p>
    <w:p>
      <w:pPr>
        <w:pStyle w:val="TextBody"/>
        <w:bidi w:val="0"/>
        <w:spacing w:before="0" w:after="240"/>
        <w:jc w:val="left"/>
        <w:rPr>
          <w:rFonts w:ascii="Times New Roman" w:hAnsi="Times New Roman"/>
          <w:sz w:val="20"/>
        </w:rPr>
      </w:pPr>
      <w:r>
        <w:rPr>
          <w:rFonts w:ascii="Times New Roman" w:hAnsi="Times New Roman"/>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amount of compensation and benefits payable to each named executive officer under our employment agreements in various termination and/or change-in-control situations has been estimated in the table below, which assumes that such termination and/or change-in-control occurred on December 31, 2024 and that no noncompetition-related payments will be made following any such termination. Such compensation and benefits amounts were calculated based on employment agreements in effect on December 31, 2024. The value of the equity vesting acceleration was calculated based on the assumption that the change-in-control and/or the executive’s employment termination occurred on December 31, 2024. For purposes of the following table, we have used $3.09 per share, which was the closing price of our common stock as reported on the Nasdaq Global Select Market on December 31, 2024, the last trading day of the year 2024, to estimate the value of our common stock upon acceleration. The value of the option vesting acceleration was calculated by multiplying the number of unvested shares underlying stock options subject to vesting acceleration as of December 31, 2024 by the difference between the closing price of our common stock as reported on the Nasdaq Global Select Market on December 31, 2024 and the exercise price for such unvested stock options. The value of the RSU vesting acceleration was calculated by multiplying the number of unvested RSUs subject to vesting acceleration as of December 31, 2024 by the closing price of our common stock as reported on the Nasdaq Global Select Market on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7"/>
        <w:gridCol w:w="146"/>
        <w:gridCol w:w="1505"/>
        <w:gridCol w:w="146"/>
        <w:gridCol w:w="436"/>
        <w:gridCol w:w="2472"/>
        <w:gridCol w:w="146"/>
        <w:gridCol w:w="240"/>
        <w:gridCol w:w="427"/>
        <w:gridCol w:w="2420"/>
        <w:gridCol w:w="146"/>
        <w:gridCol w:w="364"/>
      </w:tblGrid>
      <w:tr>
        <w:trPr/>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Triggering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Resignation for Good Reason or Termination Without Cause Outside of 12 Months of the Change in Control 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Resignation for Good Reason or Termination Without Cause Within 12 Months of the Change in Control 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Barbara Weber,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President, Chief Executive Officer and 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incentive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continuation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Acceleration of equity award vesting</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182,013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w:t>
            </w:r>
          </w:p>
        </w:tc>
        <w:tc>
          <w:tcPr>
            <w:tcW w:w="4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895,312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1,255,042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2,504,856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Daniella Beckman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incentive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Acceleration of equity award vesting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704,977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1,003,335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Adam Crystal, M.D.,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President of Research and Development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incentive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continuation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c>
          <w:tcPr>
            <w:tcW w:w="284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Acceleration of equity award vesting</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08"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532,436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w:t>
            </w:r>
          </w:p>
        </w:tc>
      </w:tr>
      <w:tr>
        <w:trPr/>
        <w:tc>
          <w:tcPr>
            <w:tcW w:w="17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825,413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1,357,849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Douglas Barry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Severance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Legal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incentive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continuation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Acceleration of equity award vesting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237,669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770,950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Represents continued base salary in an amount equal to twelve (12) months of the named executive officers annual base salary in effect as of December 31, 2024.</w:t>
      </w:r>
    </w:p>
    <w:p>
      <w:pPr>
        <w:pStyle w:val="TextBody"/>
        <w:bidi w:val="0"/>
        <w:jc w:val="left"/>
        <w:rPr>
          <w:rFonts w:ascii="Times New Roman" w:hAnsi="Times New Roman"/>
          <w:color w:val="000000"/>
          <w:sz w:val="20"/>
        </w:rPr>
      </w:pPr>
      <w:r>
        <w:rPr>
          <w:rFonts w:ascii="Times New Roman" w:hAnsi="Times New Roman"/>
          <w:color w:val="000000"/>
          <w:sz w:val="20"/>
        </w:rPr>
        <w:t xml:space="preserve">(2) Represents continued base salary in an amount equal to eighteen (18) months of the named executive officers annual base salary in effect as of December 31, 2024. </w:t>
      </w:r>
    </w:p>
    <w:p>
      <w:pPr>
        <w:pStyle w:val="TextBody"/>
        <w:bidi w:val="0"/>
        <w:jc w:val="left"/>
        <w:rPr>
          <w:rFonts w:ascii="Times New Roman" w:hAnsi="Times New Roman"/>
          <w:color w:val="000000"/>
          <w:sz w:val="20"/>
        </w:rPr>
      </w:pPr>
      <w:r>
        <w:rPr>
          <w:rFonts w:ascii="Times New Roman" w:hAnsi="Times New Roman"/>
          <w:color w:val="000000"/>
          <w:sz w:val="20"/>
        </w:rPr>
        <w:t>(3) Represents a lump sum in cash in an amount equal to 1 times the named executive officers target annual cash incentive compensation in effect as of December 31, 2024.</w:t>
      </w:r>
    </w:p>
    <w:p>
      <w:pPr>
        <w:pStyle w:val="TextBody"/>
        <w:bidi w:val="0"/>
        <w:jc w:val="left"/>
        <w:rPr>
          <w:rFonts w:ascii="Times New Roman" w:hAnsi="Times New Roman"/>
          <w:color w:val="000000"/>
          <w:sz w:val="20"/>
        </w:rPr>
      </w:pPr>
      <w:r>
        <w:rPr>
          <w:rFonts w:ascii="Times New Roman" w:hAnsi="Times New Roman"/>
          <w:color w:val="000000"/>
          <w:sz w:val="20"/>
        </w:rPr>
        <w:t>(4) Represents a lump sum in cash in an amount equal to 1.5 times the named executive officers target annual cash incentive compensation in effect as of December 31, 2024.</w:t>
      </w:r>
    </w:p>
    <w:p>
      <w:pPr>
        <w:pStyle w:val="TextBody"/>
        <w:bidi w:val="0"/>
        <w:jc w:val="left"/>
        <w:rPr>
          <w:rFonts w:ascii="Times New Roman" w:hAnsi="Times New Roman"/>
          <w:color w:val="000000"/>
          <w:sz w:val="20"/>
        </w:rPr>
      </w:pPr>
      <w:r>
        <w:rPr>
          <w:rFonts w:ascii="Times New Roman" w:hAnsi="Times New Roman"/>
          <w:color w:val="000000"/>
          <w:sz w:val="20"/>
        </w:rPr>
        <w:t>(5) Represents the aggregate of monthly cash payments for twelve (12) months for continued medical and dental benefits for the named executive officer.</w:t>
      </w:r>
    </w:p>
    <w:p>
      <w:pPr>
        <w:pStyle w:val="TextBody"/>
        <w:bidi w:val="0"/>
        <w:jc w:val="left"/>
        <w:rPr>
          <w:rFonts w:ascii="Times New Roman" w:hAnsi="Times New Roman"/>
          <w:color w:val="000000"/>
          <w:sz w:val="20"/>
        </w:rPr>
      </w:pPr>
      <w:r>
        <w:rPr>
          <w:rFonts w:ascii="Times New Roman" w:hAnsi="Times New Roman"/>
          <w:color w:val="000000"/>
          <w:sz w:val="20"/>
        </w:rPr>
        <w:t>(6) Represents the aggregate of monthly cash payments for eighteen (18) months for continued medical and dental benefits for the named executive officer.</w:t>
      </w:r>
    </w:p>
    <w:p>
      <w:pPr>
        <w:pStyle w:val="TextBody"/>
        <w:bidi w:val="0"/>
        <w:jc w:val="left"/>
        <w:rPr>
          <w:rFonts w:ascii="Times New Roman" w:hAnsi="Times New Roman"/>
          <w:color w:val="000000"/>
          <w:sz w:val="20"/>
        </w:rPr>
      </w:pPr>
      <w:r>
        <w:rPr>
          <w:rFonts w:ascii="Times New Roman" w:hAnsi="Times New Roman"/>
          <w:color w:val="000000"/>
          <w:sz w:val="20"/>
        </w:rPr>
        <w:t>(7) Represents the acceleration of vesting of twelve (12) months of the unvested stock options and other stock-based awards subject solely to time-based vesting held by the named executive officer on December 31, 2024.</w:t>
      </w:r>
    </w:p>
    <w:p>
      <w:pPr>
        <w:pStyle w:val="TextBody"/>
        <w:bidi w:val="0"/>
        <w:jc w:val="left"/>
        <w:rPr>
          <w:rFonts w:ascii="Times New Roman" w:hAnsi="Times New Roman"/>
          <w:color w:val="000000"/>
          <w:sz w:val="20"/>
        </w:rPr>
      </w:pPr>
      <w:r>
        <w:rPr>
          <w:rFonts w:ascii="Times New Roman" w:hAnsi="Times New Roman"/>
          <w:color w:val="000000"/>
          <w:sz w:val="20"/>
        </w:rPr>
        <w:t>(8) Represents the acceleration of vesting of 100% of the unvested stock options and other stock-based awards subject solely to time-based vesting held by the named executive officer on December 31, 2024.</w:t>
      </w:r>
    </w:p>
    <w:p>
      <w:pPr>
        <w:pStyle w:val="TextBody"/>
        <w:bidi w:val="0"/>
        <w:jc w:val="left"/>
        <w:rPr>
          <w:rFonts w:ascii="Times New Roman" w:hAnsi="Times New Roman"/>
          <w:color w:val="000000"/>
          <w:sz w:val="20"/>
        </w:rPr>
      </w:pPr>
      <w:r>
        <w:rPr>
          <w:rFonts w:ascii="Times New Roman" w:hAnsi="Times New Roman"/>
          <w:color w:val="000000"/>
          <w:sz w:val="20"/>
        </w:rPr>
        <w:t>(9) Represents the aggregate of monthly cash payments for six (6) months for continued medical and dental benefits for the named executive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 Represents the aggregate of monthly cash payments for nine (9) months for continued medical and dental benefits for the named executive officer.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CEO Pay Ratio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required by Section 953(b) of the Dodd-Frank Wall Street Reform and Consumer Protection Act and Item 402(u) of Regulation S-K, we are providing the following information about the relationship of the annual total compensation of our employees to the annual total compensation of Barbara Weber, M.D., our current President and Chief Executive Officer.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Pay Ratio</w:t>
      </w:r>
    </w:p>
    <w:p>
      <w:pPr>
        <w:pStyle w:val="TextBody"/>
        <w:bidi w:val="0"/>
        <w:jc w:val="left"/>
        <w:rPr>
          <w:rFonts w:ascii="Times New Roman" w:hAnsi="Times New Roman"/>
          <w:color w:val="000000"/>
          <w:sz w:val="20"/>
        </w:rPr>
      </w:pPr>
      <w:r>
        <w:rPr>
          <w:rFonts w:ascii="Times New Roman" w:hAnsi="Times New Roman"/>
          <w:color w:val="000000"/>
          <w:sz w:val="20"/>
        </w:rPr>
        <w:t>For the Fiscal Year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annual total compensation of our median employee, other than our principal executive officer, was $294,361.</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 Weber’s annual total compensation, as reported in the “Total” column of the “Summary Compensation Table,” was $6,541,200.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this information, the ratio of the annual total compensation of Dr. Weber to the total annual compensation of the median employee other than Dr. Weber is approximately 22 to 1.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Identification of Median Employee</w:t>
      </w:r>
    </w:p>
    <w:p>
      <w:pPr>
        <w:pStyle w:val="TextBody"/>
        <w:bidi w:val="0"/>
        <w:jc w:val="left"/>
        <w:rPr>
          <w:rFonts w:ascii="Times New Roman" w:hAnsi="Times New Roman"/>
          <w:color w:val="000000"/>
          <w:sz w:val="20"/>
        </w:rPr>
      </w:pPr>
      <w:r>
        <w:rPr>
          <w:rFonts w:ascii="Times New Roman" w:hAnsi="Times New Roman"/>
          <w:color w:val="000000"/>
          <w:sz w:val="20"/>
        </w:rPr>
        <w:t>The Company selected December 31, 2024, the last day of fiscal year 2024, as the date on which to determine its median employee. As of that date, we had 155 employees. For purposes of identifying the median employee, we considered the aggregate of the following compensation elements for each of its employees, as compiled from its internal records 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Earned base salary or base wages for the period beginning on January 1, 2024 and ending on December 31, 2024;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Target bonuses for fiscal year 2024;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Target long-term equity awards.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selected the above compensation elements because they represent its principal broad-based compensation elements. Because all of our employees are in the U.S., we did not make any cost-of-living adjustments or exclude any foreign jurisdictions in accordance with Item 402(u) of Regulation S-K. In determining the annual total compensation of the median employee, the employee’s compensation was calculated in accordance with Item 402(c)(2)(x) of Regulation S-K, as required pursuant to the SEC executive compensation disclosure rules. This calculation is the same calculation used to determine total compensation for purposes of the Summary Compensation Table with respect to each of our NEOs.</w:t>
      </w:r>
    </w:p>
    <w:p>
      <w:pPr>
        <w:pStyle w:val="TextBody"/>
        <w:bidi w:val="0"/>
        <w:jc w:val="left"/>
        <w:rPr>
          <w:rFonts w:ascii="Times New Roman" w:hAnsi="Times New Roman"/>
          <w:color w:val="212529"/>
          <w:sz w:val="20"/>
        </w:rPr>
      </w:pPr>
      <w:r>
        <w:rPr>
          <w:rFonts w:ascii="Times New Roman" w:hAnsi="Times New Roman"/>
          <w:color w:val="212529"/>
          <w:sz w:val="20"/>
        </w:rPr>
        <w:t>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240" w:after="283"/>
        <w:jc w:val="left"/>
        <w:rPr>
          <w:rFonts w:ascii="Times New Roman" w:hAnsi="Times New Roman"/>
          <w:sz w:val="20"/>
        </w:rPr>
      </w:pPr>
      <w:r>
        <w:rPr>
          <w:rFonts w:ascii="Times New Roman" w:hAnsi="Times New Roman"/>
          <w:color w:val="000000"/>
          <w:sz w:val="20"/>
        </w:rPr>
        <w:t>As required by Section 953(a) of the Dodd-Frank Wall Street Reform and Consumer Protection Act and Item 402(v) of Regulation S-K, Tango is providing the following information about the relationship between the executive compensation actually paid to our named executive officers and certain aspects of our financial performance. The following table sets forth the compensation for our Chief Executive Officer and the average compensation for our other named executive officers (Non-CEO NEOs), both as reported in the Summary Compensation Table and with certain adjustments to reflect the “Compensation Actually Paid”, or CAP, to such individuals, as defined under SEC rules, for each of 2024, 2023, and 2022. The table also provides information on our cumulative total shareholder return, or TSR, the cumulative TSR of the Nasdaq Biotechnology Index and our Net Loss over such years in accordance with SEC rules. As a clinical stage biotech company, we do not use any financial performance measures in our compensation program or for comparison to any corporate goals. For further information concerning our pay for performance philosophy and how we align executive compensation with our performance, please refer to “</w:t>
      </w:r>
      <w:r>
        <w:rPr>
          <w:rFonts w:ascii="Times New Roman" w:hAnsi="Times New Roman"/>
          <w:i/>
          <w:color w:val="000000"/>
          <w:sz w:val="20"/>
        </w:rPr>
        <w:t>Compensation Discussion and Analysis</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Pay Versus Performance Table</w:t>
      </w:r>
    </w:p>
    <w:tbl>
      <w:tblPr>
        <w:tblW w:w="10205" w:type="dxa"/>
        <w:jc w:val="left"/>
        <w:tblInd w:w="0" w:type="dxa"/>
        <w:tblLayout w:type="fixed"/>
        <w:tblCellMar>
          <w:top w:w="28" w:type="dxa"/>
          <w:left w:w="28" w:type="dxa"/>
          <w:bottom w:w="28" w:type="dxa"/>
          <w:right w:w="28" w:type="dxa"/>
        </w:tblCellMar>
      </w:tblPr>
      <w:tblGrid>
        <w:gridCol w:w="161"/>
        <w:gridCol w:w="526"/>
        <w:gridCol w:w="146"/>
        <w:gridCol w:w="146"/>
        <w:gridCol w:w="158"/>
        <w:gridCol w:w="1011"/>
        <w:gridCol w:w="146"/>
        <w:gridCol w:w="146"/>
        <w:gridCol w:w="155"/>
        <w:gridCol w:w="1057"/>
        <w:gridCol w:w="166"/>
        <w:gridCol w:w="146"/>
        <w:gridCol w:w="163"/>
        <w:gridCol w:w="1039"/>
        <w:gridCol w:w="146"/>
        <w:gridCol w:w="146"/>
        <w:gridCol w:w="161"/>
        <w:gridCol w:w="1032"/>
        <w:gridCol w:w="166"/>
        <w:gridCol w:w="146"/>
        <w:gridCol w:w="152"/>
        <w:gridCol w:w="485"/>
        <w:gridCol w:w="152"/>
        <w:gridCol w:w="152"/>
        <w:gridCol w:w="308"/>
        <w:gridCol w:w="707"/>
        <w:gridCol w:w="146"/>
        <w:gridCol w:w="146"/>
        <w:gridCol w:w="146"/>
        <w:gridCol w:w="631"/>
        <w:gridCol w:w="217"/>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Year-end Value of $100 Invested on 12/31/2021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Summary Compensation Table Total for Dr. Weber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 Actually Paid to Dr. Weber ($)(2)(3)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Summary Compensation Table Total for Non-PEO NEOs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Compensation Actually Paid to Non-PEO NEOs ($)(2)(3)(4)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TNGX ($)</w:t>
            </w:r>
          </w:p>
        </w:tc>
        <w:tc>
          <w:tcPr>
            <w:tcW w:w="1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Nasdaq Biotechnology Index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Loss</w:t>
              <w:br/>
              <w:t>($ millions)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Barbara Weber, M.D., has served as the Company's PEO since March 2017.</w:t>
      </w:r>
    </w:p>
    <w:p>
      <w:pPr>
        <w:pStyle w:val="TextBody"/>
        <w:bidi w:val="0"/>
        <w:jc w:val="left"/>
        <w:rPr>
          <w:rFonts w:ascii="Times New Roman" w:hAnsi="Times New Roman"/>
          <w:color w:val="000000"/>
          <w:sz w:val="20"/>
        </w:rPr>
      </w:pPr>
      <w:r>
        <w:rPr>
          <w:rFonts w:ascii="Times New Roman" w:hAnsi="Times New Roman"/>
          <w:color w:val="000000"/>
          <w:sz w:val="20"/>
        </w:rPr>
        <w:t>(2) Deductions from, and additions to, total compensation in the Summary Compensation Table by year to calculate Compensation Actually Paid include: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4"/>
        <w:gridCol w:w="196"/>
        <w:gridCol w:w="886"/>
        <w:gridCol w:w="166"/>
        <w:gridCol w:w="146"/>
        <w:gridCol w:w="201"/>
        <w:gridCol w:w="912"/>
        <w:gridCol w:w="166"/>
        <w:gridCol w:w="146"/>
        <w:gridCol w:w="196"/>
        <w:gridCol w:w="886"/>
        <w:gridCol w:w="166"/>
        <w:gridCol w:w="146"/>
        <w:gridCol w:w="201"/>
        <w:gridCol w:w="912"/>
        <w:gridCol w:w="166"/>
        <w:gridCol w:w="146"/>
        <w:gridCol w:w="196"/>
        <w:gridCol w:w="886"/>
        <w:gridCol w:w="166"/>
        <w:gridCol w:w="146"/>
        <w:gridCol w:w="201"/>
        <w:gridCol w:w="912"/>
        <w:gridCol w:w="416"/>
      </w:tblGrid>
      <w:tr>
        <w:trPr/>
        <w:tc>
          <w:tcPr>
            <w:tcW w:w="1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 Weber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Non-PEO NEOs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 Weber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Non-PEO NEOs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 Weber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Non-PEO NEOs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Compensation from Summary Compensation Table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6,541,200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3,012,686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3,391,059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2,134,765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4,681,787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1,667,890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Adjustments for Equity Awards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grant date values in the Summary Compensation Table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(1,047,375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Year-end fair value of unvested awards granted in the current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5,056,057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690,397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Year-over-year difference of year-end fair values for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(4,053,246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(740,130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unvested awards granted in prior years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values at vest date for awards granted and vested in current year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Difference in fair values between prior year-end fair values and vest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(643,294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date fair values for awards granted in prior years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Forfeitures during current year equal to prior year-end 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Adjustments for Equity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(9,617,316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(3,383,529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4,750,872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(7,528,053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(1,740,402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Compensation Actually Paid (as calculated)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(3,076,115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8,141,931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3,049,295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(2,846,266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(72,512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(3) The following summarizes the valuation assumptions used for stock option awards included as part of Compensation Actually Paid:</w:t>
      </w:r>
    </w:p>
    <w:p>
      <w:pPr>
        <w:pStyle w:val="TextBody"/>
        <w:bidi w:val="0"/>
        <w:jc w:val="left"/>
        <w:rPr>
          <w:rFonts w:ascii="Times New Roman" w:hAnsi="Times New Roman"/>
          <w:color w:val="000000"/>
          <w:sz w:val="20"/>
        </w:rPr>
      </w:pPr>
      <w:r>
        <w:rPr>
          <w:rFonts w:ascii="Times New Roman" w:hAnsi="Times New Roman"/>
          <w:color w:val="000000"/>
          <w:sz w:val="20"/>
        </w:rPr>
        <w:t>- Expected life of each stock option is based on the "simplified method" using an average of the remaining vest and remaining term, as of the vest/FYE date.</w:t>
      </w:r>
    </w:p>
    <w:p>
      <w:pPr>
        <w:pStyle w:val="TextBody"/>
        <w:bidi w:val="0"/>
        <w:jc w:val="left"/>
        <w:rPr>
          <w:rFonts w:ascii="Times New Roman" w:hAnsi="Times New Roman"/>
          <w:color w:val="000000"/>
          <w:sz w:val="20"/>
        </w:rPr>
      </w:pPr>
      <w:r>
        <w:rPr>
          <w:rFonts w:ascii="Times New Roman" w:hAnsi="Times New Roman"/>
          <w:color w:val="000000"/>
          <w:sz w:val="20"/>
        </w:rPr>
        <w:t>- Strike price is based on each grant date closing price and asset price is based on each vest/FYE closing price.</w:t>
      </w:r>
    </w:p>
    <w:p>
      <w:pPr>
        <w:pStyle w:val="TextBody"/>
        <w:bidi w:val="0"/>
        <w:jc w:val="left"/>
        <w:rPr>
          <w:rFonts w:ascii="Times New Roman" w:hAnsi="Times New Roman"/>
          <w:color w:val="000000"/>
          <w:sz w:val="20"/>
        </w:rPr>
      </w:pPr>
      <w:r>
        <w:rPr>
          <w:rFonts w:ascii="Times New Roman" w:hAnsi="Times New Roman"/>
          <w:color w:val="000000"/>
          <w:sz w:val="20"/>
        </w:rPr>
        <w:t>- Risk free rate is based on the Treasury Constant Maturity rate closest to the remaining expected life as of the vest/FYE date.</w:t>
      </w:r>
    </w:p>
    <w:p>
      <w:pPr>
        <w:pStyle w:val="TextBody"/>
        <w:bidi w:val="0"/>
        <w:jc w:val="left"/>
        <w:rPr>
          <w:rFonts w:ascii="Times New Roman" w:hAnsi="Times New Roman"/>
          <w:color w:val="000000"/>
          <w:sz w:val="20"/>
        </w:rPr>
      </w:pPr>
      <w:r>
        <w:rPr>
          <w:rFonts w:ascii="Times New Roman" w:hAnsi="Times New Roman"/>
          <w:color w:val="000000"/>
          <w:sz w:val="20"/>
        </w:rPr>
        <w:t>- Historical volatility is based on daily price history for each expected life (years) prior to each vest/FYE date. Closing prices provided by S&amp;P Capital IQ are adjusted for dividends and splits.</w:t>
      </w:r>
    </w:p>
    <w:p>
      <w:pPr>
        <w:pStyle w:val="TextBody"/>
        <w:bidi w:val="0"/>
        <w:jc w:val="left"/>
        <w:rPr>
          <w:rFonts w:ascii="Times New Roman" w:hAnsi="Times New Roman"/>
          <w:color w:val="000000"/>
          <w:sz w:val="20"/>
        </w:rPr>
      </w:pPr>
      <w:r>
        <w:rPr>
          <w:rFonts w:ascii="Times New Roman" w:hAnsi="Times New Roman"/>
          <w:color w:val="000000"/>
          <w:sz w:val="20"/>
        </w:rPr>
        <w:t>- Represents annual dividend yield on each vest/FYE date.</w:t>
      </w:r>
    </w:p>
    <w:p>
      <w:pPr>
        <w:pStyle w:val="TextBody"/>
        <w:bidi w:val="0"/>
        <w:jc w:val="left"/>
        <w:rPr>
          <w:rFonts w:ascii="Times New Roman" w:hAnsi="Times New Roman"/>
          <w:color w:val="000000"/>
          <w:sz w:val="20"/>
        </w:rPr>
      </w:pPr>
      <w:r>
        <w:rPr>
          <w:rFonts w:ascii="Times New Roman" w:hAnsi="Times New Roman"/>
          <w:color w:val="000000"/>
          <w:sz w:val="20"/>
        </w:rPr>
        <w:t>(4) Non-CEO NEOs reflect the average Summary Compensation Table total compensation and average Compensation Actually Paid for the following executives by year:</w:t>
      </w:r>
    </w:p>
    <w:p>
      <w:pPr>
        <w:pStyle w:val="TextBody"/>
        <w:bidi w:val="0"/>
        <w:jc w:val="left"/>
        <w:rPr>
          <w:rFonts w:ascii="Times New Roman" w:hAnsi="Times New Roman"/>
          <w:color w:val="000000"/>
          <w:sz w:val="20"/>
        </w:rPr>
      </w:pPr>
      <w:r>
        <w:rPr>
          <w:rFonts w:ascii="Times New Roman" w:hAnsi="Times New Roman"/>
          <w:color w:val="000000"/>
          <w:sz w:val="20"/>
        </w:rPr>
        <w:t>2024: Daniella Beckman, Adam Crystal, M.D., Ph.D., &amp; Douglas Barry</w:t>
      </w:r>
    </w:p>
    <w:p>
      <w:pPr>
        <w:pStyle w:val="TextBody"/>
        <w:bidi w:val="0"/>
        <w:jc w:val="left"/>
        <w:rPr>
          <w:rFonts w:ascii="Times New Roman" w:hAnsi="Times New Roman"/>
          <w:color w:val="000000"/>
          <w:sz w:val="20"/>
        </w:rPr>
      </w:pPr>
      <w:r>
        <w:rPr>
          <w:rFonts w:ascii="Times New Roman" w:hAnsi="Times New Roman"/>
          <w:color w:val="000000"/>
          <w:sz w:val="20"/>
        </w:rPr>
        <w:t>2023: Daniella Beckman, Adam Crystal, M.D., Ph.D., &amp; Alan Huang, Ph.D.</w:t>
      </w:r>
    </w:p>
    <w:p>
      <w:pPr>
        <w:pStyle w:val="TextBody"/>
        <w:bidi w:val="0"/>
        <w:jc w:val="left"/>
        <w:rPr>
          <w:rFonts w:ascii="Times New Roman" w:hAnsi="Times New Roman"/>
          <w:color w:val="000000"/>
          <w:sz w:val="20"/>
        </w:rPr>
      </w:pPr>
      <w:r>
        <w:rPr>
          <w:rFonts w:ascii="Times New Roman" w:hAnsi="Times New Roman"/>
          <w:color w:val="000000"/>
          <w:sz w:val="20"/>
        </w:rPr>
        <w:t>2022: Daniella Beckman &amp; Alan Huang, Ph.D.</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Relationship between Compensation Actually Paid and Company Performance Measures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charts show the relationships over the past three years of the CAP for our CEO and Non-CEO NEOs as compared to our cumulative TSR, the cumulative NASDAQ Biotechnology Index TSR, and our net loss.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CAP vs TSR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486275" cy="2667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86275" cy="2667000"/>
                    </a:xfrm>
                    <a:prstGeom prst="rect">
                      <a:avLst/>
                    </a:prstGeom>
                  </pic:spPr>
                </pic:pic>
              </a:graphicData>
            </a:graphic>
          </wp:inline>
        </w:drawing>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CAP vs Net Loss</w:t>
      </w:r>
    </w:p>
    <w:p>
      <w:pPr>
        <w:pStyle w:val="TextBody"/>
        <w:bidi w:val="0"/>
        <w:jc w:val="center"/>
        <w:rPr/>
      </w:pPr>
      <w:r>
        <w:rPr/>
        <w:drawing>
          <wp:inline distT="0" distB="0" distL="0" distR="0">
            <wp:extent cx="4514850" cy="2657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14850" cy="26574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0" w:name="non_employee_director_compensation"/>
      <w:bookmarkEnd w:id="10"/>
      <w:r>
        <w:rPr>
          <w:rFonts w:ascii="Times New Roman" w:hAnsi="Times New Roman"/>
          <w:b/>
          <w:color w:val="000000"/>
          <w:sz w:val="20"/>
        </w:rPr>
        <w:t>NON-EMPLOYEE 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an amended and restated non-employee director compensation policy under which each non-employee director receives the following amounts for his or her services on our board of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stock option to purchase 60,000 shares of our common stock and an RSU award covering 10,000 shares of our common stock upon the director’s initial election or appointment to our board of directors. The stock options vest over 36 substantially equal monthly installments over three years from the date of grant and the RSUs vest in three equal annual installments over three years from the date of grant (the specific vesting dates are established by the compensation committee), in each case subject to continued service as a director through the applicable vesting date.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option to purchase 37,500 shares of our common stock and an RSU award covering 6,250 shares of our common stock on the date of the annual meeting for such year. The annual option award vests in 12 substantially equal monthly installments over one year from the date of grant and the annual RSU award vests in its entirety on the earlier of (i) the first anniversary of the date of grant and (ii) the date of the next annual meeting of stockholders, in each case subject to continued service as a director through the applicable vesting date. Directors who were elected in the 12 months preceding the annual grant receive a pro-rated portion of the annual stock option grant and RSU award based on the number of months of time in service on the board.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An annual director fee of $40,000.</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the director serves on a committee of our board of directors or in the other capacities stated below, an additional annual fee as follows: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Non-executive chairperson, $30,000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Lead independent director,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chairperson, $15,000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 committee member, $7,500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chairperson, $12,000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Compensation committee member, $6,000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chairperson, $10,000</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Nomination and governance committee member, $5,000</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Options granted to our non-employee directors under the non-employee director compensation policy have an exercise price equal to the fair market value of our common stock on the date of grant and will expire not later than ten years after the date of grant. All unvested options and RSU awards held by non-employee members of the board of directors vest in full upon the occurrence of a change in control.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May 2024, the compensation committee revised the non-employee director compensation policy as follows: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annual cash retainer payable to the non-executive compensation committee chairperson be increased from $10,000 to $12,000.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cash retainer payable to the non-executive compensation committee member be increased from $5,000 to $6,000.</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annual cash retainer payable to the non-executive nomination and governance committee chairperson be increased from $8,000 to $10,000.</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annual cash retainer payable to the non-executive nomination and governance committee member be increased from $4,000 to $5,000.</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2024, the board of directors, based on the recommendation of the compensation committee, amended the non-employee director compensation policy to increase the number of: (i) shares underlying stock options granted to non-employee directors from 30,000 to37,500; and (ii) RSUs granted to non-employee directors from 5,000 to 6,250 RSUs. This increase was approved by the board of directors to align director equity compensation with the median equity compensation paid to non-employee directors at our peer companies.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2024 Non-Employee Director Compensation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table below shows the cash fees paid to our non-employee directors in connection with their service on our board of directors, and the stock option awards and RSUs granted to our non-employee directors, during the fiscal year ended December 31, 2024. </w:t>
      </w:r>
    </w:p>
    <w:tbl>
      <w:tblPr>
        <w:tblW w:w="9313" w:type="dxa"/>
        <w:jc w:val="left"/>
        <w:tblInd w:w="0" w:type="dxa"/>
        <w:tblLayout w:type="fixed"/>
        <w:tblCellMar>
          <w:top w:w="28" w:type="dxa"/>
          <w:left w:w="28" w:type="dxa"/>
          <w:bottom w:w="28" w:type="dxa"/>
          <w:right w:w="28" w:type="dxa"/>
        </w:tblCellMar>
      </w:tblPr>
      <w:tblGrid>
        <w:gridCol w:w="2071"/>
        <w:gridCol w:w="146"/>
        <w:gridCol w:w="237"/>
        <w:gridCol w:w="237"/>
        <w:gridCol w:w="1100"/>
        <w:gridCol w:w="146"/>
        <w:gridCol w:w="146"/>
        <w:gridCol w:w="234"/>
        <w:gridCol w:w="1083"/>
        <w:gridCol w:w="234"/>
        <w:gridCol w:w="234"/>
        <w:gridCol w:w="146"/>
        <w:gridCol w:w="226"/>
        <w:gridCol w:w="1211"/>
        <w:gridCol w:w="226"/>
        <w:gridCol w:w="226"/>
        <w:gridCol w:w="146"/>
        <w:gridCol w:w="146"/>
        <w:gridCol w:w="781"/>
        <w:gridCol w:w="14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w:t>
              <w:br/>
              <w:t>In Cash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296,151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Amounts represent cash compensation earned and paid pursuant to our amended and restated non-employee director compensation policy.</w:t>
      </w:r>
    </w:p>
    <w:p>
      <w:pPr>
        <w:pStyle w:val="TextBody"/>
        <w:bidi w:val="0"/>
        <w:jc w:val="left"/>
        <w:rPr>
          <w:rFonts w:ascii="Times New Roman" w:hAnsi="Times New Roman"/>
          <w:color w:val="000000"/>
          <w:sz w:val="20"/>
        </w:rPr>
      </w:pPr>
      <w:r>
        <w:rPr>
          <w:rFonts w:ascii="Times New Roman" w:hAnsi="Times New Roman"/>
          <w:color w:val="000000"/>
          <w:sz w:val="20"/>
        </w:rPr>
        <w:t>(2) The amounts reported represent the aggregate grant-date fair value of stock options and RSUs awarded to our non-employee directors in 2024, calculated in accordance with ASC Topic 718, disregarding the effect of estimated forfeitures related to service-based vesting. See Note 2 and Note 11 to our audited financial statements contained in our Annual Report on Form 10-K for the year ended December 31, 2024 as filed with the SEC on February 27, 2025 for a discussion of assumptions made in determining the aggregate grant date fair value of stock option and RSU awards. The amounts presented do not correspond to the actual value that may be recognized by the applicable director upon vesting or exercise of the stock options or the sale of the shares of common stock underlying such stock options or the vesting of RSUs and the sale of the shares received upon the vesting of the RSUs.</w:t>
      </w:r>
    </w:p>
    <w:p>
      <w:pPr>
        <w:pStyle w:val="TextBody"/>
        <w:bidi w:val="0"/>
        <w:jc w:val="left"/>
        <w:rPr>
          <w:rFonts w:ascii="Times New Roman" w:hAnsi="Times New Roman"/>
          <w:color w:val="000000"/>
          <w:sz w:val="20"/>
        </w:rPr>
      </w:pPr>
      <w:r>
        <w:rPr>
          <w:rFonts w:ascii="Times New Roman" w:hAnsi="Times New Roman"/>
          <w:color w:val="000000"/>
          <w:sz w:val="20"/>
        </w:rPr>
        <w:t>(3) The table below shows the aggregate number of shares underlying stock option awards (exercisable and unexercisable) and unvested RSUs held as of December 31, 2024 by each non-employee director who served as a non-employee director during the year ended December 31, 2024:</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2071"/>
        <w:gridCol w:w="146"/>
        <w:gridCol w:w="220"/>
        <w:gridCol w:w="220"/>
        <w:gridCol w:w="1180"/>
        <w:gridCol w:w="146"/>
        <w:gridCol w:w="146"/>
        <w:gridCol w:w="216"/>
        <w:gridCol w:w="216"/>
        <w:gridCol w:w="1007"/>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Subject to </w:t>
              <w:br/>
              <w:t>Outstanding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Mr. Ketchum was elected as a member of the board of directors on August 29, 2023 and thus received a pro-rated portion of the annual stock option grant and RSU award based on the number of months of time in service on the board per the non-employee director compensation policy above.</w:t>
      </w:r>
    </w:p>
    <w:p>
      <w:pPr>
        <w:pStyle w:val="TextBody"/>
        <w:bidi w:val="0"/>
        <w:jc w:val="left"/>
        <w:rPr>
          <w:rFonts w:ascii="Times New Roman" w:hAnsi="Times New Roman"/>
          <w:color w:val="000000"/>
          <w:sz w:val="20"/>
        </w:rPr>
      </w:pPr>
      <w:r>
        <w:rPr>
          <w:rFonts w:ascii="Times New Roman" w:hAnsi="Times New Roman"/>
          <w:color w:val="000000"/>
          <w:sz w:val="20"/>
        </w:rPr>
        <w:t>(5) Mr. Pothula has waived cash and equity compensation retainers for services on the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0"/>
        </w:rPr>
      </w:pPr>
      <w:bookmarkStart w:id="11" w:name="report_of_the_compensation_committee"/>
      <w:bookmarkEnd w:id="11"/>
      <w:r>
        <w:rPr>
          <w:rFonts w:ascii="Times New Roman" w:hAnsi="Times New Roman"/>
          <w:b/>
          <w:caps/>
          <w:color w:val="000000"/>
          <w:sz w:val="20"/>
        </w:rPr>
        <w:t>REPORT OF THE COMPENSATION COMMITTEE</w:t>
      </w:r>
    </w:p>
    <w:p>
      <w:pPr>
        <w:pStyle w:val="TextBody"/>
        <w:bidi w:val="0"/>
        <w:jc w:val="both"/>
        <w:rPr>
          <w:rFonts w:ascii="Times New Roman" w:hAnsi="Times New Roman"/>
          <w:i/>
          <w:color w:val="000000"/>
          <w:sz w:val="20"/>
        </w:rPr>
      </w:pPr>
      <w:r>
        <w:rPr>
          <w:rFonts w:ascii="Times New Roman" w:hAnsi="Times New Roman"/>
          <w:i/>
          <w:color w:val="000000"/>
          <w:sz w:val="20"/>
        </w:rPr>
        <w:t>The information contained in this report shall not be deemed to be “soliciting material,” to be “filed” with the SEC, or to be subject to Regulation 14A or Regulation 14C (other than as provided in Item 407 of Regulation S-K) or to the liabilities of Section 18 of the Securities Exchange Act of 1934, and shall not be deemed to be incorporated by reference in future filings with the SEC except to the extent that Tango specifically incorporates it by reference into a document filed under the Securities Act or the Exchange Act.</w:t>
      </w:r>
    </w:p>
    <w:p>
      <w:pPr>
        <w:pStyle w:val="TextBody"/>
        <w:bidi w:val="0"/>
        <w:jc w:val="left"/>
        <w:rPr>
          <w:rFonts w:ascii="Times New Roman" w:hAnsi="Times New Roman"/>
          <w:color w:val="000000"/>
          <w:sz w:val="20"/>
        </w:rPr>
      </w:pPr>
      <w:r>
        <w:rPr>
          <w:rFonts w:ascii="Times New Roman" w:hAnsi="Times New Roman"/>
          <w:color w:val="000000"/>
          <w:sz w:val="20"/>
        </w:rPr>
        <w:t>April 21, 2025</w:t>
      </w:r>
    </w:p>
    <w:p>
      <w:pPr>
        <w:pStyle w:val="TextBody"/>
        <w:bidi w:val="0"/>
        <w:jc w:val="both"/>
        <w:rPr>
          <w:rFonts w:ascii="Times New Roman" w:hAnsi="Times New Roman"/>
          <w:color w:val="000000"/>
          <w:sz w:val="20"/>
        </w:rPr>
      </w:pPr>
      <w:r>
        <w:rPr>
          <w:rFonts w:ascii="Times New Roman" w:hAnsi="Times New Roman"/>
          <w:color w:val="000000"/>
          <w:sz w:val="20"/>
        </w:rPr>
        <w:t>Our executive compensation program is administered by the Compensation Committee, which is composed entirely of independent, non-employee directors and is responsible for approving and reporting to our Board of Directors on all elements of compensation for our executive officers. In this regard, the Compensation Committee has reviewed and discussed the “Compensation Discussion and Analysis” section of this Proxy Statement with management. Based on this review and discussion, the Compensation Committee recommended to our Board of Directors that the “Compensation Discussion and Analysis” section be included in this Proxy Statement and incorporated by reference into our 2024 Annual Report on Form 10-K.</w:t>
      </w:r>
    </w:p>
    <w:p>
      <w:pPr>
        <w:pStyle w:val="TextBody"/>
        <w:bidi w:val="0"/>
        <w:jc w:val="left"/>
        <w:rPr>
          <w:rFonts w:ascii="Times New Roman" w:hAnsi="Times New Roman"/>
          <w:color w:val="000000"/>
          <w:sz w:val="20"/>
        </w:rPr>
      </w:pPr>
      <w:r>
        <w:rPr>
          <w:rFonts w:ascii="Times New Roman" w:hAnsi="Times New Roman"/>
          <w:color w:val="000000"/>
          <w:sz w:val="20"/>
        </w:rPr>
        <w:t>Submitted by:</w:t>
      </w:r>
    </w:p>
    <w:p>
      <w:pPr>
        <w:pStyle w:val="TextBody"/>
        <w:bidi w:val="0"/>
        <w:jc w:val="left"/>
        <w:rPr>
          <w:rFonts w:ascii="Times New Roman" w:hAnsi="Times New Roman"/>
          <w:sz w:val="20"/>
        </w:rPr>
      </w:pPr>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Malte Peters </w:t>
      </w:r>
      <w:r>
        <w:rPr>
          <w:rFonts w:ascii="Times New Roman" w:hAnsi="Times New Roman"/>
          <w:i/>
          <w:color w:val="000000"/>
          <w:sz w:val="20"/>
        </w:rPr>
        <w:t>(Chairman)</w:t>
      </w:r>
    </w:p>
    <w:p>
      <w:pPr>
        <w:pStyle w:val="TextBody"/>
        <w:bidi w:val="0"/>
        <w:jc w:val="left"/>
        <w:rPr>
          <w:rFonts w:ascii="Times New Roman" w:hAnsi="Times New Roman"/>
          <w:color w:val="000000"/>
          <w:sz w:val="20"/>
        </w:rPr>
      </w:pPr>
      <w:r>
        <w:rPr>
          <w:rFonts w:ascii="Times New Roman" w:hAnsi="Times New Roman"/>
          <w:color w:val="000000"/>
          <w:sz w:val="20"/>
        </w:rPr>
        <w:t>John Ketchum</w:t>
      </w:r>
    </w:p>
    <w:p>
      <w:pPr>
        <w:pStyle w:val="TextBody"/>
        <w:bidi w:val="0"/>
        <w:jc w:val="left"/>
        <w:rPr>
          <w:rFonts w:ascii="Times New Roman" w:hAnsi="Times New Roman"/>
          <w:color w:val="000000"/>
          <w:sz w:val="20"/>
        </w:rPr>
      </w:pPr>
      <w:r>
        <w:rPr>
          <w:rFonts w:ascii="Times New Roman" w:hAnsi="Times New Roman"/>
          <w:color w:val="000000"/>
          <w:sz w:val="20"/>
        </w:rPr>
        <w:t xml:space="preserve">Mace Rothenberg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2" w:name="proposal_no_2"/>
      <w:bookmarkEnd w:id="12"/>
      <w:r>
        <w:rPr>
          <w:rFonts w:ascii="Times New Roman" w:hAnsi="Times New Roman"/>
          <w:b/>
          <w:caps/>
          <w:color w:val="000000"/>
          <w:sz w:val="20"/>
        </w:rPr>
        <w:t>PROPOSAL NO. 2 – RATIFICATION OF THE APPOINTMENT OF INDEPENDENT REGISTERED PUBLIC ACCOUNTING FIRM FOR THE FISCAL YEAR ENDING DECEMBER 31, 2025</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selected PricewaterhouseCoopers LLP as the independent registered public accounting firm to perform the audit of our consolidated financial statements for the fiscal year ending December 31, 2025, and we are asking you and other stockholders to ratify this selection. PricewaterhouseCoopers LLP has audited our financial statements since 2017 (serving as Tango's independent registered public accounting firm prior to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2025. Even if the appointment of PricewaterhouseCoopers LLP is ratified, the audit committee retains the discretion to appoint a different independent registered public accounting firm at any time if it determines that such a change is in the interests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of this proposal requires the affirmative vote of a majority of the votes properly cast for and against such matter. You may vote “FOR,” “AGAINST” or “ABSTAIN” from voting on this proposal. Abstentions and broker “non-votes,” if any, will have no effect on the outcome of this proposal.</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Proposal No. 2 to ratify the appointment of PricewaterhouseCoopers as the independent registered public accounting firm for the fiscal year ending December 31, 2025.</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bookmarkStart w:id="13" w:name="principal_accountant_fees_and_services"/>
      <w:bookmarkEnd w:id="13"/>
      <w:r>
        <w:rPr>
          <w:rFonts w:ascii="Times New Roman" w:hAnsi="Times New Roman"/>
          <w:b/>
          <w:caps/>
          <w:color w:val="000000"/>
          <w:sz w:val="20"/>
        </w:rPr>
        <w:t>Principal Accountant Fees and Services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tbl>
      <w:tblPr>
        <w:tblW w:w="4736" w:type="dxa"/>
        <w:jc w:val="left"/>
        <w:tblInd w:w="0" w:type="dxa"/>
        <w:tblLayout w:type="fixed"/>
        <w:tblCellMar>
          <w:top w:w="28" w:type="dxa"/>
          <w:left w:w="28" w:type="dxa"/>
          <w:bottom w:w="28" w:type="dxa"/>
          <w:right w:w="28" w:type="dxa"/>
        </w:tblCellMar>
      </w:tblPr>
      <w:tblGrid>
        <w:gridCol w:w="1681"/>
        <w:gridCol w:w="146"/>
        <w:gridCol w:w="211"/>
        <w:gridCol w:w="146"/>
        <w:gridCol w:w="931"/>
        <w:gridCol w:w="146"/>
        <w:gridCol w:w="146"/>
        <w:gridCol w:w="211"/>
        <w:gridCol w:w="146"/>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1,047,214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1,049,339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Audit Fees.</w:t>
      </w:r>
      <w:r>
        <w:rPr>
          <w:rFonts w:ascii="Times New Roman" w:hAnsi="Times New Roman"/>
          <w:color w:val="000000"/>
          <w:sz w:val="20"/>
        </w:rPr>
        <w:t xml:space="preserve"> Audit fees consist of fees billed for the audit of our annual consolidated financial statements, review of the interim consolidated financial statements, and the review of registration statements.</w:t>
      </w:r>
    </w:p>
    <w:p>
      <w:pPr>
        <w:pStyle w:val="TextBody"/>
        <w:bidi w:val="0"/>
        <w:spacing w:before="0" w:after="120"/>
        <w:jc w:val="left"/>
        <w:rPr>
          <w:rFonts w:ascii="Times New Roman" w:hAnsi="Times New Roman"/>
          <w:sz w:val="20"/>
        </w:rPr>
      </w:pPr>
      <w:r>
        <w:rPr>
          <w:rFonts w:ascii="Times New Roman" w:hAnsi="Times New Roman"/>
          <w:i/>
          <w:color w:val="000000"/>
          <w:sz w:val="20"/>
        </w:rPr>
        <w:t>Tax Fees.</w:t>
      </w:r>
      <w:r>
        <w:rPr>
          <w:rFonts w:ascii="Times New Roman" w:hAnsi="Times New Roman"/>
          <w:color w:val="000000"/>
          <w:sz w:val="20"/>
        </w:rPr>
        <w:t xml:space="preserve"> Tax fees consist of aggregate fees for tax compliance and tax analysis related services.</w:t>
      </w:r>
    </w:p>
    <w:p>
      <w:pPr>
        <w:pStyle w:val="TextBody"/>
        <w:bidi w:val="0"/>
        <w:spacing w:before="0" w:after="240"/>
        <w:jc w:val="left"/>
        <w:rPr>
          <w:rFonts w:ascii="Times New Roman" w:hAnsi="Times New Roman"/>
          <w:sz w:val="20"/>
        </w:rPr>
      </w:pPr>
      <w:r>
        <w:rPr>
          <w:rFonts w:ascii="Times New Roman" w:hAnsi="Times New Roman"/>
          <w:i/>
          <w:color w:val="000000"/>
          <w:sz w:val="20"/>
        </w:rPr>
        <w:t>All Other Fees.</w:t>
      </w:r>
      <w:r>
        <w:rPr>
          <w:rFonts w:ascii="Times New Roman" w:hAnsi="Times New Roman"/>
          <w:color w:val="000000"/>
          <w:sz w:val="20"/>
        </w:rPr>
        <w:t xml:space="preserve"> All other fees consist of fees for accounting research tools.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jc w:val="left"/>
        <w:rPr>
          <w:rFonts w:ascii="Times New Roman" w:hAnsi="Times New Roman"/>
          <w:color w:val="000000"/>
          <w:sz w:val="20"/>
        </w:rPr>
      </w:pPr>
      <w:r>
        <w:rPr>
          <w:rFonts w:ascii="Times New Roman" w:hAnsi="Times New Roman"/>
          <w:color w:val="000000"/>
          <w:sz w:val="20"/>
        </w:rPr>
        <w:t>The audit committee has adopted a policy, or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4" w:name="report_of_the_audit_committee"/>
      <w:bookmarkEnd w:id="14"/>
      <w:r>
        <w:rPr>
          <w:rFonts w:ascii="Times New Roman" w:hAnsi="Times New Roman"/>
          <w:b/>
          <w:caps/>
          <w:color w:val="000000"/>
          <w:sz w:val="20"/>
        </w:rPr>
        <w:t>REPORT OF THE AUDIT COMMITTEE</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committee's general role is to assist the Board in monitoring our financial reporting process and related matters. Its specific responsibilities are set forth in its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the Company's consolidated financial statements for 2024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discussions, the financial statement review and other matters it deemed relevant, the audit committee recommended to the Board that the Company's audited consolidated financial statements be included in its Annual Report on Form 10-K for the fiscal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Committee of the Board of Directors of Tango Therapeutics, Inc.</w:t>
      </w:r>
    </w:p>
    <w:p>
      <w:pPr>
        <w:pStyle w:val="TextBody"/>
        <w:bidi w:val="0"/>
        <w:jc w:val="left"/>
        <w:rPr>
          <w:rFonts w:ascii="Times New Roman" w:hAnsi="Times New Roman"/>
          <w:i/>
          <w:color w:val="000000"/>
          <w:sz w:val="20"/>
        </w:rPr>
      </w:pPr>
      <w:r>
        <w:rPr>
          <w:rFonts w:ascii="Times New Roman" w:hAnsi="Times New Roman"/>
          <w:i/>
          <w:color w:val="000000"/>
          <w:sz w:val="20"/>
        </w:rPr>
        <w:t>Lesley Ann Calhoun (Chairman)</w:t>
      </w:r>
    </w:p>
    <w:p>
      <w:pPr>
        <w:pStyle w:val="TextBody"/>
        <w:bidi w:val="0"/>
        <w:jc w:val="left"/>
        <w:rPr>
          <w:rFonts w:ascii="Times New Roman" w:hAnsi="Times New Roman"/>
          <w:i/>
          <w:color w:val="000000"/>
          <w:sz w:val="20"/>
        </w:rPr>
      </w:pPr>
      <w:r>
        <w:rPr>
          <w:rFonts w:ascii="Times New Roman" w:hAnsi="Times New Roman"/>
          <w:i/>
          <w:color w:val="000000"/>
          <w:sz w:val="20"/>
        </w:rPr>
        <w:t>Kanishka Pothula</w:t>
      </w:r>
    </w:p>
    <w:p>
      <w:pPr>
        <w:pStyle w:val="TextBody"/>
        <w:bidi w:val="0"/>
        <w:jc w:val="left"/>
        <w:rPr>
          <w:rFonts w:ascii="Times New Roman" w:hAnsi="Times New Roman"/>
          <w:i/>
          <w:color w:val="000000"/>
          <w:sz w:val="20"/>
        </w:rPr>
      </w:pPr>
      <w:r>
        <w:rPr>
          <w:rFonts w:ascii="Times New Roman" w:hAnsi="Times New Roman"/>
          <w:i/>
          <w:color w:val="000000"/>
          <w:sz w:val="20"/>
        </w:rPr>
        <w:t>Alexis Borisy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5" w:name="proposal_no_3"/>
      <w:bookmarkEnd w:id="15"/>
      <w:r>
        <w:rPr>
          <w:rFonts w:ascii="Times New Roman" w:hAnsi="Times New Roman"/>
          <w:b/>
          <w:caps/>
          <w:color w:val="000000"/>
          <w:sz w:val="20"/>
        </w:rPr>
        <w:t>PROPOSAL NO. 3 – amendment of our second amended and restated certificate of incorporation, as amended to date, to increase the number of authorized shares of common stock from 200,000,000 to 400,000,000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Second Amended and Restated Certificate of Incorporation, as amended to date, or charter, currently authorizes the issuance of 200,000,000 shares of common stock. In April 2025, our board of directors declared it advisable and approved and adopted an amendment, subject to approval and adoption by our stockholders, to our charter, to increase the authorized number of shares of common stock from 200,000,000 to 400,000,000, or the Charter Amendment. Our board of directors is requesting stockholder approval of the Charter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additional common stock to be authorized by adoption of the Charter Amendment would have rights identical to our currently outstanding common stock. Adoption of the Charter Amendment and issuance of additional common stock would not affect the rights of the holders of our currently outstanding common stock. If the Charter Amendment is adopted, it will become effective upon filing of a Certificate of Amendment of our Second Amended and Restated Certificate of Incorporation, as amended to date, with the Secretary of State of the State of Delaware, which we currently plan to file promptly following the Annual Meeting if this proposal is approved. The remainder of our charter will remain unchanged after effectiveness of the Charter Amendment.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believes that additional authorized shares of common stock would give us the necessary flexibility to issue shares for various corporate purposes, including, in particular, raising capital, and enable us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dividends; and other general corporate working capital needs. We currently do not have any specific plans, arrangements or understandings to issue additional shares of our common stock, except for (i) the issuance of shares of common stock pursuant to our equity incentive plans and (ii) potential issuances pursuant to our sales agreement with Jefferies LLC, through which we may offer and sell shares of our common stock from time to time in “at-the-market” offerings. Having additional authorized shares available will provide additional flexibility to use our common stock for business and financial purposes in the future as well as to have sufficient shares available to provide appropriate equity incentives for our employees</w:t>
      </w:r>
      <w:r>
        <w:rPr>
          <w:rFonts w:ascii="Times New Roman" w:hAnsi="Times New Roman"/>
          <w:b/>
          <w:color w:val="000000"/>
          <w:sz w:val="20"/>
        </w:rPr>
        <w:t xml:space="preserve">. </w:t>
      </w:r>
      <w:r>
        <w:rPr>
          <w:rFonts w:ascii="Times New Roman" w:hAnsi="Times New Roman"/>
          <w:color w:val="000000"/>
          <w:sz w:val="20"/>
        </w:rPr>
        <w:t>The additional shares may be used for various purposes without further stockholder approval, except as may be required in certain cases by law or the Nasdaq rules.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8, 2025, our common stock share utilization was approximately as follows:</w:t>
      </w:r>
    </w:p>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5461"/>
        <w:gridCol w:w="3211"/>
      </w:tblGrid>
      <w:tr>
        <w:trPr/>
        <w:tc>
          <w:tcPr>
            <w:tcW w:w="54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Number of Shares of Common Stock</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for issuance</w:t>
            </w:r>
          </w:p>
        </w:tc>
        <w:tc>
          <w:tcPr>
            <w:tcW w:w="3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200,000,000</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outstanding</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108,107,890</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issuance</w:t>
            </w:r>
          </w:p>
        </w:tc>
        <w:tc>
          <w:tcPr>
            <w:tcW w:w="3211"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 xml:space="preserve">Available for future grant under employee equity incentive plans </w:t>
            </w:r>
          </w:p>
        </w:tc>
        <w:tc>
          <w:tcPr>
            <w:tcW w:w="3211"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13,536,579</w:t>
            </w:r>
          </w:p>
        </w:tc>
      </w:tr>
      <w:tr>
        <w:trPr/>
        <w:tc>
          <w:tcPr>
            <w:tcW w:w="54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Outstanding awards under our employee equity incentive plans</w:t>
            </w:r>
          </w:p>
        </w:tc>
        <w:tc>
          <w:tcPr>
            <w:tcW w:w="3211"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25,305,449</w:t>
            </w:r>
          </w:p>
        </w:tc>
      </w:tr>
      <w:tr>
        <w:trPr/>
        <w:tc>
          <w:tcPr>
            <w:tcW w:w="54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Pre-funded warrants (unexercised)</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2,340,579</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 usage (issued and outstanding + reserved for issuance)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149,290,497</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w:t>
            </w:r>
          </w:p>
        </w:tc>
        <w:tc>
          <w:tcPr>
            <w:tcW w:w="3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50,709,503</w:t>
            </w:r>
          </w:p>
        </w:tc>
      </w:tr>
      <w:tr>
        <w:trPr/>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 usage as a percentage of authorized</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74.65%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Form of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stockholders approve this proposal, our charter will be amended to increase the number of shares of common stock the Company is authorized to issue from 200,000,000 shares to 400,000,000 shares. The par value of the common stock will remain at $0.001 per share. There will be no change to the number of authorized shares of undesignated preferred stock. The Certificate of Amendment would amend the first paragraph of ARTICLE IV of the charter in its entirety to read as follows: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number of shares of capital stock which the Corporation shall have authority to issue is</w:t>
      </w:r>
    </w:p>
    <w:p>
      <w:pPr>
        <w:pStyle w:val="TextBody"/>
        <w:bidi w:val="0"/>
        <w:jc w:val="left"/>
        <w:rPr>
          <w:rFonts w:ascii="Times New Roman" w:hAnsi="Times New Roman"/>
          <w:color w:val="000000"/>
          <w:sz w:val="20"/>
        </w:rPr>
      </w:pPr>
      <w:r>
        <w:rPr>
          <w:rFonts w:ascii="Times New Roman" w:hAnsi="Times New Roman"/>
          <w:color w:val="000000"/>
          <w:sz w:val="20"/>
        </w:rPr>
        <w:t>four hundred and ten million (410,000,000), of which (i) four hundred million (400,000,000) shares</w:t>
      </w:r>
    </w:p>
    <w:p>
      <w:pPr>
        <w:pStyle w:val="TextBody"/>
        <w:bidi w:val="0"/>
        <w:jc w:val="left"/>
        <w:rPr>
          <w:rFonts w:ascii="Times New Roman" w:hAnsi="Times New Roman"/>
          <w:color w:val="000000"/>
          <w:sz w:val="20"/>
        </w:rPr>
      </w:pPr>
      <w:r>
        <w:rPr>
          <w:rFonts w:ascii="Times New Roman" w:hAnsi="Times New Roman"/>
          <w:color w:val="000000"/>
          <w:sz w:val="20"/>
        </w:rPr>
        <w:t>shall be a class designated as common stock, par value $0.001 per share (the “Common Stock”), and</w:t>
      </w:r>
    </w:p>
    <w:p>
      <w:pPr>
        <w:pStyle w:val="TextBody"/>
        <w:bidi w:val="0"/>
        <w:jc w:val="left"/>
        <w:rPr>
          <w:rFonts w:ascii="Times New Roman" w:hAnsi="Times New Roman"/>
          <w:color w:val="000000"/>
          <w:sz w:val="20"/>
        </w:rPr>
      </w:pPr>
      <w:r>
        <w:rPr>
          <w:rFonts w:ascii="Times New Roman" w:hAnsi="Times New Roman"/>
          <w:color w:val="000000"/>
          <w:sz w:val="20"/>
        </w:rPr>
        <w:t xml:space="preserve">(ii) ten million (10,000,000) shares shall be a class designated as undesignated preferred stock, par </w:t>
      </w:r>
    </w:p>
    <w:p>
      <w:pPr>
        <w:pStyle w:val="TextBody"/>
        <w:bidi w:val="0"/>
        <w:jc w:val="left"/>
        <w:rPr>
          <w:rFonts w:ascii="Times New Roman" w:hAnsi="Times New Roman"/>
          <w:sz w:val="20"/>
        </w:rPr>
      </w:pPr>
      <w:r>
        <w:rPr>
          <w:rFonts w:ascii="Times New Roman" w:hAnsi="Times New Roman"/>
          <w:color w:val="000000"/>
          <w:sz w:val="20"/>
        </w:rPr>
        <w:t>value $0.001 per share (the “</w:t>
      </w:r>
      <w:r>
        <w:rPr>
          <w:rFonts w:ascii="Times New Roman" w:hAnsi="Times New Roman"/>
          <w:color w:val="000000"/>
          <w:sz w:val="20"/>
          <w:u w:val="single"/>
        </w:rPr>
        <w:t>Undesignated Preferred Stock</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remaining text of ARTICLE IV of the charter will remain unchanged. The complete text of the Charter Amendment is attached to this Proxy Statement as Annex 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Potential Anti-takeover Effects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Release No. 34-15230 of the staff of the SEC requires disclosure and discussion of the effects of any action that may be used as an anti-takeover mechanism. Although not a factor in the decision by our Board to effect the increase of our authorized shares of common stock, one of the effects of having increased additional shares of our authorized common stock available for issuance may be to enable the board to render more difficult or to discourage an attempt to obtain control of the Company by means of a merger, tender offer, proxy contest, or otherwise, and thereby protect the continuity of then-present management. Unless prohibited by the regulations of applicable law or other agreements or restrictions, a sale of shares of common stock by us or other transactions in which the number of our outstanding shares of common stock would be increased could dilute the interest of a party attempting to obtain control of us. By potentially discouraging initiation of any such unsolicited takeover attempts, the Charter Amendment may limit the opportunity for our stockholders to dispose of their shares at the higher price generally available in takeover attempts or that may be available under a merger proposal.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Charter Amendment is not being proposed in response to any effort of which we are aware to accumulate shares of common stock or obtain control of the Company. While it is possible that our management could use the Charter Amendment to resist or frustrate a third-party transaction that is favored by a majority of stockholders, we have no current intent or plans to employ the Charter Amendment as an anti-takeover device and do not have any plans or proposals to adopt any other provisions or enter into other arrangements that may have material anti-takeover consequences.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Interests of Directors and 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directors and executive officers have no substantial interests, directly or indirectly, in the matters set forth in this proposal except to the extent of their ownership of shares of our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You may vote “FOR,” “AGAINST” or “ABSTAIN” from voting on this proposal. Abstentions and broker non-votes, if any, will have no effect on the outcome of the proposal.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recommends voting “FOR” Proposal No. 3 to approve an amendment to our Second Amended and Restated Certificate of Incorporation, as amended to date, to increase the number of authorized shares of common stock from 200,000,000 to 400,000,000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0"/>
        </w:rPr>
      </w:pPr>
      <w:bookmarkStart w:id="16" w:name="proposal_no_4"/>
      <w:bookmarkEnd w:id="16"/>
      <w:r>
        <w:rPr>
          <w:rFonts w:ascii="Times New Roman" w:hAnsi="Times New Roman"/>
          <w:b/>
          <w:caps/>
          <w:color w:val="000000"/>
          <w:sz w:val="20"/>
        </w:rPr>
        <w:t>PROPOSAL NO. 4 – non-binding, advisory vote TO APPROVE the compensation of our named 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prior years, we were an “emerging growth company” as defined in the Jumpstart Our Business Startups Act of 2012, as amended; therefore, we were not required to hold a non-binding advisory vote to approve the compensation of our named executive officers, commonly known as a “Say-on-Pay” vote. Under the Dodd-Frank Wall Street Reform and Consumer Protection Act, or the Dodd-Frank Act, and Section 14A of the Exchange Act, our stockholders are entitled to vote in such Say-on-Pay vote to approve, on a non-binding, advisory basis, the compensation of our named executive officers as disclosed in this proxy statement at least once every three years. Although this is a non-binding advisory vote, because we value the opinion of our stockholders, our board of directors and our compensation committee will consider the outcome of the “Say-on-Pay” vote described in this Proposal No. 3 and the related “Say-on-Frequency” vote described in Proposal 5 of this proxy statement at the Annual Meeting, as well as feedback received throughout the year, when making compensation determinations for our executive officers in the future.</w:t>
      </w:r>
    </w:p>
    <w:p>
      <w:pPr>
        <w:pStyle w:val="TextBody"/>
        <w:bidi w:val="0"/>
        <w:jc w:val="left"/>
        <w:rPr>
          <w:rFonts w:ascii="Times New Roman" w:hAnsi="Times New Roman"/>
          <w:sz w:val="20"/>
        </w:rPr>
      </w:pPr>
      <w:r>
        <w:rPr>
          <w:rFonts w:ascii="Times New Roman" w:hAnsi="Times New Roman"/>
          <w:color w:val="000000"/>
          <w:sz w:val="20"/>
        </w:rPr>
        <w:t xml:space="preserve">This vote is not intended to address any specific item of compensation, but rather the overall compensation our named executive officers and the compensation philosophy, policies and practices described in this proxy statement. The compensation of our named executive officers subject to the vote is disclosed under the “Compensation Discussion and Analysis” section, the compensation tables, and related narrative disclosure that accompanies the compensation tables contained in this proxy statement. As discussed in those disclosures, we believe that our compensation policies and decisions are designed to reward performance, are strongly aligned with our stockholders’ interests and are consistent with current market practices. Compensation of our named executive officers is designed to enable us to attract, motivate, and retain talented and experienced executives to lead us successfully in a competitive environment. Accordingly, we are asking our stockholders to </w:t>
      </w:r>
      <w:r>
        <w:rPr>
          <w:rFonts w:ascii="Times New Roman" w:hAnsi="Times New Roman"/>
          <w:color w:val="212529"/>
          <w:sz w:val="20"/>
        </w:rPr>
        <w:t>cast a non-binding, advisory vote FOR the following resolution</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i/>
          <w:color w:val="000000"/>
          <w:sz w:val="20"/>
        </w:rPr>
        <w:t>RESOLVED</w:t>
      </w:r>
      <w:r>
        <w:rPr>
          <w:rFonts w:ascii="Times New Roman" w:hAnsi="Times New Roman"/>
          <w:color w:val="000000"/>
          <w:sz w:val="20"/>
        </w:rPr>
        <w:t>, that the compensation of our named executive officers, as disclosed pursuant to the r</w:t>
      </w:r>
      <w:r>
        <w:rPr>
          <w:rFonts w:ascii="Times New Roman" w:hAnsi="Times New Roman"/>
          <w:color w:val="212529"/>
          <w:sz w:val="20"/>
        </w:rPr>
        <w:t>ules of the Securities and Exchange Commission</w:t>
      </w:r>
      <w:r>
        <w:rPr>
          <w:rFonts w:ascii="Times New Roman" w:hAnsi="Times New Roman"/>
          <w:i/>
          <w:color w:val="212529"/>
          <w:sz w:val="20"/>
        </w:rPr>
        <w:t>,</w:t>
      </w:r>
      <w:r>
        <w:rPr>
          <w:rFonts w:ascii="Times New Roman" w:hAnsi="Times New Roman"/>
          <w:color w:val="000000"/>
          <w:sz w:val="20"/>
        </w:rPr>
        <w:t xml:space="preserve"> including the Compensation Discussion and Analysis, the compensation tables and related narrative disclosures contained in this proxy statement, is hereby APPROVED. </w:t>
      </w:r>
    </w:p>
    <w:p>
      <w:pPr>
        <w:pStyle w:val="TextBody"/>
        <w:bidi w:val="0"/>
        <w:jc w:val="left"/>
        <w:rPr>
          <w:rFonts w:ascii="Times New Roman" w:hAnsi="Times New Roman"/>
          <w:color w:val="000000"/>
          <w:sz w:val="20"/>
        </w:rPr>
      </w:pPr>
      <w:r>
        <w:rPr>
          <w:rFonts w:ascii="Times New Roman" w:hAnsi="Times New Roman"/>
          <w:color w:val="000000"/>
          <w:sz w:val="20"/>
        </w:rPr>
        <w:t>This vote is advisory, and therefore not binding on us, the board of directors, or our compensation committee. However, our board of directors and compensation committee value your opinion and intend to consider the outcome of the vote when making compensation decisions in the future.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majority of the votes properly cast FOR this proposal is required to approve, on a non-binding, advisory basis, the 2024 compensation of our named executive officers. Shares that are voted “abstain” and broker non-votes, if any, will have no effect on the outcome of this proposal.</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unanimously recommends voting “FOR” Proposal No. 4 to approve, on a non-binding, advisory basis,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0"/>
        </w:rPr>
      </w:pPr>
      <w:bookmarkStart w:id="17" w:name="proposal_no_5"/>
      <w:bookmarkEnd w:id="17"/>
      <w:r>
        <w:rPr>
          <w:rFonts w:ascii="Times New Roman" w:hAnsi="Times New Roman"/>
          <w:b/>
          <w:caps/>
          <w:color w:val="000000"/>
          <w:sz w:val="20"/>
        </w:rPr>
        <w:t>PROPOSAL NO. 5 – non-binding, advisory vote on the FREQUENCY OF FUTURE NON-BINDING, ADVISORY VOTES ON THE COMPENSATION OF OUR NAMED EXECUTIVE OFFICERS</w:t>
      </w:r>
    </w:p>
    <w:p>
      <w:pPr>
        <w:pStyle w:val="TextBody"/>
        <w:bidi w:val="0"/>
        <w:jc w:val="left"/>
        <w:rPr>
          <w:rFonts w:ascii="Times New Roman" w:hAnsi="Times New Roman"/>
          <w:color w:val="000000"/>
          <w:sz w:val="20"/>
        </w:rPr>
      </w:pPr>
      <w:r>
        <w:rPr>
          <w:rFonts w:ascii="Times New Roman" w:hAnsi="Times New Roman"/>
          <w:color w:val="000000"/>
          <w:sz w:val="20"/>
        </w:rPr>
        <w:t>The Dodd-Frank Act and Section 14A of the Exchange Act provide that stockholders must be given the opportunity to vote, on a non-binding, advisory basis, for their preference as to how frequently we should hold future Say-on-Pay votes. We are required to solicit stockholder votes on the frequency of future non-binding, advisory votes to approve the compensation of our named executive officers at least once every six years. This is commonly known as a “Say-on-Frequency” proposal. We are asking our stockholders whether our future Say-on-Pay votes should occur every one, two, or three years. Stockholders may also abstain from voting.</w:t>
      </w:r>
    </w:p>
    <w:p>
      <w:pPr>
        <w:pStyle w:val="TextBody"/>
        <w:bidi w:val="0"/>
        <w:jc w:val="left"/>
        <w:rPr>
          <w:rFonts w:ascii="Times New Roman" w:hAnsi="Times New Roman"/>
          <w:color w:val="000000"/>
          <w:sz w:val="20"/>
        </w:rPr>
      </w:pPr>
      <w:r>
        <w:rPr>
          <w:rFonts w:ascii="Times New Roman" w:hAnsi="Times New Roman"/>
          <w:color w:val="000000"/>
          <w:sz w:val="20"/>
        </w:rPr>
        <w:t>The vote on this proposal is advisory; therefore, it is not binding on the Company, our board of directors or our compensation committee. We may determine in the future that it is in the best interests of the Company and our stockholders to hold Say-on-Pay votes more or less frequently than the frequency indicated by stockholders in voting on this proposal or as currently recommended by our board of directors. However, we plan to consider the results of the vote on this proposal in determining the frequency of our Say-on-Pay votes because we value the opinions of our stockholders.</w:t>
      </w:r>
    </w:p>
    <w:p>
      <w:pPr>
        <w:pStyle w:val="TextBody"/>
        <w:bidi w:val="0"/>
        <w:jc w:val="left"/>
        <w:rPr>
          <w:rFonts w:ascii="Times New Roman" w:hAnsi="Times New Roman"/>
          <w:color w:val="000000"/>
          <w:sz w:val="20"/>
        </w:rPr>
      </w:pPr>
      <w:r>
        <w:rPr>
          <w:rFonts w:ascii="Times New Roman" w:hAnsi="Times New Roman"/>
          <w:color w:val="000000"/>
          <w:sz w:val="20"/>
        </w:rPr>
        <w:t>Currently, we believe that it is in the best interests of the Company and our stockholders to hold a Say-on-Pay vote every year, and this is the frequency recommended by our board of directors. We believe this frequency will enable our stockholders to vote, on a non-binding, advisory basis, on our most recent executive compensation practices and decisions as presented in our annual proxy statements, which will lead to greater transparency and more meaningful and timely communication between the Company and our stockholders regarding the compensation of our named executive officers. Accordingly, we ask our stockholders to indicate their preferred voting frequency by voting for every “one year,” “two years,” or “three years” (or abstaining from voting) in response to the following resolution at the Annual Meeting:</w:t>
      </w:r>
    </w:p>
    <w:p>
      <w:pPr>
        <w:pStyle w:val="TextBody"/>
        <w:bidi w:val="0"/>
        <w:jc w:val="left"/>
        <w:rPr>
          <w:rFonts w:ascii="Times New Roman" w:hAnsi="Times New Roman"/>
          <w:sz w:val="20"/>
        </w:rPr>
      </w:pPr>
      <w:r>
        <w:rPr>
          <w:rFonts w:ascii="Times New Roman" w:hAnsi="Times New Roman"/>
          <w:b/>
          <w:i/>
          <w:color w:val="000000"/>
          <w:sz w:val="20"/>
        </w:rPr>
        <w:t>RESOLVED</w:t>
      </w:r>
      <w:r>
        <w:rPr>
          <w:rFonts w:ascii="Times New Roman" w:hAnsi="Times New Roman"/>
          <w:color w:val="000000"/>
          <w:sz w:val="20"/>
        </w:rPr>
        <w:t>, that the alternative of every one year, two years, or three years that receives the highest number of affirmative votes cast by stockholders in person or by proxy at this meeting will be deemed the preferred frequency with which the Company is to hold future non-binding, advisory votes on the compensation of the Company’s named executive officers.</w:t>
      </w:r>
    </w:p>
    <w:p>
      <w:pPr>
        <w:pStyle w:val="TextBody"/>
        <w:bidi w:val="0"/>
        <w:jc w:val="left"/>
        <w:rPr>
          <w:rFonts w:ascii="Times New Roman" w:hAnsi="Times New Roman"/>
          <w:b/>
          <w:color w:val="000000"/>
          <w:sz w:val="20"/>
        </w:rPr>
      </w:pPr>
      <w:r>
        <w:rPr>
          <w:rFonts w:ascii="Times New Roman" w:hAnsi="Times New Roman"/>
          <w:b/>
          <w:color w:val="000000"/>
          <w:sz w:val="20"/>
        </w:rPr>
        <w:t>Vote Required and Board of Directors’ Recommendation</w:t>
      </w:r>
    </w:p>
    <w:p>
      <w:pPr>
        <w:pStyle w:val="TextBody"/>
        <w:bidi w:val="0"/>
        <w:jc w:val="left"/>
        <w:rPr>
          <w:rFonts w:ascii="Times New Roman" w:hAnsi="Times New Roman"/>
          <w:color w:val="000000"/>
          <w:sz w:val="20"/>
        </w:rPr>
      </w:pPr>
      <w:r>
        <w:rPr>
          <w:rFonts w:ascii="Times New Roman" w:hAnsi="Times New Roman"/>
          <w:color w:val="000000"/>
          <w:sz w:val="20"/>
        </w:rPr>
        <w:t>Stockholders will not be voting to approve or disapprove of the recommendation of our board of directors. The proxy card provides stockholders with the opportunity to choose among four options with respect to this proposal (holding the vote every one, two, or three years, or abstaining). The option that receives the highest number of affirmative votes properly cast will be deemed to be the frequency preferred by our stockholders. Shares that are voted “abstain” and broker non-votes, if any, will have no effect on the outcome of this proposal.</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unanimously recommends a vote, on a non-binding, advisory basis, for “ONE YEAR” as the preferred frequency for future non-binding advisory votes on the compensation of our named executed officers.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ecurity_ownership_of_certain_beneficial"/>
      <w:bookmarkEnd w:id="18"/>
      <w:r>
        <w:rPr>
          <w:rFonts w:ascii="Times New Roman" w:hAnsi="Times New Roman"/>
          <w:b/>
          <w:caps/>
          <w:color w:val="000000"/>
          <w:sz w:val="20"/>
        </w:rPr>
        <w:t>SECURITY OWNERSHIP OF CERTAIN BENEFICIAL OWNERS AND MANAGEMENT</w:t>
      </w:r>
      <w:r>
        <w:rPr>
          <w:rFonts w:ascii="Times New Roman" w:hAnsi="Times New Roman"/>
          <w:caps/>
          <w:color w:val="000000"/>
          <w:sz w:val="20"/>
        </w:rPr>
        <w:t xml:space="preserv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April 1, 2025 by: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person, or group of affiliated persons, known by us to be the beneficial owner of more than 5% of Tango’s outstanding common stock;</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each of Tango’s named executive officers and directors;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of Tango’s executive officers and directors as a group.</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RSUs, within 60 days of April 1, 2025. Shares subject to RSU awards that vest within 60 days of April 1, 2025, are considered outstanding and beneficially owned by the person holding such options or RSU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108,107,890 shares of common stock outstanding as of April 1, 2025.</w:t>
      </w:r>
    </w:p>
    <w:tbl>
      <w:tblPr>
        <w:tblW w:w="7973" w:type="dxa"/>
        <w:jc w:val="left"/>
        <w:tblInd w:w="0" w:type="dxa"/>
        <w:tblLayout w:type="fixed"/>
        <w:tblCellMar>
          <w:top w:w="28" w:type="dxa"/>
          <w:left w:w="28" w:type="dxa"/>
          <w:bottom w:w="28" w:type="dxa"/>
          <w:right w:w="28" w:type="dxa"/>
        </w:tblCellMar>
      </w:tblPr>
      <w:tblGrid>
        <w:gridCol w:w="4966"/>
        <w:gridCol w:w="146"/>
        <w:gridCol w:w="178"/>
        <w:gridCol w:w="178"/>
        <w:gridCol w:w="1264"/>
        <w:gridCol w:w="146"/>
        <w:gridCol w:w="146"/>
        <w:gridCol w:w="146"/>
        <w:gridCol w:w="146"/>
        <w:gridCol w:w="466"/>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Weber, M.D.(1)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Daniella Beckman(2)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1,163,421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Alexis Borisy(3)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Malte Peters, M.D.(4)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Lesley Ann Calhoun(5)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Mace Rothenberg, M.D.(6)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Ketchum(7)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Kanishka Pothula(8)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Crystal, M.D., Ph.D.(9)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Barry(10)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Officers and Directors as a group (10 individuals)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Rock Ventures IV, L.P.(11)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16,859,075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Boxer Capital, LLC(12)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10,707,885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EcoR1 Capital, LLC(13)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TCG Crossover II(14)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10,500,612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Nextech Invest, Ltd.(15)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jc w:val="left"/>
        <w:rPr>
          <w:rFonts w:ascii="Times New Roman" w:hAnsi="Times New Roman"/>
          <w:color w:val="000000"/>
          <w:sz w:val="20"/>
        </w:rPr>
      </w:pPr>
      <w:r>
        <w:rPr>
          <w:rFonts w:ascii="Times New Roman" w:hAnsi="Times New Roman"/>
          <w:color w:val="000000"/>
          <w:sz w:val="20"/>
        </w:rPr>
        <w:t>(1) Consists of 1,456,344 shares of common stock and options to purchase 3,667,371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(2) Consists of 98,898 shares of common stock and options to purchase 1,064,523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(3) Consists of 5,000 shares of common stock and options to purchase 235,838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(4) Consists of 5,000 shares of common stock and options to purchase 223,270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(5) Consists of options to purchase 189,300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(6) Consists of 5,000 shares of common stock and options to purchase 189,300 shares of common stock exercisable within 60 days of April 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(7) Consists of 3,333 shares of common stock and options to purchase 60,781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(8) Mr. Pothula has waived all equity or cash compensation for service as a non-employee director.</w:t>
      </w:r>
    </w:p>
    <w:p>
      <w:pPr>
        <w:pStyle w:val="TextBody"/>
        <w:bidi w:val="0"/>
        <w:jc w:val="left"/>
        <w:rPr>
          <w:rFonts w:ascii="Times New Roman" w:hAnsi="Times New Roman"/>
          <w:color w:val="000000"/>
          <w:sz w:val="20"/>
        </w:rPr>
      </w:pPr>
      <w:r>
        <w:rPr>
          <w:rFonts w:ascii="Times New Roman" w:hAnsi="Times New Roman"/>
          <w:color w:val="000000"/>
          <w:sz w:val="20"/>
        </w:rPr>
        <w:t>(9) Consists of 69,700 shares of common stock and options to purchase 373,240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(10) Consists of 23,551 shares of common stock and options to purchase 425,473 shares of common stock exercisable within 60 days of April 1, 2025.</w:t>
      </w:r>
    </w:p>
    <w:p>
      <w:pPr>
        <w:pStyle w:val="TextBody"/>
        <w:bidi w:val="0"/>
        <w:jc w:val="left"/>
        <w:rPr>
          <w:rFonts w:ascii="Times New Roman" w:hAnsi="Times New Roman"/>
          <w:color w:val="000000"/>
          <w:sz w:val="20"/>
        </w:rPr>
      </w:pPr>
      <w:r>
        <w:rPr>
          <w:rFonts w:ascii="Times New Roman" w:hAnsi="Times New Roman"/>
          <w:color w:val="000000"/>
          <w:sz w:val="20"/>
        </w:rPr>
        <w:t>(11) This information is solely based on a Form 4 filed by Third Rock Ventures IV, L.P. (“TRV IV”), Third Rock Ventures GP IV, L.P. (“TRV GP IV”) and TRV GP IV, LLC (“TRV GP IV LLC”, and collectively with TRV IV and TRV GP IV, the “Reporting Persons”) with the SEC on September 17, 2024.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The address for each of the Reporting Persons is 201 Brookline Ave, Suite 1401, Boston, MA 02215.</w:t>
      </w:r>
    </w:p>
    <w:p>
      <w:pPr>
        <w:pStyle w:val="TextBody"/>
        <w:bidi w:val="0"/>
        <w:jc w:val="left"/>
        <w:rPr>
          <w:rFonts w:ascii="Times New Roman" w:hAnsi="Times New Roman"/>
          <w:color w:val="000000"/>
          <w:sz w:val="20"/>
        </w:rPr>
      </w:pPr>
      <w:r>
        <w:rPr>
          <w:rFonts w:ascii="Times New Roman" w:hAnsi="Times New Roman"/>
          <w:color w:val="000000"/>
          <w:sz w:val="20"/>
        </w:rPr>
        <w:t>(12) This information is solely based on a Schedule 13D/A filed by Boxer Capital Management, LLC (“Boxer Capital Management”), BCTG Holdings, LLC (“BCTG Holdings”), MVA Investors, LLC (“MVA Investors together with Boxer Capital, BCTG Holdings, and Aaron Davis, the “Reporting Persons”) with the SEC on January 2, 2025. Consists of 326,886 shares beneficially owned by MVA Investors and 10,380,999 shares beneficially owned by Boxer Capital Management. Aaron Davis has shared voting and dispositive power over the shares owned by MVA Investors and Boxer Capital Management. Aaron Davis serves as the Chief Executive Officer of MVA Investors.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w:t>
      </w:r>
    </w:p>
    <w:p>
      <w:pPr>
        <w:pStyle w:val="TextBody"/>
        <w:bidi w:val="0"/>
        <w:jc w:val="left"/>
        <w:rPr>
          <w:rFonts w:ascii="Times New Roman" w:hAnsi="Times New Roman"/>
          <w:color w:val="000000"/>
          <w:sz w:val="20"/>
        </w:rPr>
      </w:pPr>
      <w:r>
        <w:rPr>
          <w:rFonts w:ascii="Times New Roman" w:hAnsi="Times New Roman"/>
          <w:color w:val="000000"/>
          <w:sz w:val="20"/>
        </w:rPr>
        <w:t>(13) This information is solely based on a Schedule 13G/A filed by EcoR1 Capital, LLC (“EcoR1”), EcoR1 Capital Fund Qualified, L.P. (“EcoR1 Capital”) and Oleg Nodelman (collectively, the “Reporting Persons”) with the SEC on February 14, 2025. The general partner of EcoR1 Capital is EcoR1. The manager of EcoR1 is Oleg Nodelman. Each of the individuals and entities listed above expressly disclaims beneficial interest of the shares listed above except to the extent of any pecuniary interest therein. The address for each Reporting Persons is 357 Tehama Street #3, San Francisco, CA 94103.</w:t>
      </w:r>
    </w:p>
    <w:p>
      <w:pPr>
        <w:pStyle w:val="TextBody"/>
        <w:bidi w:val="0"/>
        <w:jc w:val="left"/>
        <w:rPr>
          <w:rFonts w:ascii="Times New Roman" w:hAnsi="Times New Roman"/>
          <w:color w:val="000000"/>
          <w:sz w:val="20"/>
        </w:rPr>
      </w:pPr>
      <w:r>
        <w:rPr>
          <w:rFonts w:ascii="Times New Roman" w:hAnsi="Times New Roman"/>
          <w:color w:val="000000"/>
          <w:sz w:val="20"/>
        </w:rPr>
        <w:t>(14) This information is solely based on a Schedule 13 filed by TCG Crossover Fund II, L.P. and TCG Crossover GP II, LLC (collectively, the “Reporting Persons”) with the SEC on November 20, 2024.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address of the principal business office of each Reporting Person is 705 High St., Palo Alto, CA 94301.</w:t>
      </w:r>
    </w:p>
    <w:p>
      <w:pPr>
        <w:pStyle w:val="TextBody"/>
        <w:bidi w:val="0"/>
        <w:jc w:val="left"/>
        <w:rPr>
          <w:rFonts w:ascii="Times New Roman" w:hAnsi="Times New Roman"/>
          <w:color w:val="000000"/>
          <w:sz w:val="20"/>
        </w:rPr>
      </w:pPr>
      <w:r>
        <w:rPr>
          <w:rFonts w:ascii="Times New Roman" w:hAnsi="Times New Roman"/>
          <w:color w:val="000000"/>
          <w:sz w:val="20"/>
        </w:rPr>
        <w:t>(15) This information is solely based on a Schedule 13G filed by Nextech Crossover I SCSp (“Nextech”), Nextech Crossover I GP S. à r.l. (“Nextech S. à r.l.”), Ian Charoub, Costas Constantinides and Rocco Sgobbo (collectively with Nextech and Nextech S. à r.l., the “Reporting Persons”) with the SEC on August 21, 2023. The general partner of Nextech is Nextech S. à r.l. Ian Charoub, Costas Constantinides and Rocco Sgobbo are members of the board of managers of Nextech S. à r.l. and share voting and dispositive power over the shares held by Nextech, and may be deemed to own beneficially the shares held by Nextech. The address for each of the Reporting Persons is 8 rue Lou Hemmer L-1748 Luxembourg-Findel Grand-Duché de Luxembourg.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certain_relationships_and_related_party"/>
      <w:bookmarkEnd w:id="19"/>
      <w:r>
        <w:rPr>
          <w:rFonts w:ascii="Times New Roman" w:hAnsi="Times New Roman"/>
          <w:b/>
          <w:caps/>
          <w:color w:val="000000"/>
          <w:sz w:val="20"/>
        </w:rPr>
        <w:t>CERTAIN RELATIONSHIPS AND RELATED PARTY TRANSACTIONS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description of transactions or series of similar transactions since January 1, 2024 (other than the compensation agreements and other arrangements described under the sections entitled “Executive Compensation” and “Director Compensation” in this proxy statement) to which:</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were, or will be, a participant;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 involved exceeded, or will exceed, $120,000;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which any director, executive officer, holder of 5% or more of any class of our capital stock or any member of the immediate family of, or entities affiliated with, any of the foregoing persons, had, or will have, a direct or indirect material interest.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believe that all of the transactions described below were made on terms no less favorable to us than could have been obtained from unaffiliated third parties.</w:t>
      </w:r>
    </w:p>
    <w:p>
      <w:pPr>
        <w:pStyle w:val="TextBody"/>
        <w:bidi w:val="0"/>
        <w:spacing w:before="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Sesame Therapeutics,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2024, the Company and Sesame Therapeutics, Inc., or Sesame, entered into a license agreement, pursuant to which the Company granted a non-exclusive license to certain know-how associated with preclinical research. Pursuant to the license agreement, we received a $100,000 upfront, non-refundable payment in June 2024 and are eligible to receive up to $25.9 million in potential future clinical, regulatory, and commercial milestone payment events, as well as low single-digit tiered royalties on net sales of any product covered by a licensed patent. The transaction was deemed a related party transaction because Dr. Weber and Mr. Borisy are directors and equityholders in Sesame, and Nextech, an investment firm in which Mr. Pothula serves as a partner and of which Mr. Borisy is affiliated, holds an equity interest in Sesame. Pursuant to our Related Party Transaction Policy, the material facts as to the related parties' relationship and interest in the transaction were disclosed to the audit committee for consideration. However, because two of the three members of the audit committee had material interests in the proposed transaction, the remaining member of the audit committee recommended that the proposed transaction be considered by the full board of directors. The agreement was reviewed and approved by the non-interested members of our board of directors.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2024, the Company and Revolution Medicines, Inc., or RevMed, entered into a clinical trial collaboration and supply agreement. The agreement provides that RevMed will supply two of its RAS inhibitors at no cost to the Company for use in clinical trials that will include these combinations.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 The agreement was reviewed and approved by the non-interested members of our audit committee.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Aaron Davis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2024, the Company entered into a Consulting Agreement with Aaron Davis, the Managing Member of Boxer Capital Management, LLC, and a Tango director until August 2023. Boxer Capital Management has an investment management agreement with Boxer Capital. Boxer Capital is a former 10% holder of Tango common stock, but continues to hold in excess of 5% of Tango's outstanding common stock. In exchange for providing certain consulting services related to communications and investor relations messaging in connection with the public disclosure of Tango clinical trial programs and certain related matters, the Company issued Mr. Davis an option award to acquire 65,000 shares of common stock. The exercise price of the option was equal to the stock price on the date of grant. The agreement was reviewed and approved by the non-interested members of our audit committee.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or as an executive officer to the maximum extent allowed under Delaware law.</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Policies for Approval of Related Party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Policies and Procedures for 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We have adopted a written related person transaction policy that sets forth the following policies and procedures for the review and approval or ratification of related person transactions.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or at any time during the applicable period was, one of our officers, directors or director nominee;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person who is known by us to be the beneficial owner of more than 5% of our voting stock;</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any firm, corporation or other entity in which any of the foregoing persons is a partner or principal or in a similar position or in which such person has a 10% or greater beneficial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0" w:name="additional_information"/>
      <w:bookmarkEnd w:id="20"/>
      <w:r>
        <w:rPr>
          <w:rFonts w:ascii="Times New Roman" w:hAnsi="Times New Roman"/>
          <w:b/>
          <w:caps/>
          <w:color w:val="000000"/>
          <w:sz w:val="20"/>
        </w:rPr>
        <w:t>ADDITIONAL INFORMATION AND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stockholder who would like to have a proposal considered for inclusion in our 2026 proxy statement must submit the proposal in accordance with the procedures outlined in Rule 14a-8 so that it is received by us no later than December 22, 2025. In addition, to comply with the SEC’s universal proxy rules, stockholders who intend to solicit proxies in support of director nominees other than our nominees must provide notice that sets forth the information required by Rule 14a-19 under the Exchange Act no later than March 7,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5, 2026 and no later than March 7, 2026. Stockholder proposals and the required notice should be addressed to Tango Therapeutics, Inc., 201 Brookline Avenue, Suite 901, Boston, Massachusetts 02215, Attention: Corporate Secretary.</w:t>
      </w:r>
    </w:p>
    <w:p>
      <w:pPr>
        <w:pStyle w:val="TextBody"/>
        <w:bidi w:val="0"/>
        <w:spacing w:before="240" w:after="283"/>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 A</w:t>
      </w:r>
    </w:p>
    <w:p>
      <w:pPr>
        <w:pStyle w:val="TextBody"/>
        <w:bidi w:val="0"/>
        <w:jc w:val="center"/>
        <w:rPr>
          <w:rFonts w:ascii="Times New Roman" w:hAnsi="Times New Roman"/>
          <w:b/>
          <w:color w:val="000000"/>
          <w:sz w:val="20"/>
        </w:rPr>
      </w:pPr>
      <w:r>
        <w:rPr>
          <w:rFonts w:ascii="Times New Roman" w:hAnsi="Times New Roman"/>
          <w:b/>
          <w:color w:val="000000"/>
          <w:sz w:val="20"/>
        </w:rPr>
        <w:t>AMENDMENT OF OUR COMPANY'S SECOND AMENDED AND RESTATED CERTIFICATE OF</w:t>
      </w:r>
    </w:p>
    <w:p>
      <w:pPr>
        <w:pStyle w:val="TextBody"/>
        <w:bidi w:val="0"/>
        <w:jc w:val="center"/>
        <w:rPr>
          <w:rFonts w:ascii="Times New Roman" w:hAnsi="Times New Roman"/>
          <w:b/>
          <w:color w:val="000000"/>
          <w:sz w:val="20"/>
        </w:rPr>
      </w:pPr>
      <w:r>
        <w:rPr>
          <w:rFonts w:ascii="Times New Roman" w:hAnsi="Times New Roman"/>
          <w:b/>
          <w:color w:val="000000"/>
          <w:sz w:val="20"/>
        </w:rPr>
        <w:t>INCORPORATION, AS AMENDED TO DATE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TANGO THERAPEUTICS, INC.</w:t>
      </w:r>
    </w:p>
    <w:p>
      <w:pPr>
        <w:pStyle w:val="TextBody"/>
        <w:bidi w:val="0"/>
        <w:jc w:val="center"/>
        <w:rPr>
          <w:rFonts w:ascii="Times New Roman" w:hAnsi="Times New Roman"/>
          <w:color w:val="000000"/>
          <w:sz w:val="20"/>
        </w:rPr>
      </w:pPr>
      <w:r>
        <w:rPr>
          <w:rFonts w:ascii="Times New Roman" w:hAnsi="Times New Roman"/>
          <w:color w:val="000000"/>
          <w:sz w:val="20"/>
        </w:rPr>
        <w:t>(Pursuant to Section 242 of the</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spacing w:before="0" w:after="200"/>
        <w:jc w:val="both"/>
        <w:rPr>
          <w:rFonts w:ascii="Times New Roman" w:hAnsi="Times New Roman"/>
          <w:sz w:val="20"/>
        </w:rPr>
      </w:pPr>
      <w:r>
        <w:rPr>
          <w:rFonts w:ascii="Times New Roman" w:hAnsi="Times New Roman"/>
          <w:color w:val="000000"/>
          <w:sz w:val="20"/>
        </w:rPr>
        <w:t>Tango Therapeutics, Inc., a corporation organized and existing under the laws of the State of Delaware (the “</w:t>
      </w:r>
      <w:r>
        <w:rPr>
          <w:rFonts w:ascii="Times New Roman" w:hAnsi="Times New Roman"/>
          <w:color w:val="000000"/>
          <w:sz w:val="20"/>
          <w:u w:val="single"/>
        </w:rPr>
        <w:t>Corporation</w:t>
      </w:r>
      <w:r>
        <w:rPr>
          <w:rFonts w:ascii="Times New Roman" w:hAnsi="Times New Roman"/>
          <w:color w:val="000000"/>
          <w:sz w:val="20"/>
        </w:rPr>
        <w:t>”), hereby certifies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0"/>
        </w:rPr>
        <w:t>The Corporation was originally incorporated pursuant to the General Corporation Law of the State of Delaware (the “</w:t>
      </w:r>
      <w:r>
        <w:rPr>
          <w:rFonts w:ascii="Times New Roman" w:hAnsi="Times New Roman"/>
          <w:color w:val="000000"/>
          <w:sz w:val="20"/>
          <w:u w:val="single"/>
        </w:rPr>
        <w:t>DGCL</w:t>
      </w:r>
      <w:r>
        <w:rPr>
          <w:color w:val="000000"/>
        </w:rPr>
        <w:t>”</w:t>
      </w:r>
      <w:r>
        <w:rPr>
          <w:rFonts w:ascii="Times New Roman" w:hAnsi="Times New Roman"/>
          <w:color w:val="000000"/>
          <w:sz w:val="20"/>
        </w:rPr>
        <w:t>) on May 21, 2020. An Amended and Restated Certificate of Incorporation was filed with the Secretary of State of the State of Delaware on September 2, 2020, as amended by the Certificate of Amendment filed with the Secretary of State of the State of Delaware on June 5, 2024 (the “</w:t>
      </w:r>
      <w:r>
        <w:rPr>
          <w:rFonts w:ascii="Times New Roman" w:hAnsi="Times New Roman"/>
          <w:color w:val="000000"/>
          <w:sz w:val="20"/>
          <w:u w:val="single"/>
        </w:rPr>
        <w:t>Charter</w:t>
      </w:r>
      <w:r>
        <w:rPr>
          <w:color w:val="000000"/>
        </w:rPr>
        <w:t>”</w:t>
      </w:r>
      <w:r>
        <w:rPr>
          <w:rFonts w:ascii="Times New Roman" w:hAnsi="Times New Roman"/>
          <w:color w:val="000000"/>
          <w:sz w:val="20"/>
        </w:rPr>
        <w:t>). Pursuant to Section 242 of the DGCL, this Certificate of Amendment (this “</w:t>
      </w:r>
      <w:r>
        <w:rPr>
          <w:rFonts w:ascii="Times New Roman" w:hAnsi="Times New Roman"/>
          <w:color w:val="000000"/>
          <w:sz w:val="20"/>
          <w:u w:val="single"/>
        </w:rPr>
        <w:t>Amendment</w:t>
      </w:r>
      <w:r>
        <w:rPr>
          <w:color w:val="000000"/>
        </w:rPr>
        <w:t>”</w:t>
      </w:r>
      <w:r>
        <w:rPr>
          <w:rFonts w:ascii="Times New Roman" w:hAnsi="Times New Roman"/>
          <w:color w:val="000000"/>
          <w:sz w:val="20"/>
        </w:rPr>
        <w:t>) amends certain provisions of the Charter.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Amendment has been approved and duly adopted by the Corporation’s Board of Directors and stockholders in accordance with the provisions of Section 242 of the DGCL.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first paragraph of Article IV of the Charter is hereby amended to read in its entirety as follows:</w:t>
      </w:r>
    </w:p>
    <w:p>
      <w:pPr>
        <w:pStyle w:val="TextBody"/>
        <w:bidi w:val="0"/>
        <w:spacing w:before="0" w:after="240"/>
        <w:jc w:val="both"/>
        <w:rPr/>
      </w:pPr>
      <w:r>
        <w:rPr>
          <w:color w:val="000000"/>
        </w:rPr>
        <w:t>“</w:t>
      </w:r>
      <w:r>
        <w:rPr>
          <w:rFonts w:ascii="Times New Roman" w:hAnsi="Times New Roman"/>
          <w:color w:val="000000"/>
          <w:sz w:val="20"/>
        </w:rPr>
        <w:t>The total number of shares of capital stock which the Corporation shall have authority to issue is four hundred and ten million (410,000,000), of which (i) four hundred million (400,000,000) shares shall be a class designated as common stock, par value $0.001 per share (the “Common Stock”), and (ii) ten million (10,000,000) shares shall be a class designated as undesignated preferred stock, par value $0.001 per share (the “</w:t>
      </w:r>
      <w:r>
        <w:rPr>
          <w:rFonts w:ascii="Times New Roman" w:hAnsi="Times New Roman"/>
          <w:color w:val="000000"/>
          <w:sz w:val="20"/>
          <w:u w:val="single"/>
        </w:rPr>
        <w:t>Undesignated Preferred Stock</w:t>
      </w:r>
      <w:r>
        <w:rPr>
          <w:rFonts w:ascii="Times New Roman" w:hAnsi="Times New Roman"/>
          <w:color w:val="000000"/>
          <w:sz w:val="2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WITNESS WHEREOF, this Amendment, having been duly adopted in accordance with Section 242 of the DGCL, has been duly executed by a duly authorized officer of the Corporation on this 5th day of June, 2025.</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Tango Therapeutics, Inc.</w:t>
      </w:r>
    </w:p>
    <w:p>
      <w:pPr>
        <w:pStyle w:val="TextBody"/>
        <w:bidi w:val="0"/>
        <w:spacing w:before="0" w:after="2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Barbara Weber, M.D.</w:t>
      </w:r>
    </w:p>
    <w:p>
      <w:pPr>
        <w:pStyle w:val="TextBody"/>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34901</Words>
  <Characters>188463</Characters>
  <CharactersWithSpaces>224005</CharactersWithSpaces>
  <Paragraphs>4282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