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BCTG Holdings,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12860 EL CAMINO REAL,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8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14" w:lineRule="auto"/>
        <w:tabs>
          <w:tab w:leader="none" w:pos="1140" w:val="left"/>
          <w:tab w:leader="none" w:pos="21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92130</w:t>
      </w:r>
    </w:p>
    <w:p>
      <w:pPr>
        <w:spacing w:after="0" w:line="12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DIEGO</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Tango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TNGX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Director</w:t>
            </w:r>
          </w:p>
        </w:tc>
        <w:tc>
          <w:tcPr>
            <w:tcW w:w="1620" w:type="dxa"/>
            <w:vAlign w:val="bottom"/>
            <w:vMerge w:val="restart"/>
          </w:tcPr>
          <w:p>
            <w:pPr>
              <w:ind w:left="16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49"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420"/>
              <w:spacing w:after="0"/>
              <w:rPr>
                <w:sz w:val="20"/>
                <w:szCs w:val="20"/>
                <w:color w:val="auto"/>
              </w:rPr>
            </w:pPr>
            <w:r>
              <w:rPr>
                <w:rFonts w:ascii="Arial" w:cs="Arial" w:eastAsia="Arial" w:hAnsi="Arial"/>
                <w:sz w:val="20"/>
                <w:szCs w:val="20"/>
                <w:color w:val="0000FF"/>
              </w:rPr>
              <w:t>6,988,450</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0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These securities are owned directly by BCTG Holdings, LLC ("BCTG Holdings"), which may be deemed to be a member of a "group" for purposes of Section 13(d) of the Securities Exchange Act of 1934, as amended, consisting of (i) Boxer Capital, (ii) Boxer Asset Management Inc. ("Boxer Management"), (iii) Joseph C. Lewis, (iv) BCTG Holdings, (v) MVA Investors, LLC and (vi) Aaron I. Davis (collectively, the "Boxer Group"). Each member of the Boxer Group other than BCTG Holdings disclaims beneficial ownership of these securities to the extent it or he does not have a pecuniary interest therein.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BCTG Holdings, LLC,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3525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52550"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Arial" w:cs="Arial" w:eastAsia="Arial" w:hAnsi="Arial"/>
          <w:sz w:val="20"/>
          <w:szCs w:val="20"/>
          <w:color w:val="0000FF"/>
        </w:rPr>
        <w:t>/s/ Aaron I. Davis, Aaron</w:t>
      </w:r>
      <w:r>
        <w:rPr>
          <w:sz w:val="20"/>
          <w:szCs w:val="20"/>
          <w:color w:val="auto"/>
        </w:rPr>
        <w:tab/>
      </w:r>
      <w:r>
        <w:rPr>
          <w:rFonts w:ascii="Arial" w:cs="Arial" w:eastAsia="Arial" w:hAnsi="Arial"/>
          <w:sz w:val="17"/>
          <w:szCs w:val="17"/>
          <w:color w:val="0000FF"/>
        </w:rPr>
        <w:t>08/20/2021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I. Davis, Manager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89408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9408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23427"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2021-08-20T15:37:17Z</dcterms:created>
  <dcterms:modified xsi:type="dcterms:W3CDTF">2021-08-20T15:37:17Z</dcterms:modified>
</cp:coreProperties>
</file>