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7"/>
          <w:szCs w:val="27"/>
          <w:b w:val="1"/>
          <w:bCs w:val="1"/>
          <w:color w:val="auto"/>
        </w:rPr>
        <w:t>Schedule 14A Information</w:t>
      </w:r>
    </w:p>
    <w:p>
      <w:pPr>
        <w:spacing w:after="0" w:line="200" w:lineRule="exact"/>
        <w:rPr>
          <w:sz w:val="24"/>
          <w:szCs w:val="24"/>
          <w:color w:val="auto"/>
        </w:rPr>
      </w:pPr>
    </w:p>
    <w:p>
      <w:pPr>
        <w:spacing w:after="0" w:line="29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00"/>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4"/>
          <w:szCs w:val="24"/>
          <w:color w:val="auto"/>
        </w:rPr>
      </w:pPr>
    </w:p>
    <w:p>
      <w:pPr>
        <w:spacing w:after="0" w:line="184" w:lineRule="exact"/>
        <w:tabs>
          <w:tab w:leader="none" w:pos="280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2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27"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5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2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73"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73"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1036320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1220470</wp:posOffset>
            </wp:positionV>
            <wp:extent cx="1731645"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225" w:lineRule="exact"/>
        <w:rPr>
          <w:sz w:val="20"/>
          <w:szCs w:val="20"/>
          <w:color w:val="auto"/>
        </w:rPr>
      </w:pPr>
    </w:p>
    <w:p>
      <w:pPr>
        <w:jc w:val="both"/>
        <w:ind w:right="60" w:firstLine="576"/>
        <w:spacing w:after="0" w:line="266"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generation of targeted therapies in oncology by addressing the specific genetic alterations that drive cancer. We develop new drugs directed at tumor suppressor gene loss in defined patient populations with high unmet medical need. We made significant progress across our research and clinical development programs in 2024 and early 2025:</w:t>
      </w:r>
    </w:p>
    <w:p>
      <w:pPr>
        <w:spacing w:after="0" w:line="68" w:lineRule="exact"/>
        <w:rPr>
          <w:sz w:val="20"/>
          <w:szCs w:val="20"/>
          <w:color w:val="auto"/>
        </w:rPr>
      </w:pPr>
    </w:p>
    <w:p>
      <w:pPr>
        <w:ind w:left="1020" w:right="1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reported positive early data from the ongoing Phase 1/2 clinical trial of TNG462, our lead PRMT5 inhibitor, demonstrating durable clinical activity across multiple cancer types, with a strong safety and tolerability profile. We have initiated a robust clinical development program for TNG462.</w:t>
      </w:r>
    </w:p>
    <w:p>
      <w:pPr>
        <w:spacing w:after="0" w:line="67"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2024, we also announced data from the Phase 1/2 clinical trial of TNG908, our first brain-penetrant PRMT5 inhibitor. TNG908 demonstrated clinical activity and was well-tolerated in non-CNS solid tumors. However, TNG908 did not meet the pharmacokinetic exposure threshold for clinical efficacy in glioblastoma and, therefore, we decided to discontinue further development in TNG908 to focus our resources on TNG462 and TNG456, our next generation brain-penetrant PRMT5 inhibitor being developed for glioblastoma.</w:t>
      </w:r>
    </w:p>
    <w:p>
      <w:pPr>
        <w:spacing w:after="0" w:line="56"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U.S. Food and Drug Administration, or FDA, cleared the Investigational New Drug, or IND, application for TNG45.</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TNG260, our first-in-class CoREST inhibitor, demonstrated a favorable safety, tolerability, and pharmacokinetic profile in dose escalation, and we have established clinical proof-of-mechanism based on pharmacodynamic data from on-treatment patient biopsies. We are now enrolling lung cancer patients in the dose expansion portion of our Phase 1 study.</w:t>
      </w:r>
    </w:p>
    <w:p>
      <w:pPr>
        <w:spacing w:after="0" w:line="176" w:lineRule="exact"/>
        <w:rPr>
          <w:sz w:val="20"/>
          <w:szCs w:val="20"/>
          <w:color w:val="auto"/>
        </w:rPr>
      </w:pPr>
    </w:p>
    <w:p>
      <w:pPr>
        <w:ind w:right="420" w:firstLine="576"/>
        <w:spacing w:after="0" w:line="266" w:lineRule="auto"/>
        <w:rPr>
          <w:sz w:val="20"/>
          <w:szCs w:val="20"/>
          <w:color w:val="auto"/>
        </w:rPr>
      </w:pPr>
      <w:r>
        <w:rPr>
          <w:rFonts w:ascii="Times New Roman" w:cs="Times New Roman" w:eastAsia="Times New Roman" w:hAnsi="Times New Roman"/>
          <w:sz w:val="18"/>
          <w:szCs w:val="18"/>
          <w:color w:val="auto"/>
        </w:rPr>
        <w:t>The board of directors and I are pleased to invite you to attend the 2025 Annual Meeting of Stockholders, or the Annual Meeting, of Tango Therapeutics, Inc., or Tango, or the Company, to be held virtually on Wednesday, June 5, 2025 at 9:00 a.m. Eastern Time. Stockholders will have the ability to participate in the Annual Meeting, vote their shares and ask questions by accessing the virtual meeting.</w:t>
      </w:r>
    </w:p>
    <w:p>
      <w:pPr>
        <w:spacing w:after="0" w:line="176"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At the Annual Meeting, our stockholders will be asked to: (1) elect one nominee who is named in the Proxy Statement as a Class I Director; (2) ratify the appointment of PricewaterhouseCoopers LLP as our independent registered public accounting firm for the fiscal year ending December 31, 2025;</w:t>
      </w:r>
    </w:p>
    <w:p>
      <w:pPr>
        <w:ind w:right="60" w:firstLine="8"/>
        <w:spacing w:after="0" w:line="25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our amended and restated certificate of incorporation, as amended to date, to increase to the number of shares of authorized common stock from 200,000,000 to 400,000,000; (3) hold a non-binding, advisory vote to approve the compensation of our named executive officers; (4) hold a non-binding, advisory vote on the frequency of further non-binding, advisory votes on the compensation of our named executive officers; and (5) transact any other business that properly comes before the Annual Meeting (including adjournments, continuations and postponements thereof). Our board of directors recommends that you vote “FOR” the election of the director nominee, “FOR” the ratification of the appointment of PricewaterhouseCoopers LLP, “FOR” the amendment to our amended and restated certificate of incorporation, as amended to date, to increase the number of shares of authorized common stock, “FOR” the compensation of our named executive officers and “FOR” the option of once every "one year" as the preferred frequency of future non-binding, advisory votes on the compensation of our named executive officers. You should carefully read our proxy materials, which contain detailed information concerning each of these proposals.</w:t>
      </w:r>
    </w:p>
    <w:p>
      <w:pPr>
        <w:spacing w:after="0" w:line="193" w:lineRule="exact"/>
        <w:rPr>
          <w:sz w:val="20"/>
          <w:szCs w:val="20"/>
          <w:color w:val="auto"/>
        </w:rPr>
      </w:pPr>
    </w:p>
    <w:p>
      <w:pPr>
        <w:ind w:right="720" w:firstLine="576"/>
        <w:spacing w:after="0" w:line="282" w:lineRule="auto"/>
        <w:rPr>
          <w:sz w:val="20"/>
          <w:szCs w:val="20"/>
          <w:color w:val="auto"/>
        </w:rPr>
      </w:pPr>
      <w:r>
        <w:rPr>
          <w:rFonts w:ascii="Times New Roman" w:cs="Times New Roman" w:eastAsia="Times New Roman" w:hAnsi="Times New Roman"/>
          <w:sz w:val="18"/>
          <w:szCs w:val="18"/>
          <w:color w:val="auto"/>
        </w:rPr>
        <w:t>Under the Securities and Exchange Commission rules, the Company is providing access to the proxy materials for the Annual Meeting to stockholders via the Internet. Accordingly, you can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vote at www.proxyvote.com. Instructions for accessing the proxy materials and voting are described below and in the Notice of Internet Availability of Proxy Materials that you received in the mail (unless you have previously requested a paper copy of our proxy materials). The Notice of Internet Availability of Proxy Materials also contains instructions on how to request a paper copy of our proxy materials and our Annual Report on Form 10-K for the year ended December 31, 2024. This process allows us to provide our stockholders with the information they need on a more timely basis, while reducing the environmental impact and lowering the costs of printing and distributing our proxy materials.</w:t>
      </w:r>
    </w:p>
    <w:p>
      <w:pPr>
        <w:spacing w:after="0" w:line="183"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Your vote is very important. Whether or not you plan to virtually attend the meeting, please carefully review the proxy materials and then cast your vote. If you are a stockholder of record and have received our Notice of Internet Availability of Proxy Materials, then instructions regarding how you can vote are contained in that notice. If you requested to receive a printed set of the proxy materials, please vote by completing, signing, dating and mailing the accompanying proxy card in the return envelope or voting by telephone or the Internet, in accordance with the instructions set forth on the proxy card. Submitting your vote via the Internet or by telephone or proxy card will not affect your right to attend and to vote at the Annual Meeting if you decide to virtually attend the Annual Meeting. If your shares are held in street name (held for your account by a broker or 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our board of directors, team members, and patients, thank you for your ongoing support of, and continued interest in, Tango.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165860"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Weber,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920750</wp:posOffset>
            </wp:positionV>
            <wp:extent cx="1722755" cy="69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227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Tango Therapeutics,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 Brookline Avenue, Suite 901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Boston, MA 02215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5, 2025</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or Annual Meeting, of Tango Therapeutics, Inc., will be held online on Thursday, June 5, 2025. You may attend the meeting virtually via the Internet, where you will be able to participate in the meeting, vote electronically and submit questions that are germane to the matters under consideration at the Annual Meeting. You will need the 16-digit control number included with the Notice of Internet Availability of Proxy Materials, your proxy card (if you received a printed copy of the proxy materials) or in the instructions that accompanied your proxy materials in order to attend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the following:</w:t>
      </w:r>
    </w:p>
    <w:p>
      <w:pPr>
        <w:spacing w:after="0" w:line="117" w:lineRule="exact"/>
        <w:rPr>
          <w:sz w:val="20"/>
          <w:szCs w:val="20"/>
          <w:color w:val="auto"/>
        </w:rPr>
      </w:pPr>
    </w:p>
    <w:p>
      <w:pPr>
        <w:ind w:left="1300" w:right="20" w:hanging="611"/>
        <w:spacing w:after="0" w:line="282" w:lineRule="auto"/>
        <w:tabs>
          <w:tab w:leader="none" w:pos="10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 Director, Lesley Ann Calhoun, to our board of directors, to serve until the 2028 annual meeting of stockholders and until her successor has been duly elected and qualified, or until her earlier death, resignation or removal;</w:t>
      </w:r>
    </w:p>
    <w:p>
      <w:pPr>
        <w:spacing w:after="0" w:line="53" w:lineRule="exact"/>
        <w:rPr>
          <w:rFonts w:ascii="Times New Roman" w:cs="Times New Roman" w:eastAsia="Times New Roman" w:hAnsi="Times New Roman"/>
          <w:sz w:val="18"/>
          <w:szCs w:val="18"/>
          <w:color w:val="auto"/>
        </w:rPr>
      </w:pPr>
    </w:p>
    <w:p>
      <w:pPr>
        <w:ind w:left="1300" w:right="280" w:hanging="611"/>
        <w:spacing w:after="0" w:line="282" w:lineRule="auto"/>
        <w:tabs>
          <w:tab w:leader="none" w:pos="10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independent registered public accounting firm for the fiscal year ending December 31, 2025;</w:t>
      </w:r>
    </w:p>
    <w:p>
      <w:pPr>
        <w:spacing w:after="0" w:line="53" w:lineRule="exact"/>
        <w:rPr>
          <w:rFonts w:ascii="Times New Roman" w:cs="Times New Roman" w:eastAsia="Times New Roman" w:hAnsi="Times New Roman"/>
          <w:sz w:val="18"/>
          <w:szCs w:val="18"/>
          <w:color w:val="auto"/>
        </w:rPr>
      </w:pPr>
    </w:p>
    <w:p>
      <w:pPr>
        <w:ind w:left="1300" w:right="100" w:hanging="611"/>
        <w:spacing w:after="0" w:line="282" w:lineRule="auto"/>
        <w:tabs>
          <w:tab w:leader="none" w:pos="10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Second Amended and Restated Certificate of Incorporation, as amended to date, to increase the number of authorized shares of common stock from 200,000,000 to 400,000,000;</w:t>
      </w:r>
    </w:p>
    <w:p>
      <w:pPr>
        <w:spacing w:after="0" w:line="53"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basis, on the frequency of future non-binding, advisory votes on executive compensation; and</w:t>
      </w:r>
    </w:p>
    <w:p>
      <w:pPr>
        <w:spacing w:after="0" w:line="117"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will begin promptly at 9:00 a.m. Eastern Time. Only stockholders of record at the close of business on April 8, 2025 will be entitled to vote at the Annual Meeting and any adjournment or postponement thereof.</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pleased to adhere to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2024, or 2024 Annual Report. We plan to mail the Notice on or about April 21, 2025, and it contains instructions on how to access both the 2024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in this Notice.</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be virtually admitted to the Annual Meeting and vote your shares, you must provide the 16-digit control number as provided in the Notice, your proxy card (if you received a printed copy of the proxy materials) or in the instructions that accompanied your proxy materials. Please see the “General Information Regarding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of the proxy statement that accompanies this notice for more details regarding the logistics of the virtual Annual Meeting, including the ability of stockholders to submit questions that are germane to the topics under consideration at the Annual Meeting during the Annual Meeting, and technical details and support related to accessing the virtual platform.</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Annual Meeting virtually, it is important that your shares be represented. To ensure that your vote is recorded promptly, please vote as soon as possible, even if you plan to attend the meeting, by submitting your proxy via the Internet at the address listed on the proxy card, via the telephone number listed on the proxy card or by signing, dating and returning the proxy card. Even if you have voted by proxy, you may still vote at the Annual Meeting. Please note, however, that if your shares are held through a broker, bank or other nominee and you wish to vote at the Annual Meeting, you must obtain a proxy issued in your name from that record holder.</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088390"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839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Douglas Barry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Legal Officer, Chief Compliance Officer and Corporate Secretary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1467485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tcBorders>
              <w:bottom w:val="single" w:sz="8" w:color="0000FF"/>
            </w:tcBorders>
            <w:gridSpan w:val="7"/>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Proxy Statement Summary</w:t>
            </w:r>
          </w:p>
        </w:tc>
        <w:tc>
          <w:tcPr>
            <w:tcW w:w="20" w:type="dxa"/>
            <w:vAlign w:val="bottom"/>
            <w:tcBorders>
              <w:bottom w:val="single" w:sz="8" w:color="0000EE"/>
            </w:tcBorders>
          </w:tcPr>
          <w:p>
            <w:pPr>
              <w:spacing w:after="0"/>
              <w:rPr>
                <w:sz w:val="16"/>
                <w:szCs w:val="16"/>
                <w:color w:val="auto"/>
              </w:rPr>
            </w:pPr>
          </w:p>
        </w:tc>
        <w:tc>
          <w:tcPr>
            <w:tcW w:w="8800" w:type="dxa"/>
            <w:vAlign w:val="bottom"/>
            <w:gridSpan w:val="18"/>
          </w:tcPr>
          <w:p>
            <w:pPr>
              <w:spacing w:after="0"/>
              <w:rPr>
                <w:sz w:val="16"/>
                <w:szCs w:val="16"/>
                <w:color w:val="auto"/>
              </w:rPr>
            </w:pPr>
          </w:p>
        </w:tc>
        <w:tc>
          <w:tcPr>
            <w:tcW w:w="46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General Information Regarding the Meeting</w:t>
            </w:r>
          </w:p>
        </w:tc>
        <w:tc>
          <w:tcPr>
            <w:tcW w:w="7580" w:type="dxa"/>
            <w:vAlign w:val="bottom"/>
            <w:gridSpan w:val="13"/>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Overview of Proposals</w:t>
            </w:r>
          </w:p>
        </w:tc>
        <w:tc>
          <w:tcPr>
            <w:tcW w:w="20" w:type="dxa"/>
            <w:vAlign w:val="bottom"/>
            <w:tcBorders>
              <w:bottom w:val="single" w:sz="8" w:color="0000EE"/>
            </w:tcBorders>
          </w:tcPr>
          <w:p>
            <w:pPr>
              <w:spacing w:after="0"/>
              <w:rPr>
                <w:sz w:val="17"/>
                <w:szCs w:val="17"/>
                <w:color w:val="auto"/>
              </w:rPr>
            </w:pPr>
          </w:p>
        </w:tc>
        <w:tc>
          <w:tcPr>
            <w:tcW w:w="9080" w:type="dxa"/>
            <w:vAlign w:val="bottom"/>
            <w:gridSpan w:val="20"/>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Proposal No. 1 – Election of Class I Director</w:t>
            </w:r>
          </w:p>
        </w:tc>
        <w:tc>
          <w:tcPr>
            <w:tcW w:w="20" w:type="dxa"/>
            <w:vAlign w:val="bottom"/>
            <w:tcBorders>
              <w:bottom w:val="single" w:sz="8" w:color="0000EE"/>
            </w:tcBorders>
          </w:tcPr>
          <w:p>
            <w:pPr>
              <w:spacing w:after="0"/>
              <w:rPr>
                <w:sz w:val="17"/>
                <w:szCs w:val="17"/>
                <w:color w:val="auto"/>
              </w:rPr>
            </w:pPr>
          </w:p>
        </w:tc>
        <w:tc>
          <w:tcPr>
            <w:tcW w:w="7500" w:type="dxa"/>
            <w:vAlign w:val="bottom"/>
            <w:gridSpan w:val="11"/>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General Information About the Board of Directors</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66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Corporate Governance</w:t>
            </w:r>
          </w:p>
        </w:tc>
        <w:tc>
          <w:tcPr>
            <w:tcW w:w="20" w:type="dxa"/>
            <w:vAlign w:val="bottom"/>
            <w:tcBorders>
              <w:top w:val="single" w:sz="8" w:color="0000FF"/>
              <w:bottom w:val="single" w:sz="8" w:color="0000EE"/>
            </w:tcBorders>
          </w:tcPr>
          <w:p>
            <w:pPr>
              <w:spacing w:after="0"/>
              <w:rPr>
                <w:sz w:val="17"/>
                <w:szCs w:val="17"/>
                <w:color w:val="auto"/>
              </w:rPr>
            </w:pPr>
          </w:p>
        </w:tc>
        <w:tc>
          <w:tcPr>
            <w:tcW w:w="1960" w:type="dxa"/>
            <w:vAlign w:val="bottom"/>
            <w:tcBorders>
              <w:top w:val="single" w:sz="8" w:color="0000FF"/>
            </w:tcBorders>
            <w:gridSpan w:val="11"/>
          </w:tcPr>
          <w:p>
            <w:pPr>
              <w:spacing w:after="0"/>
              <w:rPr>
                <w:sz w:val="17"/>
                <w:szCs w:val="17"/>
                <w:color w:val="auto"/>
              </w:rPr>
            </w:pPr>
          </w:p>
        </w:tc>
        <w:tc>
          <w:tcPr>
            <w:tcW w:w="7140" w:type="dxa"/>
            <w:vAlign w:val="bottom"/>
            <w:gridSpan w:val="10"/>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General Information About the Executive Officers</w:t>
            </w:r>
          </w:p>
        </w:tc>
        <w:tc>
          <w:tcPr>
            <w:tcW w:w="7120" w:type="dxa"/>
            <w:vAlign w:val="bottom"/>
            <w:gridSpan w:val="9"/>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7880" w:type="dxa"/>
            <w:vAlign w:val="bottom"/>
            <w:gridSpan w:val="15"/>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Non-Employee Director Compensation</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80" w:type="dxa"/>
            <w:vAlign w:val="bottom"/>
            <w:tcBorders>
              <w:left w:val="single" w:sz="8" w:color="0000EE"/>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Report of the Compensation Committee</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80" w:type="dxa"/>
            <w:vAlign w:val="bottom"/>
            <w:tcBorders>
              <w:left w:val="single" w:sz="8" w:color="0000EE"/>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tcBorders>
              <w:bottom w:val="single" w:sz="8" w:color="0000FF"/>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Proposal No. 2 – Ratification of the Appointment of the Independent Registered Public Accounting Firm</w:t>
            </w:r>
          </w:p>
        </w:tc>
        <w:tc>
          <w:tcPr>
            <w:tcW w:w="3200" w:type="dxa"/>
            <w:vAlign w:val="bottom"/>
            <w:gridSpan w:val="5"/>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7880" w:type="dxa"/>
            <w:vAlign w:val="bottom"/>
            <w:gridSpan w:val="15"/>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680" w:type="dxa"/>
            <w:vAlign w:val="bottom"/>
            <w:tcBorders>
              <w:left w:val="single" w:sz="8" w:color="0000EE"/>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6"/>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No. 3 - Vote to Amend the Second Amended and Restated Certificate of Incorporation to increase the Number of Authorized Shares of</w:t>
            </w:r>
          </w:p>
        </w:tc>
        <w:tc>
          <w:tcPr>
            <w:tcW w:w="3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Common Stock</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80" w:type="dxa"/>
            <w:vAlign w:val="bottom"/>
            <w:tcBorders>
              <w:left w:val="single" w:sz="8" w:color="0000EE"/>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No. 4 - Non-Binding Advisory Vote To Approve Named Executive Officer Compensation</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80" w:type="dxa"/>
            <w:vAlign w:val="bottom"/>
            <w:tcBorders>
              <w:left w:val="single" w:sz="8" w:color="0000FF"/>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No. 5 - Non-Binding, Advisory Vote On The Preferred Frequency Of Future Advisory Votes On Named Executive Officers Compensation</w:t>
            </w: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962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40" w:type="dxa"/>
            <w:vAlign w:val="bottom"/>
          </w:tcPr>
          <w:p>
            <w:pPr>
              <w:spacing w:after="0"/>
              <w:rPr>
                <w:sz w:val="17"/>
                <w:szCs w:val="17"/>
                <w:color w:val="auto"/>
              </w:rPr>
            </w:pPr>
          </w:p>
        </w:tc>
        <w:tc>
          <w:tcPr>
            <w:tcW w:w="1040" w:type="dxa"/>
            <w:vAlign w:val="bottom"/>
            <w:tcBorders>
              <w:top w:val="single" w:sz="8" w:color="0000FF"/>
            </w:tcBorders>
            <w:gridSpan w:val="2"/>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FF"/>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5880" w:type="dxa"/>
            <w:vAlign w:val="bottom"/>
            <w:gridSpan w:val="7"/>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Additional Information and Other Business</w:t>
            </w:r>
          </w:p>
        </w:tc>
        <w:tc>
          <w:tcPr>
            <w:tcW w:w="720" w:type="dxa"/>
            <w:vAlign w:val="bottom"/>
            <w:tcBorders>
              <w:top w:val="single" w:sz="8" w:color="0000FF"/>
            </w:tcBorders>
            <w:gridSpan w:val="6"/>
          </w:tcPr>
          <w:p>
            <w:pPr>
              <w:spacing w:after="0"/>
              <w:rPr>
                <w:sz w:val="17"/>
                <w:szCs w:val="17"/>
                <w:color w:val="auto"/>
              </w:rPr>
            </w:pPr>
          </w:p>
        </w:tc>
        <w:tc>
          <w:tcPr>
            <w:tcW w:w="6920" w:type="dxa"/>
            <w:vAlign w:val="bottom"/>
            <w:gridSpan w:val="8"/>
          </w:tcPr>
          <w:p>
            <w:pPr>
              <w:spacing w:after="0"/>
              <w:rPr>
                <w:sz w:val="17"/>
                <w:szCs w:val="17"/>
                <w:color w:val="auto"/>
              </w:rPr>
            </w:pPr>
          </w:p>
        </w:tc>
        <w:tc>
          <w:tcPr>
            <w:tcW w:w="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078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Annex A</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2"/>
        </w:trPr>
        <w:tc>
          <w:tcPr>
            <w:tcW w:w="68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654685</wp:posOffset>
            </wp:positionV>
            <wp:extent cx="1748790"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487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PROXY STATEMENT SUMMARY</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5, 2025</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proxy statement contains information about the 2025 Annual Meeting of Stockholders, or the Annual Meeting, of Tango Therapeutics, Inc., which will be held online on June 5, 2025 at 9:00 a.m. Eastern Time. You may attend the Annual Meeting virtually via the Internet at www.virtualshareholdermeeting.com/TNGX2025, where you will be able to vote electronically and submit questions germane to the matters under consideration at the Annual Meeting. The board of directors of Tango Therapeutics, Inc. is using this proxy statement to solicit proxies for use at the Annual Meeting. In this proxy statement, the terms “Tango,” the “Company,” “we,” “us,” and “our” refer to Tango Therapeutics, Inc. The mailing address of our principal executive office is: 201 Brookline Avenue, Suite 901, Boston, Massachusetts, 02215.</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a proxy is signed and/or returned without instructions,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by mailing a duly executed proxy bearing a later date, re-voting by phone or the Internet prior to the date and time identified in this proxy statement or by voting in person at the Annual Meeting. We are mailing to our stockholders a Notice of Internet Availability of proxy materials, or the Notice, and our 2024 Annual Report on or about April 21, 2025.</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5, 2025:</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This proxy statement and our 2024 Annual Report on Form 10-K are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available for viewing, printing and downloading at www.proxyvote.com.</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our 2024 Annual Report on Form 10-K, as filed with the Securities Exchange Commission, or SEC, except for exhibits, will be furnished without charge to any stockholder upon written request or oral request to Tango Therapeutics, Inc., 201 Brookline Avenue, Suite 901, Boston, Massachusetts, 02215, (857) 320-4900, Attention: Corporate Secretary. This proxy statement and our 2024 Annual Report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ind w:left="3240"/>
        <w:spacing w:after="0"/>
        <w:rPr>
          <w:sz w:val="20"/>
          <w:szCs w:val="20"/>
          <w:color w:val="auto"/>
        </w:rPr>
      </w:pPr>
      <w:r>
        <w:rPr>
          <w:rFonts w:ascii="Times New Roman" w:cs="Times New Roman" w:eastAsia="Times New Roman" w:hAnsi="Times New Roman"/>
          <w:sz w:val="18"/>
          <w:szCs w:val="18"/>
          <w:b w:val="1"/>
          <w:bCs w:val="1"/>
          <w:color w:val="auto"/>
        </w:rPr>
        <w:t>GENERAL INFORMATION REGARDING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Tango holding a virtual Annual Meeting?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year’s Annual Meeting will be a “virtual meeting” of stockholders. We believe that the virtual meeting format facilitates greater stockholder attendance and participation at our Annual Meeting by allowing all stockholders to participate equally through the Internet, free of cost. Stockholders will, to the extent possible, be afforded rights and opportunities to participate at the virtual meeting similar to those they would have at an in-person meeting. We have designed our virtual format to enhance, rather than constrain, stockholder access, participation and communication.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virtually attend the Annual Meeting?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attend and participate in the Annual Meeting, stockholders will need to access the live webcast of the meeting. To do so, stockholders will need to visit www.virtualshareholdermeeting.com/TNGX2025 and enter the 16-digit control number provided in the Notice of Internet Availability of the Proxy Materials, or the Notice, the proxy card (if the stockholder received a printed copy of the proxy materials) or in the instructions that accompanied the stockholders' proxy materials. Beneficial owners of shares held in "street name" (as described below) will need to follow the instructions provided in the voting instructions form by their broker, bank or other nominee that holds their shares.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the day of the Annual Meeting, stockholders may log-in to the online virtual annual meeting platform beginning at 8:45 a.m. Eastern Time, and the meeting will begin promptly at 9:00 a.m. Eastern Time. Please allow ample time for on-line login so that you may participate in the entire Annual Meeting.</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Questions related to substantive matters of business under consideration at the Annual Meeting may be asked during the Annual Meeting by logging on to the virtual meeting platform. If you wish to submit a question during the Annual Meeting, you may do so on the virtual meeting platform www.virtualshareholdermeeting.com/TNGX2025. Our Annual Meeting will be governed by the Annual Meeting’s Rules of Conduct and Procedures, which will address the ability of stockholders to ask questions during the meeting and rules for how questions will be recognized and addressed. The Annual Meeting’s Rules of Conduct and Procedures will be available on the virtual meeting platform during the course of the Annual Meeting. Any questions or comments that are unrelated to the business of the Annual Meeting will not be addressed at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will have technicians ready to assist you with any technical difficulties you may have accessing the virtual meeting or submitting questions. If you encounter any difficulties accessing the virtual meeting or submitting a question, a technical support number will be posted on the virtual meeting platform (www.virtualshareholdermeeting.com/TNGX2025), which may be accessed beginning 15 minutes prior to the scheduled start time of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mailing to our stockholders a Notice instead of a paper copy of the accompanying proxy statement and our 2024 Annual Report on or about April 21, 2025,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 including at any adjournments or postponements of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8, 2025. Only stockholders of record at the close of business on April 8, 2025 are entitled to notice of and to vote at the Annual Meeting and any adjournment or postponement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auto"/>
        </w:rPr>
        <w:t>There were 108,107,890 shares of our voting common stock, par value $0.001 per share, outstanding on April 8, 2025,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authorized shares of preferred stock were outstanding as of April 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If your shares are held in "street name", you will receive instructions from your bank, broker or other nominee explaining how to vote your shares, and you will have the option to cast your vote by telephone or over the Internet if your voting instruction form from your bank, broker or nominee includes instructions and a toll-free telephone number or Internet website to do so. Note that if your shares are held in "street name," you should also be receiving a voting instruction form for you to use from your broker. Throughout this proxy statement, we refer to stockholders who hold their shares through a bank, broker, bank or other nominee as “street name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are being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matters are being voted on at the Annual Meeting:</w:t>
      </w:r>
    </w:p>
    <w:p>
      <w:pPr>
        <w:spacing w:after="0" w:line="225" w:lineRule="exact"/>
        <w:rPr>
          <w:sz w:val="20"/>
          <w:szCs w:val="20"/>
          <w:color w:val="auto"/>
        </w:rPr>
      </w:pPr>
    </w:p>
    <w:p>
      <w:pPr>
        <w:ind w:left="760" w:right="40" w:hanging="3"/>
        <w:spacing w:after="0" w:line="282" w:lineRule="auto"/>
        <w:tabs>
          <w:tab w:leader="none" w:pos="10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one director, Lesley Ann Calhoun, as a Class I Director of the board of directors, to serve until the 2028 annual meeting of stockholders and until her successor has been duly elected and qualified.</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Tango's independent registered public accounting firm for 2025.</w:t>
      </w:r>
    </w:p>
    <w:p>
      <w:pPr>
        <w:spacing w:after="0" w:line="225" w:lineRule="exact"/>
        <w:rPr>
          <w:rFonts w:ascii="Times New Roman" w:cs="Times New Roman" w:eastAsia="Times New Roman" w:hAnsi="Times New Roman"/>
          <w:sz w:val="18"/>
          <w:szCs w:val="18"/>
          <w:color w:val="auto"/>
        </w:rPr>
      </w:pPr>
    </w:p>
    <w:p>
      <w:pPr>
        <w:ind w:left="760" w:right="340" w:hanging="3"/>
        <w:spacing w:after="0" w:line="282" w:lineRule="auto"/>
        <w:tabs>
          <w:tab w:leader="none" w:pos="10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our Second Amended and Restated Certificate of Incorporation, as amended to date, to increase the number of authorized shares of common stock from 200,000,000 to 400,000,000;</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to approve the compensation of our named executive officers; and</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on the frequency of future non-binding, advisory votes on executive compensation.</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do not know of any other matters that may come before the Annual Meeting. If any other matters are properly presented at the Annual Meeting, your form of proxy authorizes the individuals named as proxies to vote, or otherwise act,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13" w:lineRule="exact"/>
        <w:rPr>
          <w:sz w:val="20"/>
          <w:szCs w:val="20"/>
          <w:color w:val="auto"/>
        </w:rPr>
      </w:pPr>
    </w:p>
    <w:p>
      <w:pPr>
        <w:ind w:left="660" w:right="100" w:hanging="652"/>
        <w:spacing w:after="0" w:line="286" w:lineRule="auto"/>
        <w:tabs>
          <w:tab w:leader="none" w:pos="3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 www.proxyvote.com, 24 hours a day, seven days a week. You will need the control number included on your Notice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card in order to vote by Internet.</w:t>
      </w:r>
    </w:p>
    <w:p>
      <w:pPr>
        <w:spacing w:after="0" w:line="46" w:lineRule="exact"/>
        <w:rPr>
          <w:rFonts w:ascii="Times New Roman" w:cs="Times New Roman" w:eastAsia="Times New Roman" w:hAnsi="Times New Roman"/>
          <w:sz w:val="18"/>
          <w:szCs w:val="18"/>
          <w:color w:val="auto"/>
        </w:rPr>
      </w:pPr>
    </w:p>
    <w:p>
      <w:pPr>
        <w:ind w:left="660" w:right="120" w:hanging="652"/>
        <w:spacing w:after="0" w:line="268" w:lineRule="auto"/>
        <w:tabs>
          <w:tab w:leader="none" w:pos="3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During the Annual Meeting. </w:t>
      </w:r>
      <w:r>
        <w:rPr>
          <w:rFonts w:ascii="Times New Roman" w:cs="Times New Roman" w:eastAsia="Times New Roman" w:hAnsi="Times New Roman"/>
          <w:sz w:val="18"/>
          <w:szCs w:val="18"/>
          <w:color w:val="auto"/>
        </w:rPr>
        <w:t>You may vote in person virtually by attending the Annual Meeting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www.virtualshareholdermeeting.com/TNGX2025. To attend the Annual Meeting virtually and vote your shares, you must register for the Annual Meeting and provide the control number located on your Notice or proxy card.</w:t>
      </w:r>
    </w:p>
    <w:p>
      <w:pPr>
        <w:spacing w:after="0" w:line="62" w:lineRule="exact"/>
        <w:rPr>
          <w:rFonts w:ascii="Times New Roman" w:cs="Times New Roman" w:eastAsia="Times New Roman" w:hAnsi="Times New Roman"/>
          <w:sz w:val="18"/>
          <w:szCs w:val="18"/>
          <w:color w:val="auto"/>
        </w:rPr>
      </w:pPr>
    </w:p>
    <w:p>
      <w:pPr>
        <w:ind w:left="660" w:right="140" w:hanging="652"/>
        <w:spacing w:after="0" w:line="286" w:lineRule="auto"/>
        <w:tabs>
          <w:tab w:leader="none" w:pos="3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You will need the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included on your Notice or proxy card to vote by telephone.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 w:name="page10"/>
    <w:bookmarkEnd w:id="9"/>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may vote by completing and mailing your proxy card.</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our virtual Annual Meeting, we recommend that you vote by proxy in advance of the Annual Meeting date so that your vote will be counted if you later decide not to participate in the Annual Meeting.</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22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or telephone by following the instructions provided in the enclosed proxy card. Proxies submitted by mail must be received by the deadline set forth on the proxy card.</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signed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change or revoke my vote or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over the Internet or via telephone that we receive before the start of the Annual Meeting,</w:t>
      </w:r>
    </w:p>
    <w:p>
      <w:pPr>
        <w:spacing w:after="0" w:line="27" w:lineRule="exact"/>
        <w:rPr>
          <w:sz w:val="20"/>
          <w:szCs w:val="20"/>
          <w:color w:val="auto"/>
        </w:rPr>
      </w:pPr>
    </w:p>
    <w:p>
      <w:pPr>
        <w:ind w:right="40" w:firstLine="8"/>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201 Brookline Avenue, Suite 901, Boston, Massachusetts 02215, Attention: Corporate Secretary. Only your latest vote will be counted at the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shares entitled to vote, present or represented by proxy, will constitute a quorum for the transaction of business at the Annual Meeting.</w:t>
      </w:r>
    </w:p>
    <w:p>
      <w:pPr>
        <w:spacing w:after="0" w:line="16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Under the General Corporation Law of the State of Delaware, shares that are voted “abstain” or “withheld” and broker “non-votes” are counted for purposes of determining whether a quorum is present at the Annual Meeting. If a quorum is not present, the meeting may be adjourned until a quorum is obtained. There were 108,107,890 shares of common stock outstanding and entitled to vote on April 8, 2025, our record date. Therefore, a quorum will be present if 54,053,946 shares of our common stock are present in person or represented by executed proxies timely received by us at the Annual Meeting.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What vote is required for each proposal?</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080" w:type="dxa"/>
            <w:vAlign w:val="bottom"/>
            <w:tcBorders>
              <w:top w:val="single" w:sz="8" w:color="auto"/>
              <w:left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Board's</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Broker Discretionary</w:t>
            </w:r>
          </w:p>
        </w:tc>
        <w:tc>
          <w:tcPr>
            <w:tcW w:w="2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Votes Withheld,</w:t>
            </w:r>
          </w:p>
        </w:tc>
        <w:tc>
          <w:tcPr>
            <w:tcW w:w="18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Recommendation</w:t>
            </w:r>
          </w:p>
        </w:tc>
        <w:tc>
          <w:tcPr>
            <w:tcW w:w="1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Allowed</w:t>
            </w: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Abstentions and Broker Non-</w:t>
            </w:r>
          </w:p>
        </w:tc>
        <w:tc>
          <w:tcPr>
            <w:tcW w:w="1880" w:type="dxa"/>
            <w:vAlign w:val="bottom"/>
            <w:tcBorders>
              <w:right w:val="single" w:sz="8" w:color="auto"/>
            </w:tcBorders>
          </w:tcPr>
          <w:p>
            <w:pPr>
              <w:spacing w:after="0"/>
              <w:rPr>
                <w:sz w:val="18"/>
                <w:szCs w:val="18"/>
                <w:color w:val="auto"/>
              </w:rPr>
            </w:pPr>
          </w:p>
        </w:tc>
      </w:tr>
      <w:tr>
        <w:trPr>
          <w:trHeight w:val="255"/>
        </w:trPr>
        <w:tc>
          <w:tcPr>
            <w:tcW w:w="1080" w:type="dxa"/>
            <w:vAlign w:val="bottom"/>
            <w:tcBorders>
              <w:left w:val="single" w:sz="8" w:color="auto"/>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Votes</w:t>
            </w:r>
          </w:p>
        </w:tc>
        <w:tc>
          <w:tcPr>
            <w:tcW w:w="1880" w:type="dxa"/>
            <w:vAlign w:val="bottom"/>
            <w:tcBorders>
              <w:bottom w:val="single" w:sz="8" w:color="auto"/>
              <w:right w:val="single" w:sz="8" w:color="auto"/>
            </w:tcBorders>
          </w:tcPr>
          <w:p>
            <w:pPr>
              <w:spacing w:after="0"/>
              <w:rPr>
                <w:sz w:val="22"/>
                <w:szCs w:val="22"/>
                <w:color w:val="auto"/>
              </w:rPr>
            </w:pPr>
          </w:p>
        </w:tc>
      </w:tr>
      <w:tr>
        <w:trPr>
          <w:trHeight w:val="174"/>
        </w:trPr>
        <w:tc>
          <w:tcPr>
            <w:tcW w:w="1080" w:type="dxa"/>
            <w:vAlign w:val="bottom"/>
            <w:tcBorders>
              <w:left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8"/>
                <w:szCs w:val="18"/>
                <w:color w:val="auto"/>
              </w:rPr>
              <w:t>Proposal 1</w:t>
            </w:r>
          </w:p>
        </w:tc>
        <w:tc>
          <w:tcPr>
            <w:tcW w:w="21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Election of Class I Director</w:t>
            </w:r>
          </w:p>
        </w:tc>
        <w:tc>
          <w:tcPr>
            <w:tcW w:w="196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FOR Class I Director</w:t>
            </w:r>
          </w:p>
        </w:tc>
        <w:tc>
          <w:tcPr>
            <w:tcW w:w="16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Votes withheld and broker non-</w:t>
            </w:r>
          </w:p>
        </w:tc>
        <w:tc>
          <w:tcPr>
            <w:tcW w:w="188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Plurality of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Nominee (Lesley Ann</w:t>
            </w: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votes, if any, will have no effect</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Calhoun)</w:t>
            </w: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the outcome of the proposal</w:t>
            </w: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2</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Ratification of</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Yes</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Majority of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PricewaterhouseCoopers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any, will have no effect on the</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LLP as independent auditors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outcome of the proposal</w:t>
            </w: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2025</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3</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Approval of amendment to</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Majority of the</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Second Amended and</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 be counted as votes against</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shares of</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Restated Certificate of</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proposal</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stock entitled to</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Incorporation to increase the</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vote</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authorized shares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common stock</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4</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Approval, on a non-binding,</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Majority of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advisory basis, of the</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any, will have no effect on the</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compensation of our named</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outcome of the proposal</w:t>
            </w: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1"/>
        </w:trPr>
        <w:tc>
          <w:tcPr>
            <w:tcW w:w="10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Proposal 5</w:t>
            </w:r>
          </w:p>
        </w:tc>
        <w:tc>
          <w:tcPr>
            <w:tcW w:w="2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Non-binding, advisory vote</w:t>
            </w:r>
          </w:p>
        </w:tc>
        <w:tc>
          <w:tcPr>
            <w:tcW w:w="1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 Year</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2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non-votes,</w:t>
            </w:r>
          </w:p>
        </w:tc>
        <w:tc>
          <w:tcPr>
            <w:tcW w:w="1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Highest number of</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the frequency of future</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any, will have no effect on the</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affirmative votes</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non-binding, advisory votes</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outcome of the proposal</w:t>
            </w: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properly cast</w:t>
            </w: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the compensation of our</w:t>
            </w: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named executive officers</w:t>
            </w:r>
          </w:p>
        </w:tc>
        <w:tc>
          <w:tcPr>
            <w:tcW w:w="1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our bylaws, or by our Second Amended and Restated Certificate of Incorporation, as amended to date, or charter. As noted above,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Proposal No. 3, Proposal No. 4 and Proposal 5 are “non-discretionary” items. If you do not instruct your broker how to vote with respect to these proposals, your broker may not vote for these proposals, and those votes will be counted as broker “non-votes.” Proposal No. 2 is considered to be a discretionary item, and your brokerage firm will be able to vote on this proposal even if it does not receive instructions from you.</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be approved, the proposal for the amendment to our charter must receive an affirmative vote by the majority of the outstanding shares of capital stock entitled to vote on the matter. Abstentions will be counted as votes AGAINST Proposal 3. Proposal 3 is a non-discretionary matter. Therefore, if your shares are held by your bank, broker or other nominee in street name and you do not vote your shares, your bank, broker or other nominee cannot vote your shares on Proposal 3. Broker non-votes will be counted as votes AGAINST Proposal 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To be elected, the director nominated via Proposal No. 1 must receive a plurality of the votes properly cast and entitled to vote on the proposal, meaning that the director nominee receiving the most votes will be elected (even if it is less than a majority of the votes cast). You may vote for the director nominee or withhold authority to vote your shares. Shares voting “withheld” have no effect on the election of the director. Broker non-votes will have no effect on the election of the nominee for Class I Director.</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non-binding, advisory vote to approve the compensation of our named executive officers, or the say-on-pay vote, is a “non-routine” matter. If you do not instruct your broker how to vote with respect to this proposal, your broker may not vote for this proposal, and those votes will be counted as broker “non-votes.” For this proposal, a majority of the votes properly cast thereon is required to approve on a non-binding, advisory basis, the compensation of the Company’s named executive officers. Abstentions and broker non-votes, if any, will have no effect on the outcome of the vote on this proposal. Because this vote is advisory and not binding on us, our board of directors or our compensation committee in any way, our board of directors and compensation committee may decide that it is in our and our stockholders’ best interests to compensate our named executive officers in an amount or manner that differs from what is approved by our stockholders, but our board of directors and compensation committee will take into account the outcome of the vote when considering future executive compensation matters.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non-binding, advisory vote on the frequency of future non-binding, advisory votes on the compensation of our named executive officers, or the say-on-frequency vote, is a “non-routine” matter. If you do not instruct your broker how to vote with respect to this proposal, your broker may not vote for this proposal, and those votes will be counted as broker “non-votes.” For this proposal, stockholders will not be voting to approve or disapprove of the recommendation of our board of directors on the preferred frequency of future non-binding, advisory votes on the compensation of our named executive officers. The proxy card provides stockholders with the opportunity to choose among four options with respect to this proposal (holding the vote every one, two, or three years, or abstaining). The option that receives the highest number of affirmative votes properly cast will be deemed to be the frequency preferred by our stockholders. Abstentions and broker non-votes, if any, will have no effect on the outcome of the vote on this proposal. The vote required, and the method of calculation, for each proposal at the Annual Meeting is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was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5, 2026 and no later than March 7, 2026. See the section titled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2026 must also satisfy the requirements of SEC Rule 14a-8 under the Exchange Act, and be received not later than December 22, 2025. In addition, to comply with the SEC’s universal proxy rules, stockholders who intend to solicit proxies in support of director nominees other than our nominees must provide notice that sets forth the information required by Rule 14a-19 under the Exchange Act.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ind w:right="160"/>
        <w:spacing w:after="0" w:line="282" w:lineRule="auto"/>
        <w:rPr>
          <w:sz w:val="20"/>
          <w:szCs w:val="20"/>
          <w:color w:val="auto"/>
        </w:rPr>
      </w:pPr>
      <w:r>
        <w:rPr>
          <w:rFonts w:ascii="Times New Roman" w:cs="Times New Roman" w:eastAsia="Times New Roman" w:hAnsi="Times New Roman"/>
          <w:sz w:val="18"/>
          <w:szCs w:val="18"/>
          <w:color w:val="auto"/>
        </w:rPr>
        <w:t>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13" w:name="page14"/>
    <w:bookmarkEnd w:id="1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OVERVIEW OF PROPOSALS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contains four proposals requiring stockholder 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 Election of Class I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the election of one Class I Director, Lesley Ann Calhoun,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2 - Ratification of PricewaterhouseCoopers LLP as our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are being asked to vote to ratify the appointment of PricewaterhouseCoopers LLP as our independent registered public accounting firm for the fiscal year ending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3 – Approval of an Amendment to our Second Amended and Restated Certificate of Incorporation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You are being asked to vote to approve an amendment to our Second Amended and Restated Certificate of Incorporation to increase the number of authorized shares of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Proposal No. 4 – Non-binding, advisory vote on the compensation of our 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a non-binding, advisory basis, to approve the compensation of our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5 – Non-binding, advisory vote on the frequency of future advisory votes on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a non-binding, advisory basis, on the frequency of future advisory votes on executive compensation.</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director nominee in Proposal 1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No. 2, Proposal No. 3, and Proposal No. 4. The board of directors unanimously recommends a vote, on a non-binding, advisory basis, for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as the preferred frequency for future non-binding, advisory votes on the compensation of our named executed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proposals listed above is discussed in more detail in the pages that follow.</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08" w:right="5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 – ELECTION OF CLASS I DIRECTOR</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the terms of our charter and bylaws, our board of directors is divided into three classes – Class I, Class II and Class III – with members of each class serving staggered three-year terms.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One director has been nominated for election at the Annual Meeting to serve until the 2028 annual meeting of stockholders and until her successor has been duly elected and qualified. In the event the nominee is unable to serve as a director, the shares represented by the proxy will be voted for such other candidate, if any, who is nominated by the board of directors to replace the nominee. The nominee has consented to be named in the proxy statement and has indicated her intent to serve if elected. The board of directors has no reason to believe that the nominee will be unable to serve. Pursuant to our bylaws, directors are elected by plurality vote in uncontested director elections such as this one. The number of candidates for election as Class I Directors at the Annual Meeting is the same as the number of Class I Directors to be elected at the Annual Meeting. Therefore, this is an uncontested election and the director will be elected by the affirmative vote of a plurality of the votes properly cast by the shares present or represented and entitled to vote at the Annual Meeting, in person or by proxy. The nominee for election as director is identified in this proxy statement.</w:t>
      </w:r>
    </w:p>
    <w:p>
      <w:pPr>
        <w:spacing w:after="0" w:line="2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current directors, their respective term on the board of directors, ages and positions as of April 8, 2025. Director service dates in the table below and elsewhere in this proxy statement reflect the periods such director commenced director service with Tango prior to the completion of the Business Combination (as described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50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8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3"/>
                <w:szCs w:val="1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Served as a Director</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I Directors with terms that will expire at the Annual Meeting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Lesley Ann Calhoun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2021</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II Directors with terms that will expire at the 2026 Annual Meeting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Malte Peters, M.D.</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2018</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Mace Rothenberg, M.D.</w:t>
            </w:r>
          </w:p>
        </w:tc>
        <w:tc>
          <w:tcPr>
            <w:tcW w:w="120" w:type="dxa"/>
            <w:vAlign w:val="bottom"/>
            <w:shd w:val="clear" w:color="auto" w:fill="CCEE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C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2021</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Kanishka Pothula</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2023</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III Directors with terms that will expire at the 2027 Annual Meeting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Alexis Borisy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Chairman of the Board</w:t>
            </w:r>
          </w:p>
        </w:tc>
        <w:tc>
          <w:tcPr>
            <w:tcW w:w="14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Ketchum</w:t>
            </w:r>
          </w:p>
        </w:tc>
        <w:tc>
          <w:tcPr>
            <w:tcW w:w="120" w:type="dxa"/>
            <w:vAlign w:val="bottom"/>
            <w:shd w:val="clear" w:color="auto" w:fill="CCEE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C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2023</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4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for Election as Class I Director</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board of directors has nominated Lesley Ann Calhoun for election as a Class I Director to serve for a three-year term ending at the 2028 annual meeting of stockholders and until her successor is elected and qualified. Ms. Calhoun is a current member of our board of directors and has consented to serve if elected.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stockholder has one vote per share. Stockholders do not have the right to vote cumulatively in electing directors.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nominee for Class I Director who receives the most votes (also known as a plurality) will be elected. You may vote either FOR the nominee or WITHHOLD your vote from the nominee. Shares voting “withheld” will have no effect on the election of a director. If your shares are held in “street name” by a broker, bank or other nominee, your broker, bank or other nominee does not have authority to vote your unvoted shares held by the firm for the election of a director. As a result, any shares not voted by you will be treated as a broker non-vote. Such broker non-votes will have no effect on the results of this vote.</w:t>
      </w:r>
    </w:p>
    <w:p>
      <w:pPr>
        <w:spacing w:after="0" w:line="1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 unless a contrary specification is made in the proxy. The nominee has consented to serve as our director if elected. However, if the nominee is unable to serve or for good cause will not serve as a director, the proxies will be voted for the election of such substitute nominee as our board of directors may designate.</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Lesley Ann Calhoun as a Class I Director, to serve for a three-year term ending at the annual meeting of stockholders to be held in 2028.</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 ABOUT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10, 2021, BCTG Acquisition Corp., a Delaware corporation, or BCTG, consummated a business combination, or Business Combination, pursuant to the terms of the Agreement and Plan of Merger, dated as of April 13, 2021, by and among BCTG, BCTG Merger Sub Inc., a Delaware corporation and Tango Therapeutics, Inc. (now known as Tango Therapeutics Sub, Inc., which we refer to as “Tango” in this proxy statement prior to the closing of the Business Combination). Upon the consummation of the Business Combination, our board of directors was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for the Class I Director, at the annual meeting of stockholders to be held during the year 2026 for Class II Directors and at the annual meeting of stockholders to be held during the year 2027 for Class III Directors. Lesley Ann Calhoun currently serves as our Class I Director, Malte Peters, M.D., Mace Rothenberg, M.D. and Kanishka Pothula currently serve as our Class II Directors and Alexis Borisy, John Ketchum and Barbara Weber, M.D. currently serve as our Class III Directors.</w:t>
      </w:r>
    </w:p>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the number of directors shall be fixed solely and exclusively by a resolution adopted from time to time by our board of directors.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 Nominee for Election for a Three-Year Term Ending at the 2028 Annual Meeting</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Lesley Ann Calhoun </w:t>
      </w:r>
      <w:r>
        <w:rPr>
          <w:rFonts w:ascii="Times New Roman" w:cs="Times New Roman" w:eastAsia="Times New Roman" w:hAnsi="Times New Roman"/>
          <w:sz w:val="18"/>
          <w:szCs w:val="18"/>
          <w:color w:val="auto"/>
        </w:rPr>
        <w:t>has served as a member of our board of directors since March 2021. Since June 2020, Ms. Calhoun has served as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Financial Officer at Aligos Therapeutics, Inc., (NASDAQ: ALGS), or Aligos, a clinical stage biopharmaceutical company; in January 2025, she was also appointed Chief Operating Officer at Aligos. From August 2016 to June 2020, Ms. Calhoun served as Senior Vice President of Finance</w:t>
      </w:r>
    </w:p>
    <w:p>
      <w:pPr>
        <w:spacing w:after="0" w:line="1" w:lineRule="exact"/>
        <w:rPr>
          <w:sz w:val="20"/>
          <w:szCs w:val="20"/>
          <w:color w:val="auto"/>
        </w:rPr>
      </w:pPr>
    </w:p>
    <w:p>
      <w:pPr>
        <w:ind w:right="80" w:firstLine="8"/>
        <w:spacing w:after="0" w:line="251" w:lineRule="auto"/>
        <w:tabs>
          <w:tab w:leader="none" w:pos="1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and Chief Accounting Officer at Global Blood Therapeutics, Inc. (NASDAQ: GBT). From January 2013 to September 2015, Ms. Calhoun served as Vice President of Finance at Hyperion Therapeutics, Inc., a commercial pharmaceutical company that was acquired by Horizon Pharma plc, a biopharmaceutical company, in May 2015. Ms. Calhoun served as Senior Director of Finance and Corporate Controller at Theravance, Inc. (NASDAQ: TBPH),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companies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2026 Annual Meeting</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Malte Peters, M.D.</w:t>
      </w:r>
      <w:r>
        <w:rPr>
          <w:rFonts w:ascii="Times New Roman" w:cs="Times New Roman" w:eastAsia="Times New Roman" w:hAnsi="Times New Roman"/>
          <w:sz w:val="18"/>
          <w:szCs w:val="18"/>
          <w:color w:val="auto"/>
        </w:rPr>
        <w:t>, has served on our board of directors since September 2018. Dr. Peters has been Chief Executive Officer of HOOKIPA Pharma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HOOK), or HOOKIPA, a clinical stage biopharmaceutical company, since July 2024. In December 2022, Dr. Peters joined the board of directors of HOOKIPA, where he also served as an interim Senior Clinical Advisor from November 2023 to July 2024. From March 2020 to December 2022, Dr. Peters served as Chief Research and 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Peters’s extensive knowledge of the biotechnology industry makes him qualified to serve on our board of directors.</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Mace Rothenberg, M.D., </w:t>
      </w:r>
      <w:r>
        <w:rPr>
          <w:rFonts w:ascii="Times New Roman" w:cs="Times New Roman" w:eastAsia="Times New Roman" w:hAnsi="Times New Roman"/>
          <w:sz w:val="18"/>
          <w:szCs w:val="18"/>
          <w:color w:val="auto"/>
        </w:rPr>
        <w:t>has served on our board of directors since March 2021. Dr. Rothenberg currently serves as the President and Executive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Museum of Medicine and Biomedical Discovery, a position he has held since September 2022. Dr. Rothenberg was previously at Pfizer, Inc., a pharmaceutical company, where he served as Chief Medical Officer and Head of Worldwide Medical and Safety from 2019 to 2021, Chief Development Officer for Oncology from 2016 to 2018, and Senior Vice President for Clinical</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6" w:name="page17"/>
    <w:bookmarkEnd w:id="16"/>
    <w:p>
      <w:pPr>
        <w:ind w:right="40"/>
        <w:spacing w:after="0" w:line="254" w:lineRule="auto"/>
        <w:rPr>
          <w:sz w:val="20"/>
          <w:szCs w:val="20"/>
          <w:color w:val="auto"/>
        </w:rPr>
      </w:pPr>
      <w:r>
        <w:rPr>
          <w:rFonts w:ascii="Times New Roman" w:cs="Times New Roman" w:eastAsia="Times New Roman" w:hAnsi="Times New Roman"/>
          <w:sz w:val="18"/>
          <w:szCs w:val="18"/>
          <w:color w:val="auto"/>
        </w:rPr>
        <w:t>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has been a member of the board of directors of Surrozen, Inc. (NASDAQ: SRZN), a biotechnology company discovering and developing drug candidates to selectively modulate the Wnt pathway, since May 2021, Aulos Bioscience, a privately-held immuno-oncology company, since March 2021, and Chiara Biosciences, a privately-held biotechnology company, since January 2023. Dr. Rothenberg received his B.A. from the University of Pennsylvania and his M.D. from the New York University School of Medicine. He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Kanishka Pothula </w:t>
      </w:r>
      <w:r>
        <w:rPr>
          <w:rFonts w:ascii="Times New Roman" w:cs="Times New Roman" w:eastAsia="Times New Roman" w:hAnsi="Times New Roman"/>
          <w:sz w:val="18"/>
          <w:szCs w:val="18"/>
          <w:color w:val="auto"/>
        </w:rPr>
        <w:t>has served as a member of our board of directors since November 2023. Mr. Pothula joined Nextech Ventures (US), an affiliate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Nextech Invest, in March 2023 and currently serves as a Managing Partner. Prior to joining Nextech Ventures (US), Mr. Pothula spent eleven years at BVF Partners, a biotechnology-focused hedge fund, where he served various roles throughout his tenure, most recently as Managing Partner. Mr. Pothula holds a M.S. in biotechnology from Georgetown University and a B.S. in bioengineering from the University of California, San Diego. We believe that Mr. Pothula’s extensive experience in finance and the life sciences industry make him qualified to serve on our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2027 Annual Meeting</w:t>
      </w:r>
    </w:p>
    <w:p>
      <w:pPr>
        <w:spacing w:after="0" w:line="22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Alexis Borisy </w:t>
      </w:r>
      <w:r>
        <w:rPr>
          <w:rFonts w:ascii="Times New Roman" w:cs="Times New Roman" w:eastAsia="Times New Roman" w:hAnsi="Times New Roman"/>
          <w:sz w:val="17"/>
          <w:szCs w:val="17"/>
          <w:color w:val="auto"/>
        </w:rPr>
        <w:t>has served as a member of our board of directors since our founding in 2017 and as the chairman of the board of directors since August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Borisy is the co-founder and operating chairman of Curie.Bio, a new model for venture in biotech that Mr. Borisy founded in 2022. In 2022, Mr. Borisy co-founded IDRx, Inc., a biopharmaceutical company (which was acquired by GlaxoSmithKline, LLC in February 2025) and did the initial build through Borisy Labs Production, LLC. Also in 2022, Mr. Borisy became a director of Nextech Invest, a Swiss-based venture firm, where he also serves as Chairman. Prior to its acquisition by Revolution Medicines, Inc. (NASDAQ: RVMD), Mr. Borisy served as Chief Executive Officer and Chairman of EQRx, Inc., (formerly NASDAQ: EQRX), a biotechnology company, from June 2019 to November 2023.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Mr. Borisy serves as a member of the board of directors of Relay Therapeutics, Inc. (NASDAQ: RLAY), Revolution Medicines, Inc. (NASDAQ: RVMD), and Blueprint Medicines (NASDAQ: BPMC). Mr. Borisy previously served on the board of directors of OPKO Health Inc. (NASDAQ: OPKO) and Magenta Therapeutics (formerly NASDAQ: MGTA, prior to its acquisition by Dianthus Therapeutics, Inc.).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John Ketchum </w:t>
      </w:r>
      <w:r>
        <w:rPr>
          <w:rFonts w:ascii="Times New Roman" w:cs="Times New Roman" w:eastAsia="Times New Roman" w:hAnsi="Times New Roman"/>
          <w:sz w:val="18"/>
          <w:szCs w:val="18"/>
          <w:color w:val="auto"/>
        </w:rPr>
        <w:t>has served as a member of our board of directors since August 2023. Since 2018, Mr. Ketchum has operated Bonnieview Consulting,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agency that provides strategic and business services to pharmaceutical and biotech companies from research and development to full commercialization stages. In 2019, Mr. Ketchum founded, and continues to provide advisory services to, CureLeads, a company that provides a range of services for biomedical firms commercializing specialty drugs in the Middle East and North Africa. From 1996 to 2017, Mr. Ketchum held various positions at Novartis International AG, including as Senior Vice President, Region Head, Emerging Growth Markets from 2014 to 2017 and Senior Vice President, Region Head, Latin America, from 2014 to 2017. Mr. Ketchum serves as an advisor and the Chairman of the Board of Ernest Pharmaceuticals LLC, a privately held oncology company. Mr. Ketchum received his B.A. from Hamilton College and his M.B.A. from the University of North Carolina at Chapel Hill. We believe Mr. Ketchum's industry experience and life science expertise, including his extensive work in commercializing pharmaceuticals in the U.S. and in international markets, make him qualified to serve on our board of directors.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Barbara Weber, M.D. </w:t>
      </w:r>
      <w:r>
        <w:rPr>
          <w:rFonts w:ascii="Times New Roman" w:cs="Times New Roman" w:eastAsia="Times New Roman" w:hAnsi="Times New Roman"/>
          <w:sz w:val="18"/>
          <w:szCs w:val="18"/>
          <w:color w:val="auto"/>
        </w:rPr>
        <w:t>has served as our President and Chief Executive Officer since March 2017. Dr. Weber was a Venture Partner at Third Rock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2015 until June 2022, during which time she led the formation of the Company. Previously, Dr. Weber served as Senior Vice President, Oncology Translational Medicine, Novartis from 2009 to 2015, Vice President, Oncology, GSK plc from 2005 to 2009 and Professor, Medicine and Genetics, University of Pennsylvania from 1994 to 2005. Dr. Weber has served on the board of directors of Revolution Medicines, Inc. (NASDAQ: RVMD), a biotechnology company, since April 2018, and FOG Pharma, a private biopharmaceutical company, since October 2018. Dr. Weber served as a director of OPY Acquisition Corp. I (NASDAQ: OHAA), a special purpose acquisition company from October 2021 to December 2023. Dr. Weber received a B.S. in Chemistry and an M.D. from the University of Washington, and was a resident in internal medicine at Yale University and a fellow in Medical Oncology at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 w:name="page18"/>
    <w:bookmarkEnd w:id="17"/>
    <w:p>
      <w:pPr>
        <w:ind w:right="20"/>
        <w:spacing w:after="0" w:line="282" w:lineRule="auto"/>
        <w:rPr>
          <w:sz w:val="20"/>
          <w:szCs w:val="20"/>
          <w:color w:val="auto"/>
        </w:rPr>
      </w:pPr>
      <w:r>
        <w:rPr>
          <w:rFonts w:ascii="Times New Roman" w:cs="Times New Roman" w:eastAsia="Times New Roman" w:hAnsi="Times New Roman"/>
          <w:sz w:val="18"/>
          <w:szCs w:val="18"/>
          <w:color w:val="auto"/>
        </w:rPr>
        <w:t>Dana-Farber Cancer Institute. We believe Dr. Weber is qualified to serve on our board based on her position as our President and Chief Executive Officer, her leadership experience and her extensive experience in the biopharmaceutical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rules of the Nasdaq market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Proceedings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Neither we nor any of our subsidiaries are party to any material proceedings to which any of our directors, officers, affiliates, 5% or more stockholders, or any of their respective associates are a party. We do not believe that any of our directors, officers, affiliates, 5% or more stockholders, or any of their respective associates are adverse to us or any of our subsidiaries or have a material interest that is adverse to us or any of our subsidiaries.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board of directors has established three standing committees: an audit committee, a compensation committee and a nominating and corporate governance committee. Each committee operates pursuant to a charter that has been approved and adopted by our board of directors. Each charter is reviewed on an annual basis by the applicable committee and any changes are approved by the board of directors. Each committee charter is posted on our website, www.tangotx.com, under the “Governance” subsection of the “Investors” section. The current members of our audit committee are Lesley Ann Calhoun, Kanishka Pothula and Alexis Borisy; Lesley Ann Calhoun serves as the chairperson of the audit committee. The current members of our compensation committee are Malte Peters, Mace Rothenberg and John Ketchum; Malte Peters is the chairperson of the compensation committee. The current members of our nominating and corporate governance committee are Mace Rothenberg, Kanishka Pothula and Lesley Ann Calhoun; Mace Rothenberg is the chairperson of the nominating and corporate governance committee. Our board of directors reviews the membership of each committee on an annual basis in order to make sure that the legal and regulatory requirements related to committee composition are complied with and that the appropriate set of skills and viewpoints are being brought to the deliberations and decisions of each committee.</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2024, our board of directors held four meetings. During 2024, all of the directors attended at least 75% of the total number of meetings of the board and committees on which they served. Directors are expected to attend our annual meetings of stockholders, all meetings of the board of directors and all meetings of the committees on which they serve. Five members of the board of directors then in office attended the annual meeting of stockholders on June 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audit committee currently consists of Lesley Ann Calhoun, Kanishka Pothula and Alexis Borisy. Our board has determined that each member of our audit committee is independent under Nasdaq listing standards and Rule 10A-3(b)(1) under the Exchange Act. The chairperson of the audit committee is Lesley Ann Calhoun. Our board has determined that Lesley Ann Calhoun is an “audit committee financial expert” within the meaning of SEC regulations. Our board of directors has also determined that each member of the audit committee has the requisite financial expertise required under the applicable requirements of Nasdaq. In arriving at this determination, our board of directors has examined each audit committee member’s scope of experience, familiarity with financial statements and accounting matters through prior exposure at biopharmaceutical companies, and the nature of their employment in the corporate finance sector. The audit committee held four meetings during 2024.</w:t>
      </w:r>
    </w:p>
    <w:p>
      <w:pPr>
        <w:spacing w:after="0" w:line="18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spacing w:after="0" w:line="16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corporate accounting and financial reporting processes;</w:t>
      </w:r>
    </w:p>
    <w:p>
      <w:pPr>
        <w:spacing w:after="0" w:line="49"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and qualifications of a qualified firm to serve as the independent registered public accounting firm to audit our financial statements;</w:t>
      </w: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49" w:lineRule="exact"/>
        <w:rPr>
          <w:rFonts w:ascii="Times New Roman" w:cs="Times New Roman" w:eastAsia="Times New Roman" w:hAnsi="Times New Roman"/>
          <w:sz w:val="18"/>
          <w:szCs w:val="18"/>
          <w:color w:val="auto"/>
        </w:rPr>
      </w:pPr>
    </w:p>
    <w:p>
      <w:pPr>
        <w:ind w:left="760" w:right="280" w:hanging="378"/>
        <w:spacing w:after="0" w:line="273"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36" w:lineRule="exact"/>
        <w:rPr>
          <w:rFonts w:ascii="Times New Roman" w:cs="Times New Roman" w:eastAsia="Times New Roman" w:hAnsi="Times New Roman"/>
          <w:sz w:val="18"/>
          <w:szCs w:val="18"/>
          <w:color w:val="auto"/>
        </w:rPr>
      </w:pPr>
    </w:p>
    <w:p>
      <w:pPr>
        <w:ind w:left="760" w:right="40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financial risk assessment and financial risk management, as well as discussing with management the guidelines and policies that govern the process by which the Company's exposure to risks, including financial, operational, privacy, security, cybersecurity, competition, legal, regulatory, hedging and accounting, is assessed and managed by management;</w:t>
      </w: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49"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ind w:left="760" w:right="18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compensation committee currently consists of Malte Peters, Mace Rothenberg and John Ketchum. Our board has determined that each member of our compensation committee is independent under Nasdaq listing standards and is a “non-employee director” as defined in Rule 16b-3 promulgated under the Exchange Act.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The compensation committee held three meetings during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50"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compensation of our executive officers and senior management;</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49" w:lineRule="exact"/>
        <w:rPr>
          <w:rFonts w:ascii="Times New Roman" w:cs="Times New Roman" w:eastAsia="Times New Roman" w:hAnsi="Times New Roman"/>
          <w:sz w:val="18"/>
          <w:szCs w:val="18"/>
          <w:color w:val="auto"/>
        </w:rPr>
      </w:pPr>
    </w:p>
    <w:p>
      <w:pPr>
        <w:ind w:left="760" w:right="88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ind w:left="760" w:right="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amending and terminating, or recommending that our board approve, amend or terminate, incentive compensation and equity plans, severance agreements, change in control protections and any other compensatory arrangements for our executive officers and other senior management, as appropriate; and</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Dr. Peters, Dr. Rothenberg and Mr. Ketchum served on the compensation committee during the year ended December 31, 2024. None of the members of our compensation committee has at any time been one of our officers or employees or had any relationships with us requiring disclosure under Item 404 of Regulation S-K under the Exchange Act.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Mace Rothenberg, Kanishka Pothula, and Lesley Ann Calhoun. Our board has determined each member is independent under Nasdaq listing standards. The chairperson of the nominating and corporate governance committee is Mace Rothenberg. The nominating and corporate governance committee held two meetings during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50"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approve, nominees for election to our board;</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and of individual directors;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49"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environmental, social and governance, or ESG, programs and policies, the scope of risk related to such matters, and the potential risks and liabilities related thereto; and</w:t>
      </w: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does not have a standing risk management committee, but rather administers this oversight function directly through our board as a whole, as well as through its standing committees. In particular, our board is responsible for monitoring and assessing strategic risk exposure. Our audit committee oversees the policies and programs relating to our financial and accounting systems, accounting policies, and our internal audit function. It also is responsible for appointing our independent auditor and considering and discussing our major risk exposures (including financial, operational, privacy, security, cybersecurity, competition, legal, regulatory, hedging and accounting) and the steps that the Company’s management has taken to monitor and, to the extent practicable, control such exposures. Our audit committee also monitors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0" w:name="page21"/>
    <w:bookmarkEnd w:id="20"/>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compliance with legal and regulatory requirements and evaluates risk associated with related party transactions. Our compensation committee assesses and monitors whether our compensation plans, policies and programs comply with applicable legal and regulatory requirements and whether our compensation program may encourage excessive risk-taking. </w:t>
      </w:r>
      <w:r>
        <w:rPr>
          <w:rFonts w:ascii="Times New Roman" w:cs="Times New Roman" w:eastAsia="Times New Roman" w:hAnsi="Times New Roman"/>
          <w:sz w:val="18"/>
          <w:szCs w:val="18"/>
          <w:color w:val="212529"/>
        </w:rPr>
        <w:t>Our nominating and corporate governance committee oversees risks related to our governance structure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our environmental, social and governance risk.</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Additionally, our board of directors encourages management to promote a culture that incorporates risk management into our day-to-day business operations. Management discusses strategic and operational risks at regular meetings, and throughout the year, reviews these risks with the board of directors as part of management presentations focusing on particular business functions, operations or strategies, including the steps taken by management to mitigate or eliminate such risks.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an annual basis, the management team conducts an enterprise risk assessment to identify the significant risks related to our corporate operations and strategic goals. This assessment includes meetings with our executive committee and functional leaders throughout the organization, a review with the management team of the most significant risks, the identification of a management team member responsible for oversight of each applicable risk and an overview of risk mitigation procedures (if applicable). The results of the annual enterprise risk assessment are presented to the audit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of the Roles of Chairman and Chief Executive Officer</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12529"/>
        </w:rPr>
        <w:t>Our governing documents permit the roles of chairman of the board and Chief Executive Officer, or CEO, to be filled by the same or different individuals. Our board recognizes that one of its key responsibilities is to periodically evaluate the optimal leadership structure to ensure the board is operating efficiently, effectively, and in the best interests of the Company and its shareholders. The board values the flexibility to determine the optimal model for board leadership at any given time.</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 xml:space="preserve">At this time, the board has chosen to separate the roles of chairman of the board, held by Alexis Borisy, and CEO, held by Dr. Weber. The board believes that separating these roles is the most appropriate structure for Tango and its shareholders at this time. </w:t>
      </w:r>
      <w:r>
        <w:rPr>
          <w:rFonts w:ascii="Times New Roman" w:cs="Times New Roman" w:eastAsia="Times New Roman" w:hAnsi="Times New Roman"/>
          <w:sz w:val="18"/>
          <w:szCs w:val="18"/>
          <w:color w:val="212529"/>
        </w:rPr>
        <w:t>Separating these positions allows our CEO to focus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on our day-to-day business operations and company performance, while the chairman focuses on independent oversight and key strategic decisions while also supporting our supporting our board’s oversight of risk and other key governance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employees, officers and directors, including those officers responsible for financial reporting. The Code of Conduct is available on our website at https://www.tangotx.com under “Investors – Governance”. Information contained on or accessible through such website is not a part of this proxy statement, and the inclusion of the website address in this proxy statement is an inactive textual reference only.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Form 8-K with the SEC, disclosing such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purchases or sales of puts, calls, or other derivative securities of the Company or any derivative securities that provide the economic equivalent of ownership. I</w:t>
      </w:r>
      <w:r>
        <w:rPr>
          <w:rFonts w:ascii="Times New Roman" w:cs="Times New Roman" w:eastAsia="Times New Roman" w:hAnsi="Times New Roman"/>
          <w:sz w:val="18"/>
          <w:szCs w:val="18"/>
          <w:color w:val="010101"/>
        </w:rPr>
        <w:t>t is also the policy of the Company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 xml:space="preserve">comply with all applicable securities laws when transacting in its own securities. </w:t>
      </w:r>
      <w:r>
        <w:rPr>
          <w:rFonts w:ascii="Times New Roman" w:cs="Times New Roman" w:eastAsia="Times New Roman" w:hAnsi="Times New Roman"/>
          <w:sz w:val="18"/>
          <w:szCs w:val="18"/>
          <w:color w:val="000000"/>
        </w:rPr>
        <w:t>We believe that our policies and procedures are reasonably designed to</w:t>
      </w:r>
      <w:r>
        <w:rPr>
          <w:rFonts w:ascii="Times New Roman" w:cs="Times New Roman" w:eastAsia="Times New Roman" w:hAnsi="Times New Roman"/>
          <w:sz w:val="18"/>
          <w:szCs w:val="18"/>
          <w:color w:val="010101"/>
        </w:rPr>
        <w:t xml:space="preserve"> </w:t>
      </w:r>
      <w:r>
        <w:rPr>
          <w:rFonts w:ascii="Times New Roman" w:cs="Times New Roman" w:eastAsia="Times New Roman" w:hAnsi="Times New Roman"/>
          <w:sz w:val="18"/>
          <w:szCs w:val="18"/>
          <w:color w:val="000000"/>
        </w:rPr>
        <w:t xml:space="preserve">promote compliance </w:t>
      </w:r>
      <w:r>
        <w:rPr>
          <w:rFonts w:ascii="Times New Roman" w:cs="Times New Roman" w:eastAsia="Times New Roman" w:hAnsi="Times New Roman"/>
          <w:sz w:val="18"/>
          <w:szCs w:val="18"/>
          <w:color w:val="010101"/>
        </w:rPr>
        <w:t>with insider trading laws, any applicable securities laws, rules, regulations and any exchange listing standards.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1" w:name="page22"/>
    <w:bookmarkEnd w:id="21"/>
    <w:p>
      <w:pPr>
        <w:ind w:right="80"/>
        <w:spacing w:after="0" w:line="258" w:lineRule="auto"/>
        <w:rPr>
          <w:sz w:val="20"/>
          <w:szCs w:val="20"/>
          <w:color w:val="auto"/>
        </w:rPr>
      </w:pPr>
      <w:r>
        <w:rPr>
          <w:rFonts w:ascii="Times New Roman" w:cs="Times New Roman" w:eastAsia="Times New Roman" w:hAnsi="Times New Roman"/>
          <w:sz w:val="18"/>
          <w:szCs w:val="18"/>
          <w:color w:val="auto"/>
        </w:rPr>
        <w:t>In considering candidates for board membership, the nominating and corporate governance committee considers recommendations by: the nominating and corporate governance committee members and other board members; management; our stockholders; third-party search firms; and any other appropriate sources. If a stockholder submits a nominee, the nominating and corporate governance committee will evaluate the qualifications of such stockholder nominee using the same selection criteria the committee uses to evaluate other potential nominees. Our by-laws contain provisions addressing the process by which a stockholder may recommend a person for consideration as a nominee for director at an annual meeting.</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opening of business on the 120th day prior to the scheduled date of the annual meeting of stockholders. In the event that no annual meeting was held during the preceding year or the annual meeting is advanced more than 30 days before, or more than 60 days after such anniversary date, a timely notice must be received not later than the close of business on the later of the 90th day prior to the scheduled date of such annual meeting 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18"/>
          <w:szCs w:val="18"/>
          <w:color w:val="auto"/>
        </w:rPr>
        <w:t>Pursuant to the terms of its charter, the nominating and corporate governance committee requires the following qualifications to be satisfied by any nominee for a position on the board:</w:t>
      </w:r>
    </w:p>
    <w:p>
      <w:pPr>
        <w:spacing w:after="0" w:line="2"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standards of personal and professional ethics and integrity;</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members of the existing board;</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the Company’s success; and</w:t>
      </w:r>
    </w:p>
    <w:p>
      <w:pPr>
        <w:spacing w:after="0" w:line="36"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director and a commitment to devote the time and energy necessary to perform those responsibilities.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When identifying and evaluating nominees for director, the nominating and corporate governance committee considers, among other factors, the character, integrity, judgment, diversity, independence, skills, education, expertise, business acumen, business judgment, length of service, understanding of Tango's business and industry, conflicts of interest and other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interested party who wishes to communicate with our board of directors or our board chairman may submit a written communication to the attention of such director at the following address: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 Brookline Avenue, Suite 901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Boston, MA 02215</w:t>
      </w:r>
    </w:p>
    <w:p>
      <w:pPr>
        <w:spacing w:after="0" w:line="24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Tango’s legal counsel and be retained for a reasonable period of time. The director may discuss the matter with Tango’s legal counsel, with independent advisors, with non-management directors, or with Tango’s management, or may take other action or no action as the director determines in good faith, using reasonable judgment and applying his or her own discretion.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Tango regarding accounting, internal accounting controls, or audit matters, and the confidential, anonymous submission by employees of concerns regarding questionable accounting or auditing matters or potential violations of the federal securities laws. Tango has also established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toll-free telephone number for the reporting of such activity, which is 1-855-495-2758. Submissions may also be reported online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B333D"/>
        </w:rPr>
        <w:t>https://www.whistleblowerservices.com/TNGX.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grow and progress as a company, we remain focused on sustainability, including social and environmental, or ESG, issues that affect our stakeholders, which include our future patients, our stockholders, our community and our employees. Our nominating and corporate governance committee has primary oversight over our sustainability efforts.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goal is to make the world healthier and improve the lives of patients by developing solutions in drug discovery, cancer biology, functional genomics and translational medicine, pursuing the bold goal of tackling the genetic complexity of cancer.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table below identifies and sets forth certain information regarding our executive officers as of April 8, 2025. Officer service dates in the table below and elsewhere in this proxy statement reflect, where applicable, the periods such officer commenced employment with Tango prior to the completion of the Business Combination (as described above).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58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Age</w:t>
            </w:r>
          </w:p>
        </w:tc>
        <w:tc>
          <w:tcPr>
            <w:tcW w:w="280" w:type="dxa"/>
            <w:vAlign w:val="bottom"/>
          </w:tcPr>
          <w:p>
            <w:pPr>
              <w:spacing w:after="0"/>
              <w:rPr>
                <w:sz w:val="13"/>
                <w:szCs w:val="13"/>
                <w:color w:val="auto"/>
              </w:rPr>
            </w:pPr>
          </w:p>
        </w:tc>
        <w:tc>
          <w:tcPr>
            <w:tcW w:w="5940" w:type="dxa"/>
            <w:vAlign w:val="bottom"/>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3"/>
                <w:szCs w:val="13"/>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 Current Position</w:t>
            </w:r>
          </w:p>
        </w:tc>
        <w:tc>
          <w:tcPr>
            <w:tcW w:w="0" w:type="dxa"/>
            <w:vAlign w:val="bottom"/>
          </w:tcPr>
          <w:p>
            <w:pPr>
              <w:spacing w:after="0"/>
              <w:rPr>
                <w:sz w:val="1"/>
                <w:szCs w:val="1"/>
                <w:color w:val="auto"/>
              </w:rPr>
            </w:pPr>
          </w:p>
        </w:tc>
      </w:tr>
      <w:tr>
        <w:trPr>
          <w:trHeight w:val="173"/>
        </w:trPr>
        <w:tc>
          <w:tcPr>
            <w:tcW w:w="2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5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196"/>
        </w:trPr>
        <w:tc>
          <w:tcPr>
            <w:tcW w:w="2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120" w:type="dxa"/>
            <w:vAlign w:val="bottom"/>
            <w:shd w:val="clear" w:color="auto" w:fill="CCECFF"/>
          </w:tcPr>
          <w:p>
            <w:pPr>
              <w:spacing w:after="0"/>
              <w:rPr>
                <w:sz w:val="17"/>
                <w:szCs w:val="17"/>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shd w:val="clear" w:color="auto" w:fill="CCECFF"/>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60" w:type="dxa"/>
            <w:vAlign w:val="bottom"/>
            <w:shd w:val="clear" w:color="auto" w:fill="CCECFF"/>
          </w:tcPr>
          <w:p>
            <w:pPr>
              <w:spacing w:after="0"/>
              <w:rPr>
                <w:sz w:val="17"/>
                <w:szCs w:val="17"/>
                <w:color w:val="auto"/>
              </w:rPr>
            </w:pP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2017</w:t>
            </w:r>
          </w:p>
        </w:tc>
        <w:tc>
          <w:tcPr>
            <w:tcW w:w="0" w:type="dxa"/>
            <w:vAlign w:val="bottom"/>
          </w:tcPr>
          <w:p>
            <w:pPr>
              <w:spacing w:after="0"/>
              <w:rPr>
                <w:sz w:val="1"/>
                <w:szCs w:val="1"/>
                <w:color w:val="auto"/>
              </w:rPr>
            </w:pPr>
          </w:p>
        </w:tc>
      </w:tr>
      <w:tr>
        <w:trPr>
          <w:trHeight w:val="20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Daniella Beckman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16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2019</w:t>
            </w:r>
          </w:p>
        </w:tc>
        <w:tc>
          <w:tcPr>
            <w:tcW w:w="0" w:type="dxa"/>
            <w:vAlign w:val="bottom"/>
          </w:tcPr>
          <w:p>
            <w:pPr>
              <w:spacing w:after="0"/>
              <w:rPr>
                <w:sz w:val="1"/>
                <w:szCs w:val="1"/>
                <w:color w:val="auto"/>
              </w:rPr>
            </w:pPr>
          </w:p>
        </w:tc>
      </w:tr>
      <w:tr>
        <w:trPr>
          <w:trHeight w:val="203"/>
        </w:trPr>
        <w:tc>
          <w:tcPr>
            <w:tcW w:w="2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Adam Crystal, M.D., Ph.D.</w:t>
            </w: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shd w:val="clear" w:color="auto" w:fill="CCECFF"/>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of Research and Development</w:t>
            </w:r>
          </w:p>
        </w:tc>
        <w:tc>
          <w:tcPr>
            <w:tcW w:w="160" w:type="dxa"/>
            <w:vAlign w:val="bottom"/>
            <w:shd w:val="clear" w:color="auto" w:fill="CCECFF"/>
          </w:tcPr>
          <w:p>
            <w:pPr>
              <w:spacing w:after="0"/>
              <w:rPr>
                <w:sz w:val="17"/>
                <w:szCs w:val="17"/>
                <w:color w:val="auto"/>
              </w:rPr>
            </w:pP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2023</w:t>
            </w:r>
          </w:p>
        </w:tc>
        <w:tc>
          <w:tcPr>
            <w:tcW w:w="0" w:type="dxa"/>
            <w:vAlign w:val="bottom"/>
          </w:tcPr>
          <w:p>
            <w:pPr>
              <w:spacing w:after="0"/>
              <w:rPr>
                <w:sz w:val="1"/>
                <w:szCs w:val="1"/>
                <w:color w:val="auto"/>
              </w:rPr>
            </w:pPr>
          </w:p>
        </w:tc>
      </w:tr>
      <w:tr>
        <w:trPr>
          <w:trHeight w:val="21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Douglas Barry</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Chief Legal Officer, Chief Compliance Officer and Corporate Secretary</w:t>
            </w:r>
          </w:p>
        </w:tc>
        <w:tc>
          <w:tcPr>
            <w:tcW w:w="16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2024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section of this Proxy Statement captioned "General Information about the Board of Directors" for Dr. Weber's biography.</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Daniella Beckman </w:t>
      </w:r>
      <w:r>
        <w:rPr>
          <w:rFonts w:ascii="Times New Roman" w:cs="Times New Roman" w:eastAsia="Times New Roman" w:hAnsi="Times New Roman"/>
          <w:sz w:val="18"/>
          <w:szCs w:val="18"/>
          <w:color w:val="auto"/>
        </w:rPr>
        <w:t>has served as our Chief Financial Officer since September 2019 and served as our interim Chief Financial Officer from October 2016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2019. Prior to joining Tango, she provided consulting and interim chief financial officer services for early-stage biotechnology companies from November 2015 to September 2019. Previously, Ms. Beckman was the Chief Financial Officer of Idenix Pharmaceuticals, Inc., a biopharmaceutical company, from June 2011 until it was acquired by Merck &amp; Co., Inc., a pharmaceutical company, in August 2014. Ms. Beckman currently serves on the board of directors of Upstream Biopharma (NASDAQ: UPB), a biotechnology company developing treatments for inflammatory diseases, since October 2024, Vor Biopharma Inc. (NASDAQ: VOR), a cell therapies company, since July 2020, and Blueprint Medicines Corporation (NASDAQ: BPMC), a global precision therapy company, since December 2021. Previously, Ms. Beckman served on the board of directors of Translate Bio, Inc., a clinical-stage mRNA therapeutics company, from October 2017 to September 2021, and on the board of 5:01 Acquisition Corp., a special purpose acquisition company, from October 2020 October 2022. Ms. Beckman holds a B.S. in business administration-accounting from Boston University.</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Adam Crystal, M.D., Ph.D., </w:t>
      </w:r>
      <w:r>
        <w:rPr>
          <w:rFonts w:ascii="Times New Roman" w:cs="Times New Roman" w:eastAsia="Times New Roman" w:hAnsi="Times New Roman"/>
          <w:sz w:val="18"/>
          <w:szCs w:val="18"/>
          <w:color w:val="auto"/>
        </w:rPr>
        <w:t>has served as our President of Research and Development since February 2023. Prior to joining Tango, Dr. Crystal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Medical Officer of C4 Therapeutics, Inc., a clinical-stage biopharmaceutical company, from February 2019 to February 2023. From May 2014 to February 2019, Dr. Crystal was a Clinical Program Leader, Senior Director, at Novartis Institutes for BioMedical Research. Dr. Crystal has served as a medical oncologist at Massachusetts General Hospital, where he studied resistance mechanisms to targeted therapies. Dr. Crystal trained at Massachusetts General Hospital in internal medicine and then completed fellowship training in medical oncology at the Massachusetts General Hospital Cancer Center and the Dana-Farber Cancer Institute in 2013. Dr. Crystal holds an M.D. and a Ph.D. in Neuroscience from the University of Pennsylvania School of Medicine.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Douglas Barry </w:t>
      </w:r>
      <w:r>
        <w:rPr>
          <w:rFonts w:ascii="Times New Roman" w:cs="Times New Roman" w:eastAsia="Times New Roman" w:hAnsi="Times New Roman"/>
          <w:sz w:val="18"/>
          <w:szCs w:val="18"/>
          <w:color w:val="auto"/>
        </w:rPr>
        <w:t>has served as our Chief Legal Officer since January 2024 and as Chief Compliance Officer and Corporate Secretary since August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2021 to January 2024, Mr. Barry served as our General Counsel. Mr. Barry has been practicing law for over 20 years, and joined Tango from Alexion Pharmaceuticals, Inc., a biopharmaceutical company that develops and commercializes therapies that serve patients affected by certain rare diseases, where he served as Vice President of Corporate Law from May 2018 to July 2021. Prior to Alexion, he was Associate General Counsel at Alere Inc., a manufacturer and seller of point-of-care diagnostic equipment, from 2015 to 2018 (Alere was acquired by Abbott Laboratories in 2018). Earlier in his career, Mr. Barry spent 10 years as an attorney in the corporate department at Wilmer Cutler Pickering Hale and Dorr LLP. Mr. Barry has a B.A. degree in Political Science from Hobart College, a Master’s degree from University of Virginia in International Relations and a juris doctor from Northwestern University School of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or CD&amp;A, describes the Company’s executive compensation program as it relates to the following named executive officers, or NEOs, for 2024:</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Weber, M.D., our President and Chief Executive Officer;</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Daniella Beckman, our Chief Financial Officer;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Crystal, M.D., Ph.D., our President of Research and Development;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Barry, our Chief Legal Officer, Chief Compliance Officer and Corporate Secretary</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Because we only had four executive officers, as defined under Exchange Act Rule 3b-7, for the year ended December 31, 2024, we only have four named executive officers for the same time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focused on discovering the next wave of targeted therapies in oncology by addressing the specific genetic alterations that drive cancer. We are focused on using the concept of synthetic lethality – a mechanism describing pairs of genes in which one is inactivated by a genetic alteration and the other is inhibited pharmacologically – to target tumor suppressor gene loss. Our lead programs are PRMT5 inhibitors that utilize the synthetic lethal concept in cancer cells with a homozygous deletion of methylthioadenosine phosphorylase, or MTAP. In 2024 (and early 2025), we made significant progress across our clinical programs and continued to grow our development organization. </w:t>
      </w:r>
      <w:r>
        <w:rPr>
          <w:rFonts w:ascii="Times New Roman" w:cs="Times New Roman" w:eastAsia="Times New Roman" w:hAnsi="Times New Roman"/>
          <w:sz w:val="18"/>
          <w:szCs w:val="18"/>
          <w:color w:val="212529"/>
        </w:rPr>
        <w:t>We achieved a number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milestones in 2024, including the following, toward our corporate goals described below in this CD&amp;A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-580390</wp:posOffset>
            </wp:positionV>
            <wp:extent cx="114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-443230</wp:posOffset>
            </wp:positionV>
            <wp:extent cx="1143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and Drug Discovery:</w:t>
      </w:r>
    </w:p>
    <w:p>
      <w:pPr>
        <w:spacing w:after="0" w:line="229" w:lineRule="exact"/>
        <w:rPr>
          <w:sz w:val="20"/>
          <w:szCs w:val="20"/>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the number of validated targets identified by the board of directors and performed the requisite ligandability assessments, all of which increased the possibility of introducing new novel targets for development by the drug discovery team.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meaningful progress towards selection of a potential new drug development candidate.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9" w:lineRule="exact"/>
        <w:rPr>
          <w:sz w:val="20"/>
          <w:szCs w:val="20"/>
          <w:color w:val="auto"/>
        </w:rPr>
      </w:pPr>
    </w:p>
    <w:p>
      <w:pPr>
        <w:ind w:left="1020" w:right="2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reported positive early data from the ongoing Phase 1/2 clinical trial of TNG462, our lead PRMT5 inhibitor, demonstrating durable clinical activity across multiple cancer types with a strong safety and tolerability profile. We have initiated a robust clinical development program for TNG462.</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also announced data from the Phase 1/2 clinical trial of TNG908, our first brain-penetrant PRMT5 inhibitor. TNG908 demonstrated clinical activity and was well-tolerated in non-CNS solid tumors. However, TNG908 did not meet the pharmacokinetic exposure threshold for clinical efficacy in glioblastoma and, therefore, we decided to discontinue further development in TNG908 to focus our resources on TNG462 and TNG456.</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FDA cleared the IND application for TNG456, our next-generation, brain-penetrant PRMT5 inhibitor.</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TNG260, our first-in-class CoREST inhibitor, has demonstrated a favorable safety, tolerability, and pharmacokinetic profile in dose escalation, and we have established clinical proof-of-mechanism based on pharmacodynamic data from on-treatment patient biopsies. We are now enrolling lung cancer patients in the dose expansion portion of our Phase 1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229" w:lineRule="exact"/>
        <w:rPr>
          <w:sz w:val="20"/>
          <w:szCs w:val="20"/>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with Gilead Sciences, Inc., or Gilead, continued to progress, as Gilead licensed a drug discovery program for $12 million in June 2024.</w:t>
      </w:r>
    </w:p>
    <w:p>
      <w:pPr>
        <w:spacing w:after="0" w:line="53"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our visibility in the scientific and investment communities by submitting more manuscripts than the target number identified by the board of directors and presenting at more scientific and investor conferences than the target number identified by the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w:t>
      </w:r>
    </w:p>
    <w:p>
      <w:pPr>
        <w:spacing w:after="0" w:line="207" w:lineRule="exact"/>
        <w:rPr>
          <w:sz w:val="20"/>
          <w:szCs w:val="20"/>
          <w:color w:val="auto"/>
        </w:rPr>
      </w:pPr>
    </w:p>
    <w:p>
      <w:pPr>
        <w:ind w:left="1020" w:right="2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build a world-class research and development organization by bringing on several key hires, including our Chief Human Resources Officer, Julie Carretero, and multiple key clinical development hires that position the organization to make the anticipated transition into pivotal trials for TNG462 in 2026.</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turnover rate remained well below market standards and the metric established by our board of directors for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compensation committee seeks to ensure that our compensation program is aligned with the interest of our stockholders and our overall corporate goals. We strive to achieve this by offering a mix of fixed and performance-based compensation, including base salary,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performance-based cash bonus, and long-term equity incentive awards. As described more fully below, key elements of our compensation include: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Features</w:t>
            </w:r>
          </w:p>
        </w:tc>
      </w:tr>
      <w:tr>
        <w:trPr>
          <w:trHeight w:val="174"/>
        </w:trPr>
        <w:tc>
          <w:tcPr>
            <w:tcW w:w="3780" w:type="dxa"/>
            <w:vAlign w:val="bottom"/>
            <w:tcBorders>
              <w:left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8"/>
                <w:szCs w:val="18"/>
                <w:color w:val="auto"/>
              </w:rPr>
              <w:t>Base salary</w:t>
            </w:r>
          </w:p>
        </w:tc>
        <w:tc>
          <w:tcPr>
            <w:tcW w:w="37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To attract, motivate and retain individuals with</w:t>
            </w:r>
          </w:p>
        </w:tc>
        <w:tc>
          <w:tcPr>
            <w:tcW w:w="37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Fixed component of compensation to provide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superior executive talent.</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stability, reflecting an individual's skill</w:t>
            </w:r>
          </w:p>
        </w:tc>
      </w:tr>
      <w:tr>
        <w:trPr>
          <w:trHeight w:val="234"/>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sets, experience, roles and responsibilities.</w:t>
            </w:r>
          </w:p>
        </w:tc>
      </w:tr>
      <w:tr>
        <w:trPr>
          <w:trHeight w:val="191"/>
        </w:trPr>
        <w:tc>
          <w:tcPr>
            <w:tcW w:w="37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Annual performance-based cash bonus</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motivate and reward employees for achieving</w:t>
            </w:r>
          </w:p>
        </w:tc>
        <w:tc>
          <w:tcPr>
            <w:tcW w:w="37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Variable component of pay based on annual</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short-term performance goals linked to the</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quantitative and qualitative achievement of pre-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Company's growth and success which are intended</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determined corporate performance goals. and, in</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 help drive the enhancement of stockholder</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case of NEOs other than our CEO, the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value, as well as to facilitate executive retention.</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achievement of pre-determined individual</w:t>
            </w:r>
          </w:p>
        </w:tc>
      </w:tr>
      <w:tr>
        <w:trPr>
          <w:trHeight w:val="234"/>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performance goals</w:t>
            </w:r>
          </w:p>
        </w:tc>
      </w:tr>
      <w:tr>
        <w:trPr>
          <w:trHeight w:val="191"/>
        </w:trPr>
        <w:tc>
          <w:tcPr>
            <w:tcW w:w="37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Equity incentive compensation</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align the interests of our NEOs with those of</w:t>
            </w:r>
          </w:p>
        </w:tc>
        <w:tc>
          <w:tcPr>
            <w:tcW w:w="37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Long-term compensation in the form of stock</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stockholders through long-term incentives</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options and RSUs, which we believe aligns</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linked to the Company's stock price performance</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and stockholder interest and provides</w:t>
            </w:r>
          </w:p>
        </w:tc>
      </w:tr>
      <w:tr>
        <w:trPr>
          <w:trHeight w:val="234"/>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to retain and motivate NEOs.</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incentives for employee retention.</w:t>
            </w:r>
          </w:p>
        </w:tc>
      </w:tr>
      <w:tr>
        <w:trPr>
          <w:trHeight w:val="42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tc>
        <w:tc>
          <w:tcPr>
            <w:tcW w:w="37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19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compensation philosophy is designed to support our goal of building a world-class research and development organization with deep experience and understanding in synthetic lethality in order to identify novel targets and develop new drugs directed at tumor suppressor gene loss in defined patient populations with high unmet medical need. We have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2024, attracting, motivating, and retaining executives and employees that position Tango to meet our corporate objectives, particularly in clinical development and advancing promising drugs towards the clinic, was of increasing importance as we continued to grow the size of our employee base, our operations became more sophisticated and our clinical programs advanced. We believe the work accomplished in 2024 positions us to, among other advancements, provide a clinical data update from our lead PRMT5 inhibitor, TNG462, in 2025, with the goal of moving TNG462 into pivotal trials in 2026. By building a talented and motivated organization around extraordinary leaders, we believe we can advance our product candidates closer to regulatory approval, grow our pipeline and, ultimately, drive long-term and sustainable stockholder value creation. Tango's compensation programs are designed by our compensation committee and our board of directors around the following imperatives:</w:t>
      </w:r>
    </w:p>
    <w:p>
      <w:pPr>
        <w:spacing w:after="0" w:line="77" w:lineRule="exact"/>
        <w:rPr>
          <w:sz w:val="20"/>
          <w:szCs w:val="20"/>
          <w:color w:val="auto"/>
        </w:rPr>
      </w:pPr>
    </w:p>
    <w:p>
      <w:pPr>
        <w:ind w:left="900" w:right="140" w:hanging="443"/>
        <w:spacing w:after="0" w:line="26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 Retain and Incentivize</w:t>
      </w:r>
      <w:r>
        <w:rPr>
          <w:rFonts w:ascii="Times New Roman" w:cs="Times New Roman" w:eastAsia="Times New Roman" w:hAnsi="Times New Roman"/>
          <w:sz w:val="18"/>
          <w:szCs w:val="18"/>
          <w:color w:val="auto"/>
        </w:rPr>
        <w:t>: We are committed to (i) attracting, motivating, and retaining industry-leading talented individuals and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designing our compensation programs to incentivize our employees to achieve rigorous corporate and individual objectives that are important to our long-term business and success.</w:t>
      </w:r>
    </w:p>
    <w:p>
      <w:pPr>
        <w:spacing w:after="0" w:line="62" w:lineRule="exact"/>
        <w:rPr>
          <w:rFonts w:ascii="Times New Roman" w:cs="Times New Roman" w:eastAsia="Times New Roman" w:hAnsi="Times New Roman"/>
          <w:sz w:val="18"/>
          <w:szCs w:val="18"/>
          <w:color w:val="auto"/>
        </w:rPr>
      </w:pPr>
    </w:p>
    <w:p>
      <w:pPr>
        <w:ind w:left="900" w:right="140" w:hanging="443"/>
        <w:spacing w:after="0" w:line="291"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Performance-based compensation pay-outs</w:t>
      </w:r>
      <w:r>
        <w:rPr>
          <w:rFonts w:ascii="Times New Roman" w:cs="Times New Roman" w:eastAsia="Times New Roman" w:hAnsi="Times New Roman"/>
          <w:sz w:val="17"/>
          <w:szCs w:val="17"/>
          <w:color w:val="auto"/>
        </w:rPr>
        <w:t>: Rewarding performance is the keystone of our total compensation program. In our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bonus program, performance is measured by research and development advances, operational and strategic metrics and, for executive officers other than our CEO, individual contributions. The amount actually earned is scaled with the achievement of these performance metrics.</w:t>
      </w:r>
    </w:p>
    <w:p>
      <w:pPr>
        <w:spacing w:after="0" w:line="44" w:lineRule="exact"/>
        <w:rPr>
          <w:rFonts w:ascii="Times New Roman" w:cs="Times New Roman" w:eastAsia="Times New Roman" w:hAnsi="Times New Roman"/>
          <w:sz w:val="17"/>
          <w:szCs w:val="17"/>
          <w:color w:val="auto"/>
        </w:rPr>
      </w:pPr>
    </w:p>
    <w:p>
      <w:pPr>
        <w:ind w:left="900" w:right="60" w:hanging="443"/>
        <w:spacing w:after="0" w:line="26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structure competitive with peers</w:t>
      </w:r>
      <w:r>
        <w:rPr>
          <w:rFonts w:ascii="Times New Roman" w:cs="Times New Roman" w:eastAsia="Times New Roman" w:hAnsi="Times New Roman"/>
          <w:sz w:val="18"/>
          <w:szCs w:val="18"/>
          <w:color w:val="auto"/>
        </w:rPr>
        <w:t>: We believe that compensation paid by our peer companies matters when we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compensation. We evaluate the practices of our peers to validate that we are competitive with other companies with whom we compete for talent to ensure we are able to attract and retain superior executive talent.</w:t>
      </w:r>
    </w:p>
    <w:p>
      <w:pPr>
        <w:spacing w:after="0" w:line="62" w:lineRule="exact"/>
        <w:rPr>
          <w:rFonts w:ascii="Times New Roman" w:cs="Times New Roman" w:eastAsia="Times New Roman" w:hAnsi="Times New Roman"/>
          <w:sz w:val="18"/>
          <w:szCs w:val="18"/>
          <w:color w:val="auto"/>
        </w:rPr>
      </w:pPr>
    </w:p>
    <w:p>
      <w:pPr>
        <w:ind w:left="900" w:right="100" w:hanging="443"/>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Balanced combination of compensation components</w:t>
      </w:r>
      <w:r>
        <w:rPr>
          <w:rFonts w:ascii="Times New Roman" w:cs="Times New Roman" w:eastAsia="Times New Roman" w:hAnsi="Times New Roman"/>
          <w:sz w:val="18"/>
          <w:szCs w:val="18"/>
          <w:color w:val="auto"/>
        </w:rPr>
        <w:t>: We strive for an appropriate balance between cash and equity incentives.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annual cash incentives motivate individuals to successfully execute on short-term financial and strategic objectives, while equity incentives focus executives on the long-term success of the organization and align the interests of our executives with those of our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6" w:name="page27"/>
    <w:bookmarkEnd w:id="26"/>
    <w:p>
      <w:pPr>
        <w:ind w:right="40"/>
        <w:spacing w:after="0" w:line="266" w:lineRule="auto"/>
        <w:rPr>
          <w:sz w:val="20"/>
          <w:szCs w:val="20"/>
          <w:color w:val="auto"/>
        </w:rPr>
      </w:pPr>
      <w:r>
        <w:rPr>
          <w:rFonts w:ascii="Times New Roman" w:cs="Times New Roman" w:eastAsia="Times New Roman" w:hAnsi="Times New Roman"/>
          <w:sz w:val="18"/>
          <w:szCs w:val="18"/>
          <w:color w:val="auto"/>
        </w:rPr>
        <w:t>To date, the compensation of our named executive officers has primarily consisted of a combination of base salary, annual cash bonuses and long-term incentive compensation (in the form of stock options and restricted stock units, or RSUs). All full-time employees, including our named executive officers, are eligible to participate in our retirement and health and welfare benefit plans.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evaluate our compensation values and philosophy, as well as our compensation plans and arrangements, as circumstances merit. We review executive compensation annually with input from an independent compensation consultant. As part of this review process, the board of directors and the compensation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Governance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and compensation committee recognize that implementing best practices with respect to compensation is important to achieving the goals of operating ethically, transparently and with the aim of achieving long-term stockholder value. Therefore, the following are important aspects of our compensation processes, decisions and programs:</w:t>
      </w:r>
    </w:p>
    <w:p>
      <w:pPr>
        <w:spacing w:after="0" w:line="64" w:lineRule="exact"/>
        <w:rPr>
          <w:sz w:val="20"/>
          <w:szCs w:val="20"/>
          <w:color w:val="auto"/>
        </w:rPr>
      </w:pPr>
    </w:p>
    <w:p>
      <w:pPr>
        <w:ind w:left="900" w:right="220" w:hanging="443"/>
        <w:spacing w:after="0" w:line="28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Compensation Committee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compensation committee consists solely of independent directors and they meet in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session as needed and as required by the committee charter.</w:t>
      </w:r>
    </w:p>
    <w:p>
      <w:pPr>
        <w:spacing w:after="0" w:line="46" w:lineRule="exact"/>
        <w:rPr>
          <w:rFonts w:ascii="Times New Roman" w:cs="Times New Roman" w:eastAsia="Times New Roman" w:hAnsi="Times New Roman"/>
          <w:sz w:val="18"/>
          <w:szCs w:val="18"/>
          <w:color w:val="auto"/>
        </w:rPr>
      </w:pPr>
    </w:p>
    <w:p>
      <w:pPr>
        <w:ind w:left="900" w:right="260" w:hanging="443"/>
        <w:spacing w:after="0" w:line="26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Compensation Advisor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compensation committee engages Pearl Meyer &amp; Partners, LLC, or Pearl Meyer, its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compensation advisor, to provide information on compensation developments and trends, peer group analysis related to annual executive compensation decisions and other advice on executive compensation.</w:t>
      </w:r>
    </w:p>
    <w:p>
      <w:pPr>
        <w:spacing w:after="0" w:line="62" w:lineRule="exact"/>
        <w:rPr>
          <w:rFonts w:ascii="Times New Roman" w:cs="Times New Roman" w:eastAsia="Times New Roman" w:hAnsi="Times New Roman"/>
          <w:sz w:val="18"/>
          <w:szCs w:val="18"/>
          <w:color w:val="auto"/>
        </w:rPr>
      </w:pPr>
    </w:p>
    <w:p>
      <w:pPr>
        <w:ind w:left="900" w:right="100" w:hanging="443"/>
        <w:spacing w:after="0" w:line="26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Pay-for-Performance Guides the Compensation Philosophy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significant portion of executive officer compensation is linked to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and executive compensation includes a significant long-term equity component, thereby making a substantial portion of each executive officer’s total compensation at risk and dependent upon our performance and stock price. This incentive structure motivates our executives to take actions that are designed to improve overall Company value and thereby act in the best interests of our stockholders.</w:t>
      </w:r>
    </w:p>
    <w:p>
      <w:pPr>
        <w:spacing w:after="0" w:line="68" w:lineRule="exact"/>
        <w:rPr>
          <w:rFonts w:ascii="Times New Roman" w:cs="Times New Roman" w:eastAsia="Times New Roman" w:hAnsi="Times New Roman"/>
          <w:sz w:val="18"/>
          <w:szCs w:val="18"/>
          <w:color w:val="auto"/>
        </w:rPr>
      </w:pPr>
    </w:p>
    <w:p>
      <w:pPr>
        <w:ind w:left="900" w:right="360" w:hanging="443"/>
        <w:spacing w:after="0" w:line="28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Single Trigger Payments on Change in Control</w:t>
      </w:r>
      <w:r>
        <w:rPr>
          <w:rFonts w:ascii="Times New Roman" w:cs="Times New Roman" w:eastAsia="Times New Roman" w:hAnsi="Times New Roman"/>
          <w:sz w:val="18"/>
          <w:szCs w:val="18"/>
          <w:color w:val="auto"/>
        </w:rPr>
        <w:t>. Change in control payments to our executive officers occur only upon a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within a set period of time, not automatically upon a change in control.</w:t>
      </w:r>
    </w:p>
    <w:p>
      <w:pPr>
        <w:spacing w:after="0" w:line="46"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Tax Gross-Ups</w:t>
      </w:r>
      <w:r>
        <w:rPr>
          <w:rFonts w:ascii="Times New Roman" w:cs="Times New Roman" w:eastAsia="Times New Roman" w:hAnsi="Times New Roman"/>
          <w:sz w:val="18"/>
          <w:szCs w:val="18"/>
          <w:color w:val="auto"/>
        </w:rPr>
        <w:t>. We do not provide for tax gross-ups on equity awards or "golden parachute" payments.</w:t>
      </w:r>
    </w:p>
    <w:p>
      <w:pPr>
        <w:spacing w:after="0" w:line="117" w:lineRule="exact"/>
        <w:rPr>
          <w:rFonts w:ascii="Times New Roman" w:cs="Times New Roman" w:eastAsia="Times New Roman" w:hAnsi="Times New Roman"/>
          <w:sz w:val="18"/>
          <w:szCs w:val="18"/>
          <w:color w:val="auto"/>
        </w:rPr>
      </w:pPr>
    </w:p>
    <w:p>
      <w:pPr>
        <w:ind w:left="900" w:hanging="443"/>
        <w:spacing w:after="0" w:line="259"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Clawback</w:t>
      </w:r>
      <w:r>
        <w:rPr>
          <w:rFonts w:ascii="Times New Roman" w:cs="Times New Roman" w:eastAsia="Times New Roman" w:hAnsi="Times New Roman"/>
          <w:sz w:val="18"/>
          <w:szCs w:val="18"/>
          <w:color w:val="auto"/>
        </w:rPr>
        <w:t>. The compensation committee has adopted a compensation recovery policy, in compliance with the SEC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listing rules, that requires that, in the event we restate our financial statements due to material noncompliance with any financial reporting requirement, we will recover any incentive-based compensation received by any current or former executive officer in the three years prior to the date that we are required to restate our financial statements that was in excess of the amount that would have been received based on the restated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Decision-Making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Board and Compensation Committee</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compensation committee oversees the design and implementation of our compensation program for our NEOs and other senior leaders and is primarily responsible for determining the compensation for all of our executive officers and senior leaders. Our compensation committee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the Chief Executive Officer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compensation committee has the authority to engage the services of a consulting firm or other outside advisors to assist it in designing our executive compensation programs and in making compensation decisions. During 2024, the compensation committee continued to retain the services of Pearl Meyer as its external compensation consultant. Pearl Meyer advises on executive compensation matters, including our overall compensation program design and collection of market data to inform our compensation programs for our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7" w:name="page28"/>
    <w:bookmarkEnd w:id="27"/>
    <w:p>
      <w:pPr>
        <w:ind w:right="80"/>
        <w:spacing w:after="0" w:line="258" w:lineRule="auto"/>
        <w:rPr>
          <w:sz w:val="20"/>
          <w:szCs w:val="20"/>
          <w:color w:val="auto"/>
        </w:rPr>
      </w:pPr>
      <w:r>
        <w:rPr>
          <w:rFonts w:ascii="Times New Roman" w:cs="Times New Roman" w:eastAsia="Times New Roman" w:hAnsi="Times New Roman"/>
          <w:sz w:val="18"/>
          <w:szCs w:val="18"/>
          <w:color w:val="auto"/>
        </w:rPr>
        <w:t>executive officers and members of our board of directors. It also reviews executives' contract terms to confirm that such terms are consistent with market information and identifies new trends and developments in executive compensation that the compensation committee should be aware of as it reviews compensation matters. Pearl Meyer reports directly to our compensation committee. As part of the annual compensation review process, our compensation committee assessed Pearl Meyer's independence for 2024 (consistent with Nasdaq listing standards) and concluded that the engagement of such consultant did not raise any conflicts of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Companies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evaluate the total compensation of our NEOs, our compensation committee, with guidance from Pearl Meyer, establishes a peer group of publicly traded biotechnology companies based on the following criteria:</w:t>
      </w:r>
    </w:p>
    <w:p>
      <w:pPr>
        <w:sectPr>
          <w:pgSz w:w="11900" w:h="16838" w:orient="portrait"/>
          <w:cols w:equalWidth="0" w:num="1">
            <w:col w:w="11240"/>
          </w:cols>
          <w:pgMar w:left="320" w:top="1228" w:right="339" w:bottom="1440" w:gutter="0" w:footer="0" w:header="0"/>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Factor Considered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Industry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Employees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Stage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 Capitalization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Therapeutic Area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Labor Market Competitor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Look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or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75 - 300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Pre-commercial clinical stage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 $3 billion trailing market capitalization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$75-300 million operating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that we compete with for executive talent</w:t>
      </w:r>
    </w:p>
    <w:p>
      <w:pPr>
        <w:spacing w:after="0" w:line="200" w:lineRule="exact"/>
        <w:rPr>
          <w:sz w:val="20"/>
          <w:szCs w:val="20"/>
          <w:color w:val="auto"/>
        </w:rPr>
      </w:pPr>
    </w:p>
    <w:p>
      <w:pPr>
        <w:sectPr>
          <w:pgSz w:w="11900" w:h="16838" w:orient="portrait"/>
          <w:cols w:equalWidth="0" w:num="2">
            <w:col w:w="4920" w:space="720"/>
            <w:col w:w="5600"/>
          </w:cols>
          <w:pgMar w:left="320" w:top="1228" w:right="339" w:bottom="1440" w:gutter="0" w:footer="0" w:header="0"/>
          <w:type w:val="continuous"/>
        </w:sectPr>
      </w:pPr>
    </w:p>
    <w:p>
      <w:pPr>
        <w:spacing w:after="0" w:line="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12529"/>
        </w:rPr>
        <w:t xml:space="preserve">While it is unlikely for all companies to align on all of the factors listed above, we look for the majority of companies to meet all of the factors. </w:t>
      </w:r>
      <w:r>
        <w:rPr>
          <w:rFonts w:ascii="Times New Roman" w:cs="Times New Roman" w:eastAsia="Times New Roman" w:hAnsi="Times New Roman"/>
          <w:sz w:val="18"/>
          <w:szCs w:val="18"/>
          <w:color w:val="000000"/>
        </w:rPr>
        <w:t>Based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these criteria, our peer group for 2024 compensation setting, as approved by our compensation committee, consisted of the following companies: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Ambrx Biopharma Inc.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Inhibrx, Inc.</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Nurix Therapeutics, Inc.</w:t>
            </w:r>
          </w:p>
        </w:tc>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Replimune Group, Inc.</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Bicycle Therapeutics plc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iTeos Therapeutics, Inc.</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Pliant Therapeutics, Inc.</w:t>
            </w:r>
          </w:p>
        </w:tc>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Revolution Medicines, Inc.</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Celldex Therapeutics, Inc.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Keros Therapeutics, Inc.</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PMV Pharmaceuticals, Inc.</w:t>
            </w:r>
          </w:p>
        </w:tc>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Syndax Pharmaceuticals, Inc.</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Dyne Therapeutics, Inc.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Kymera Therapeutics, Inc.</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Relay Therapeutics, Inc.</w:t>
            </w:r>
          </w:p>
        </w:tc>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Zentalis Pharmaceuticals, Inc.</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Foghorn Therapeutics, Inc.</w:t>
            </w:r>
          </w:p>
        </w:tc>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Merus N.V.</w:t>
            </w: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Repare Therapeutics, Inc.</w:t>
            </w:r>
          </w:p>
        </w:tc>
        <w:tc>
          <w:tcPr>
            <w:tcW w:w="2580" w:type="dxa"/>
            <w:vAlign w:val="bottom"/>
          </w:tcPr>
          <w:p>
            <w:pPr>
              <w:spacing w:after="0"/>
              <w:rPr>
                <w:sz w:val="20"/>
                <w:szCs w:val="20"/>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12529"/>
        </w:rPr>
        <w:t>Our compensation committee reviews our peer group at least annually and updates the peer group as needed. Additionally, due to the nature of our business, we may also compete with larger pharmaceutical companies and prestigious academic and non-profit organizations for executive talent. Our compensation committee believes the compensation practices of our peer group provide us with appropriate benchmarks for evaluating the compensation of our named executive officers.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12529"/>
        </w:rPr>
        <w:t>In addition to the peer group, the compensation committee also reviews industry and size specific compensation survey data to understand the competitiveness for certain of our named executive officer compensation opportunities. This information is intended to generally reflect the profile of the companies in our peer group, and is used when the peer group results for a certain role, or set of roles, do not contain a sufficient enough sample to make appropriate comparisons.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noted above, the primary elements of our executive compensation program are base salary, annual performance-based cash bonuses, and equity incentive awards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In setting executive base salaries and target cash bonuses and granting equity incentive awards, the compensation committee considered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setting NEO compensation, the compensation committee targets a general competitive position, based on independent third-party benchmark analytics to inform the mix of compensation of base salary, target cash bonus and long-term incentives. While the benchmark data informs the compensation committee's executive compensation decision-making, it does not set compensation at a given percentile relative to the peer group or market data, as the compensation committee recognizes that there are individual factors, such as experience, contribution, increased responsibilities, among other factors, that are also important in setting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8"/>
          <w:szCs w:val="18"/>
          <w:color w:val="auto"/>
        </w:rPr>
        <w:t>The annual base salaries of our named executive officers are determined, approved and reviewed periodically by our compensation committee (and our board of directors for the Chief Executive Officer) in order to compensate our named executive officers for their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 The table below sets forth the named executive officers’ base salaries for 2023 and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5"/>
                <w:szCs w:val="15"/>
                <w:color w:val="auto"/>
              </w:rPr>
            </w:pPr>
          </w:p>
        </w:tc>
        <w:tc>
          <w:tcPr>
            <w:tcW w:w="25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 Base Salary ($)</w:t>
            </w:r>
          </w:p>
        </w:tc>
        <w:tc>
          <w:tcPr>
            <w:tcW w:w="520" w:type="dxa"/>
            <w:vAlign w:val="bottom"/>
          </w:tcPr>
          <w:p>
            <w:pPr>
              <w:spacing w:after="0"/>
              <w:rPr>
                <w:sz w:val="15"/>
                <w:szCs w:val="15"/>
                <w:color w:val="auto"/>
              </w:rPr>
            </w:pPr>
          </w:p>
        </w:tc>
        <w:tc>
          <w:tcPr>
            <w:tcW w:w="24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 Base Salary ($)</w:t>
            </w:r>
          </w:p>
        </w:tc>
        <w:tc>
          <w:tcPr>
            <w:tcW w:w="100" w:type="dxa"/>
            <w:vAlign w:val="bottom"/>
          </w:tcPr>
          <w:p>
            <w:pPr>
              <w:spacing w:after="0"/>
              <w:rPr>
                <w:sz w:val="15"/>
                <w:szCs w:val="15"/>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627,000</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442,100</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486,314</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569,250</w:t>
            </w:r>
          </w:p>
        </w:tc>
        <w:tc>
          <w:tcPr>
            <w:tcW w:w="100" w:type="dxa"/>
            <w:vAlign w:val="bottom"/>
            <w:shd w:val="clear" w:color="auto" w:fill="CCEEFF"/>
          </w:tcPr>
          <w:p>
            <w:pPr>
              <w:spacing w:after="0"/>
              <w:rPr>
                <w:sz w:val="18"/>
                <w:szCs w:val="18"/>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 (1)</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435,942</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451,200</w:t>
            </w:r>
          </w:p>
        </w:tc>
        <w:tc>
          <w:tcPr>
            <w:tcW w:w="100" w:type="dxa"/>
            <w:vAlign w:val="bottom"/>
          </w:tcPr>
          <w:p>
            <w:pPr>
              <w:spacing w:after="0"/>
              <w:rPr>
                <w:sz w:val="20"/>
                <w:szCs w:val="20"/>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Mr. Barry was not a named executive officer until 2024.</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compensation committee, in setting base salary compensation for the named executive officers (and all Company employees) for 2024, implemented a minimum increase to base salaries of 3.5% which, based on regional market data, reflect an increase in the cost-of-living. This was done to ensure that employees had salaries that allowed them to maintain their purchasing power and to remain competitive with the companies with which we compete for talent. Base salary increases for 2024 were effective as of January 1, 2024.</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Dr. Weber's base salary was increased in 2024 by an additional 5% (for a total increase of 8.5%). The compensation committee and the board of directors noted that the CEO's base salary was below the 50th percentile base salary for chief executive officers in the Company's peer group. The increase in Dr. Weber's base salary aligned her base salary with the 50th percentile chief executive officer base salary at our peer group companies (the compensation committee has generally targeted the CEO's base salary to be at the 50th percentile for all other peer group chief executive officer's base salaries). As noted above, the compensation committee compensation philosophy is to pay the executive officers a base salary that is competitive with the companies that we compete with for talent, and this increase was designed to, among other things, meet that compensation objective.</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Ms. Beckman's base salary was increased in 2024 by an additional 6.5% (for a total increase of 10%) to reflect the increase in the cost-of-living and to bring Ms. Beckman's base salary into better alignment with the peer group. This base salary was consistent with the 50th percentile of the peer group and other market data.</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Dr. Crystal's base salary was increased in 2024 by 3.5% to reflect the increase in the cost-of-living. This base salary was consistent with the 50th percentile of the peer group and other market data.</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Mr. Barry's base salary was increased in 2024 by 3.5% to reflect the increase in the cost-of-living. This base salary was consistent with the 50th percentile of the peer group and other market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annual cash bonus program is intended to recognize and reward employees for achieving established objectives that are linked to the Company’s growth and success, with the goal of incentivizing our executives to take steps to meet our short-term financial and strategic objectives, thereby establishing the foundation for increasing the Company's intrinsic long-term value. The program rewards performance based on corporate and individual accomplishments (other than with respect to the CEO, whose annual cash bonus is determined solely based on corporate accomplishments). The compensation committee and the board endeavor to deliver a meaningful portion of total target cash compensation in the form of performance-based annual cash incentives. The board and the compensation committee believe that doing so is critical because the opportunity for a meaningful cash award will, together with strong management and accountability, drive executives to individually and collectively achieve and exceed our annual objectives. This approach supports the compensation committee's goal of linking a substantial portion of overall compensation to Company and the individual performance.</w:t>
      </w:r>
    </w:p>
    <w:p>
      <w:pPr>
        <w:spacing w:after="0" w:line="1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board of directors established bonus metrics that the compensation committee utilized in connection with the 2024 annual cash bonus program. The board of directors sets goals at the start of each performance year, in consultation with the compensation committee, and then the board tracks actual performance against these goals at each board meeting, with a final assessment occurring at the end of the annual performance year. Our Company performance goals are consistent throughout the organization to ensure there is full alignment and clarity on the critical goals for Tango.</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2024 annual cash bonus program provided for formula-based incentive payments based upon the achievement of certain corporate and individual performance goals and objectives approved by our compensation committee and board of directors. These targets were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ind w:right="120"/>
        <w:spacing w:after="0" w:line="258" w:lineRule="auto"/>
        <w:rPr>
          <w:sz w:val="20"/>
          <w:szCs w:val="20"/>
          <w:color w:val="auto"/>
        </w:rPr>
      </w:pPr>
      <w:r>
        <w:rPr>
          <w:rFonts w:ascii="Times New Roman" w:cs="Times New Roman" w:eastAsia="Times New Roman" w:hAnsi="Times New Roman"/>
          <w:sz w:val="18"/>
          <w:szCs w:val="18"/>
          <w:color w:val="auto"/>
        </w:rPr>
        <w:t>established in early 2024 and communicated to the executives (and remained unchanged during the year with the exception of the advancement of TNG348). Bonuses are targeted at a percentage of the executive officer’s base salary, and, to the extent earned, are paid out in the first quarter of the following year. In 2024, the board of directors and the compensation committee determined that it would maintain the bonus target for Ms. Beckman and Dr. Crystal to be consistent with their respective bonus targets in 2023, but increased the target bonuses, as a percentage of base salary, for Dr. Weber and Mr. Barry to better align with peer group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named executive officers’ target annual cash bonus percentages for 2023 and 2024:</w:t>
      </w: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8"/>
                <w:szCs w:val="18"/>
                <w:color w:val="auto"/>
              </w:rPr>
            </w:pPr>
          </w:p>
        </w:tc>
        <w:tc>
          <w:tcPr>
            <w:tcW w:w="26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 Bonus Target (%)</w:t>
            </w:r>
          </w:p>
        </w:tc>
        <w:tc>
          <w:tcPr>
            <w:tcW w:w="300" w:type="dxa"/>
            <w:vAlign w:val="bottom"/>
          </w:tcPr>
          <w:p>
            <w:pPr>
              <w:spacing w:after="0"/>
              <w:rPr>
                <w:sz w:val="18"/>
                <w:szCs w:val="18"/>
                <w:color w:val="auto"/>
              </w:rPr>
            </w:pPr>
          </w:p>
        </w:tc>
        <w:tc>
          <w:tcPr>
            <w:tcW w:w="26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 Bonus Target (%)</w:t>
            </w:r>
          </w:p>
        </w:tc>
        <w:tc>
          <w:tcPr>
            <w:tcW w:w="280" w:type="dxa"/>
            <w:vAlign w:val="bottom"/>
          </w:tcPr>
          <w:p>
            <w:pPr>
              <w:spacing w:after="0"/>
              <w:rPr>
                <w:sz w:val="18"/>
                <w:szCs w:val="18"/>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29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55 %</w:t>
            </w:r>
          </w:p>
        </w:tc>
        <w:tc>
          <w:tcPr>
            <w:tcW w:w="29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60 %</w:t>
            </w:r>
          </w:p>
        </w:tc>
        <w:tc>
          <w:tcPr>
            <w:tcW w:w="280" w:type="dxa"/>
            <w:vAlign w:val="bottom"/>
            <w:shd w:val="clear" w:color="auto" w:fill="CCEEFF"/>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29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40 %</w:t>
            </w:r>
          </w:p>
        </w:tc>
        <w:tc>
          <w:tcPr>
            <w:tcW w:w="2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tcPr>
          <w:p>
            <w:pPr>
              <w:spacing w:after="0"/>
              <w:rPr>
                <w:sz w:val="18"/>
                <w:szCs w:val="18"/>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29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45 %</w:t>
            </w:r>
          </w:p>
        </w:tc>
        <w:tc>
          <w:tcPr>
            <w:tcW w:w="29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45 %</w:t>
            </w:r>
          </w:p>
        </w:tc>
        <w:tc>
          <w:tcPr>
            <w:tcW w:w="280" w:type="dxa"/>
            <w:vAlign w:val="bottom"/>
            <w:shd w:val="clear" w:color="auto" w:fill="CCEEFF"/>
          </w:tcPr>
          <w:p>
            <w:pPr>
              <w:spacing w:after="0"/>
              <w:rPr>
                <w:sz w:val="18"/>
                <w:szCs w:val="18"/>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 (1)</w:t>
            </w:r>
          </w:p>
        </w:tc>
        <w:tc>
          <w:tcPr>
            <w:tcW w:w="29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35 %</w:t>
            </w:r>
          </w:p>
        </w:tc>
        <w:tc>
          <w:tcPr>
            <w:tcW w:w="2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tcPr>
          <w:p>
            <w:pPr>
              <w:spacing w:after="0"/>
              <w:rPr>
                <w:sz w:val="20"/>
                <w:szCs w:val="20"/>
                <w:color w:val="auto"/>
              </w:rPr>
            </w:pPr>
          </w:p>
        </w:tc>
      </w:tr>
    </w:tbl>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 Mr. Barry was not a named executive officer until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corporate component of the 2024 annual cash bonus program consisted of the five separate metrics described below that were weighted as follows:</w:t>
      </w:r>
    </w:p>
    <w:p>
      <w:pPr>
        <w:spacing w:after="0" w:line="113" w:lineRule="exact"/>
        <w:rPr>
          <w:sz w:val="20"/>
          <w:szCs w:val="20"/>
          <w:color w:val="auto"/>
        </w:rPr>
      </w:pPr>
    </w:p>
    <w:p>
      <w:pPr>
        <w:jc w:val="both"/>
        <w:ind w:left="900" w:right="480" w:hanging="443"/>
        <w:spacing w:after="0" w:line="26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Discovery </w:t>
      </w:r>
      <w:r>
        <w:rPr>
          <w:rFonts w:ascii="Times New Roman" w:cs="Times New Roman" w:eastAsia="Times New Roman" w:hAnsi="Times New Roman"/>
          <w:sz w:val="18"/>
          <w:szCs w:val="18"/>
          <w:color w:val="auto"/>
        </w:rPr>
        <w:t>- weighted 10%. This target was designed to encourage our employees to identify validated novel targets and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ligandability assessments to establish an enhanced and sustainable product pipeline that is designed to serve as the foundation for future clinical stage assets and growth opportunities for the Company.</w:t>
      </w:r>
    </w:p>
    <w:p>
      <w:pPr>
        <w:spacing w:after="0" w:line="62" w:lineRule="exact"/>
        <w:rPr>
          <w:rFonts w:ascii="Times New Roman" w:cs="Times New Roman" w:eastAsia="Times New Roman" w:hAnsi="Times New Roman"/>
          <w:sz w:val="18"/>
          <w:szCs w:val="18"/>
          <w:color w:val="auto"/>
        </w:rPr>
      </w:pPr>
    </w:p>
    <w:p>
      <w:pPr>
        <w:ind w:left="900" w:right="40" w:hanging="443"/>
        <w:spacing w:after="0" w:line="28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Drug Discovery </w:t>
      </w:r>
      <w:r>
        <w:rPr>
          <w:rFonts w:ascii="Times New Roman" w:cs="Times New Roman" w:eastAsia="Times New Roman" w:hAnsi="Times New Roman"/>
          <w:sz w:val="18"/>
          <w:szCs w:val="18"/>
          <w:color w:val="auto"/>
        </w:rPr>
        <w:t>- weighted 10%. This target was established to incentivize our employees to continue to advance our identified programs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drug discovery phases.</w:t>
      </w:r>
    </w:p>
    <w:p>
      <w:pPr>
        <w:spacing w:after="0" w:line="46" w:lineRule="exact"/>
        <w:rPr>
          <w:rFonts w:ascii="Times New Roman" w:cs="Times New Roman" w:eastAsia="Times New Roman" w:hAnsi="Times New Roman"/>
          <w:sz w:val="18"/>
          <w:szCs w:val="18"/>
          <w:color w:val="auto"/>
        </w:rPr>
      </w:pPr>
    </w:p>
    <w:p>
      <w:pPr>
        <w:ind w:left="900" w:right="20" w:hanging="443"/>
        <w:spacing w:after="0" w:line="259"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Development </w:t>
      </w:r>
      <w:r>
        <w:rPr>
          <w:rFonts w:ascii="Times New Roman" w:cs="Times New Roman" w:eastAsia="Times New Roman" w:hAnsi="Times New Roman"/>
          <w:sz w:val="18"/>
          <w:szCs w:val="18"/>
          <w:color w:val="auto"/>
        </w:rPr>
        <w:t>- weighted 50%. Given the importance of the clinical trial program to the Company's overall success and its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intrinsic value, drug development was the factor with the highest weighting as determined by the board of directors. This target was designed to meet our goals of: submitting an IND for TNG456, progressing on-going TNG462 clinical trials into dose expansion and establishing proof-of-concept for TNG260. The board of directors had also established an objective relating to TNG348, but the program was discontinued due to toxicity observed in the initial study cohorts.</w:t>
      </w:r>
    </w:p>
    <w:p>
      <w:pPr>
        <w:spacing w:after="0" w:line="71" w:lineRule="exact"/>
        <w:rPr>
          <w:rFonts w:ascii="Times New Roman" w:cs="Times New Roman" w:eastAsia="Times New Roman" w:hAnsi="Times New Roman"/>
          <w:sz w:val="18"/>
          <w:szCs w:val="18"/>
          <w:color w:val="auto"/>
        </w:rPr>
      </w:pPr>
    </w:p>
    <w:p>
      <w:pPr>
        <w:ind w:left="900" w:right="160" w:hanging="443"/>
        <w:spacing w:after="0" w:line="26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Strategy </w:t>
      </w:r>
      <w:r>
        <w:rPr>
          <w:rFonts w:ascii="Times New Roman" w:cs="Times New Roman" w:eastAsia="Times New Roman" w:hAnsi="Times New Roman"/>
          <w:sz w:val="18"/>
          <w:szCs w:val="18"/>
          <w:color w:val="auto"/>
        </w:rPr>
        <w:t>- weighted 20%. This target was established to incentivize our employees to continue to generate scientific publications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disclosures that highlight the strength of our science, our discovery platform and our programs, as well as to meet budgetary and other important cash-based goals that are designed to allow for continued development of our product pipeline and the advance of clinical development programs in the future.</w:t>
      </w:r>
    </w:p>
    <w:p>
      <w:pPr>
        <w:spacing w:after="0" w:line="68" w:lineRule="exact"/>
        <w:rPr>
          <w:rFonts w:ascii="Times New Roman" w:cs="Times New Roman" w:eastAsia="Times New Roman" w:hAnsi="Times New Roman"/>
          <w:sz w:val="18"/>
          <w:szCs w:val="18"/>
          <w:color w:val="auto"/>
        </w:rPr>
      </w:pPr>
    </w:p>
    <w:p>
      <w:pPr>
        <w:ind w:left="900" w:right="300" w:hanging="443"/>
        <w:spacing w:after="0" w:line="26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People </w:t>
      </w:r>
      <w:r>
        <w:rPr>
          <w:rFonts w:ascii="Times New Roman" w:cs="Times New Roman" w:eastAsia="Times New Roman" w:hAnsi="Times New Roman"/>
          <w:sz w:val="18"/>
          <w:szCs w:val="18"/>
          <w:color w:val="auto"/>
        </w:rPr>
        <w:t>- weighted 10%. This target was designed to reward results with respect to: (i) engagement survey results conducted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associates, (ii) building out critical functions of our organization as we advanced our clinical trials and (iii) limiting employee turnover in a competitive environment for talent.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consultation with the board of directors, the compensation committee determined that the overall achievement of the corporate performance metrics for the 2024 annual cash bonus program was 113% of target for all employees, including the named executive officers. The following provides a description of the factors that the board of directors and the compensation committee considered in determining achievement of the metrics and the approved level of achievement:</w:t>
      </w:r>
    </w:p>
    <w:p>
      <w:pPr>
        <w:spacing w:after="0" w:line="68" w:lineRule="exact"/>
        <w:rPr>
          <w:sz w:val="20"/>
          <w:szCs w:val="20"/>
          <w:color w:val="auto"/>
        </w:rPr>
      </w:pPr>
    </w:p>
    <w:p>
      <w:pPr>
        <w:ind w:left="1020" w:right="200" w:hanging="503"/>
        <w:spacing w:after="0" w:line="26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Discovery </w:t>
      </w:r>
      <w:r>
        <w:rPr>
          <w:rFonts w:ascii="Times New Roman" w:cs="Times New Roman" w:eastAsia="Times New Roman" w:hAnsi="Times New Roman"/>
          <w:sz w:val="18"/>
          <w:szCs w:val="18"/>
          <w:color w:val="auto"/>
        </w:rPr>
        <w:t>- the goal was achieved at 110% of the target due to meeting the number of validated targets established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performing the requisite ligandability assessments, all of which increased the potential to introduce new novel targets for development by the drug discovery team.</w:t>
      </w:r>
    </w:p>
    <w:p>
      <w:pPr>
        <w:spacing w:after="0" w:line="62" w:lineRule="exact"/>
        <w:rPr>
          <w:rFonts w:ascii="Times New Roman" w:cs="Times New Roman" w:eastAsia="Times New Roman" w:hAnsi="Times New Roman"/>
          <w:sz w:val="18"/>
          <w:szCs w:val="18"/>
          <w:color w:val="auto"/>
        </w:rPr>
      </w:pPr>
    </w:p>
    <w:p>
      <w:pPr>
        <w:ind w:left="1020" w:right="740" w:hanging="503"/>
        <w:spacing w:after="0" w:line="28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Drug Discovery </w:t>
      </w:r>
      <w:r>
        <w:rPr>
          <w:rFonts w:ascii="Times New Roman" w:cs="Times New Roman" w:eastAsia="Times New Roman" w:hAnsi="Times New Roman"/>
          <w:sz w:val="18"/>
          <w:szCs w:val="18"/>
          <w:color w:val="auto"/>
        </w:rPr>
        <w:t>- the goal was achieved at 90% of the target as a result of meaningful progress toward selection of a potential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candidate, but there was slower progress on two targets.</w:t>
      </w:r>
    </w:p>
    <w:p>
      <w:pPr>
        <w:spacing w:after="0" w:line="46" w:lineRule="exact"/>
        <w:rPr>
          <w:rFonts w:ascii="Times New Roman" w:cs="Times New Roman" w:eastAsia="Times New Roman" w:hAnsi="Times New Roman"/>
          <w:sz w:val="18"/>
          <w:szCs w:val="18"/>
          <w:color w:val="auto"/>
        </w:rPr>
      </w:pPr>
    </w:p>
    <w:p>
      <w:pPr>
        <w:ind w:left="1020" w:right="180" w:hanging="503"/>
        <w:spacing w:after="0" w:line="26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Development </w:t>
      </w:r>
      <w:r>
        <w:rPr>
          <w:rFonts w:ascii="Times New Roman" w:cs="Times New Roman" w:eastAsia="Times New Roman" w:hAnsi="Times New Roman"/>
          <w:sz w:val="18"/>
          <w:szCs w:val="18"/>
          <w:color w:val="auto"/>
        </w:rPr>
        <w:t>- the goal was achieved at 125% of the target due to having established proof-of-concept for each of TNG908,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TNG462 and TNG260 during the year, completing the initial data release on TNG908 and TNG462, advancing substantial work on the TNG456 IND and the significant achievement of operating four clinical trials during the year and all being conducted either on schedule or ahead of schedule.</w:t>
      </w:r>
    </w:p>
    <w:p>
      <w:pPr>
        <w:spacing w:after="0" w:line="68" w:lineRule="exact"/>
        <w:rPr>
          <w:rFonts w:ascii="Times New Roman" w:cs="Times New Roman" w:eastAsia="Times New Roman" w:hAnsi="Times New Roman"/>
          <w:sz w:val="18"/>
          <w:szCs w:val="18"/>
          <w:color w:val="auto"/>
        </w:rPr>
      </w:pPr>
    </w:p>
    <w:p>
      <w:pPr>
        <w:ind w:left="1020" w:right="200" w:hanging="503"/>
        <w:spacing w:after="0" w:line="28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Strategy</w:t>
      </w:r>
      <w:r>
        <w:rPr>
          <w:rFonts w:ascii="Times New Roman" w:cs="Times New Roman" w:eastAsia="Times New Roman" w:hAnsi="Times New Roman"/>
          <w:sz w:val="18"/>
          <w:szCs w:val="18"/>
          <w:color w:val="auto"/>
        </w:rPr>
        <w:t>- the goal was achieved at 90% of the target. While the scientific publications and presentations surpassed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objectives, goals with respect to certain financial metrics were below the established targets.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0" w:name="page31"/>
    <w:bookmarkEnd w:id="30"/>
    <w:p>
      <w:pPr>
        <w:ind w:left="1020" w:right="20" w:hanging="503"/>
        <w:spacing w:after="0" w:line="26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People </w:t>
      </w:r>
      <w:r>
        <w:rPr>
          <w:rFonts w:ascii="Times New Roman" w:cs="Times New Roman" w:eastAsia="Times New Roman" w:hAnsi="Times New Roman"/>
          <w:sz w:val="18"/>
          <w:szCs w:val="18"/>
          <w:color w:val="auto"/>
        </w:rPr>
        <w:t>- the goal was achieved at 120% of the target due to the growth in the Company's headcount in certain important functional areas,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additions of Ms. Carretero as Chief Human Resources Officer and key clinical development competencies that supported the conduct and advancement of our clinical trials. In addition, our employee turnover rate remained well below market standards and the metric established by the board of directors.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this performance, which exceeded many of the objective goals set for 2024, the bonus payout based on the achievement of such objectives was approved at 113% of target.</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target bonus as a percentage of base salary, the cash bonus payment at target and the actual bonus payout based on the success Tango achieved in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19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 Bonus Target (%)</w:t>
            </w:r>
          </w:p>
        </w:tc>
        <w:tc>
          <w:tcPr>
            <w:tcW w:w="240" w:type="dxa"/>
            <w:vAlign w:val="bottom"/>
          </w:tcPr>
          <w:p>
            <w:pPr>
              <w:spacing w:after="0"/>
              <w:rPr>
                <w:sz w:val="15"/>
                <w:szCs w:val="15"/>
                <w:color w:val="auto"/>
              </w:rPr>
            </w:pPr>
          </w:p>
        </w:tc>
        <w:tc>
          <w:tcPr>
            <w:tcW w:w="1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 Bonus Target ($)</w:t>
            </w:r>
          </w:p>
        </w:tc>
        <w:tc>
          <w:tcPr>
            <w:tcW w:w="380" w:type="dxa"/>
            <w:vAlign w:val="bottom"/>
          </w:tcPr>
          <w:p>
            <w:pPr>
              <w:spacing w:after="0"/>
              <w:rPr>
                <w:sz w:val="15"/>
                <w:szCs w:val="15"/>
                <w:color w:val="auto"/>
              </w:rPr>
            </w:pPr>
          </w:p>
        </w:tc>
        <w:tc>
          <w:tcPr>
            <w:tcW w:w="20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Actual 2024 Bonus ($)</w:t>
            </w:r>
          </w:p>
        </w:tc>
        <w:tc>
          <w:tcPr>
            <w:tcW w:w="820" w:type="dxa"/>
            <w:vAlign w:val="bottom"/>
          </w:tcPr>
          <w:p>
            <w:pPr>
              <w:spacing w:after="0"/>
              <w:rPr>
                <w:sz w:val="15"/>
                <w:szCs w:val="15"/>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21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60 %</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396,000</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447,477</w:t>
            </w:r>
          </w:p>
        </w:tc>
        <w:tc>
          <w:tcPr>
            <w:tcW w:w="820" w:type="dxa"/>
            <w:vAlign w:val="bottom"/>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21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40 %</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194,526</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213,492</w:t>
            </w:r>
          </w:p>
        </w:tc>
        <w:tc>
          <w:tcPr>
            <w:tcW w:w="8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21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45 %</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256,163</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297,149</w:t>
            </w:r>
          </w:p>
        </w:tc>
        <w:tc>
          <w:tcPr>
            <w:tcW w:w="820" w:type="dxa"/>
            <w:vAlign w:val="bottom"/>
            <w:shd w:val="clear" w:color="auto" w:fill="CCEEFF"/>
          </w:tcPr>
          <w:p>
            <w:pPr>
              <w:spacing w:after="0"/>
              <w:rPr>
                <w:sz w:val="18"/>
                <w:szCs w:val="18"/>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w:t>
            </w:r>
          </w:p>
        </w:tc>
        <w:tc>
          <w:tcPr>
            <w:tcW w:w="21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40 %</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180,480</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204,845</w:t>
            </w:r>
          </w:p>
        </w:tc>
        <w:tc>
          <w:tcPr>
            <w:tcW w:w="820" w:type="dxa"/>
            <w:vAlign w:val="bottom"/>
          </w:tcPr>
          <w:p>
            <w:pPr>
              <w:spacing w:after="0"/>
              <w:rPr>
                <w:sz w:val="20"/>
                <w:szCs w:val="20"/>
                <w:color w:val="auto"/>
              </w:rPr>
            </w:pPr>
          </w:p>
        </w:tc>
      </w:tr>
    </w:tbl>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final bonus payments to our named executive officers are determined by our compensation committee (with the exception of the CEO, whose final bonus payment is determined by the board of directors), which, in each case, retains full discretion to adjust individual actual bonus awards based on the achievement of corporate and individual performance objectives, and may also adjust bonus awards based on other factors in their discretion. The compensation committee allocated 75% of the aggregate 2024 bonus payment to the corporate performance metrics and 25% to individual performance for named executive officers other than the CEO, whose final bonus payment is determined solely based on corporate performance and does not have an individual performance allocation. The board of directors determined that since Dr. Weber is responsible for overall corporate performance, the full amount of her cash bonus payment should be determined by reference to corporate performance relative to the metrics set by the board of directors, and not take into account any individual performance metrics. Individual performance objectives used for the other named executive officers are generally related to such named executive officer’s performance in his or her area of responsibility and his or her contributions to Tango, as well as embodying and living the Company's core cultural values (which includes team building and contributions, investing time in developing leaders and modeling diligence and professionalism in interactions with colleagues). The individual objectives assigned in 2024 to our named executive officers other than our CEO were as follows:</w:t>
      </w:r>
    </w:p>
    <w:p>
      <w:pPr>
        <w:spacing w:after="0" w:line="82" w:lineRule="exact"/>
        <w:rPr>
          <w:sz w:val="20"/>
          <w:szCs w:val="20"/>
          <w:color w:val="auto"/>
        </w:rPr>
      </w:pPr>
    </w:p>
    <w:p>
      <w:pPr>
        <w:ind w:left="1020" w:right="34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Daniella Beckman: Ms. Beckman was assigned objectives related to: (i) expanding corporate presence and influence, both externally and internally; and (ii) ensuring the continued evolution and excellence of the finance, business development, communications, information systems and facilities functional capabilities and processes to meet the needs of the company. For 2024, the compensation committee determined that Ms. Beckman achieved the combined performance metrics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corporate and individual metrics, including individual performance related to the Company's core values, together, at 110%).</w:t>
      </w:r>
    </w:p>
    <w:p>
      <w:pPr>
        <w:spacing w:after="0" w:line="7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Crystal, M.D., Ph.D.: Dr. Crystal was assigned objectives related to (i) the continued advancement of the research and development pipeline, and (2) driving our clinical organization to enroll patients in clinical trials and execute on preparation for multiple monotherapy and combination trials in 2025 and 2026. For 2024, the compensation committee determined that Dr. Crystal achieved the combined performance factors at 116%.</w:t>
      </w:r>
    </w:p>
    <w:p>
      <w:pPr>
        <w:spacing w:after="0" w:line="71"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Barry: Mr. Barry was assigned objectives relating to (i) establishing efficient contracting procedures to support the organization and (ii) developing standard operating procedures on certain legal and compliance processes. For 2024, the compensation committee determined that Mr. Barry achieved the combined performance factors at 114%.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equity incentive awards granted to our named executive officers are designed to align their interests with those of our stockholders, and to retain and motivate our NEOs.</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historically used stock options as our primary form of long-term incentive compensation awards to our executive officers because stock options allow our executive officers to profit from this form of equity compensation only if our stock price increases relative to the stock option’s exercise price, which exercise price is set at the fair market value of our common shares on the date of grant. In 2023 and 2024, the compensation committee included restricted stock units, or RSUs, as a component of the long-term equity incentive package, in addition to stock options. The compensation committee determined that RSUs would be a valuable component of the overall compensation package for a number of reasons, including: (i) the use of RSUs as a part of equity compensation was being adopted by peer companies, and the inclusion of such awards allows for the attraction and retention of key talent as competition for talent increases, (ii) RSUs can provide value to executives and employees in a volatile market, and (iii) we can grant fewer RSUs than shares underlying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1" w:name="page32"/>
    <w:bookmarkEnd w:id="31"/>
    <w:p>
      <w:pPr>
        <w:ind w:right="180"/>
        <w:spacing w:after="0" w:line="282" w:lineRule="auto"/>
        <w:rPr>
          <w:sz w:val="20"/>
          <w:szCs w:val="20"/>
          <w:color w:val="auto"/>
        </w:rPr>
      </w:pPr>
      <w:r>
        <w:rPr>
          <w:rFonts w:ascii="Times New Roman" w:cs="Times New Roman" w:eastAsia="Times New Roman" w:hAnsi="Times New Roman"/>
          <w:sz w:val="18"/>
          <w:szCs w:val="18"/>
          <w:color w:val="auto"/>
        </w:rPr>
        <w:t>options at an equivalent grant date fair value, which minimizes the dilution to our existing stockholders. For 2023 and 2024, the compensation committee determined to grant one RSU for every two shares of stock subject to a stock option award (a 2:1 ratio).</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Along with the 2024 cash bonus program, stock options and RSUs are a critical component of the variable portion of overall compensation that is designed to reward executive officer performance. Equity awards encourage our executives to focus on those corporate actions that drive increases in long-term value as reflected in our stock price. Further, the four-year vesting schedule encourages executives to remain employed by the Company for an extended period. As noted above, we believe RSUs, which accounted for a minority of the total annual equity package granted to each of our executives and employees in 2024, incentivize a focus on long-term value and stockholder interests even when market conditions may cause stock prices to decrease and further our objectives of retaining and motivating employees in a competitive market.</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grant equity awards at such times as our board of directors or compensation committee determines appropriate. The Company's equity incentive program is reviewed on an annual basis by our compensation committee (usually in November or December of the year preceding the year in which grants are made) to analyze and confirm that the equity component of the compensation program is achieving its objectives to reward long-term performance and motivate and retain our NEOs. Our compensation committee reviews and determines the appropriate equity awards to be used that align with our business needs, our pay-for-performance philosophy and the practices of our peer group. The actual award or awards granted to each executive officer differ based on criticality and impact of the job on the Company, individual performance results, potential future expected contributions, skills, market competitiveness and other factors that the compensation committee determines necessary in order to advance the goals of our compensation philosophy.</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executives generally are awarded an initial equity grant in connection with their commencement of employment with us. Additional grants may be made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service relationship with us. All options are granted with an exercise price that is no less than the fair market value of our common stock on the date of such grant of such award. Our RSUs typically vest in three equal annual installments, subject to the holder’s continued service relationship with the Company. From time to time, the board of directors or compensation committee may also use alternative vesting schedules as it determines are appropriate to motivate particular employees.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equity awards granted to our named executive officers in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31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 of Shares Underlying Stock Options</w:t>
            </w:r>
          </w:p>
        </w:tc>
        <w:tc>
          <w:tcPr>
            <w:tcW w:w="120" w:type="dxa"/>
            <w:vAlign w:val="bottom"/>
          </w:tcPr>
          <w:p>
            <w:pPr>
              <w:spacing w:after="0"/>
              <w:rPr>
                <w:sz w:val="13"/>
                <w:szCs w:val="13"/>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 Underlying Stock Awards</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Granted in 2024</w:t>
            </w:r>
          </w:p>
        </w:tc>
        <w:tc>
          <w:tcPr>
            <w:tcW w:w="120" w:type="dxa"/>
            <w:vAlign w:val="bottom"/>
          </w:tcPr>
          <w:p>
            <w:pPr>
              <w:spacing w:after="0"/>
              <w:rPr>
                <w:sz w:val="15"/>
                <w:szCs w:val="15"/>
                <w:color w:val="auto"/>
              </w:rPr>
            </w:pPr>
          </w:p>
        </w:tc>
        <w:tc>
          <w:tcPr>
            <w:tcW w:w="310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Granted in 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523,012</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236,475</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279,593</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137,156</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 Perquisites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Plans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their employment, our named executive officers are eligible to participate in our employee benefit plans and programs, including medical and dental benefits, life insurance and disability benefits, to the same extent as our other full-time employees, subject to the terms and eligibility requirements of those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NEOs, who satisfy certain eligibility requirements. The savings plan is intended to qualify for favorable tax treatment under Section 401(a) of the Internal Revenue Code of 1986, as amended, or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In 2022, our compensation committee authorized the Company to begin matching employee contributions up to a maximum of 100% of the first 2% of eligible compensation and 50% of the next 4% of eligible compensation during each pay period, subject to statutory limits. Our named executive officers are eligible to participate in the 401(k) plan on the same terms as other full-time employees.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the compensation committee has adopted a compensation recovery policy (effective as of October 2, 2023). The compensation recovery policy provides that in the event we are required to prepare a restatement of our financial statements due to material noncompliance with any financial reporting requirement under securities laws, we will seek to recover (subject to certain limited exceptions set forth in the compensation recovery policy and permitted by Nasdaq listing rules)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based on the restated financial statements. The compensation recovery policy is filed as Exhibit 97.1 to the 2024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Grant Practices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an Equity Grant Award Policy to standardize the process of granting equity in accordance with applicable legal and regulatory requirements, and to enhance its internal controls. Under this policy, equity awards to the Company's employees, including NEOs, are typically approved by the board of directors, the compensation committee, or its/their delegate and granted on an annual basis on a predetermined date in the month of February. Equity grants to certain newly hired employees or promoted individuals, including executive officers, are made on the first trading day of each month following the later of (i) the date on which such individual's employment begins or promotion occurs or (ii) the date on which such grant is approved by the board of directors, the compensation committee, or its/there delegate(s). It is the Company's policy to not purposely accelerate or delay the release of material nonpublic information in consideration of a pending equity award in order to allow the grantee to benefit from a more favorable stock price.</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required pursuant to Item 402(x) of Regulations S-K, the following table provides information regarding option awards granted to our named executive officers in the fiscal year ended December 31, 2024, during any period beginning four business days before the filing or furnishing of a periodic report or current report disclosing material non-public information and ending one business day after the filing or furnishing of such report with the Securities and Exchange Commission.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 Change in the Closing Market Price of the</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Underlying the Award Between the Trading Day</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00" w:type="dxa"/>
            <w:vAlign w:val="bottom"/>
          </w:tcPr>
          <w:p>
            <w:pPr>
              <w:spacing w:after="0"/>
              <w:rPr>
                <w:sz w:val="17"/>
                <w:szCs w:val="17"/>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Ending Immediately Prior to the Disclosure of Material</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Price of the</w:t>
            </w:r>
          </w:p>
        </w:tc>
        <w:tc>
          <w:tcPr>
            <w:tcW w:w="2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7"/>
                <w:szCs w:val="17"/>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Nonpublic Information and the Trading Day Beginning</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Award</w:t>
            </w:r>
          </w:p>
        </w:tc>
        <w:tc>
          <w:tcPr>
            <w:tcW w:w="2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 the</w:t>
            </w:r>
          </w:p>
        </w:tc>
        <w:tc>
          <w:tcPr>
            <w:tcW w:w="200" w:type="dxa"/>
            <w:vAlign w:val="bottom"/>
          </w:tcPr>
          <w:p>
            <w:pPr>
              <w:spacing w:after="0"/>
              <w:rPr>
                <w:sz w:val="17"/>
                <w:szCs w:val="17"/>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Immediately Following the Disclosure of Material</w:t>
            </w:r>
          </w:p>
        </w:tc>
      </w:tr>
      <w:tr>
        <w:trPr>
          <w:trHeight w:val="215"/>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the Award</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Award</w:t>
            </w:r>
          </w:p>
        </w:tc>
        <w:tc>
          <w:tcPr>
            <w:tcW w:w="200" w:type="dxa"/>
            <w:vAlign w:val="bottom"/>
          </w:tcPr>
          <w:p>
            <w:pPr>
              <w:spacing w:after="0"/>
              <w:rPr>
                <w:sz w:val="18"/>
                <w:szCs w:val="18"/>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Nonpublic Information</w:t>
            </w:r>
          </w:p>
        </w:tc>
        <w:tc>
          <w:tcPr>
            <w:tcW w:w="200" w:type="dxa"/>
            <w:vAlign w:val="bottom"/>
          </w:tcPr>
          <w:p>
            <w:pPr>
              <w:spacing w:after="0"/>
              <w:rPr>
                <w:sz w:val="18"/>
                <w:szCs w:val="18"/>
                <w:color w:val="auto"/>
              </w:rPr>
            </w:pPr>
          </w:p>
        </w:tc>
      </w:tr>
      <w:tr>
        <w:trPr>
          <w:trHeight w:val="21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Weber, M.D.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523,012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236,475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Crystal, M.D., Ph.D.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r>
      <w:tr>
        <w:trPr>
          <w:trHeight w:val="23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Barry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Deductibility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Section 162(m) of the Internal Revenue Code, publicly held corporations generally may not deduct compensation in excess of $1 million paid to certain executive officers, subject to limited transition relief for certain arrangements in place as of November 2, 2017. The compensation committee believes that its primary responsibility is to provide a compensation program that attracts, engages, retains and rewards the executive officers necessary for the Company’s success, as described above. As a result, while the compensation committee considers tax deductibility as one factor in determining executive compensation, we currently and may in the future pay compensation that is not fully deductible, in whole or in part, under Section 162(m) in order to ensure competitive levels of total compensation for our executive officers and when we otherwise view such compensation as consistent with our compensation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ind w:right="60"/>
        <w:spacing w:after="0" w:line="255" w:lineRule="auto"/>
        <w:rPr>
          <w:sz w:val="20"/>
          <w:szCs w:val="20"/>
          <w:color w:val="auto"/>
        </w:rPr>
      </w:pPr>
      <w:r>
        <w:rPr>
          <w:rFonts w:ascii="Times New Roman" w:cs="Times New Roman" w:eastAsia="Times New Roman" w:hAnsi="Times New Roman"/>
          <w:sz w:val="18"/>
          <w:szCs w:val="18"/>
          <w:color w:val="auto"/>
        </w:rPr>
        <w:t>We follow Financial Accounting Standards Board Accounting Standards Codification Topic 718, or ASC Topic 718, for our stock-based compensation awards to employees and directors. ASC Topic 718 requires companies to measure the compensation expense for all share-based awards, including stock options and RSUs, based on the grant date “fair value” of these awards. This calculation is performed for accounting purposes and reported in the compensation tables below, even though our executive officers or directors may never realize any value from their awards. ASC Topic 718 also requires companies to recognize the compensation cost of their stock-based compensation awards in their statements of operations over the period that an employee or director is required to render service in exchange for the option or other award. The compensation committee considers the impact of ASC Topic 718 when making stock-based compensation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440" w:type="dxa"/>
            <w:vAlign w:val="bottom"/>
          </w:tcPr>
          <w:p>
            <w:pPr>
              <w:spacing w:after="0"/>
              <w:rPr>
                <w:sz w:val="11"/>
                <w:szCs w:val="11"/>
                <w:color w:val="auto"/>
              </w:rPr>
            </w:pPr>
          </w:p>
        </w:tc>
        <w:tc>
          <w:tcPr>
            <w:tcW w:w="76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Stock Awards</w:t>
            </w:r>
          </w:p>
        </w:tc>
        <w:tc>
          <w:tcPr>
            <w:tcW w:w="3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3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44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4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Year</w:t>
            </w:r>
          </w:p>
        </w:tc>
        <w:tc>
          <w:tcPr>
            <w:tcW w:w="26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Salary ($)(1)</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w:t>
            </w:r>
          </w:p>
        </w:tc>
        <w:tc>
          <w:tcPr>
            <w:tcW w:w="380" w:type="dxa"/>
            <w:vAlign w:val="bottom"/>
          </w:tcPr>
          <w:p>
            <w:pPr>
              <w:spacing w:after="0"/>
              <w:rPr>
                <w:sz w:val="13"/>
                <w:szCs w:val="13"/>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w:t>
            </w:r>
          </w:p>
        </w:tc>
        <w:tc>
          <w:tcPr>
            <w:tcW w:w="3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440" w:type="dxa"/>
            <w:vAlign w:val="bottom"/>
          </w:tcPr>
          <w:p>
            <w:pPr>
              <w:spacing w:after="0"/>
              <w:rPr>
                <w:sz w:val="13"/>
                <w:szCs w:val="13"/>
                <w:color w:val="auto"/>
              </w:rPr>
            </w:pPr>
          </w:p>
        </w:tc>
        <w:tc>
          <w:tcPr>
            <w:tcW w:w="76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Barbara Weber, M.D.(4)</w:t>
            </w:r>
          </w:p>
        </w:tc>
        <w:tc>
          <w:tcPr>
            <w:tcW w:w="500" w:type="dxa"/>
            <w:vAlign w:val="bottom"/>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659,996</w:t>
            </w: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1,070,423</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4,345,288</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447,477</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18,016</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6,541,200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President, Chief Executive Officer and</w:t>
            </w:r>
          </w:p>
        </w:tc>
        <w:tc>
          <w:tcPr>
            <w:tcW w:w="500" w:type="dxa"/>
            <w:vAlign w:val="bottom"/>
            <w:gridSpan w:val="2"/>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625,997</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465,634</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1,885,613</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396,576</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17,238</w:t>
            </w:r>
          </w:p>
        </w:tc>
        <w:tc>
          <w:tcPr>
            <w:tcW w:w="2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3,391,059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40" w:type="dxa"/>
            <w:vAlign w:val="bottom"/>
            <w:vMerge w:val="restart"/>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i w:val="1"/>
                <w:iCs w:val="1"/>
                <w:color w:val="auto"/>
              </w:rPr>
              <w:t>Director</w:t>
            </w:r>
          </w:p>
        </w:tc>
        <w:tc>
          <w:tcPr>
            <w:tcW w:w="14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vMerge w:val="continue"/>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575,000</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3,740,625</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363,688</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2,474</w:t>
            </w:r>
          </w:p>
        </w:tc>
        <w:tc>
          <w:tcPr>
            <w:tcW w:w="2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4,681,787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w:t>
            </w:r>
          </w:p>
        </w:tc>
        <w:tc>
          <w:tcPr>
            <w:tcW w:w="13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0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Daniella Beckman</w:t>
            </w:r>
          </w:p>
        </w:tc>
        <w:tc>
          <w:tcPr>
            <w:tcW w:w="140" w:type="dxa"/>
            <w:vAlign w:val="bottom"/>
          </w:tcPr>
          <w:p>
            <w:pPr>
              <w:spacing w:after="0"/>
              <w:rPr>
                <w:sz w:val="10"/>
                <w:szCs w:val="10"/>
                <w:color w:val="auto"/>
              </w:rPr>
            </w:pPr>
          </w:p>
        </w:tc>
        <w:tc>
          <w:tcPr>
            <w:tcW w:w="3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486,314</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483,992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1,964,682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213,492</w:t>
            </w:r>
          </w:p>
        </w:tc>
        <w:tc>
          <w:tcPr>
            <w:tcW w:w="12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17,810</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3,166,290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tcPr>
          <w:p>
            <w:pPr>
              <w:spacing w:after="0"/>
              <w:rPr>
                <w:sz w:val="8"/>
                <w:szCs w:val="8"/>
                <w:color w:val="auto"/>
              </w:rPr>
            </w:pPr>
          </w:p>
        </w:tc>
        <w:tc>
          <w:tcPr>
            <w:tcW w:w="5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441,777</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170,778</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691,570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209,999</w:t>
            </w:r>
          </w:p>
        </w:tc>
        <w:tc>
          <w:tcPr>
            <w:tcW w:w="12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8,620</w:t>
            </w:r>
          </w:p>
        </w:tc>
        <w:tc>
          <w:tcPr>
            <w:tcW w:w="22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1,522,744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tcPr>
          <w:p>
            <w:pPr>
              <w:spacing w:after="0"/>
              <w:rPr>
                <w:sz w:val="8"/>
                <w:szCs w:val="8"/>
                <w:color w:val="auto"/>
              </w:rPr>
            </w:pPr>
          </w:p>
        </w:tc>
        <w:tc>
          <w:tcPr>
            <w:tcW w:w="50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425,100</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897,750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191,614</w:t>
            </w:r>
          </w:p>
        </w:tc>
        <w:tc>
          <w:tcPr>
            <w:tcW w:w="12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2,415</w:t>
            </w:r>
          </w:p>
        </w:tc>
        <w:tc>
          <w:tcPr>
            <w:tcW w:w="22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1,516,879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40" w:type="dxa"/>
            <w:vAlign w:val="bottom"/>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Adam Crystal, M.D., Ph.D.(7)</w:t>
            </w:r>
          </w:p>
        </w:tc>
        <w:tc>
          <w:tcPr>
            <w:tcW w:w="50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569,250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572,236</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2,322,915</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297,149</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15,768</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3,777,318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President of Research and Development</w:t>
            </w:r>
          </w:p>
        </w:tc>
        <w:tc>
          <w:tcPr>
            <w:tcW w:w="500" w:type="dxa"/>
            <w:vAlign w:val="bottom"/>
            <w:gridSpan w:val="2"/>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vMerge w:val="continue"/>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4"/>
              </w:rPr>
              <w:t>454,808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422,500</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1,710,930</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242,787</w:t>
            </w:r>
          </w:p>
        </w:tc>
        <w:tc>
          <w:tcPr>
            <w:tcW w:w="120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4,621</w:t>
            </w:r>
          </w:p>
        </w:tc>
        <w:tc>
          <w:tcPr>
            <w:tcW w:w="2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3,110,646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w:t>
            </w:r>
          </w:p>
        </w:tc>
        <w:tc>
          <w:tcPr>
            <w:tcW w:w="1340" w:type="dxa"/>
            <w:vAlign w:val="bottom"/>
            <w:tcBorders>
              <w:bottom w:val="single" w:sz="8" w:color="CCEEFF"/>
            </w:tcBorders>
            <w:gridSpan w:val="2"/>
            <w:vMerge w:val="continue"/>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1080" w:type="dxa"/>
            <w:vAlign w:val="bottom"/>
            <w:tcBorders>
              <w:bottom w:val="single" w:sz="8" w:color="CCEEFF"/>
            </w:tcBorders>
            <w:gridSpan w:val="2"/>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0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Douglas Barry (9)</w:t>
            </w:r>
          </w:p>
        </w:tc>
        <w:tc>
          <w:tcPr>
            <w:tcW w:w="5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202</w:t>
            </w:r>
          </w:p>
        </w:tc>
        <w:tc>
          <w:tcPr>
            <w:tcW w:w="134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3"/>
                <w:szCs w:val="13"/>
                <w:color w:val="auto"/>
                <w:w w:val="94"/>
              </w:rPr>
              <w:t>451,200</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280,709</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1,139,519</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204,845</w:t>
            </w:r>
          </w:p>
        </w:tc>
        <w:tc>
          <w:tcPr>
            <w:tcW w:w="12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18,177</w:t>
            </w:r>
          </w:p>
        </w:tc>
        <w:tc>
          <w:tcPr>
            <w:tcW w:w="2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(10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2,094,450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240" w:type="dxa"/>
            <w:vAlign w:val="bottom"/>
            <w:vMerge w:val="continue"/>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2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3"/>
          <w:szCs w:val="13"/>
          <w:i w:val="1"/>
          <w:iCs w:val="1"/>
          <w:color w:val="auto"/>
        </w:rPr>
        <w:t>Chief Legal Officer</w:t>
      </w:r>
    </w:p>
    <w:p>
      <w:pPr>
        <w:spacing w:after="0" w:line="187"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amount represents actual amounts paid for the years noted. See the CD&amp;A above for additional information.</w:t>
      </w:r>
    </w:p>
    <w:p>
      <w:pPr>
        <w:spacing w:after="0" w:line="27"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this column reflects the aggregate grant date fair value of the stock option awards or RSU awards computed in accordance with ASC Topic 718, disregarding the effect of estimated forfeitures related to service-based vesting. See Note 2 and Note 11 to our audited financial statements contained in our Annual Report on Form 10-K filed with the SEC on February 27, 2025 for a discussion of assumptions made in determining the aggregate grant date fair value of stock option and RSU awards. These amounts do not reflect the actual economic value that may be realized by the named executive officer upon the vesting or exercise of the stock options or the sale of the common stock underlying such stock options or the vesting of RSUs and the sale of the shares received upon the vesting of the RSUs.</w:t>
      </w:r>
    </w:p>
    <w:p>
      <w:pPr>
        <w:spacing w:after="0" w:line="2" w:lineRule="exact"/>
        <w:rPr>
          <w:rFonts w:ascii="Times New Roman" w:cs="Times New Roman" w:eastAsia="Times New Roman" w:hAnsi="Times New Roman"/>
          <w:sz w:val="18"/>
          <w:szCs w:val="18"/>
          <w:color w:val="auto"/>
        </w:rPr>
      </w:pPr>
    </w:p>
    <w:p>
      <w:pPr>
        <w:ind w:left="440" w:right="1140" w:hanging="432"/>
        <w:spacing w:after="0" w:line="250"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performance-based annual cash bonuses awarded to our named executive officers. See “CD&amp;A — Non-Equity Incentive Plan Compensation” above for a description of the material terms of the program pursuant to which this compensation was earned.</w:t>
      </w:r>
    </w:p>
    <w:p>
      <w:pPr>
        <w:ind w:left="400" w:hanging="391"/>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Weber also serves as a member of our board of directors but does not receive any additional compensation for her service as a director.</w:t>
      </w:r>
    </w:p>
    <w:p>
      <w:pPr>
        <w:spacing w:after="0" w:line="9" w:lineRule="exact"/>
        <w:rPr>
          <w:rFonts w:ascii="Times New Roman" w:cs="Times New Roman" w:eastAsia="Times New Roman" w:hAnsi="Times New Roman"/>
          <w:sz w:val="18"/>
          <w:szCs w:val="18"/>
          <w:color w:val="auto"/>
        </w:rPr>
      </w:pPr>
    </w:p>
    <w:p>
      <w:pPr>
        <w:ind w:left="440" w:right="200" w:hanging="432"/>
        <w:spacing w:after="0" w:line="250"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$13,800 of matching contributions made under our 401(k) plan, $2,170 of commuter benefits and $1,300 of expenses for phone services that the Company paid for on behalf of Dr. Weber.</w:t>
      </w:r>
    </w:p>
    <w:p>
      <w:pPr>
        <w:ind w:left="440" w:right="200" w:hanging="432"/>
        <w:spacing w:after="0" w:line="250"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$13,800 of matching contributions made under our 401(k) plan, $2,170 of commuter benefits and $1,300 of expenses for phone services that the Company paid for on behalf of Ms. Beckman.</w:t>
      </w:r>
    </w:p>
    <w:p>
      <w:pPr>
        <w:ind w:left="440" w:right="80" w:hanging="432"/>
        <w:spacing w:after="0" w:line="250"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Crystal’s employment with Tango began on February 27, 2023. His base salary and bonus were prorated to reflect his partial year of employment from February 27, 2023 through December 31, 2023.</w:t>
      </w:r>
    </w:p>
    <w:p>
      <w:pPr>
        <w:ind w:left="440" w:right="200" w:hanging="432"/>
        <w:spacing w:after="0" w:line="250"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$12,174 of matching contributions made under our 401(k) plan, $2,170 of commuter benefits and $1,300 of expenses for phone services that the Company paid for on behalf of Dr. Crystal.</w:t>
      </w: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Barry was not a named executive officer until 2024. Prior year compensation is excluded.</w:t>
      </w:r>
    </w:p>
    <w:p>
      <w:pPr>
        <w:spacing w:after="0" w:line="9" w:lineRule="exact"/>
        <w:rPr>
          <w:rFonts w:ascii="Times New Roman" w:cs="Times New Roman" w:eastAsia="Times New Roman" w:hAnsi="Times New Roman"/>
          <w:sz w:val="18"/>
          <w:szCs w:val="18"/>
          <w:color w:val="auto"/>
        </w:rPr>
      </w:pPr>
    </w:p>
    <w:p>
      <w:pPr>
        <w:ind w:left="440" w:right="200" w:hanging="432"/>
        <w:spacing w:after="0" w:line="260"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$13,800 of matching contributions made under our 401(k) plan, $2,170 of commuter benefits and $1,300 of expenses for phone services that the Company paid for on behalf of Mr. Barry.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2024</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each grant of an award made to our named executives officer during the fiscal year ended December 31, 2024 under any plan, contract, authorization or arrangement pursuant to which cash, securities, similar instruments or other property may be received.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All other stock</w:t>
            </w:r>
          </w:p>
        </w:tc>
        <w:tc>
          <w:tcPr>
            <w:tcW w:w="2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 option</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2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Number</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Number</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 shares of</w:t>
            </w:r>
          </w:p>
        </w:tc>
        <w:tc>
          <w:tcPr>
            <w:tcW w:w="2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22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Exercise or base</w:t>
            </w:r>
          </w:p>
        </w:tc>
        <w:tc>
          <w:tcPr>
            <w:tcW w:w="220" w:type="dxa"/>
            <w:vAlign w:val="bottom"/>
          </w:tcPr>
          <w:p>
            <w:pPr>
              <w:spacing w:after="0"/>
              <w:rPr>
                <w:sz w:val="11"/>
                <w:szCs w:val="11"/>
                <w:color w:val="auto"/>
              </w:rPr>
            </w:pPr>
          </w:p>
        </w:tc>
        <w:tc>
          <w:tcPr>
            <w:tcW w:w="124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Grant date fair</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Non-Equity Incentive Plan</w:t>
            </w:r>
          </w:p>
        </w:tc>
        <w:tc>
          <w:tcPr>
            <w:tcW w:w="2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or units (#)</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of option</w:t>
            </w:r>
          </w:p>
        </w:tc>
        <w:tc>
          <w:tcPr>
            <w:tcW w:w="220" w:type="dxa"/>
            <w:vAlign w:val="bottom"/>
          </w:tcPr>
          <w:p>
            <w:pPr>
              <w:spacing w:after="0"/>
              <w:rPr>
                <w:sz w:val="11"/>
                <w:szCs w:val="11"/>
                <w:color w:val="auto"/>
              </w:rPr>
            </w:pPr>
          </w:p>
        </w:tc>
        <w:tc>
          <w:tcPr>
            <w:tcW w:w="12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value of stock and</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2"/>
                <w:szCs w:val="12"/>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Approval</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Awards (1)</w:t>
            </w:r>
          </w:p>
        </w:tc>
        <w:tc>
          <w:tcPr>
            <w:tcW w:w="1180" w:type="dxa"/>
            <w:vAlign w:val="bottom"/>
            <w:gridSpan w:val="2"/>
          </w:tcPr>
          <w:p>
            <w:pPr>
              <w:jc w:val="center"/>
              <w:ind w:left="163"/>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options (#)</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awards ($/Sh)(3)</w:t>
            </w:r>
          </w:p>
        </w:tc>
        <w:tc>
          <w:tcPr>
            <w:tcW w:w="2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option awards (4)</w:t>
            </w:r>
          </w:p>
        </w:tc>
        <w:tc>
          <w:tcPr>
            <w:tcW w:w="0" w:type="dxa"/>
            <w:vAlign w:val="bottom"/>
          </w:tcPr>
          <w:p>
            <w:pPr>
              <w:spacing w:after="0"/>
              <w:rPr>
                <w:sz w:val="1"/>
                <w:szCs w:val="1"/>
                <w:color w:val="auto"/>
              </w:rPr>
            </w:pPr>
          </w:p>
        </w:tc>
      </w:tr>
      <w:tr>
        <w:trPr>
          <w:trHeight w:val="128"/>
        </w:trPr>
        <w:tc>
          <w:tcPr>
            <w:tcW w:w="20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Target ($)</w:t>
            </w:r>
          </w:p>
        </w:tc>
        <w:tc>
          <w:tcPr>
            <w:tcW w:w="2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396,000</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87,168</w:t>
            </w:r>
          </w:p>
        </w:tc>
        <w:tc>
          <w:tcPr>
            <w:tcW w:w="2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1,070,423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523,012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Daniella Beckman</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194,526</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39,413</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483,992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236,475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1,964,682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Adam Crystal, M.D., Ph.D.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256,163</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46,599</w:t>
            </w:r>
          </w:p>
        </w:tc>
        <w:tc>
          <w:tcPr>
            <w:tcW w:w="2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Douglas Barry</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180,480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22,859</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280,709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2/1/2024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12/10/2023</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137,156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1,139,519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40" w:right="20" w:hanging="432"/>
        <w:spacing w:after="0" w:line="255" w:lineRule="auto"/>
        <w:tabs>
          <w:tab w:leader="none" w:pos="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the “Target ($)” column reflect the target amounts payable to each named executive officer under our 2024 annual cash bonus plan as described under “</w:t>
      </w:r>
      <w:r>
        <w:rPr>
          <w:rFonts w:ascii="Times New Roman" w:cs="Times New Roman" w:eastAsia="Times New Roman" w:hAnsi="Times New Roman"/>
          <w:sz w:val="18"/>
          <w:szCs w:val="18"/>
          <w:i w:val="1"/>
          <w:iCs w:val="1"/>
          <w:color w:val="auto"/>
        </w:rPr>
        <w:t>CD&amp;A —Non-Equity Incentive Plan Compensation</w:t>
      </w:r>
      <w:r>
        <w:rPr>
          <w:rFonts w:ascii="Times New Roman" w:cs="Times New Roman" w:eastAsia="Times New Roman" w:hAnsi="Times New Roman"/>
          <w:sz w:val="18"/>
          <w:szCs w:val="18"/>
          <w:color w:val="auto"/>
        </w:rPr>
        <w:t>” above. Actual payments attributable to performance in 2024 are provided in the “2024 Summary Compensation Table” above. There are no threshold or maximum amounts with respect to these performance-based cash payments.</w:t>
      </w:r>
    </w:p>
    <w:p>
      <w:pPr>
        <w:spacing w:after="0" w:line="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number of RSUs granted pursuant to our 2021 Stock Option and Incentive Plan, or the 2021 Plan.</w:t>
      </w:r>
    </w:p>
    <w:p>
      <w:pPr>
        <w:spacing w:after="0" w:line="9" w:lineRule="exact"/>
        <w:rPr>
          <w:rFonts w:ascii="Times New Roman" w:cs="Times New Roman" w:eastAsia="Times New Roman" w:hAnsi="Times New Roman"/>
          <w:sz w:val="18"/>
          <w:szCs w:val="18"/>
          <w:color w:val="auto"/>
        </w:rPr>
      </w:pPr>
    </w:p>
    <w:p>
      <w:pPr>
        <w:ind w:left="440" w:right="320" w:hanging="432"/>
        <w:spacing w:after="0" w:line="250" w:lineRule="auto"/>
        <w:tabs>
          <w:tab w:leader="none" w:pos="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these stock options is equal to the closing price of our common stock as reported on the Nasdaq Global Select Market on the grant date.</w:t>
      </w:r>
    </w:p>
    <w:p>
      <w:pPr>
        <w:ind w:left="440" w:right="20" w:hanging="432"/>
        <w:spacing w:after="0" w:line="252" w:lineRule="auto"/>
        <w:tabs>
          <w:tab w:leader="none" w:pos="3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aggregate grant date fair value of stock option awards and RSU awards granted to our named executive officers in 2024, computed in accordance with ASC Topic 718, disregarding the effect of estimated forfeitures related to service-based vesting. See Note 2 and Note 11 to our audited financial statements contained in our Annual Report on Form 10-K filed with the SEC on February 27, 2025 for a discussion of assumptions made in determining the aggregate grant date fair value of stock option and RSU awards. These amounts do not reflect the actual economic value that may be realized by the named executive officer upon the vesting or exercise of the stock options or the sale of the common stock underlying such stock options or the vesting of RSUs and the sale of the shares received upon the vesting of the RSUs.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22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following table presents information regarding all outstanding equity awards held by each of our named executive officers as of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4"/>
          </w:tcPr>
          <w:p>
            <w:pPr>
              <w:jc w:val="right"/>
              <w:ind w:right="377"/>
              <w:spacing w:after="0"/>
              <w:rPr>
                <w:sz w:val="20"/>
                <w:szCs w:val="20"/>
                <w:color w:val="auto"/>
              </w:rPr>
            </w:pPr>
            <w:r>
              <w:rPr>
                <w:rFonts w:ascii="Arial" w:cs="Arial" w:eastAsia="Arial" w:hAnsi="Arial"/>
                <w:sz w:val="16"/>
                <w:szCs w:val="16"/>
                <w:b w:val="1"/>
                <w:bCs w:val="1"/>
                <w:color w:val="auto"/>
              </w:rPr>
              <w:t>Option Awards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220" w:type="dxa"/>
            <w:vAlign w:val="bottom"/>
          </w:tcPr>
          <w:p>
            <w:pPr>
              <w:spacing w:after="0"/>
              <w:rPr>
                <w:sz w:val="11"/>
                <w:szCs w:val="11"/>
                <w:color w:val="auto"/>
              </w:rPr>
            </w:pPr>
          </w:p>
        </w:tc>
        <w:tc>
          <w:tcPr>
            <w:tcW w:w="960" w:type="dxa"/>
            <w:vAlign w:val="bottom"/>
          </w:tcPr>
          <w:p>
            <w:pPr>
              <w:jc w:val="center"/>
              <w:ind w:left="2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Commencement</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2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 Options</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w:t>
            </w:r>
          </w:p>
        </w:tc>
        <w:tc>
          <w:tcPr>
            <w:tcW w:w="220" w:type="dxa"/>
            <w:vAlign w:val="bottom"/>
          </w:tcPr>
          <w:p>
            <w:pPr>
              <w:spacing w:after="0"/>
              <w:rPr>
                <w:sz w:val="11"/>
                <w:szCs w:val="11"/>
                <w:color w:val="auto"/>
              </w:rPr>
            </w:pPr>
          </w:p>
        </w:tc>
        <w:tc>
          <w:tcPr>
            <w:tcW w:w="9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That Have</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 (1)</w:t>
            </w:r>
          </w:p>
        </w:tc>
        <w:tc>
          <w:tcPr>
            <w:tcW w:w="220" w:type="dxa"/>
            <w:vAlign w:val="bottom"/>
          </w:tcPr>
          <w:p>
            <w:pPr>
              <w:spacing w:after="0"/>
              <w:rPr>
                <w:sz w:val="13"/>
                <w:szCs w:val="13"/>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Unexercisable (1)</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Not Vested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76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Barbara Weber, M.D.</w:t>
            </w:r>
          </w:p>
        </w:tc>
        <w:tc>
          <w:tcPr>
            <w:tcW w:w="1120" w:type="dxa"/>
            <w:vAlign w:val="bottom"/>
            <w:gridSpan w:val="3"/>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1/24/2019</w:t>
            </w:r>
          </w:p>
        </w:tc>
        <w:tc>
          <w:tcPr>
            <w:tcW w:w="2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1/1/2019</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219,151</w:t>
            </w: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1"/>
              <w:spacing w:after="0" w:line="11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68"/>
              <w:spacing w:after="0" w:line="119" w:lineRule="exact"/>
              <w:rPr>
                <w:sz w:val="20"/>
                <w:szCs w:val="20"/>
                <w:color w:val="auto"/>
              </w:rPr>
            </w:pPr>
            <w:r>
              <w:rPr>
                <w:rFonts w:ascii="Times New Roman" w:cs="Times New Roman" w:eastAsia="Times New Roman" w:hAnsi="Times New Roman"/>
                <w:sz w:val="13"/>
                <w:szCs w:val="13"/>
                <w:color w:val="auto"/>
              </w:rPr>
              <w:t>(4)</w:t>
            </w:r>
          </w:p>
        </w:tc>
        <w:tc>
          <w:tcPr>
            <w:tcW w:w="68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1.53</w:t>
            </w:r>
          </w:p>
        </w:tc>
        <w:tc>
          <w:tcPr>
            <w:tcW w:w="11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1/23/2029</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1/30/2020</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219,150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1/29/2030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1/28/2021</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1,257,313</w:t>
            </w:r>
          </w:p>
        </w:tc>
        <w:tc>
          <w:tcPr>
            <w:tcW w:w="1180" w:type="dxa"/>
            <w:vAlign w:val="bottom"/>
            <w:gridSpan w:val="2"/>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26,752</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1/27/2031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8/12/2021</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8/12/2021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801,170</w:t>
            </w:r>
          </w:p>
        </w:tc>
        <w:tc>
          <w:tcPr>
            <w:tcW w:w="1180" w:type="dxa"/>
            <w:vAlign w:val="bottom"/>
            <w:gridSpan w:val="2"/>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160,234</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8/11/2031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2/1/2022</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455,729</w:t>
            </w:r>
          </w:p>
        </w:tc>
        <w:tc>
          <w:tcPr>
            <w:tcW w:w="1180" w:type="dxa"/>
            <w:vAlign w:val="bottom"/>
            <w:gridSpan w:val="2"/>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169,271</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1/31/2032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1/1/2023</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257,443</w:t>
            </w:r>
          </w:p>
        </w:tc>
        <w:tc>
          <w:tcPr>
            <w:tcW w:w="1180" w:type="dxa"/>
            <w:vAlign w:val="bottom"/>
            <w:gridSpan w:val="2"/>
            <w:shd w:val="clear" w:color="auto" w:fill="CCEEFF"/>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279,830</w:t>
            </w:r>
          </w:p>
        </w:tc>
        <w:tc>
          <w:tcPr>
            <w:tcW w:w="3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59,697</w:t>
            </w:r>
          </w:p>
        </w:tc>
        <w:tc>
          <w:tcPr>
            <w:tcW w:w="32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7"/>
              </w:rPr>
              <w:t>(7)</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523,012</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87,168</w:t>
            </w:r>
          </w:p>
        </w:tc>
        <w:tc>
          <w:tcPr>
            <w:tcW w:w="3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7"/>
              </w:rPr>
              <w:t>(8)</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Daniella Beckman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10/18/2019</w:t>
            </w:r>
          </w:p>
        </w:tc>
        <w:tc>
          <w:tcPr>
            <w:tcW w:w="2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9/10/2019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165,433</w:t>
            </w:r>
          </w:p>
        </w:tc>
        <w:tc>
          <w:tcPr>
            <w:tcW w:w="22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10/17/2029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1/30/2020</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11/1/2019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55,201</w:t>
            </w: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1/29/2030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10/1/2020</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7/1/2020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68,108</w:t>
            </w: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9/30/2030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1/28/2021</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86,314</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1,837</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1/27/2031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317,070</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63,415</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8/11/2031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109,375</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40,625</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1/31/2032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3/1/2023</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94,419</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102,632</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21,895</w:t>
            </w:r>
          </w:p>
        </w:tc>
        <w:tc>
          <w:tcPr>
            <w:tcW w:w="3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7"/>
              </w:rPr>
              <w:t>(7)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236,475</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39,413</w:t>
            </w:r>
          </w:p>
        </w:tc>
        <w:tc>
          <w:tcPr>
            <w:tcW w:w="3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(8)</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121,786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Adam Crystal, M.D., Ph.D.</w:t>
            </w:r>
          </w:p>
        </w:tc>
        <w:tc>
          <w:tcPr>
            <w:tcW w:w="1360" w:type="dxa"/>
            <w:vAlign w:val="bottom"/>
            <w:gridSpan w:val="4"/>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3/1/2023 (6)</w:t>
            </w:r>
          </w:p>
        </w:tc>
        <w:tc>
          <w:tcPr>
            <w:tcW w:w="11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2/27/2023</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223,437</w:t>
            </w:r>
          </w:p>
        </w:tc>
        <w:tc>
          <w:tcPr>
            <w:tcW w:w="1180" w:type="dxa"/>
            <w:vAlign w:val="bottom"/>
            <w:gridSpan w:val="2"/>
            <w:shd w:val="clear" w:color="auto" w:fill="CCEEFF"/>
          </w:tcPr>
          <w:p>
            <w:pPr>
              <w:jc w:val="right"/>
              <w:ind w:right="31"/>
              <w:spacing w:after="0" w:line="126" w:lineRule="exact"/>
              <w:rPr>
                <w:sz w:val="20"/>
                <w:szCs w:val="20"/>
                <w:color w:val="auto"/>
              </w:rPr>
            </w:pPr>
            <w:r>
              <w:rPr>
                <w:rFonts w:ascii="Times New Roman" w:cs="Times New Roman" w:eastAsia="Times New Roman" w:hAnsi="Times New Roman"/>
                <w:sz w:val="14"/>
                <w:szCs w:val="14"/>
                <w:color w:val="auto"/>
              </w:rPr>
              <w:t>264,063</w:t>
            </w:r>
          </w:p>
        </w:tc>
        <w:tc>
          <w:tcPr>
            <w:tcW w:w="34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54,166</w:t>
            </w:r>
          </w:p>
        </w:tc>
        <w:tc>
          <w:tcPr>
            <w:tcW w:w="320" w:type="dxa"/>
            <w:vAlign w:val="bottom"/>
            <w:gridSpan w:val="2"/>
            <w:shd w:val="clear" w:color="auto" w:fill="CCEEFF"/>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w w:val="97"/>
              </w:rPr>
              <w:t>(7)</w:t>
            </w:r>
          </w:p>
        </w:tc>
        <w:tc>
          <w:tcPr>
            <w:tcW w:w="10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167,373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279,593</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46,599</w:t>
            </w:r>
          </w:p>
        </w:tc>
        <w:tc>
          <w:tcPr>
            <w:tcW w:w="3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7"/>
              </w:rPr>
              <w:t>(8)</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60" w:type="dxa"/>
            <w:vAlign w:val="bottom"/>
            <w:shd w:val="clear" w:color="auto" w:fill="CCEEFF"/>
          </w:tcPr>
          <w:p>
            <w:pPr>
              <w:spacing w:after="0"/>
              <w:rPr>
                <w:sz w:val="9"/>
                <w:szCs w:val="9"/>
                <w:color w:val="auto"/>
              </w:rPr>
            </w:pPr>
          </w:p>
        </w:tc>
        <w:tc>
          <w:tcPr>
            <w:tcW w:w="1120" w:type="dxa"/>
            <w:vAlign w:val="bottom"/>
            <w:gridSpan w:val="3"/>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Douglas Barry</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2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205,246</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41,050</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8/11/2031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2/1/2022</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50,677</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18,823</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1/31/2032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3/1/2023</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68,707</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74,684</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2/28/2033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15,932</w:t>
            </w:r>
          </w:p>
        </w:tc>
        <w:tc>
          <w:tcPr>
            <w:tcW w:w="3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7"/>
              </w:rPr>
              <w:t>(7)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2/1/2024</w:t>
            </w:r>
          </w:p>
        </w:tc>
        <w:tc>
          <w:tcPr>
            <w:tcW w:w="24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1/1/2024</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137,156</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1/31/2034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22,859</w:t>
            </w:r>
          </w:p>
        </w:tc>
        <w:tc>
          <w:tcPr>
            <w:tcW w:w="3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7"/>
              </w:rPr>
              <w:t>(8)</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440" w:right="60" w:hanging="432"/>
        <w:spacing w:after="0" w:line="257" w:lineRule="auto"/>
        <w:tabs>
          <w:tab w:leader="none" w:pos="3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option granted prior to the closing of the Business Combination in August 2021 was granted under our 2017 Stock Option and Grant Plan, or the 2017 Plan. Each stock option and RSU award granted after the closing of the Business Combination was granted pursuant to our 2021 Plan, unless otherwise noted.</w:t>
      </w:r>
    </w:p>
    <w:p>
      <w:pPr>
        <w:spacing w:after="0" w:line="1"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3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were granted with an exercise price per share that is no less than the fair market value of our common stock on the date of grant of such award. For information regarding the valuation of equity awards, see Note 2 and Note 11 to our audited financial statements contained in our Annual Report on Form 10-K for the year ended December 31, 2024 as filed with the SEC on February 27, 2025. The amounts presented do not correspond to the actual value that may be recognized by the named executive officer upon vesting or exercise of the stock options or the sale of the shares of common stock underlying such stock options.</w:t>
      </w:r>
    </w:p>
    <w:p>
      <w:pPr>
        <w:spacing w:after="0" w:line="1"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3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RSU awards is based on the closing price of $3.09 per share of the Company’s common stock on December 31, 2024, the last trading day of the year, as reported on the Nasdaq Global Market.</w:t>
      </w:r>
    </w:p>
    <w:p>
      <w:pPr>
        <w:ind w:left="440" w:right="140" w:hanging="432"/>
        <w:spacing w:after="0" w:line="250" w:lineRule="auto"/>
        <w:tabs>
          <w:tab w:leader="none" w:pos="3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as follows: 25% of the shares vest on the first anniversary of the vesting commencement date and the remaining 75% of the shares vest in 36 equal monthly installments thereafter, subject to continued employment with the Company through the applicable vesting date.</w:t>
      </w:r>
    </w:p>
    <w:p>
      <w:pPr>
        <w:ind w:left="440" w:right="920" w:hanging="432"/>
        <w:spacing w:after="0" w:line="250" w:lineRule="auto"/>
        <w:tabs>
          <w:tab w:leader="none" w:pos="3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vested in equal monthly installments over 48 months following the vesting commencement date, subject to continued employment with the Company through the applicable vesting date.</w:t>
      </w:r>
    </w:p>
    <w:p>
      <w:pPr>
        <w:ind w:left="400" w:hanging="392"/>
        <w:spacing w:after="0"/>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and RSUs were granted pursuant to our 2023 Inducement Plan.</w:t>
      </w:r>
    </w:p>
    <w:p>
      <w:pPr>
        <w:spacing w:after="0" w:line="9" w:lineRule="exact"/>
        <w:rPr>
          <w:rFonts w:ascii="Times New Roman" w:cs="Times New Roman" w:eastAsia="Times New Roman" w:hAnsi="Times New Roman"/>
          <w:sz w:val="18"/>
          <w:szCs w:val="18"/>
          <w:color w:val="auto"/>
        </w:rPr>
      </w:pPr>
    </w:p>
    <w:p>
      <w:pPr>
        <w:ind w:left="440" w:right="320" w:hanging="432"/>
        <w:spacing w:after="0" w:line="250" w:lineRule="auto"/>
        <w:tabs>
          <w:tab w:leader="none" w:pos="3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in equal annual installments over three years on each of February 5, 2024, February 3, 2025 and February 2, 2026, subject to the named executive officer's continued employment with the Company through the applicable vesting date.</w:t>
      </w:r>
    </w:p>
    <w:p>
      <w:pPr>
        <w:ind w:left="440" w:right="320" w:hanging="432"/>
        <w:spacing w:after="0" w:line="260" w:lineRule="auto"/>
        <w:tabs>
          <w:tab w:leader="none" w:pos="3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in equal annual installments over three years on each of February 3, 2025, February 2, 2026 and February 1, 2027, subject to the named executive officer's continued employment with the Company through the applicable vesting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2024</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option exercises and the vesting of RSU awards by each of our named executive officers during the fiscal year ended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5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5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Number of Shares Acquired on Exercise</w:t>
            </w:r>
          </w:p>
        </w:tc>
        <w:tc>
          <w:tcPr>
            <w:tcW w:w="120" w:type="dxa"/>
            <w:vAlign w:val="bottom"/>
          </w:tcPr>
          <w:p>
            <w:pPr>
              <w:spacing w:after="0"/>
              <w:rPr>
                <w:sz w:val="9"/>
                <w:szCs w:val="9"/>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Value Realized on Exercise ($)</w:t>
            </w:r>
          </w:p>
        </w:tc>
        <w:tc>
          <w:tcPr>
            <w:tcW w:w="0" w:type="dxa"/>
            <w:vAlign w:val="bottom"/>
          </w:tcPr>
          <w:p>
            <w:pPr>
              <w:spacing w:after="0"/>
              <w:rPr>
                <w:sz w:val="1"/>
                <w:szCs w:val="1"/>
                <w:color w:val="auto"/>
              </w:rPr>
            </w:pPr>
          </w:p>
        </w:tc>
      </w:tr>
      <w:tr>
        <w:trPr>
          <w:trHeight w:val="99"/>
        </w:trPr>
        <w:tc>
          <w:tcPr>
            <w:tcW w:w="2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vMerge w:val="restart"/>
          </w:tcPr>
          <w:p>
            <w:pPr>
              <w:jc w:val="center"/>
              <w:ind w:left="618"/>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Barbara Weber, M.D.</w:t>
            </w:r>
          </w:p>
        </w:tc>
        <w:tc>
          <w:tcPr>
            <w:tcW w:w="140" w:type="dxa"/>
            <w:vAlign w:val="bottom"/>
          </w:tcPr>
          <w:p>
            <w:pPr>
              <w:spacing w:after="0"/>
              <w:rPr>
                <w:sz w:val="17"/>
                <w:szCs w:val="17"/>
                <w:color w:val="auto"/>
              </w:rPr>
            </w:pPr>
          </w:p>
        </w:tc>
        <w:tc>
          <w:tcPr>
            <w:tcW w:w="152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Daniella Beckman</w:t>
            </w:r>
          </w:p>
        </w:tc>
        <w:tc>
          <w:tcPr>
            <w:tcW w:w="152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Adam Crystal, M.D., Ph.D.</w:t>
            </w:r>
          </w:p>
        </w:tc>
        <w:tc>
          <w:tcPr>
            <w:tcW w:w="152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Douglas Barry</w:t>
            </w:r>
          </w:p>
        </w:tc>
        <w:tc>
          <w:tcPr>
            <w:tcW w:w="152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2665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120"/>
        <w:spacing w:after="0" w:line="205" w:lineRule="auto"/>
        <w:tabs>
          <w:tab w:leader="none" w:pos="2300" w:val="left"/>
        </w:tabs>
        <w:rPr>
          <w:sz w:val="20"/>
          <w:szCs w:val="20"/>
          <w:color w:val="auto"/>
        </w:rPr>
      </w:pPr>
      <w:r>
        <w:rPr>
          <w:rFonts w:ascii="Times New Roman" w:cs="Times New Roman" w:eastAsia="Times New Roman" w:hAnsi="Times New Roman"/>
          <w:sz w:val="17"/>
          <w:szCs w:val="17"/>
          <w:b w:val="1"/>
          <w:bCs w:val="1"/>
          <w:color w:val="auto"/>
          <w:vertAlign w:val="superscript"/>
        </w:rPr>
        <w:t>Number of Shares Acquired on</w:t>
      </w:r>
      <w:r>
        <w:rPr>
          <w:sz w:val="20"/>
          <w:szCs w:val="20"/>
          <w:color w:val="auto"/>
        </w:rPr>
        <w:tab/>
      </w:r>
      <w:r>
        <w:rPr>
          <w:rFonts w:ascii="Times New Roman" w:cs="Times New Roman" w:eastAsia="Times New Roman" w:hAnsi="Times New Roman"/>
          <w:sz w:val="10"/>
          <w:szCs w:val="10"/>
          <w:b w:val="1"/>
          <w:bCs w:val="1"/>
          <w:color w:val="auto"/>
        </w:rPr>
        <w:t>Value Realized on Vesting ($)(2)</w:t>
      </w:r>
    </w:p>
    <w:p>
      <w:pPr>
        <w:ind w:left="680"/>
        <w:spacing w:after="0" w:line="223" w:lineRule="auto"/>
        <w:rPr>
          <w:sz w:val="20"/>
          <w:szCs w:val="20"/>
          <w:color w:val="auto"/>
        </w:rPr>
      </w:pPr>
      <w:r>
        <w:rPr>
          <w:rFonts w:ascii="Times New Roman" w:cs="Times New Roman" w:eastAsia="Times New Roman" w:hAnsi="Times New Roman"/>
          <w:sz w:val="13"/>
          <w:szCs w:val="13"/>
          <w:b w:val="1"/>
          <w:bCs w:val="1"/>
          <w:color w:val="auto"/>
        </w:rPr>
        <w:t>Vesting (#)</w:t>
      </w:r>
    </w:p>
    <w:tbl>
      <w:tblPr>
        <w:tblLayout w:type="fixed"/>
        <w:tblInd w:w="0" w:type="dxa"/>
        <w:tblCellMar>
          <w:top w:w="0" w:type="dxa"/>
          <w:left w:w="0" w:type="dxa"/>
          <w:bottom w:w="0" w:type="dxa"/>
          <w:right w:w="0" w:type="dxa"/>
        </w:tblCellMar>
      </w:tblPr>
      <w:tr>
        <w:trPr>
          <w:trHeight w:val="191"/>
        </w:trPr>
        <w:tc>
          <w:tcPr>
            <w:tcW w:w="1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29,848</w:t>
            </w:r>
          </w:p>
        </w:tc>
        <w:tc>
          <w:tcPr>
            <w:tcW w:w="200" w:type="dxa"/>
            <w:vAlign w:val="bottom"/>
          </w:tcPr>
          <w:p>
            <w:pPr>
              <w:spacing w:after="0"/>
              <w:rPr>
                <w:sz w:val="16"/>
                <w:szCs w:val="16"/>
                <w:color w:val="auto"/>
              </w:rPr>
            </w:pPr>
          </w:p>
        </w:tc>
        <w:tc>
          <w:tcPr>
            <w:tcW w:w="2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371,906</w:t>
            </w:r>
          </w:p>
        </w:tc>
      </w:tr>
      <w:tr>
        <w:trPr>
          <w:trHeight w:val="216"/>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136,400</w:t>
            </w:r>
          </w:p>
        </w:tc>
      </w:tr>
      <w:tr>
        <w:trPr>
          <w:trHeight w:val="216"/>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337,467</w:t>
            </w:r>
          </w:p>
        </w:tc>
      </w:tr>
      <w:tr>
        <w:trPr>
          <w:trHeight w:val="234"/>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99,256</w:t>
            </w:r>
          </w:p>
        </w:tc>
      </w:tr>
    </w:tbl>
    <w:p>
      <w:pPr>
        <w:spacing w:after="0" w:line="198" w:lineRule="exact"/>
        <w:rPr>
          <w:sz w:val="20"/>
          <w:szCs w:val="20"/>
          <w:color w:val="auto"/>
        </w:rPr>
      </w:pPr>
    </w:p>
    <w:p>
      <w:pPr>
        <w:sectPr>
          <w:pgSz w:w="11900" w:h="16838" w:orient="portrait"/>
          <w:cols w:equalWidth="0" w:num="2">
            <w:col w:w="6820" w:space="120"/>
            <w:col w:w="4280"/>
          </w:cols>
          <w:pgMar w:left="320" w:top="1010" w:right="359" w:bottom="1440" w:gutter="0" w:footer="0" w:header="0"/>
        </w:sectPr>
      </w:pPr>
    </w:p>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option exercises by the named executive officers during the year ended December 31, 2024.</w:t>
      </w:r>
    </w:p>
    <w:p>
      <w:pPr>
        <w:spacing w:after="0" w:line="27" w:lineRule="exact"/>
        <w:rPr>
          <w:rFonts w:ascii="Times New Roman" w:cs="Times New Roman" w:eastAsia="Times New Roman" w:hAnsi="Times New Roman"/>
          <w:sz w:val="18"/>
          <w:szCs w:val="18"/>
          <w:color w:val="auto"/>
        </w:rPr>
      </w:pPr>
    </w:p>
    <w:p>
      <w:pPr>
        <w:ind w:left="460" w:right="160" w:hanging="452"/>
        <w:spacing w:after="0" w:line="260" w:lineRule="auto"/>
        <w:tabs>
          <w:tab w:leader="none" w:pos="4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upon vesting of RSUs is calculated by multiplying the number of RSUs vested by the closing price market price of a share of our common stock as reported on the Nasdaq Global Select Market on the vest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regarding shares of common stock that may be issued under our equity compensation plans, consisting of our 2023 Inducement Plan (as described below), our 2021 Plan, our 2021 Employee Stock Purchase Plan, or the ESPP, and our 2017 Plan. As of December 31, 2024, other than the 2023 Inducement Plan, we did not have any non-stockholder approved equity compensation plans. The compensation committee adopted the 2023 Inducement Plan in March 2023, under which we reserved an aggregate of 3,000,000 shares of common stock, to be used exclusively for the grant of equity awards to individuals as an inducement material to such individual's entering into employment with the Company pursuant to Rule 5635(c)(4) of the Nasdaq Listing Rules.</w:t>
      </w:r>
    </w:p>
    <w:p>
      <w:pPr>
        <w:sectPr>
          <w:pgSz w:w="11900" w:h="16838" w:orient="portrait"/>
          <w:cols w:equalWidth="0" w:num="1">
            <w:col w:w="11220"/>
          </w:cols>
          <w:pgMar w:left="320" w:top="101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4688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20" w:right="900"/>
        <w:spacing w:after="0" w:line="249" w:lineRule="auto"/>
        <w:rPr>
          <w:sz w:val="20"/>
          <w:szCs w:val="20"/>
          <w:color w:val="auto"/>
        </w:rPr>
      </w:pPr>
      <w:r>
        <w:rPr>
          <w:rFonts w:ascii="Times New Roman" w:cs="Times New Roman" w:eastAsia="Times New Roman" w:hAnsi="Times New Roman"/>
          <w:sz w:val="18"/>
          <w:szCs w:val="18"/>
          <w:color w:val="auto"/>
        </w:rPr>
        <w:t>Equity compensation plans approved by stockholders(2)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 security</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4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44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4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4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Rights($)(1)</w:t>
            </w:r>
          </w:p>
        </w:tc>
        <w:tc>
          <w:tcPr>
            <w:tcW w:w="2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19,835,164</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10,085,905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989,192</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1,975,390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4"/>
        </w:trPr>
        <w:tc>
          <w:tcPr>
            <w:tcW w:w="20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20,824,356</w:t>
            </w:r>
          </w:p>
        </w:tc>
        <w:tc>
          <w:tcPr>
            <w:tcW w:w="4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12,061,295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-696595</wp:posOffset>
            </wp:positionV>
            <wp:extent cx="71323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-147955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240"/>
            <w:col w:w="7180"/>
          </w:cols>
          <w:pgMar w:left="320" w:top="1010" w:right="359" w:bottom="1440" w:gutter="0" w:footer="0" w:header="0"/>
          <w:type w:val="continuous"/>
        </w:sectPr>
      </w:pPr>
    </w:p>
    <w:p>
      <w:pPr>
        <w:spacing w:after="0" w:line="6"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does not take into account shares of common stock subject to outstanding RSUs, which do not have an associated exercise price.</w:t>
      </w:r>
    </w:p>
    <w:p>
      <w:pPr>
        <w:spacing w:after="0" w:line="27" w:lineRule="exact"/>
        <w:rPr>
          <w:rFonts w:ascii="Times New Roman" w:cs="Times New Roman" w:eastAsia="Times New Roman" w:hAnsi="Times New Roman"/>
          <w:sz w:val="18"/>
          <w:szCs w:val="18"/>
          <w:color w:val="auto"/>
        </w:rPr>
      </w:pPr>
    </w:p>
    <w:p>
      <w:pPr>
        <w:ind w:left="440" w:hanging="432"/>
        <w:spacing w:after="0" w:line="250" w:lineRule="auto"/>
        <w:tabs>
          <w:tab w:leader="none" w:pos="3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provides that the number of shares reserved and available for issuance under the 2021 Plan will automatically increase each January 1 by 5% of the outstanding number of shares of common stock on the immediately preceding December 31, or such lesser amount as determined by the administrator of the 2021 Plan. This limit is subject to adjustment in the event of a reorganization, recapitalization, reclassification, stock split, stock dividend, reverse stock split or other similar change in the Company's capitalization. The ESPP provides that the number of shares reserved and available for issuance under the ESPP will automatically increase each January 1 by the least of (i) 1% of the outstanding number of shares of common stock on the immediately preceding December 31, (ii) 949,873 shares of common stock or (iii) such lesser amount as determined by the administrator of the ESPP. This limit is subject to adjustment in the event of a reorganization, recapitalization, reclassification, stock split, stock dividend, reverse stock split or other similar change in the Company's capitalization.</w:t>
      </w:r>
    </w:p>
    <w:p>
      <w:pPr>
        <w:spacing w:after="0" w:line="3"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3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14,441,234 shares of our common stock subject to outstanding options granted under our 2021 Plan, 1,100,219 unvested RSUs under our 2021 Plan, and 4,293,711 shares of our common stock subject to outstanding options granted under our 2017 Plan.</w:t>
      </w:r>
    </w:p>
    <w:p>
      <w:pPr>
        <w:ind w:left="460" w:hanging="452"/>
        <w:spacing w:after="0" w:line="250" w:lineRule="auto"/>
        <w:tabs>
          <w:tab w:leader="none" w:pos="40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7,054,673 shares available for grant under the 2021 Plan, 3,031,232 shares available under the 2021 ESPP and zero shares available for grant under the 2017 Plan.</w:t>
      </w:r>
    </w:p>
    <w:p>
      <w:pPr>
        <w:ind w:left="400" w:hanging="392"/>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880,078 shares of common stock issuable upon the exercise of outstanding stock options and 109,114 unvested RSUs.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1,975,390 shares of common stock available under the 2023 Inducement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Effective upon the closing of the Business Combination in 2021, we entered into employment agreements with Dr. Weber and Ms. Beckman that provide for specified payments and benefits in connection with a termination of employment in certain circumstances. Dr. Crystal and Mr. Barry each entered into an employment agreement in connection with the commencement of their employment in February 2023 and August 2021, respectively. These agreements provide for specified payments and benefits in connection with 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type w:val="continuous"/>
        </w:sectPr>
      </w:pPr>
    </w:p>
    <w:bookmarkStart w:id="37" w:name="page38"/>
    <w:bookmarkEnd w:id="37"/>
    <w:p>
      <w:pPr>
        <w:spacing w:after="0" w:line="254" w:lineRule="auto"/>
        <w:rPr>
          <w:sz w:val="20"/>
          <w:szCs w:val="20"/>
          <w:color w:val="auto"/>
        </w:rPr>
      </w:pPr>
      <w:r>
        <w:rPr>
          <w:rFonts w:ascii="Times New Roman" w:cs="Times New Roman" w:eastAsia="Times New Roman" w:hAnsi="Times New Roman"/>
          <w:sz w:val="18"/>
          <w:szCs w:val="18"/>
          <w:color w:val="auto"/>
        </w:rPr>
        <w:t>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 require the named executive officers to execute a separation agreement containing a general release of claims in favor of us to receive any severance payments and benefits. The material terms of the employment agreements with Dr. Weber, Ms. Beckman, Dr. Crystal, and Mr. Barry are summarized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Barbara Weber, M.D.</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Under Dr. Weber’s employment agreement, or the Weber Employment Agreement, Dr. Weber serves as our Chief Executive Officer on an at-will basis. Dr. Weber’s annual base salary is subject to periodic review and adjustment by the board of directors, and she is eligible to earn an annual bonus with a target amount expressed as a percentage of her base salary, which target amount is set annually by the board of directors. Dr. Weber is eligible to participate in the employee benefit plans available to our employees, subject to the terms of those plans.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Weber Employment Agreement, in the event that Dr. Weber's employment is terminated by us without “cause” or Dr. Weber resigns for “good reason” (as each term is defined in the Weber Employment Agreement), subject to her execution and the effectiveness of a separation agreement, including a general release of claims in our favor, (i) she will be entitled to receive base salary continuation for 12 months following termination, (ii) she will be entitled to receive a prorated portion of her target annual cash incentive compensation for the year of termination, payable over the 12 months following termination, (iii) she will be entitled to receive any earned but unpaid bonus for the prior year,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12 months following termination, (B) Dr. Weber’s eligibility for group medical plan benefits under any other employer’s group medical plan or (C) the end of Dr. Weber’s COBRA health continuation period, and (v) she will be entitled to 12 months of acceleration of the unvested portion of all stock options and other stock-based awards subject solely to time-based vesting held by Dr. Weber.</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Dr. Weber’s employment is terminated by us without cause or Dr. Weber resigns for good reason on or within 12 months following a “change in control” (as defined in the Weber Employment Agreement), subject to her execution and the effectiveness of a separation agreement, including a general release of claims in our favor, (i) she will be entitled to receive a lump sum in cash equal to 18 months of her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she will be entitled to receive a lump sum in cash equal to a prorated portion of her target annual cash incentive compensation for the year of termination, (iv) she will be entitled to receive any earned but unpaid bonus for the prior year, (v)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18 months following termination, (B) Dr. Weber’s eligibility for group medical plan benefits under any other employer’s group medical plan or (C) the end of Dr. Weber’s COBRA health continuation period, and (vi) she will be entitled to acceleration of 100% of all stock options and other stock-based awards subject solely to time-based vesting held by her.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Daniella Beckman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Ms. Beckman’s employment agreement, or the Beckman Employment Agreement, Ms. Beckman serves as our Chief Financial Officer on an at-will basis. Ms. Beckman’s annual base salary is subject to periodic review and adjustment by the compensation committee, and she is eligible to earn an annual bonus with a target amount expressed as a percentage of her base salary, which target amount is set annually by the compensation committee. Ms. Beckman is eligible to participate in the employee benefit plans available to our employees, subject to the terms of those plans.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Pursuant to the Beckman Employment Agreement, in the event that Ms. Beckman's employment is terminated by us without “cause” or Ms. Beckman resigns for “good reason” (as each term is defined in the Beckman Employment Agreement), subject to her execution and the effectiveness of a separation agreement, including a general release of claims in our favor, (i) she will be entitled to receive base salary continuation for 12 months following termination, and (ii) subject to Ms. Beckman’s copayment of premium amounts at the applicable active employees’ rate and proper election to continue COBRA health coverage, we will cover the portion of the premium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amount equal to the amount that we would have paid to provide health insurance to Ms. Beckman had she remained employed with us until the earliest of</w:t>
      </w:r>
    </w:p>
    <w:p>
      <w:pPr>
        <w:spacing w:after="0" w:line="27" w:lineRule="exact"/>
        <w:rPr>
          <w:sz w:val="20"/>
          <w:szCs w:val="20"/>
          <w:color w:val="auto"/>
        </w:rPr>
      </w:pPr>
    </w:p>
    <w:p>
      <w:pPr>
        <w:ind w:right="40" w:firstLine="8"/>
        <w:spacing w:after="0" w:line="260" w:lineRule="auto"/>
        <w:tabs>
          <w:tab w:leader="none" w:pos="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termination, (B) Ms. Beckman’s eligibility for group medical plan benefits under any other employer’s group medical plan or (C) the end of Ms. Beckman’s COBRA health continuation period.</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Ms. Beckman’s employment is terminated by us without cause or Ms. Beckman resigns for good reason on or within 12 months following a “change in control” (as defined in the Beckman Employment Agreement), subject to her execution and the effectiveness of a separation agreement, including a general release of claims in our favor, (i) she will be entitled to receive a lump sum in cash equal to 12 months of her then-current annual base salary (or Ms. Beckman’s annual base salary in effect immediately prior to the change in control, if higher), (ii) she will be entitled to receive a lump sum in cash equal to her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 and (iv) she will be entitled to acceleration of 100% of all stock options and other stock-based awards subject solely to time-based vesting held by her.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 Crystal, M.D., Ph.D.</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Dr. Crystal's employment agreement, or the Crystal Employment Agreement, Dr. Crystal's annual base salary is subject to periodic review and adjustment by the compensation committee, and he is eligible to earn an annual bonus with a target amount expressed as a percentage of his base salary, which target amount is set annually by the compensation committee. Dr. Crystal also received a one-time sign-on bonus of $275,000, which was subject to repayment by Dr. Crystal if he had voluntarily left Tango prior to February 27, 2024. Dr. Crystal is eligible to participate in the employee benefit plans available to our employees, subject to the terms of those plans.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Crystal Employment Agreement, in the event that Dr. Crystal's employment is terminated by us without “cause” or Dr. Crystal resigns for “good reason” (as each term is defined in the Crystal Employment Agreement), subject to his execution and the effectiveness of a separation agreement, including a general release of claims in our favor, (i) he will be entitled to receive base salary continuation for twelve (12) months following termination and his unpaid cash bonus payments for the preceding year, (ii) he will be entitled to receive any unpaid cash bonus for the preceding fiscal year and a pro-rata bonus for the portion of the year through the date of termination, and (iii)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the Company until the earliest of (A) 12 months following termination, (B) Dr. Crystal’s eligibility for group medical plan benefits under any other employer’s group medical plan or (C) the end of Dr. Crystal’s COBRA health continuation period.</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Dr. Crystal’s employment is terminated by the Company without cause or Dr. Crystal resigns for good reason on or within 12 months following a “change in control” (as defined in the Crystal Employment Agreement), subject to his execution and the effectiveness of a separation agreement, including a general release of claims in our favor, (i) he will be entitled to receive a lump sum in cash equal to 12 months of his then-current annual base salary (or Dr. Crystal’s base salary in effect immediately prior to a change in control, if higher), (ii) he will be entitled to receive a lump sum in cash equal to his target annual cash incentive compensation for the year of termination,</w:t>
      </w:r>
    </w:p>
    <w:p>
      <w:pPr>
        <w:spacing w:after="0" w:line="3"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will be entitled to receive any unpaid cash bonus for the preceding fiscal year and pro-rata bonus for the portion of the year through the date of</w:t>
      </w:r>
    </w:p>
    <w:p>
      <w:pPr>
        <w:spacing w:after="0" w:line="9"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(iv)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us until the earliest of (A) 12 months following termination, (B) Dr. Crystal’s eligibility for group medical plan benefits under any other employer’s group medical plan or (C) the end of Dr. Crystal’s COBRA health continuation period, and (v) he will be entitled to acceleration of 100% of all stock options and other stock-based awards subject solely to time-based vesting held by Dr. Crystal.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Douglas Barry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Mr. Barry’s employment agreement, or the Barry Employment Agreement, Mr. Barry serves as our Chief Legal Officer, Chief Compliance Officer, and Corporate Secretary on an at-will basis. Mr. Barry’s annual base salary is subject to periodic review and adjustment by the compensation committee, and he is eligible to earn an annual bonus with a target amount expressed as a percentage of his base salary, which target amount is set annually by the compensation committee. Mr. Barry is eligible to participate in the employee benefit plans available to our employees, subject to the terms of those plans.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9" w:name="page40"/>
    <w:bookmarkEnd w:id="39"/>
    <w:p>
      <w:pPr>
        <w:ind w:right="200"/>
        <w:spacing w:after="0" w:line="255" w:lineRule="auto"/>
        <w:rPr>
          <w:sz w:val="20"/>
          <w:szCs w:val="20"/>
          <w:color w:val="auto"/>
        </w:rPr>
      </w:pPr>
      <w:r>
        <w:rPr>
          <w:rFonts w:ascii="Times New Roman" w:cs="Times New Roman" w:eastAsia="Times New Roman" w:hAnsi="Times New Roman"/>
          <w:sz w:val="18"/>
          <w:szCs w:val="18"/>
          <w:color w:val="auto"/>
        </w:rPr>
        <w:t>Pursuant to the Barry Employment Agreement, in the event that Mr. Barry's employment is terminated by us without “cause” or Mr. Barry resigns for “good reason” (as each term is defined in the Barry Employment Agreement), subject to his execution and the effectiveness of a separation agreement, including a general release of claims in our favor, (i) he will be entitled to receive base salary continuation for six months following termination, and (ii) subject to Mr. Barry’s copayment of premium amounts at the applicable active employees’ rate and proper election to continue COBRA health coverage, we will cover the portion of the premium amount equal to the amount that we would have paid to provide health insurance to Mr. Barry had he remained employed with us until the earliest of (A) six months following termination, (B) Mr. Barry’s eligibility for group medical plan benefits under any other employer’s group medical plan or (C) the end of Mr. Barry’s COBRA health continuation period.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in the preceding sentence, in the event that Mr. Barry’s employment is terminated by us without cause or Mr. Barry resigns for good reason on or within 12 months following a “change in control” (as defined in the Barry Employment Agreement), subject to his execution and the effectiveness of a separation agreement, including a general release of claims in our favor, (i) he will be entitled to receive a lump sum in cash equal to nine months of his then-current annual base salary (or Mr. Barry’s annual base salary in effect immediately prior to the change in control, if higher), (ii) he will be entitled to receive a lump sum in cash equal to his target annual cash incentive compensation for the year of termination, (iii) subject to Mr. Barry’s copayment of premium amounts at the applicable active employees’ rate and proper election to continue COBRA health coverage, we will cover the portion of the premium amount equal to the amount that we would have paid to provide health insurance to Mr. Barry had he remained employed with us until the earliest of (A) nine months following termination, (B) Mr. Barry’s eligibility for group medical plan benefits under any other employer’s group medical plan or (C) the end of Mr. Barry’s COBRA health continuation period, and (iv) he will be entitled to acceleration of 100% of all stock options and other stock-based awards subject solely to time-based vesting held by him.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amount of compensation and benefits payable to each named executive officer under our employment agreements in various termination and/or change-in-control situations has been estimated in the table below, which assumes that such termination and/or change-in-control occurred on December 31, 2024 and that no noncompetition-related payments will be made following any such termination. Such compensation and benefits amounts were calculated based on employment agreements in effect on December 31, 2024. The value of the equity vesting acceleration was calculated based on the assumption that the change-in-control and/or the executive’s employment termination occurred on December 31, 2024. For purposes of the following table, we have used $3.09 per share, which was the closing price of our common stock as reported on the Nasdaq Global Select Market on December 31, 2024, the last trading day of the year 2024, to estimate the value of our common stock upon acceleration. The value of the option vesting acceleration was calculated by multiplying the number of unvested shares underlying stock options subject to vesting acceleration as of December 31, 2024 by the difference between the closing price of our common stock as reported on the Nasdaq Global Select Market on December 31, 2024 and the exercise price for such unvested stock options. The value of the RSU vesting acceleration was calculated by multiplying the number of unvested RSUs subject to vesting acceleration as of December 31, 2024 by the closing price of our common stock as reported on the Nasdaq Global Select Market on December 31, 2024.</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55"/>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40" w:type="dxa"/>
            <w:vAlign w:val="bottom"/>
            <w:tcBorders>
              <w:bottom w:val="single" w:sz="8" w:color="auto"/>
            </w:tcBorders>
            <w:gridSpan w:val="4"/>
          </w:tcPr>
          <w:p>
            <w:pPr>
              <w:jc w:val="right"/>
              <w:ind w:right="1730"/>
              <w:spacing w:after="0"/>
              <w:rPr>
                <w:sz w:val="20"/>
                <w:szCs w:val="20"/>
                <w:color w:val="auto"/>
              </w:rPr>
            </w:pPr>
            <w:r>
              <w:rPr>
                <w:rFonts w:ascii="Times New Roman" w:cs="Times New Roman" w:eastAsia="Times New Roman" w:hAnsi="Times New Roman"/>
                <w:sz w:val="13"/>
                <w:szCs w:val="13"/>
                <w:b w:val="1"/>
                <w:bCs w:val="1"/>
                <w:color w:val="auto"/>
              </w:rPr>
              <w:t>Triggering Event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Resignation for Good Reason or</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Resignation for Good Reason or</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Termination Without Cause Outside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Termination Without Cause Within</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12 Months of the Change in Control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12 Months of the Change in Control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3"/>
                <w:szCs w:val="13"/>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2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Period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 ($)</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8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Barbara Weber, M.D.</w:t>
            </w:r>
          </w:p>
        </w:tc>
        <w:tc>
          <w:tcPr>
            <w:tcW w:w="20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Severance payments</w:t>
            </w:r>
          </w:p>
        </w:tc>
        <w:tc>
          <w:tcPr>
            <w:tcW w:w="2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660,000</w:t>
            </w:r>
          </w:p>
        </w:tc>
        <w:tc>
          <w:tcPr>
            <w:tcW w:w="360" w:type="dxa"/>
            <w:vAlign w:val="bottom"/>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3"/>
                <w:szCs w:val="13"/>
                <w:color w:val="auto"/>
              </w:rPr>
              <w:t>(1)</w:t>
            </w:r>
          </w:p>
        </w:tc>
        <w:tc>
          <w:tcPr>
            <w:tcW w:w="2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990,000</w:t>
            </w:r>
          </w:p>
        </w:tc>
        <w:tc>
          <w:tcPr>
            <w:tcW w:w="420" w:type="dxa"/>
            <w:vAlign w:val="bottom"/>
            <w:shd w:val="clear" w:color="auto" w:fill="CCEEFF"/>
          </w:tcPr>
          <w:p>
            <w:pPr>
              <w:jc w:val="center"/>
              <w:ind w:left="57"/>
              <w:spacing w:after="0" w:line="118" w:lineRule="exact"/>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President, Chief Executive Officer and</w:t>
            </w:r>
          </w:p>
        </w:tc>
        <w:tc>
          <w:tcPr>
            <w:tcW w:w="200" w:type="dxa"/>
            <w:vAlign w:val="bottom"/>
            <w:shd w:val="clear" w:color="auto" w:fill="CCEEFF"/>
          </w:tcPr>
          <w:p>
            <w:pPr>
              <w:spacing w:after="0"/>
              <w:rPr>
                <w:sz w:val="12"/>
                <w:szCs w:val="12"/>
                <w:color w:val="auto"/>
              </w:rPr>
            </w:pPr>
          </w:p>
        </w:tc>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incentive payments</w:t>
            </w:r>
          </w:p>
        </w:tc>
        <w:tc>
          <w:tcPr>
            <w:tcW w:w="2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396,000</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2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594,000</w:t>
            </w:r>
          </w:p>
        </w:tc>
        <w:tc>
          <w:tcPr>
            <w:tcW w:w="420" w:type="dxa"/>
            <w:vAlign w:val="bottom"/>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109"/>
        </w:trPr>
        <w:tc>
          <w:tcPr>
            <w:tcW w:w="2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200" w:type="dxa"/>
            <w:vAlign w:val="bottom"/>
            <w:shd w:val="clear" w:color="auto" w:fill="CCEEFF"/>
          </w:tcPr>
          <w:p>
            <w:pPr>
              <w:spacing w:after="0"/>
              <w:rPr>
                <w:sz w:val="9"/>
                <w:szCs w:val="9"/>
                <w:color w:val="auto"/>
              </w:rPr>
            </w:pPr>
          </w:p>
        </w:tc>
        <w:tc>
          <w:tcPr>
            <w:tcW w:w="3380" w:type="dxa"/>
            <w:vAlign w:val="bottom"/>
            <w:vMerge w:val="continue"/>
            <w:shd w:val="clear" w:color="auto" w:fill="CCEEFF"/>
          </w:tcPr>
          <w:p>
            <w:pPr>
              <w:spacing w:after="0"/>
              <w:rPr>
                <w:sz w:val="9"/>
                <w:szCs w:val="9"/>
                <w:color w:val="auto"/>
              </w:rPr>
            </w:pPr>
          </w:p>
        </w:tc>
        <w:tc>
          <w:tcPr>
            <w:tcW w:w="2280" w:type="dxa"/>
            <w:vAlign w:val="bottom"/>
            <w:gridSpan w:val="2"/>
            <w:vMerge w:val="continue"/>
            <w:shd w:val="clear" w:color="auto" w:fill="CCEEFF"/>
          </w:tcPr>
          <w:p>
            <w:pPr>
              <w:spacing w:after="0"/>
              <w:rPr>
                <w:sz w:val="9"/>
                <w:szCs w:val="9"/>
                <w:color w:val="auto"/>
              </w:rPr>
            </w:pPr>
          </w:p>
        </w:tc>
        <w:tc>
          <w:tcPr>
            <w:tcW w:w="360" w:type="dxa"/>
            <w:vAlign w:val="bottom"/>
            <w:gridSpan w:val="2"/>
            <w:vMerge w:val="continue"/>
            <w:shd w:val="clear" w:color="auto" w:fill="CCEEFF"/>
          </w:tcPr>
          <w:p>
            <w:pPr>
              <w:spacing w:after="0"/>
              <w:rPr>
                <w:sz w:val="9"/>
                <w:szCs w:val="9"/>
                <w:color w:val="auto"/>
              </w:rPr>
            </w:pPr>
          </w:p>
        </w:tc>
        <w:tc>
          <w:tcPr>
            <w:tcW w:w="2020" w:type="dxa"/>
            <w:vAlign w:val="bottom"/>
            <w:vMerge w:val="continue"/>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care continuation</w:t>
            </w:r>
          </w:p>
        </w:tc>
        <w:tc>
          <w:tcPr>
            <w:tcW w:w="2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17,029</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2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25,544</w:t>
            </w:r>
          </w:p>
        </w:tc>
        <w:tc>
          <w:tcPr>
            <w:tcW w:w="420" w:type="dxa"/>
            <w:vAlign w:val="bottom"/>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(6)</w:t>
            </w:r>
          </w:p>
        </w:tc>
        <w:tc>
          <w:tcPr>
            <w:tcW w:w="0" w:type="dxa"/>
            <w:vAlign w:val="bottom"/>
          </w:tcPr>
          <w:p>
            <w:pPr>
              <w:spacing w:after="0"/>
              <w:rPr>
                <w:sz w:val="1"/>
                <w:szCs w:val="1"/>
                <w:color w:val="auto"/>
              </w:rPr>
            </w:pPr>
          </w:p>
        </w:tc>
      </w:tr>
      <w:tr>
        <w:trPr>
          <w:trHeight w:val="126"/>
        </w:trPr>
        <w:tc>
          <w:tcPr>
            <w:tcW w:w="2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380" w:type="dxa"/>
            <w:vAlign w:val="bottom"/>
            <w:vMerge w:val="continue"/>
            <w:shd w:val="clear" w:color="auto" w:fill="CCEEFF"/>
          </w:tcPr>
          <w:p>
            <w:pPr>
              <w:spacing w:after="0"/>
              <w:rPr>
                <w:sz w:val="10"/>
                <w:szCs w:val="10"/>
                <w:color w:val="auto"/>
              </w:rPr>
            </w:pPr>
          </w:p>
        </w:tc>
        <w:tc>
          <w:tcPr>
            <w:tcW w:w="2280" w:type="dxa"/>
            <w:vAlign w:val="bottom"/>
            <w:gridSpan w:val="2"/>
            <w:vMerge w:val="continue"/>
            <w:shd w:val="clear" w:color="auto" w:fill="CCEEFF"/>
          </w:tcPr>
          <w:p>
            <w:pPr>
              <w:spacing w:after="0"/>
              <w:rPr>
                <w:sz w:val="10"/>
                <w:szCs w:val="10"/>
                <w:color w:val="auto"/>
              </w:rPr>
            </w:pPr>
          </w:p>
        </w:tc>
        <w:tc>
          <w:tcPr>
            <w:tcW w:w="360" w:type="dxa"/>
            <w:vAlign w:val="bottom"/>
            <w:gridSpan w:val="2"/>
            <w:vMerge w:val="continue"/>
            <w:shd w:val="clear" w:color="auto" w:fill="CCEEFF"/>
          </w:tcPr>
          <w:p>
            <w:pPr>
              <w:spacing w:after="0"/>
              <w:rPr>
                <w:sz w:val="10"/>
                <w:szCs w:val="10"/>
                <w:color w:val="auto"/>
              </w:rPr>
            </w:pPr>
          </w:p>
        </w:tc>
        <w:tc>
          <w:tcPr>
            <w:tcW w:w="2020" w:type="dxa"/>
            <w:vAlign w:val="bottom"/>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Acceleration of equity award vesting</w:t>
            </w: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182,013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895,312</w:t>
            </w:r>
          </w:p>
        </w:tc>
        <w:tc>
          <w:tcPr>
            <w:tcW w:w="42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1,255,042</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2,504,856</w:t>
            </w:r>
          </w:p>
        </w:tc>
        <w:tc>
          <w:tcPr>
            <w:tcW w:w="4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Daniella Beckman</w:t>
            </w:r>
          </w:p>
        </w:tc>
        <w:tc>
          <w:tcPr>
            <w:tcW w:w="200" w:type="dxa"/>
            <w:vAlign w:val="bottom"/>
          </w:tcPr>
          <w:p>
            <w:pPr>
              <w:spacing w:after="0"/>
              <w:rPr>
                <w:sz w:val="10"/>
                <w:szCs w:val="10"/>
                <w:color w:val="auto"/>
              </w:rPr>
            </w:pPr>
          </w:p>
        </w:tc>
        <w:tc>
          <w:tcPr>
            <w:tcW w:w="338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Severance payments</w:t>
            </w:r>
          </w:p>
        </w:tc>
        <w:tc>
          <w:tcPr>
            <w:tcW w:w="120" w:type="dxa"/>
            <w:vAlign w:val="bottom"/>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486,314</w:t>
            </w:r>
          </w:p>
        </w:tc>
        <w:tc>
          <w:tcPr>
            <w:tcW w:w="3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3"/>
                <w:szCs w:val="13"/>
                <w:color w:val="auto"/>
              </w:rPr>
              <w:t>(1)</w:t>
            </w:r>
          </w:p>
        </w:tc>
        <w:tc>
          <w:tcPr>
            <w:tcW w:w="2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486,314</w:t>
            </w:r>
          </w:p>
        </w:tc>
        <w:tc>
          <w:tcPr>
            <w:tcW w:w="420" w:type="dxa"/>
            <w:vAlign w:val="bottom"/>
          </w:tcPr>
          <w:p>
            <w:pPr>
              <w:jc w:val="center"/>
              <w:ind w:left="57"/>
              <w:spacing w:after="0" w:line="124" w:lineRule="exact"/>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200" w:type="dxa"/>
            <w:vAlign w:val="bottom"/>
          </w:tcPr>
          <w:p>
            <w:pPr>
              <w:spacing w:after="0"/>
              <w:rPr>
                <w:sz w:val="13"/>
                <w:szCs w:val="13"/>
                <w:color w:val="auto"/>
              </w:rPr>
            </w:pPr>
          </w:p>
        </w:tc>
        <w:tc>
          <w:tcPr>
            <w:tcW w:w="33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Cash incentive payments</w:t>
            </w:r>
          </w:p>
        </w:tc>
        <w:tc>
          <w:tcPr>
            <w:tcW w:w="22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194,526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20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194,526</w:t>
            </w:r>
          </w:p>
        </w:tc>
        <w:tc>
          <w:tcPr>
            <w:tcW w:w="4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Health care continuation</w:t>
            </w:r>
          </w:p>
        </w:tc>
        <w:tc>
          <w:tcPr>
            <w:tcW w:w="22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24,137</w:t>
            </w:r>
          </w:p>
        </w:tc>
        <w:tc>
          <w:tcPr>
            <w:tcW w:w="3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(5)</w:t>
            </w:r>
          </w:p>
        </w:tc>
        <w:tc>
          <w:tcPr>
            <w:tcW w:w="2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24,137</w:t>
            </w:r>
          </w:p>
        </w:tc>
        <w:tc>
          <w:tcPr>
            <w:tcW w:w="420" w:type="dxa"/>
            <w:vAlign w:val="bottom"/>
          </w:tcPr>
          <w:p>
            <w:pPr>
              <w:jc w:val="center"/>
              <w:ind w:left="57"/>
              <w:spacing w:after="0" w:line="147" w:lineRule="exact"/>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Acceleration of equity award vesting</w:t>
            </w:r>
          </w:p>
        </w:tc>
        <w:tc>
          <w:tcPr>
            <w:tcW w:w="2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298,358</w:t>
            </w:r>
          </w:p>
        </w:tc>
        <w:tc>
          <w:tcPr>
            <w:tcW w:w="4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704,977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1,003,335</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5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color w:val="auto"/>
              </w:rPr>
              <w:t>Adam Crystal, M.D., Ph.D.</w:t>
            </w:r>
          </w:p>
        </w:tc>
        <w:tc>
          <w:tcPr>
            <w:tcW w:w="20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Severance payments</w:t>
            </w:r>
          </w:p>
        </w:tc>
        <w:tc>
          <w:tcPr>
            <w:tcW w:w="22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569,250</w:t>
            </w:r>
          </w:p>
        </w:tc>
        <w:tc>
          <w:tcPr>
            <w:tcW w:w="3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3"/>
                <w:szCs w:val="13"/>
                <w:color w:val="auto"/>
              </w:rPr>
              <w:t>(1)</w:t>
            </w:r>
          </w:p>
        </w:tc>
        <w:tc>
          <w:tcPr>
            <w:tcW w:w="2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569,250</w:t>
            </w:r>
          </w:p>
        </w:tc>
        <w:tc>
          <w:tcPr>
            <w:tcW w:w="420" w:type="dxa"/>
            <w:vAlign w:val="bottom"/>
            <w:shd w:val="clear" w:color="auto" w:fill="CCEEFF"/>
          </w:tcPr>
          <w:p>
            <w:pPr>
              <w:jc w:val="center"/>
              <w:ind w:left="57"/>
              <w:spacing w:after="0" w:line="124" w:lineRule="exact"/>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51"/>
        </w:trPr>
        <w:tc>
          <w:tcPr>
            <w:tcW w:w="25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President of Research and Development</w:t>
            </w:r>
          </w:p>
        </w:tc>
        <w:tc>
          <w:tcPr>
            <w:tcW w:w="2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Cash incentive payments</w:t>
            </w:r>
          </w:p>
        </w:tc>
        <w:tc>
          <w:tcPr>
            <w:tcW w:w="22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256,163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20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256,163</w:t>
            </w:r>
          </w:p>
        </w:tc>
        <w:tc>
          <w:tcPr>
            <w:tcW w:w="42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 care continuation</w:t>
            </w:r>
          </w:p>
        </w:tc>
        <w:tc>
          <w:tcPr>
            <w:tcW w:w="2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2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Acceleration of equity award vesting</w:t>
            </w:r>
          </w:p>
        </w:tc>
        <w:tc>
          <w:tcPr>
            <w:tcW w:w="120" w:type="dxa"/>
            <w:vAlign w:val="bottom"/>
            <w:tcBorders>
              <w:bottom w:val="single" w:sz="8" w:color="auto"/>
            </w:tcBorders>
            <w:shd w:val="clear" w:color="auto" w:fill="CCEEFF"/>
          </w:tcPr>
          <w:p>
            <w:pPr>
              <w:spacing w:after="0"/>
              <w:rPr>
                <w:sz w:val="14"/>
                <w:szCs w:val="14"/>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532,436</w:t>
            </w:r>
          </w:p>
        </w:tc>
        <w:tc>
          <w:tcPr>
            <w:tcW w:w="420" w:type="dxa"/>
            <w:vAlign w:val="bottom"/>
            <w:tcBorders>
              <w:bottom w:val="single" w:sz="8" w:color="CCEEFF"/>
            </w:tcBorders>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42"/>
        </w:trPr>
        <w:tc>
          <w:tcPr>
            <w:tcW w:w="2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825,413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1,357,849</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Douglas Barry</w:t>
            </w:r>
          </w:p>
        </w:tc>
        <w:tc>
          <w:tcPr>
            <w:tcW w:w="200" w:type="dxa"/>
            <w:vAlign w:val="bottom"/>
          </w:tcPr>
          <w:p>
            <w:pPr>
              <w:spacing w:after="0"/>
              <w:rPr>
                <w:sz w:val="10"/>
                <w:szCs w:val="10"/>
                <w:color w:val="auto"/>
              </w:rPr>
            </w:pPr>
          </w:p>
        </w:tc>
        <w:tc>
          <w:tcPr>
            <w:tcW w:w="338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Severance payments</w:t>
            </w:r>
          </w:p>
        </w:tc>
        <w:tc>
          <w:tcPr>
            <w:tcW w:w="120" w:type="dxa"/>
            <w:vAlign w:val="bottom"/>
          </w:tcPr>
          <w:p>
            <w:pPr>
              <w:spacing w:after="0"/>
              <w:rPr>
                <w:sz w:val="10"/>
                <w:szCs w:val="10"/>
                <w:color w:val="auto"/>
              </w:rPr>
            </w:pPr>
          </w:p>
        </w:tc>
        <w:tc>
          <w:tcPr>
            <w:tcW w:w="21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225,600</w:t>
            </w:r>
          </w:p>
        </w:tc>
        <w:tc>
          <w:tcPr>
            <w:tcW w:w="3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3"/>
                <w:szCs w:val="13"/>
                <w:color w:val="auto"/>
              </w:rPr>
              <w:t>(4)</w:t>
            </w:r>
          </w:p>
        </w:tc>
        <w:tc>
          <w:tcPr>
            <w:tcW w:w="2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338,400</w:t>
            </w:r>
          </w:p>
        </w:tc>
        <w:tc>
          <w:tcPr>
            <w:tcW w:w="420" w:type="dxa"/>
            <w:vAlign w:val="bottom"/>
          </w:tcPr>
          <w:p>
            <w:pPr>
              <w:jc w:val="center"/>
              <w:ind w:left="57"/>
              <w:spacing w:after="0" w:line="124" w:lineRule="exact"/>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Chief Legal Officer</w:t>
            </w:r>
          </w:p>
        </w:tc>
        <w:tc>
          <w:tcPr>
            <w:tcW w:w="200" w:type="dxa"/>
            <w:vAlign w:val="bottom"/>
          </w:tcPr>
          <w:p>
            <w:pPr>
              <w:spacing w:after="0"/>
              <w:rPr>
                <w:sz w:val="13"/>
                <w:szCs w:val="13"/>
                <w:color w:val="auto"/>
              </w:rPr>
            </w:pPr>
          </w:p>
        </w:tc>
        <w:tc>
          <w:tcPr>
            <w:tcW w:w="33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Cash incentive payments</w:t>
            </w:r>
          </w:p>
        </w:tc>
        <w:tc>
          <w:tcPr>
            <w:tcW w:w="22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180,480</w:t>
            </w:r>
          </w:p>
        </w:tc>
        <w:tc>
          <w:tcPr>
            <w:tcW w:w="4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Health care continuation</w:t>
            </w:r>
          </w:p>
        </w:tc>
        <w:tc>
          <w:tcPr>
            <w:tcW w:w="22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12,069</w:t>
            </w:r>
          </w:p>
        </w:tc>
        <w:tc>
          <w:tcPr>
            <w:tcW w:w="3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(9)</w:t>
            </w:r>
          </w:p>
        </w:tc>
        <w:tc>
          <w:tcPr>
            <w:tcW w:w="2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18,103</w:t>
            </w:r>
          </w:p>
        </w:tc>
        <w:tc>
          <w:tcPr>
            <w:tcW w:w="420" w:type="dxa"/>
            <w:vAlign w:val="bottom"/>
          </w:tcPr>
          <w:p>
            <w:pPr>
              <w:jc w:val="center"/>
              <w:ind w:left="57"/>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Acceleration of equity award vesting</w:t>
            </w:r>
          </w:p>
        </w:tc>
        <w:tc>
          <w:tcPr>
            <w:tcW w:w="2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233,967</w:t>
            </w:r>
          </w:p>
        </w:tc>
        <w:tc>
          <w:tcPr>
            <w:tcW w:w="42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237,669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770,950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-1577340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-1577340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-608965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-608965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1" w:lineRule="exact"/>
        <w:rPr>
          <w:sz w:val="20"/>
          <w:szCs w:val="20"/>
          <w:color w:val="auto"/>
        </w:rPr>
      </w:pPr>
    </w:p>
    <w:p>
      <w:pPr>
        <w:ind w:right="700" w:firstLine="8"/>
        <w:spacing w:after="0" w:line="261" w:lineRule="auto"/>
        <w:tabs>
          <w:tab w:leader="none" w:pos="3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continued base salary in an amount equal to twelve (12) months of the named executive officers annual base salary in effect as of December 31, 2024.</w:t>
      </w:r>
    </w:p>
    <w:p>
      <w:pPr>
        <w:ind w:right="580" w:firstLine="8"/>
        <w:spacing w:after="0" w:line="250" w:lineRule="auto"/>
        <w:tabs>
          <w:tab w:leader="none" w:pos="3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continued base salary in an amount equal to eighteen (18) months of the named executive officers annual base salary in effect as of December 31, 2024.</w:t>
      </w:r>
    </w:p>
    <w:p>
      <w:pPr>
        <w:ind w:right="200" w:firstLine="8"/>
        <w:spacing w:after="0" w:line="250" w:lineRule="auto"/>
        <w:tabs>
          <w:tab w:leader="none" w:pos="3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in cash in an amount equal to 1 times the named executive officers target annual cash incentive compensation in effect as of December 31, 2024.</w:t>
      </w:r>
    </w:p>
    <w:p>
      <w:pPr>
        <w:ind w:right="60" w:firstLine="8"/>
        <w:spacing w:after="0" w:line="250" w:lineRule="auto"/>
        <w:tabs>
          <w:tab w:leader="none" w:pos="3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in cash in an amount equal to 1.5 times the named executive officers target annual cash incentive compensation in effect as of December 31, 2024.</w:t>
      </w: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of monthly cash payments for twelve (12) months for continued medical and dental benefits for the named executive officer.</w:t>
      </w:r>
    </w:p>
    <w:p>
      <w:pPr>
        <w:spacing w:after="0" w:line="9" w:lineRule="exact"/>
        <w:rPr>
          <w:rFonts w:ascii="Times New Roman" w:cs="Times New Roman" w:eastAsia="Times New Roman" w:hAnsi="Times New Roman"/>
          <w:sz w:val="18"/>
          <w:szCs w:val="18"/>
          <w:color w:val="auto"/>
        </w:rPr>
      </w:pPr>
    </w:p>
    <w:p>
      <w:pPr>
        <w:ind w:right="460" w:firstLine="8"/>
        <w:spacing w:after="0" w:line="250" w:lineRule="auto"/>
        <w:tabs>
          <w:tab w:leader="none" w:pos="3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of monthly cash payments for eighteen (18) months for continued medical and dental benefits for the named executive officer.</w:t>
      </w:r>
    </w:p>
    <w:p>
      <w:pPr>
        <w:ind w:right="120" w:firstLine="8"/>
        <w:spacing w:after="0" w:line="250" w:lineRule="auto"/>
        <w:tabs>
          <w:tab w:leader="none" w:pos="3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of twelve (12) months of the unvested stock options and other stock-based awards subject solely to time-based vesting held by the named executive officer on December 31, 2024.</w:t>
      </w:r>
    </w:p>
    <w:p>
      <w:pPr>
        <w:ind w:right="180" w:firstLine="8"/>
        <w:spacing w:after="0" w:line="250" w:lineRule="auto"/>
        <w:tabs>
          <w:tab w:leader="none" w:pos="3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of 100% of the unvested stock options and other stock-based awards subject solely to time-based vesting held by the named executive officer on December 31, 2024.</w:t>
      </w: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of monthly cash payments for six (6) months for continued medical and dental benefits for the named executive officer.</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of monthly cash payments for nine (9) months for continued medical and dental benefits for the named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to the annual total compensation of Barbara Weber, M.D., our current President and Chief Executive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Ratio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2024:</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annual total compensation of our median employee, other than our principal executive officer, was $294,361.</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Weber’s annual total compensation, as reported in the “Total” column of the “Summary Compensation Table,” was $6,541,200.</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Based on this information, the ratio of the annual total compensation of Dr. Weber to the total annual compensation of the median employee other than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Weber is approximately 22 to 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Median Employee</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selected December 31, 2024, the last day of fiscal year 2024, as the date on which to determine its median employee. As of that date, we had 155 employees. For purposes of identifying the median employee, we considered the aggregate of the following compensation elements for each of its employees, as compiled from its internal records as of December 31, 2024:</w:t>
      </w:r>
    </w:p>
    <w:p>
      <w:pPr>
        <w:spacing w:after="0" w:line="68"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base salary or base wages for the period beginning on January 1, 2024 and ending on December 31, 2024;</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bonuses for fiscal year 2024;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long-term equity awards.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selected the above compensation elements because they represent its principal broad-based compensation elements. Because all of our employees are in the U.S., we did not make any cost-of-living adjustments or exclude any foreign jurisdictions in accordance with Item 402(u) of Regulation S-K. In determining the annual total compensation of the median employee, the employee’s compensation was calculated in accordance with Item 402(c)(2)(x) of Regulation S-K, as required pursuant to the SEC executive compensation disclosure rules. This calculation is the same calculation used to determine total compensation for purposes of the Summary Compensation Table with respect to each of our NEOs.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12529"/>
        </w:rPr>
        <w:t>This pay ratio is a reasonable estimate calculated in a manner consistent with SEC rules based on our payroll and employment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Tango is providing the following information about the relationship between the executive compensation actually paid to our named executive officers and certain aspects of our financial performance. The following table sets forth the compensation for our Chief Executive Officer and the average compensation for our other named executive officers (Non-CEO NEOs), both as reported in the Summary Compensation Table and with certain adjustments to reflect the “Compensation Actually Paid”, or CAP, to such individuals, as defined under SEC rules, for each of 2024, 2023, and 2022. The table also provides information on our cumulative total shareholder return, or TSR, the cumulative TSR of the Nasdaq Biotechnology Index and our Net Loss over such years in accordance with SEC rules. As a clinical stage biotech company, we do not use any financial performance measures in our compensation program or for comparison to any corporate goals. For further information concerning our pay for performance philosophy and how we align executive compensation with our performance, please refer to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7"/>
              </w:rPr>
              <w:t>Year-end Value of $100 Invested on 12/31/2021</w:t>
            </w: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160" w:type="dxa"/>
            <w:vAlign w:val="bottom"/>
          </w:tcPr>
          <w:p>
            <w:pPr>
              <w:spacing w:after="0"/>
              <w:rPr>
                <w:sz w:val="13"/>
                <w:szCs w:val="13"/>
                <w:color w:val="auto"/>
              </w:rPr>
            </w:pPr>
          </w:p>
        </w:tc>
        <w:tc>
          <w:tcPr>
            <w:tcW w:w="1500" w:type="dxa"/>
            <w:vAlign w:val="bottom"/>
            <w:gridSpan w:val="2"/>
          </w:tcPr>
          <w:p>
            <w:pPr>
              <w:jc w:val="right"/>
              <w:ind w:right="1188"/>
              <w:spacing w:after="0"/>
              <w:rPr>
                <w:sz w:val="20"/>
                <w:szCs w:val="20"/>
                <w:color w:val="auto"/>
              </w:rPr>
            </w:pPr>
            <w:r>
              <w:rPr>
                <w:rFonts w:ascii="Times New Roman" w:cs="Times New Roman" w:eastAsia="Times New Roman" w:hAnsi="Times New Roman"/>
                <w:sz w:val="13"/>
                <w:szCs w:val="13"/>
                <w:b w:val="1"/>
                <w:bCs w:val="1"/>
                <w:color w:val="auto"/>
              </w:rPr>
              <w:t>in:</w:t>
            </w: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 Summary</w:t>
            </w:r>
          </w:p>
        </w:tc>
        <w:tc>
          <w:tcPr>
            <w:tcW w:w="220" w:type="dxa"/>
            <w:vAlign w:val="bottom"/>
          </w:tcPr>
          <w:p>
            <w:pPr>
              <w:spacing w:after="0"/>
              <w:rPr>
                <w:sz w:val="11"/>
                <w:szCs w:val="11"/>
                <w:color w:val="auto"/>
              </w:rPr>
            </w:pPr>
          </w:p>
        </w:tc>
        <w:tc>
          <w:tcPr>
            <w:tcW w:w="1400" w:type="dxa"/>
            <w:vAlign w:val="bottom"/>
            <w:gridSpan w:val="2"/>
          </w:tcPr>
          <w:p>
            <w:pPr>
              <w:jc w:val="center"/>
              <w:ind w:right="181"/>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220" w:type="dxa"/>
            <w:vAlign w:val="bottom"/>
          </w:tcPr>
          <w:p>
            <w:pPr>
              <w:spacing w:after="0"/>
              <w:rPr>
                <w:sz w:val="11"/>
                <w:szCs w:val="11"/>
                <w:color w:val="auto"/>
              </w:rPr>
            </w:pPr>
          </w:p>
        </w:tc>
        <w:tc>
          <w:tcPr>
            <w:tcW w:w="1440" w:type="dxa"/>
            <w:vAlign w:val="bottom"/>
            <w:gridSpan w:val="2"/>
          </w:tcPr>
          <w:p>
            <w:pPr>
              <w:jc w:val="center"/>
              <w:ind w:right="181"/>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220" w:type="dxa"/>
            <w:vAlign w:val="bottom"/>
          </w:tcPr>
          <w:p>
            <w:pPr>
              <w:spacing w:after="0"/>
              <w:rPr>
                <w:sz w:val="11"/>
                <w:szCs w:val="11"/>
                <w:color w:val="auto"/>
              </w:rPr>
            </w:pPr>
          </w:p>
        </w:tc>
        <w:tc>
          <w:tcPr>
            <w:tcW w:w="1400" w:type="dxa"/>
            <w:vAlign w:val="bottom"/>
            <w:gridSpan w:val="2"/>
          </w:tcPr>
          <w:p>
            <w:pPr>
              <w:jc w:val="center"/>
              <w:ind w:right="181"/>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for Dr. Weber</w:t>
            </w:r>
          </w:p>
        </w:tc>
        <w:tc>
          <w:tcPr>
            <w:tcW w:w="220" w:type="dxa"/>
            <w:vAlign w:val="bottom"/>
          </w:tcPr>
          <w:p>
            <w:pPr>
              <w:spacing w:after="0"/>
              <w:rPr>
                <w:sz w:val="11"/>
                <w:szCs w:val="11"/>
                <w:color w:val="auto"/>
              </w:rPr>
            </w:pPr>
          </w:p>
        </w:tc>
        <w:tc>
          <w:tcPr>
            <w:tcW w:w="1440" w:type="dxa"/>
            <w:vAlign w:val="bottom"/>
            <w:gridSpan w:val="2"/>
          </w:tcPr>
          <w:p>
            <w:pPr>
              <w:jc w:val="center"/>
              <w:ind w:right="161"/>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 to Dr.</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Total for Non-PEO</w:t>
            </w:r>
          </w:p>
        </w:tc>
        <w:tc>
          <w:tcPr>
            <w:tcW w:w="220" w:type="dxa"/>
            <w:vAlign w:val="bottom"/>
          </w:tcPr>
          <w:p>
            <w:pPr>
              <w:spacing w:after="0"/>
              <w:rPr>
                <w:sz w:val="11"/>
                <w:szCs w:val="11"/>
                <w:color w:val="auto"/>
              </w:rPr>
            </w:pPr>
          </w:p>
        </w:tc>
        <w:tc>
          <w:tcPr>
            <w:tcW w:w="1400" w:type="dxa"/>
            <w:vAlign w:val="bottom"/>
            <w:gridSpan w:val="2"/>
          </w:tcPr>
          <w:p>
            <w:pPr>
              <w:jc w:val="center"/>
              <w:ind w:right="141"/>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Non-PEO NEOs ($)</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Nasdaq Biotechnology</w:t>
            </w:r>
          </w:p>
        </w:tc>
        <w:tc>
          <w:tcPr>
            <w:tcW w:w="200" w:type="dxa"/>
            <w:vAlign w:val="bottom"/>
          </w:tcPr>
          <w:p>
            <w:pPr>
              <w:spacing w:after="0"/>
              <w:rPr>
                <w:sz w:val="11"/>
                <w:szCs w:val="11"/>
                <w:color w:val="auto"/>
              </w:rPr>
            </w:pPr>
          </w:p>
        </w:tc>
        <w:tc>
          <w:tcPr>
            <w:tcW w:w="1600" w:type="dxa"/>
            <w:vAlign w:val="bottom"/>
            <w:gridSpan w:val="2"/>
          </w:tcPr>
          <w:p>
            <w:pPr>
              <w:jc w:val="right"/>
              <w:ind w:right="510"/>
              <w:spacing w:after="0" w:line="135"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0" w:type="dxa"/>
            <w:vAlign w:val="bottom"/>
          </w:tcPr>
          <w:p>
            <w:pPr>
              <w:spacing w:after="0"/>
              <w:rPr>
                <w:sz w:val="1"/>
                <w:szCs w:val="1"/>
                <w:color w:val="auto"/>
              </w:rPr>
            </w:pPr>
          </w:p>
        </w:tc>
      </w:tr>
      <w:tr>
        <w:trPr>
          <w:trHeight w:val="155"/>
        </w:trPr>
        <w:tc>
          <w:tcPr>
            <w:tcW w:w="8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3"/>
                <w:szCs w:val="13"/>
                <w:color w:val="auto"/>
              </w:rPr>
            </w:pPr>
          </w:p>
        </w:tc>
        <w:tc>
          <w:tcPr>
            <w:tcW w:w="1440" w:type="dxa"/>
            <w:vAlign w:val="bottom"/>
            <w:gridSpan w:val="2"/>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w w:val="97"/>
              </w:rPr>
              <w:t>Weber ($)(2)(3)</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NEOs ($)(4)</w:t>
            </w:r>
          </w:p>
        </w:tc>
        <w:tc>
          <w:tcPr>
            <w:tcW w:w="1400" w:type="dxa"/>
            <w:vAlign w:val="bottom"/>
            <w:gridSpan w:val="2"/>
          </w:tcPr>
          <w:p>
            <w:pPr>
              <w:jc w:val="center"/>
              <w:ind w:left="119"/>
              <w:spacing w:after="0"/>
              <w:rPr>
                <w:sz w:val="20"/>
                <w:szCs w:val="20"/>
                <w:color w:val="auto"/>
              </w:rPr>
            </w:pPr>
            <w:r>
              <w:rPr>
                <w:rFonts w:ascii="Times New Roman" w:cs="Times New Roman" w:eastAsia="Times New Roman" w:hAnsi="Times New Roman"/>
                <w:sz w:val="13"/>
                <w:szCs w:val="13"/>
                <w:b w:val="1"/>
                <w:bCs w:val="1"/>
                <w:color w:val="auto"/>
                <w:w w:val="96"/>
              </w:rPr>
              <w:t>(2)(3)(4)</w:t>
            </w:r>
          </w:p>
        </w:tc>
        <w:tc>
          <w:tcPr>
            <w:tcW w:w="220" w:type="dxa"/>
            <w:vAlign w:val="bottom"/>
          </w:tcPr>
          <w:p>
            <w:pPr>
              <w:spacing w:after="0"/>
              <w:rPr>
                <w:sz w:val="13"/>
                <w:szCs w:val="13"/>
                <w:color w:val="auto"/>
              </w:rPr>
            </w:pPr>
          </w:p>
        </w:tc>
        <w:tc>
          <w:tcPr>
            <w:tcW w:w="1160" w:type="dxa"/>
            <w:vAlign w:val="bottom"/>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TNGX ($)</w:t>
            </w:r>
          </w:p>
        </w:tc>
        <w:tc>
          <w:tcPr>
            <w:tcW w:w="220" w:type="dxa"/>
            <w:vAlign w:val="bottom"/>
          </w:tcPr>
          <w:p>
            <w:pPr>
              <w:spacing w:after="0"/>
              <w:rPr>
                <w:sz w:val="13"/>
                <w:szCs w:val="13"/>
                <w:color w:val="auto"/>
              </w:rPr>
            </w:pPr>
          </w:p>
        </w:tc>
        <w:tc>
          <w:tcPr>
            <w:tcW w:w="128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Index ($)</w:t>
            </w:r>
          </w:p>
        </w:tc>
        <w:tc>
          <w:tcPr>
            <w:tcW w:w="200" w:type="dxa"/>
            <w:vAlign w:val="bottom"/>
          </w:tcPr>
          <w:p>
            <w:pPr>
              <w:spacing w:after="0"/>
              <w:rPr>
                <w:sz w:val="13"/>
                <w:szCs w:val="13"/>
                <w:color w:val="auto"/>
              </w:rPr>
            </w:pPr>
          </w:p>
        </w:tc>
        <w:tc>
          <w:tcPr>
            <w:tcW w:w="1600" w:type="dxa"/>
            <w:vAlign w:val="bottom"/>
            <w:gridSpan w:val="2"/>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 millions)</w:t>
            </w:r>
          </w:p>
        </w:tc>
        <w:tc>
          <w:tcPr>
            <w:tcW w:w="0" w:type="dxa"/>
            <w:vAlign w:val="bottom"/>
          </w:tcPr>
          <w:p>
            <w:pPr>
              <w:spacing w:after="0"/>
              <w:rPr>
                <w:sz w:val="1"/>
                <w:szCs w:val="1"/>
                <w:color w:val="auto"/>
              </w:rPr>
            </w:pPr>
          </w:p>
        </w:tc>
      </w:tr>
      <w:tr>
        <w:trPr>
          <w:trHeight w:val="191"/>
        </w:trPr>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6"/>
                <w:szCs w:val="16"/>
                <w:color w:val="auto"/>
              </w:rPr>
            </w:pPr>
          </w:p>
        </w:tc>
        <w:tc>
          <w:tcPr>
            <w:tcW w:w="1180" w:type="dxa"/>
            <w:vAlign w:val="bottom"/>
            <w:tcBorders>
              <w:top w:val="single" w:sz="8" w:color="auto"/>
            </w:tcBorders>
          </w:tcPr>
          <w:p>
            <w:pPr>
              <w:ind w:left="440"/>
              <w:spacing w:after="0" w:line="191" w:lineRule="exact"/>
              <w:rPr>
                <w:sz w:val="20"/>
                <w:szCs w:val="20"/>
                <w:color w:val="auto"/>
              </w:rPr>
            </w:pPr>
            <w:r>
              <w:rPr>
                <w:rFonts w:ascii="Times New Roman" w:cs="Times New Roman" w:eastAsia="Times New Roman" w:hAnsi="Times New Roman"/>
                <w:sz w:val="18"/>
                <w:szCs w:val="18"/>
                <w:color w:val="auto"/>
                <w:w w:val="99"/>
              </w:rPr>
              <w:t>6,541,200</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(3,076,115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3,012,686</w:t>
            </w:r>
          </w:p>
        </w:tc>
        <w:tc>
          <w:tcPr>
            <w:tcW w:w="220" w:type="dxa"/>
            <w:vAlign w:val="bottom"/>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(370,843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93.5</w:t>
            </w:r>
          </w:p>
        </w:tc>
        <w:tc>
          <w:tcPr>
            <w:tcW w:w="200" w:type="dxa"/>
            <w:vAlign w:val="bottom"/>
          </w:tcPr>
          <w:p>
            <w:pPr>
              <w:spacing w:after="0"/>
              <w:rPr>
                <w:sz w:val="16"/>
                <w:szCs w:val="16"/>
                <w:color w:val="auto"/>
              </w:rPr>
            </w:pPr>
          </w:p>
        </w:tc>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3,391,059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8,141,931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2,134,765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3,049,295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(101.7 )</w:t>
            </w:r>
          </w:p>
        </w:tc>
        <w:tc>
          <w:tcPr>
            <w:tcW w:w="0" w:type="dxa"/>
            <w:vAlign w:val="bottom"/>
          </w:tcPr>
          <w:p>
            <w:pPr>
              <w:spacing w:after="0"/>
              <w:rPr>
                <w:sz w:val="1"/>
                <w:szCs w:val="1"/>
                <w:color w:val="auto"/>
              </w:rPr>
            </w:pPr>
          </w:p>
        </w:tc>
      </w:tr>
      <w:tr>
        <w:trPr>
          <w:trHeight w:val="23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4,681,787</w:t>
            </w:r>
          </w:p>
        </w:tc>
        <w:tc>
          <w:tcPr>
            <w:tcW w:w="16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(2,846,266 )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1,667,890</w:t>
            </w:r>
          </w:p>
        </w:tc>
        <w:tc>
          <w:tcPr>
            <w:tcW w:w="16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(72,512 )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-861060</wp:posOffset>
            </wp:positionV>
            <wp:extent cx="93980" cy="4622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46228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-861060</wp:posOffset>
            </wp:positionV>
            <wp:extent cx="93980" cy="4622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462280"/>
                    </a:xfrm>
                    <a:prstGeom prst="rect">
                      <a:avLst/>
                    </a:prstGeom>
                    <a:noFill/>
                  </pic:spPr>
                </pic:pic>
              </a:graphicData>
            </a:graphic>
          </wp:anchor>
        </w:drawing>
      </w:r>
    </w:p>
    <w:p>
      <w:pPr>
        <w:spacing w:after="0" w:line="178" w:lineRule="exact"/>
        <w:rPr>
          <w:sz w:val="20"/>
          <w:szCs w:val="20"/>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Weber, M.D., has served as the Company's PEO since March 2017.</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and additions to, total compensation in the Summary Compensation Table by year to calculate Compensation Actually Paid include: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155"/>
        </w:trPr>
        <w:tc>
          <w:tcPr>
            <w:tcW w:w="3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right"/>
              <w:ind w:right="70"/>
              <w:spacing w:after="0" w:line="109" w:lineRule="exact"/>
              <w:rPr>
                <w:sz w:val="20"/>
                <w:szCs w:val="20"/>
                <w:color w:val="auto"/>
              </w:rPr>
            </w:pPr>
            <w:r>
              <w:rPr>
                <w:rFonts w:ascii="Times New Roman" w:cs="Times New Roman" w:eastAsia="Times New Roman" w:hAnsi="Times New Roman"/>
                <w:sz w:val="12"/>
                <w:szCs w:val="12"/>
                <w:b w:val="1"/>
                <w:bCs w:val="1"/>
                <w:color w:val="auto"/>
              </w:rPr>
              <w:t>Average Non-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right"/>
              <w:ind w:right="50"/>
              <w:spacing w:after="0" w:line="109" w:lineRule="exact"/>
              <w:rPr>
                <w:sz w:val="20"/>
                <w:szCs w:val="20"/>
                <w:color w:val="auto"/>
              </w:rPr>
            </w:pPr>
            <w:r>
              <w:rPr>
                <w:rFonts w:ascii="Times New Roman" w:cs="Times New Roman" w:eastAsia="Times New Roman" w:hAnsi="Times New Roman"/>
                <w:sz w:val="12"/>
                <w:szCs w:val="12"/>
                <w:b w:val="1"/>
                <w:bCs w:val="1"/>
                <w:color w:val="auto"/>
              </w:rPr>
              <w:t>Average Non-</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Average Non-PEO</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Compensation from Summary Compensation Table</w:t>
            </w:r>
          </w:p>
        </w:tc>
        <w:tc>
          <w:tcPr>
            <w:tcW w:w="140" w:type="dxa"/>
            <w:vAlign w:val="bottom"/>
          </w:tcPr>
          <w:p>
            <w:pPr>
              <w:spacing w:after="0"/>
              <w:rPr>
                <w:sz w:val="13"/>
                <w:szCs w:val="13"/>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Dr. Weber</w:t>
            </w:r>
          </w:p>
        </w:tc>
        <w:tc>
          <w:tcPr>
            <w:tcW w:w="10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PEO NEOs</w:t>
            </w:r>
          </w:p>
        </w:tc>
        <w:tc>
          <w:tcPr>
            <w:tcW w:w="16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Dr. Weber</w:t>
            </w:r>
          </w:p>
        </w:tc>
        <w:tc>
          <w:tcPr>
            <w:tcW w:w="12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PEO NEOs</w:t>
            </w: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Dr. Weber</w:t>
            </w:r>
          </w:p>
        </w:tc>
        <w:tc>
          <w:tcPr>
            <w:tcW w:w="220" w:type="dxa"/>
            <w:vAlign w:val="bottom"/>
          </w:tcPr>
          <w:p>
            <w:pPr>
              <w:spacing w:after="0"/>
              <w:rPr>
                <w:sz w:val="13"/>
                <w:szCs w:val="13"/>
                <w:color w:val="auto"/>
              </w:rPr>
            </w:pPr>
          </w:p>
        </w:tc>
        <w:tc>
          <w:tcPr>
            <w:tcW w:w="88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NEOs</w:t>
            </w:r>
          </w:p>
        </w:tc>
        <w:tc>
          <w:tcPr>
            <w:tcW w:w="0" w:type="dxa"/>
            <w:vAlign w:val="bottom"/>
          </w:tcPr>
          <w:p>
            <w:pPr>
              <w:spacing w:after="0"/>
              <w:rPr>
                <w:sz w:val="1"/>
                <w:szCs w:val="1"/>
                <w:color w:val="auto"/>
              </w:rPr>
            </w:pPr>
          </w:p>
        </w:tc>
      </w:tr>
      <w:tr>
        <w:trPr>
          <w:trHeight w:val="184"/>
        </w:trPr>
        <w:tc>
          <w:tcPr>
            <w:tcW w:w="3980" w:type="dxa"/>
            <w:vAlign w:val="bottom"/>
            <w:vMerge w:val="continue"/>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6,541,200</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3,012,686</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3,391,059</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2,134,765</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4,681,787</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1,667,890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 for grant date values in the Summary Compensation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(5,415,711 )</w:t>
            </w: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(2,254,684 )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(2,351,247 )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(1,333,526 )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(3,740,625 )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(1,047,375 )</w:t>
            </w:r>
          </w:p>
        </w:tc>
        <w:tc>
          <w:tcPr>
            <w:tcW w:w="0" w:type="dxa"/>
            <w:vAlign w:val="bottom"/>
          </w:tcPr>
          <w:p>
            <w:pPr>
              <w:spacing w:after="0"/>
              <w:rPr>
                <w:sz w:val="1"/>
                <w:szCs w:val="1"/>
                <w:color w:val="auto"/>
              </w:rPr>
            </w:pPr>
          </w:p>
        </w:tc>
      </w:tr>
      <w:tr>
        <w:trPr>
          <w:trHeight w:val="148"/>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Table</w:t>
            </w:r>
          </w:p>
        </w:tc>
        <w:tc>
          <w:tcPr>
            <w:tcW w:w="1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Year-end fair value of unvested awards granted in the current year</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986,795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410,826</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5,056,057</w:t>
            </w:r>
          </w:p>
        </w:tc>
        <w:tc>
          <w:tcPr>
            <w:tcW w:w="2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2,353,493</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2,465,703</w:t>
            </w:r>
          </w:p>
        </w:tc>
        <w:tc>
          <w:tcPr>
            <w:tcW w:w="2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Year-over-year difference of year-end fair values for</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(4,053,246 )</w:t>
            </w:r>
          </w:p>
        </w:tc>
        <w:tc>
          <w:tcPr>
            <w:tcW w:w="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(1,406,563 )</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2,709,513</w:t>
            </w:r>
          </w:p>
        </w:tc>
        <w:tc>
          <w:tcPr>
            <w:tcW w:w="2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263,334</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(3,614,250 )</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(740,130 )</w:t>
            </w:r>
          </w:p>
        </w:tc>
        <w:tc>
          <w:tcPr>
            <w:tcW w:w="0" w:type="dxa"/>
            <w:vAlign w:val="bottom"/>
          </w:tcPr>
          <w:p>
            <w:pPr>
              <w:spacing w:after="0"/>
              <w:rPr>
                <w:sz w:val="1"/>
                <w:szCs w:val="1"/>
                <w:color w:val="auto"/>
              </w:rPr>
            </w:pPr>
          </w:p>
        </w:tc>
      </w:tr>
      <w:tr>
        <w:trPr>
          <w:trHeight w:val="148"/>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unvested awards granted in prior years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Fair values at vest date for awards granted and vested in current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year</w:t>
            </w: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Difference in fair values between prior year-end fair values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(1,135,153 )</w:t>
            </w: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(133,108 )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(663,451 )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(116,446 )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(2,638,881 )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(643,294 )</w:t>
            </w:r>
          </w:p>
        </w:tc>
        <w:tc>
          <w:tcPr>
            <w:tcW w:w="0" w:type="dxa"/>
            <w:vAlign w:val="bottom"/>
          </w:tcPr>
          <w:p>
            <w:pPr>
              <w:spacing w:after="0"/>
              <w:rPr>
                <w:sz w:val="1"/>
                <w:szCs w:val="1"/>
                <w:color w:val="auto"/>
              </w:rPr>
            </w:pPr>
          </w:p>
        </w:tc>
      </w:tr>
      <w:tr>
        <w:trPr>
          <w:trHeight w:val="148"/>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vest</w:t>
            </w:r>
          </w:p>
        </w:tc>
        <w:tc>
          <w:tcPr>
            <w:tcW w:w="1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date fair values for awards granted in prior years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(259,478 )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Forfeitures during current year equal to prior year-end fair value</w:t>
            </w:r>
          </w:p>
        </w:tc>
        <w:tc>
          <w:tcPr>
            <w:tcW w:w="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(9,617,316</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(3,383,529</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4,750,872</w:t>
            </w:r>
          </w:p>
        </w:tc>
        <w:tc>
          <w:tcPr>
            <w:tcW w:w="2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914,530</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(7,528,053</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(1,740,402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07"/>
        </w:trPr>
        <w:tc>
          <w:tcPr>
            <w:tcW w:w="3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Compensation Actually Paid (as calculated)</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(3,076,115</w:t>
            </w:r>
          </w:p>
        </w:tc>
        <w:tc>
          <w:tcPr>
            <w:tcW w:w="24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(370,843</w:t>
            </w:r>
          </w:p>
        </w:tc>
        <w:tc>
          <w:tcPr>
            <w:tcW w:w="220" w:type="dxa"/>
            <w:vAlign w:val="bottom"/>
            <w:vMerge w:val="continue"/>
          </w:tcPr>
          <w:p>
            <w:pPr>
              <w:spacing w:after="0"/>
              <w:rPr>
                <w:sz w:val="12"/>
                <w:szCs w:val="12"/>
                <w:color w:val="auto"/>
              </w:rPr>
            </w:pP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8,141,931</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3,049,295</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(2,846,266</w:t>
            </w:r>
          </w:p>
        </w:tc>
        <w:tc>
          <w:tcPr>
            <w:tcW w:w="2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(72,512</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summarizes the valuation assumptions used for stock option awards included as part of Compensation Actually Paid:</w:t>
      </w:r>
    </w:p>
    <w:p>
      <w:pPr>
        <w:spacing w:after="0" w:line="27" w:lineRule="exact"/>
        <w:rPr>
          <w:rFonts w:ascii="Times New Roman" w:cs="Times New Roman" w:eastAsia="Times New Roman" w:hAnsi="Times New Roman"/>
          <w:sz w:val="18"/>
          <w:szCs w:val="18"/>
          <w:color w:val="auto"/>
        </w:rPr>
      </w:pPr>
    </w:p>
    <w:p>
      <w:pPr>
        <w:ind w:left="460" w:right="600" w:hanging="3"/>
        <w:spacing w:after="0" w:line="250" w:lineRule="auto"/>
        <w:tabs>
          <w:tab w:leader="none" w:pos="5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 of each stock option is based on the "simplified method" using an average of the remaining vest and remaining term, as of the vest/FYE date.</w:t>
      </w:r>
    </w:p>
    <w:p>
      <w:pPr>
        <w:ind w:left="560" w:hanging="103"/>
        <w:spacing w:after="0"/>
        <w:tabs>
          <w:tab w:leader="none" w:pos="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Strike price is based on each grant date closing price and asset price is based on each vest/FYE closing price.</w:t>
      </w:r>
    </w:p>
    <w:p>
      <w:pPr>
        <w:spacing w:after="0" w:line="9" w:lineRule="exact"/>
        <w:rPr>
          <w:rFonts w:ascii="Times New Roman" w:cs="Times New Roman" w:eastAsia="Times New Roman" w:hAnsi="Times New Roman"/>
          <w:sz w:val="18"/>
          <w:szCs w:val="18"/>
          <w:color w:val="auto"/>
        </w:rPr>
      </w:pPr>
    </w:p>
    <w:p>
      <w:pPr>
        <w:ind w:left="560" w:hanging="103"/>
        <w:spacing w:after="0"/>
        <w:tabs>
          <w:tab w:leader="none" w:pos="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is based on the Treasury Constant Maturity rate closest to the remaining expected life as of the vest/FYE date.</w:t>
      </w:r>
    </w:p>
    <w:p>
      <w:pPr>
        <w:spacing w:after="0" w:line="9" w:lineRule="exact"/>
        <w:rPr>
          <w:rFonts w:ascii="Times New Roman" w:cs="Times New Roman" w:eastAsia="Times New Roman" w:hAnsi="Times New Roman"/>
          <w:sz w:val="18"/>
          <w:szCs w:val="18"/>
          <w:color w:val="auto"/>
        </w:rPr>
      </w:pPr>
    </w:p>
    <w:p>
      <w:pPr>
        <w:ind w:left="460" w:right="400" w:hanging="3"/>
        <w:spacing w:after="0" w:line="250" w:lineRule="auto"/>
        <w:tabs>
          <w:tab w:leader="none" w:pos="5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volatility is based on daily price history for each expected life (years) prior to each vest/FYE date. Closing prices provided by S&amp;P Capital IQ are adjusted for dividends and splits.</w:t>
      </w:r>
    </w:p>
    <w:p>
      <w:pPr>
        <w:ind w:left="560" w:hanging="103"/>
        <w:spacing w:after="0"/>
        <w:tabs>
          <w:tab w:leader="none" w:pos="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dividend yield on each vest/FYE date.</w:t>
      </w:r>
    </w:p>
    <w:p>
      <w:pPr>
        <w:spacing w:after="0" w:line="9" w:lineRule="exact"/>
        <w:rPr>
          <w:rFonts w:ascii="Times New Roman" w:cs="Times New Roman" w:eastAsia="Times New Roman" w:hAnsi="Times New Roman"/>
          <w:sz w:val="18"/>
          <w:szCs w:val="18"/>
          <w:color w:val="auto"/>
        </w:rPr>
      </w:pPr>
    </w:p>
    <w:p>
      <w:pPr>
        <w:ind w:right="280" w:firstLine="8"/>
        <w:spacing w:after="0" w:line="250" w:lineRule="auto"/>
        <w:tabs>
          <w:tab w:leader="none" w:pos="3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Non-CEO NEOs reflect the average Summary Compensation Table total compensation and average Compensation Actually Paid for the following executives by year:</w:t>
      </w: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Daniella Beckman, Adam Crystal, M.D., Ph.D., &amp; Douglas Barry</w:t>
      </w:r>
    </w:p>
    <w:p>
      <w:pPr>
        <w:spacing w:after="0" w:line="9"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Daniella Beckman, Adam Crystal, M.D., Ph.D., &amp; Alan Huang, Ph.D.</w:t>
      </w:r>
    </w:p>
    <w:p>
      <w:pPr>
        <w:spacing w:after="0" w:line="9"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Daniella Beckman &amp; Alan Huang, Ph.D.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Company Performance Measures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charts show the relationships over the past three years of the CAP for our CEO and Non-CEO NEOs as compared to our cumulative TSR, the cumulative NASDAQ Biotechnology Index TSR, and our net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 vs TSR</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8" w:right="37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1759585</wp:posOffset>
            </wp:positionH>
            <wp:positionV relativeFrom="page">
              <wp:posOffset>654685</wp:posOffset>
            </wp:positionV>
            <wp:extent cx="4037330" cy="2400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03733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 vs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88265</wp:posOffset>
            </wp:positionV>
            <wp:extent cx="4063365" cy="23914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6336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adopted an amended and restated non-employee director compensation policy under which each non-employee director receives the following amounts for his or her services on our board of directors.</w:t>
      </w:r>
    </w:p>
    <w:p>
      <w:pPr>
        <w:spacing w:after="0" w:line="54" w:lineRule="exact"/>
        <w:rPr>
          <w:sz w:val="20"/>
          <w:szCs w:val="20"/>
          <w:color w:val="auto"/>
        </w:rPr>
      </w:pPr>
    </w:p>
    <w:p>
      <w:pPr>
        <w:ind w:left="760" w:right="140" w:hanging="378"/>
        <w:spacing w:after="0" w:line="258"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option to purchase 60,000 shares of our common stock and an RSU award covering 10,000 shares of our common stock upon the director’s initial election or appointment to our board of directors. The stock options vest over 36 substantially equal monthly installments over three years from the date of grant and the RSUs vest in three equal annual installments over three years from the date of grant (the specific vesting dates are established by the compensation committee), in each case subject to continued service as a director through the applicable vesting date.</w:t>
      </w:r>
    </w:p>
    <w:p>
      <w:pPr>
        <w:spacing w:after="0" w:line="21" w:lineRule="exact"/>
        <w:rPr>
          <w:rFonts w:ascii="Times New Roman" w:cs="Times New Roman" w:eastAsia="Times New Roman" w:hAnsi="Times New Roman"/>
          <w:sz w:val="18"/>
          <w:szCs w:val="18"/>
          <w:color w:val="auto"/>
        </w:rPr>
      </w:pPr>
    </w:p>
    <w:p>
      <w:pPr>
        <w:ind w:left="760" w:right="80" w:hanging="378"/>
        <w:spacing w:after="0" w:line="25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option to purchase 37,500 shares of our common stock and an RSU award covering 6,250 shares of our common stock on the date of the annual meeting for such year. The annual option award vests in 12 substantially equal monthly installments over one year from the date of grant and the annual RSU award vests in its entirety on the earlier of (i) the first anniversary of the date of grant and (ii) the date of the next annual meeting of stockholders, in each case subject to continued service as a director through the applicable vesting date. Directors who were elected in the 12 months preceding the annual grant receive a pro-rated portion of the annual stock option grant and RSU award based on the number of months of time in service on the board.</w:t>
      </w:r>
    </w:p>
    <w:p>
      <w:pPr>
        <w:spacing w:after="0" w:line="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director fee of $40,000.</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serves on a committee of our board of directors or in the other capacities stated below, an additional annual fee as follows:</w:t>
      </w:r>
    </w:p>
    <w:p>
      <w:pPr>
        <w:spacing w:after="0" w:line="71" w:lineRule="exact"/>
        <w:rPr>
          <w:sz w:val="20"/>
          <w:szCs w:val="20"/>
          <w:color w:val="auto"/>
        </w:rPr>
      </w:pPr>
    </w:p>
    <w:p>
      <w:pPr>
        <w:ind w:left="1500" w:hanging="369"/>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Non-executive chairperson, $30,000</w:t>
      </w:r>
    </w:p>
    <w:p>
      <w:pPr>
        <w:spacing w:after="0" w:line="4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Lead independent director, $15,000</w:t>
      </w:r>
    </w:p>
    <w:p>
      <w:pPr>
        <w:spacing w:after="0" w:line="4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Audit committee chairperson, $15,000</w:t>
      </w:r>
    </w:p>
    <w:p>
      <w:pPr>
        <w:spacing w:after="0" w:line="4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Audit committee member, $7,500</w:t>
      </w:r>
    </w:p>
    <w:p>
      <w:pPr>
        <w:spacing w:after="0" w:line="4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Compensation committee chairperson, $12,000</w:t>
      </w:r>
    </w:p>
    <w:p>
      <w:pPr>
        <w:spacing w:after="0" w:line="4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Compensation committee member, $6,000</w:t>
      </w:r>
    </w:p>
    <w:p>
      <w:pPr>
        <w:spacing w:after="0" w:line="4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Nomination and governance committee chairperson, $10,000</w:t>
      </w:r>
    </w:p>
    <w:p>
      <w:pPr>
        <w:spacing w:after="0" w:line="4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Nomination and governance committee member, $5,000</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Options granted to our non-employee directors under the non-employee director compensation policy have an exercise price equal to the fair market value of our common stock on the date of grant and will expire not later than ten years after the date of grant. All unvested options and RSU awards held by non-employee members of the board of directors vest in full upon the occurrence of a change in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the compensation committee revised the non-employee director compensation policy as follows:</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non-executive compensation committee chairperson be increased from $10,000 to $12,000.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non-executive compensation committee member be increased from $5,000 to $6,000.</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non-executive nomination and governance committee chairperson be increased from $8,000 to $10,000.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payable to the non-executive nomination and governance committee member be increased from $4,000 to $5,000.</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2024, the board of directors, based on the recommendation of the compensation committee, amended the non-employee director compensation policy to increase the number of: (i) shares underlying stock options granted to non-employee directors from 30,000 to37,500; and (ii) RSUs granted to non-employee directors from 5,000 to 6,250 RSUs. This increase was approved by the board of directors to align director equity compensation with the median equity compensation paid to non-employee directors at our peer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Non-Employee Director Compensation Table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45" w:name="page46"/>
    <w:bookmarkEnd w:id="45"/>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shows the cash fees paid to our non-employee directors in connection with their service on our board of directors, and the stock option awards and RSUs granted to our non-employee directors, during the fiscal year ended December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3"/>
                <w:szCs w:val="13"/>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320" w:type="dxa"/>
            <w:vAlign w:val="bottom"/>
          </w:tcPr>
          <w:p>
            <w:pPr>
              <w:spacing w:after="0"/>
              <w:rPr>
                <w:sz w:val="13"/>
                <w:szCs w:val="13"/>
                <w:color w:val="auto"/>
              </w:rPr>
            </w:pPr>
          </w:p>
        </w:tc>
        <w:tc>
          <w:tcPr>
            <w:tcW w:w="18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Stock Awards ($)(2)(3)</w:t>
            </w:r>
          </w:p>
        </w:tc>
        <w:tc>
          <w:tcPr>
            <w:tcW w:w="200" w:type="dxa"/>
            <w:vAlign w:val="bottom"/>
          </w:tcPr>
          <w:p>
            <w:pPr>
              <w:spacing w:after="0"/>
              <w:rPr>
                <w:sz w:val="13"/>
                <w:szCs w:val="13"/>
                <w:color w:val="auto"/>
              </w:rPr>
            </w:pPr>
          </w:p>
        </w:tc>
        <w:tc>
          <w:tcPr>
            <w:tcW w:w="1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 Awards ($)(2)(3)</w:t>
            </w:r>
          </w:p>
        </w:tc>
        <w:tc>
          <w:tcPr>
            <w:tcW w:w="180" w:type="dxa"/>
            <w:vAlign w:val="bottom"/>
          </w:tcPr>
          <w:p>
            <w:pPr>
              <w:spacing w:after="0"/>
              <w:rPr>
                <w:sz w:val="13"/>
                <w:szCs w:val="13"/>
                <w:color w:val="auto"/>
              </w:rPr>
            </w:pPr>
          </w:p>
        </w:tc>
        <w:tc>
          <w:tcPr>
            <w:tcW w:w="148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Cash ($)(1)</w:t>
            </w:r>
          </w:p>
        </w:tc>
        <w:tc>
          <w:tcPr>
            <w:tcW w:w="32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Borders>
              <w:bottom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Alexis Borisy</w:t>
            </w:r>
          </w:p>
        </w:tc>
        <w:tc>
          <w:tcPr>
            <w:tcW w:w="240" w:type="dxa"/>
            <w:vAlign w:val="bottom"/>
            <w:shd w:val="clear" w:color="auto" w:fill="CCECFF"/>
          </w:tcPr>
          <w:p>
            <w:pPr>
              <w:spacing w:after="0"/>
              <w:rPr>
                <w:sz w:val="18"/>
                <w:szCs w:val="18"/>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320" w:type="dxa"/>
            <w:vAlign w:val="bottom"/>
            <w:shd w:val="clear" w:color="auto" w:fill="CCECFF"/>
          </w:tcPr>
          <w:p>
            <w:pPr>
              <w:spacing w:after="0"/>
              <w:rPr>
                <w:sz w:val="18"/>
                <w:szCs w:val="18"/>
                <w:color w:val="auto"/>
              </w:rPr>
            </w:pPr>
          </w:p>
        </w:tc>
        <w:tc>
          <w:tcPr>
            <w:tcW w:w="1860" w:type="dxa"/>
            <w:vAlign w:val="bottom"/>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rPr>
              <w:t>46,313</w:t>
            </w:r>
          </w:p>
        </w:tc>
        <w:tc>
          <w:tcPr>
            <w:tcW w:w="200" w:type="dxa"/>
            <w:vAlign w:val="bottom"/>
            <w:shd w:val="clear" w:color="auto" w:fill="CCECFF"/>
          </w:tcPr>
          <w:p>
            <w:pPr>
              <w:spacing w:after="0"/>
              <w:rPr>
                <w:sz w:val="18"/>
                <w:szCs w:val="18"/>
                <w:color w:val="auto"/>
              </w:rPr>
            </w:pP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194,588</w:t>
            </w:r>
          </w:p>
        </w:tc>
        <w:tc>
          <w:tcPr>
            <w:tcW w:w="5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318,401</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Ketchum(4)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21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34,738</w:t>
            </w:r>
          </w:p>
        </w:tc>
        <w:tc>
          <w:tcPr>
            <w:tcW w:w="20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145,941</w:t>
            </w:r>
          </w:p>
        </w:tc>
        <w:tc>
          <w:tcPr>
            <w:tcW w:w="5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226,429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Kanishka Pothula(5)</w:t>
            </w:r>
          </w:p>
        </w:tc>
        <w:tc>
          <w:tcPr>
            <w:tcW w:w="240" w:type="dxa"/>
            <w:vAlign w:val="bottom"/>
            <w:shd w:val="clear" w:color="auto" w:fill="CCECFF"/>
          </w:tcPr>
          <w:p>
            <w:pPr>
              <w:spacing w:after="0"/>
              <w:rPr>
                <w:sz w:val="18"/>
                <w:szCs w:val="18"/>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18"/>
                <w:szCs w:val="18"/>
                <w:color w:val="auto"/>
              </w:rPr>
            </w:pPr>
          </w:p>
        </w:tc>
        <w:tc>
          <w:tcPr>
            <w:tcW w:w="1860" w:type="dxa"/>
            <w:vAlign w:val="bottom"/>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18"/>
                <w:szCs w:val="18"/>
                <w:color w:val="auto"/>
              </w:rPr>
            </w:pP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Lesley Ann Calhoun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59,750</w:t>
            </w:r>
          </w:p>
        </w:tc>
        <w:tc>
          <w:tcPr>
            <w:tcW w:w="21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46,313</w:t>
            </w:r>
          </w:p>
        </w:tc>
        <w:tc>
          <w:tcPr>
            <w:tcW w:w="20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194,588</w:t>
            </w:r>
          </w:p>
        </w:tc>
        <w:tc>
          <w:tcPr>
            <w:tcW w:w="5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300,651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Mace Rothenberg, M.D.</w:t>
            </w:r>
          </w:p>
        </w:tc>
        <w:tc>
          <w:tcPr>
            <w:tcW w:w="1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2180" w:type="dxa"/>
            <w:vAlign w:val="bottom"/>
            <w:gridSpan w:val="2"/>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rPr>
              <w:t>46,313</w:t>
            </w:r>
          </w:p>
        </w:tc>
        <w:tc>
          <w:tcPr>
            <w:tcW w:w="200" w:type="dxa"/>
            <w:vAlign w:val="bottom"/>
            <w:shd w:val="clear" w:color="auto" w:fill="CCECFF"/>
          </w:tcPr>
          <w:p>
            <w:pPr>
              <w:spacing w:after="0"/>
              <w:rPr>
                <w:sz w:val="18"/>
                <w:szCs w:val="18"/>
                <w:color w:val="auto"/>
              </w:rPr>
            </w:pP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194,588</w:t>
            </w:r>
          </w:p>
        </w:tc>
        <w:tc>
          <w:tcPr>
            <w:tcW w:w="580" w:type="dxa"/>
            <w:vAlign w:val="bottom"/>
            <w:shd w:val="clear" w:color="auto" w:fill="CCECFF"/>
          </w:tcPr>
          <w:p>
            <w:pPr>
              <w:spacing w:after="0"/>
              <w:rPr>
                <w:sz w:val="18"/>
                <w:szCs w:val="18"/>
                <w:color w:val="auto"/>
              </w:rPr>
            </w:pP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296,151</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Malte Peters, M.D.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21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46,313</w:t>
            </w:r>
          </w:p>
        </w:tc>
        <w:tc>
          <w:tcPr>
            <w:tcW w:w="20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194,588</w:t>
            </w:r>
          </w:p>
        </w:tc>
        <w:tc>
          <w:tcPr>
            <w:tcW w:w="5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292,401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cash compensation earned and paid pursuant to our amended and restated non-employee director compensation policy.</w:t>
      </w:r>
    </w:p>
    <w:p>
      <w:pPr>
        <w:spacing w:after="0" w:line="27"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3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grant-date fair value of stock options and RSUs awarded to our non-employee directors in 2024, calculated in accordance with ASC Topic 718, disregarding the effect of estimated forfeitures related to service-based vesting. See Note 2 and Note 11 to our audited financial statements contained in our Annual Report on Form 10-K for the year ended December 31, 2024 as filed with the SEC on February 27, 2025 for a discussion of assumptions made in determining the aggregate grant date fair value of stock option and RSU awards. The amounts presented do not correspond to the actual value that may be recognized by the applicable director upon vesting or exercise of the stock options or the sale of the shares of common stock underlying such stock options or the vesting of RSUs and the sale of the shares received upon the vesting of the RSUs.</w:t>
      </w:r>
    </w:p>
    <w:p>
      <w:pPr>
        <w:spacing w:after="0" w:line="2" w:lineRule="exact"/>
        <w:rPr>
          <w:rFonts w:ascii="Times New Roman" w:cs="Times New Roman" w:eastAsia="Times New Roman" w:hAnsi="Times New Roman"/>
          <w:sz w:val="18"/>
          <w:szCs w:val="18"/>
          <w:color w:val="auto"/>
        </w:rPr>
      </w:pPr>
    </w:p>
    <w:p>
      <w:pPr>
        <w:ind w:left="460" w:right="80" w:hanging="452"/>
        <w:spacing w:after="0" w:line="260" w:lineRule="auto"/>
        <w:tabs>
          <w:tab w:leader="none" w:pos="4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the aggregate number of shares underlying stock option awards (exercisable and unexercisable) and unvested RSUs held as of December 31, 2024 by each non-employee director who served as a non-employee director during the year ended December 31,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4"/>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vMerge w:val="restart"/>
          </w:tcPr>
          <w:p>
            <w:pPr>
              <w:spacing w:after="0"/>
              <w:rPr>
                <w:sz w:val="10"/>
                <w:szCs w:val="10"/>
                <w:color w:val="auto"/>
              </w:rPr>
            </w:pPr>
          </w:p>
        </w:tc>
        <w:tc>
          <w:tcPr>
            <w:tcW w:w="2040" w:type="dxa"/>
            <w:vAlign w:val="bottom"/>
            <w:tcBorders>
              <w:top w:val="single" w:sz="8" w:color="auto"/>
            </w:tcBorders>
          </w:tcPr>
          <w:p>
            <w:pPr>
              <w:jc w:val="center"/>
              <w:ind w:left="528"/>
              <w:spacing w:after="0" w:line="124" w:lineRule="exact"/>
              <w:rPr>
                <w:sz w:val="20"/>
                <w:szCs w:val="20"/>
                <w:color w:val="auto"/>
              </w:rPr>
            </w:pPr>
            <w:r>
              <w:rPr>
                <w:rFonts w:ascii="Times New Roman" w:cs="Times New Roman" w:eastAsia="Times New Roman" w:hAnsi="Times New Roman"/>
                <w:sz w:val="14"/>
                <w:szCs w:val="14"/>
                <w:b w:val="1"/>
                <w:bCs w:val="1"/>
                <w:color w:val="auto"/>
              </w:rPr>
              <w:t>Shares Subject to</w:t>
            </w: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Shares Subject to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40" w:type="dxa"/>
            <w:vAlign w:val="bottom"/>
            <w:tcBorders>
              <w:bottom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6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RSUs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Alexis Borisy</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238,963</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Ketchum</w:t>
            </w:r>
          </w:p>
        </w:tc>
        <w:tc>
          <w:tcPr>
            <w:tcW w:w="2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88,125</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Kanishka Pothula</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Lesley Ann Calhoun</w:t>
            </w:r>
          </w:p>
        </w:tc>
        <w:tc>
          <w:tcPr>
            <w:tcW w:w="2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192,425</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Mace Rothenberg, M.D.</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192,425</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Malte Peters, M.D.</w:t>
            </w:r>
          </w:p>
        </w:tc>
        <w:tc>
          <w:tcPr>
            <w:tcW w:w="2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226,395</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180" w:hanging="452"/>
        <w:spacing w:after="0" w:line="276" w:lineRule="auto"/>
        <w:tabs>
          <w:tab w:leader="none" w:pos="40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Ketchum was elected as a member of the board of directors on August 29, 2023 and thus received a pro-rated portion of the annual stock option grant and RSU award based on the number of months of time in service on the board per the non-employee director compensation policy above.</w:t>
      </w:r>
    </w:p>
    <w:p>
      <w:pPr>
        <w:ind w:left="400" w:hanging="392"/>
        <w:spacing w:after="0"/>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Pothula has waived cash and equity compensation retainers for services on the board of directors.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to be “filed” with the SEC, or to be subject to Regulation 14A or Regulation 14C (other than as provided in Item 407 of Regulation S-K) or to the liabilities of Section 18 of the Securities Exchange Act of 1934, and shall not be deemed to be incorporated by reference in future filings with the SEC except to the extent that Tango specifically incorporates it by reference into a document filed under the Securities Act or the Exchange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administered by the Compensation Committee, which is composed entirely of independent, non-employee directors and is responsible for approving and reporting to our Board of Directors on all elements of compensation for our executive officers. In this regard, the Compensation Committee has reviewed and discussed the “Compensation Discussion and Analysis” section of this Proxy Statement with management. Based on this review and discussion, the Compensation Committee recommended to our Board of Directors that the “Compensation Discussion and Analysis” section be included in this Proxy Statement and incorporated by reference into our 2024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Malte Peters </w:t>
      </w:r>
      <w:r>
        <w:rPr>
          <w:rFonts w:ascii="Times New Roman" w:cs="Times New Roman" w:eastAsia="Times New Roman" w:hAnsi="Times New Roman"/>
          <w:sz w:val="18"/>
          <w:szCs w:val="18"/>
          <w:i w:val="1"/>
          <w:iCs w:val="1"/>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Ketchum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Mace Rothenberg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INDEPENDENT REGISTERED PUBLIC ACCOUNTING FIRM FOR THE FISCAL YEAR ENDING DECEMBER 31, 2025</w:t>
      </w:r>
    </w:p>
    <w:p>
      <w:pPr>
        <w:spacing w:after="0" w:line="15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have selected PricewaterhouseCoopers LLP as the independent registered public accounting firm to perform the audit of our consolidated financial statements for the fiscal year ending December 31, 2025, and we are asking you and other stockholders to ratify this selection. PricewaterhouseCoopers LLP has audited our financial statements since 2017 (serving as Tango's independent registered public accounting firm prior to the Business Combination).</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audit committee and the board of directors determined to submit to stockholders for ratification the appointment of PricewaterhouseCoopers LLP. The majority of the votes properly cast is required in order to ratify the appointment of PricewaterhouseCoopers LLP. In the event that a majority of the votes properly cast do not ratify this appointment of PricewaterhouseCoopers LLP, the audit committee will consider this fact when it appoints the independent registered public accounting firm for the fiscal year ending December 31, 2025. Even if the appointment of PricewaterhouseCoopers LLP is ratified, the audit committee retains the discretion to appoint a different independent registered public accounting firm at any time if it determines that such a change is in the interests of the Company.</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votes properly cast for and against such matter. You may vote “FOR,” “AGAINST” or “ABSTAIN” from voting on this proposal. Abstentions and broker “non-votes,” if any, will have no effect on the outcome of this proposal.</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PricewaterhouseCoopers as the independent registered public accounting firm for the fiscal year ending December 31, 2025.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of PricewaterhouseCoopers LLP billed to us for each of the last two fiscal years for audit services and billed to us in each of the last two fiscal years for other services. The audit committee approved 100% of the services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1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1,047,214</w:t>
            </w:r>
          </w:p>
        </w:tc>
        <w:tc>
          <w:tcPr>
            <w:tcW w:w="1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4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Pr>
          <w:p>
            <w:pPr>
              <w:spacing w:after="0"/>
              <w:rPr>
                <w:sz w:val="18"/>
                <w:szCs w:val="18"/>
                <w:color w:val="auto"/>
              </w:rPr>
            </w:pPr>
          </w:p>
        </w:tc>
      </w:tr>
      <w:tr>
        <w:trPr>
          <w:trHeight w:val="249"/>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1,049,339</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the audit of our annual consolidated financial statements, review of the interim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the review of registration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aggregate fees for tax compliance and tax analysis related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All other fees consist of fees for accounting research tools.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or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report is submitted by the audit committee of the board of directors (the "Board") of Tango Therapeutics, Inc. (the "Company"). The audit committee consists of the three directors whose names appear below. None of the members of the audit committee is an officer or employee of the Company, and the board has determined that each member of the audit committee is "independent" for audit committee purposes as that term is defined under Rule 10A-3 of the Exchange Act, and the applicable rules of the Nasdaq Stock Market LLC ("Nasdaq"). Each member of the audit committee meets the requirements for financial literacy under the applicable rules and regulations of the SEC and Nasdaq. The board has designated Ms. Calhoun as an "audit committee financial expert," as defined under the applicable rules of the SEC. The audit committee operates under a written charter adopted by the board.</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audit committee's general role is to assist the Board in monitoring our financial reporting process and related matters. Its specific responsibilities are set forth in its charter.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the Company's consolidated financial statements for 2024 and met with management, as well as with representatives of PricewaterhouseCoopers LLP, the Company's independent registered public accounting firm, to discuss the consolidated financial statements. The audit committee also discussed with members of PricewaterhouseCoopers LLP the matters required to be discussed by the applicable requirements of the Public Company Accounting Oversight Board and the U.S. Securities and Exchange Commission.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 from the Company.</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these discussions, the financial statement review and other matters it deemed relevant, the audit committee recommended to the Board that the Company's audited consolidated financial statements be included in its Annual Report on Form 10-K for the fiscal year ended December 31, 2024.</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audit committee report shall not be deemed to be "soliciting material," "filed" or incorporated by reference into any past or future filing under the Securities Exchange Act of 1934 or the Securities Act of 1933 unless and only to the extent that the Company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of the Board of Directors of 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Lesley Ann Calhoun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Kanishka Pothula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Alexis Borisy</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49" w:name="page50"/>
    <w:bookmarkEnd w:id="49"/>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3 – AMENDMENT OF OUR SECOND AMENDED AND RESTATED CERTIFICATE OF INCORPORATION, AS AMENDED TO DATE, TO INCREASE THE NUMBER OF AUTHORIZED SHARES OF COMMON STOCK FROM 200,000,000 TO 400,000,000</w:t>
      </w:r>
    </w:p>
    <w:p>
      <w:pPr>
        <w:spacing w:after="0" w:line="17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to date, or charter, currently authorizes the issuance of 200,000,000 shares of common stock. In April 2025, our board of directors declared it advisable and approved and adopted an amendment, subject to approval and adoption by our stockholders, to our charter, to increase the authorized number of shares of common stock from 200,000,000 to 400,000,000, or the Charter Amendment. Our board of directors is requesting stockholder approval of the Charter Amendment.</w:t>
      </w:r>
    </w:p>
    <w:p>
      <w:pPr>
        <w:spacing w:after="0" w:line="180"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additional common stock to be authorized by adoption of the Charter Amendment would have rights identical to our currently outstanding common stock. Adoption of the Charter Amendment and issuance of additional common stock would not affect the rights of the holders of our currently outstanding common stock. If the Charter Amendment is adopted, it will become effective upon filing of a Certificate of Amendment of our Second Amended and Restated Certificate of Incorporation, as amended to date, with the Secretary of State of the State of Delaware, which we currently plan to file promptly following the Annual Meeting if this proposal is approved. The remainder of our charter will remain unchanged after effectiveness of the Charter Amendment.</w:t>
      </w:r>
    </w:p>
    <w:p>
      <w:pPr>
        <w:spacing w:after="0" w:line="187"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Our board of directors believes that additional authorized shares of common stock would give us the necessary flexibility to issue shares for various corporate purposes, including, in particular, raising capital, and enable us to take timely advantage of market conditions and opportunities. Other corporate purposes for which the additional authorized shares could be used include, but are not limited to, potential strategic transactions, including mergers, acquisitions, and other business combinations; future grants and awards under equity compensation plans; stock splits and dividends; and other general corporate working capital needs. We currently do not have any specific plans, arrangements or understandings to issue additional shares of our common stock, except for (i) the issuance of shares of common stock pursuant to our equity incentive plans and (ii) potential issuances pursuant to our sales agreement with Jefferies LLC, through which we may offer and sell shares of our common stock from time to time in “at-the-market” offerings. Having additional authorized shares available will provide additional flexibility to use our common stock for business and financial purposes in the future as well as to have sufficient shares available to provide appropriate equity incentives for our employees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additional shares may be used for various purposes without further stockholder approval, except as may be required in certain cases by law or the Nasdaq rules.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As of April 8, 2025, our common stock share utilization was approximately as follows:</w:t>
            </w:r>
          </w:p>
        </w:tc>
        <w:tc>
          <w:tcPr>
            <w:tcW w:w="7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91"/>
        </w:trPr>
        <w:tc>
          <w:tcPr>
            <w:tcW w:w="6640" w:type="dxa"/>
            <w:vAlign w:val="bottom"/>
          </w:tcPr>
          <w:p>
            <w:pPr>
              <w:spacing w:after="0"/>
              <w:rPr>
                <w:sz w:val="24"/>
                <w:szCs w:val="24"/>
                <w:color w:val="auto"/>
              </w:rPr>
            </w:pPr>
          </w:p>
        </w:tc>
        <w:tc>
          <w:tcPr>
            <w:tcW w:w="2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Number of Shares of Common Stock</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for issuance</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200,000,000</w:t>
            </w:r>
          </w:p>
        </w:tc>
      </w:tr>
      <w:tr>
        <w:trPr>
          <w:trHeight w:val="30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108,107,890</w:t>
            </w:r>
          </w:p>
        </w:tc>
      </w:tr>
      <w:tr>
        <w:trPr>
          <w:trHeight w:val="21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 for issuance</w:t>
            </w:r>
          </w:p>
        </w:tc>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Available for future grant under employee equity incentive plans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13,536,579</w:t>
            </w: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Outstanding awards under our employee equity incentive plans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25,305,449</w:t>
            </w:r>
          </w:p>
        </w:tc>
      </w:tr>
      <w:tr>
        <w:trPr>
          <w:trHeight w:val="196"/>
        </w:trPr>
        <w:tc>
          <w:tcPr>
            <w:tcW w:w="664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Pre-funded warrants (unexercised)</w:t>
            </w:r>
          </w:p>
        </w:tc>
        <w:tc>
          <w:tcPr>
            <w:tcW w:w="7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94"/>
              </w:rPr>
              <w:t>2,340,579</w:t>
            </w:r>
          </w:p>
        </w:tc>
        <w:tc>
          <w:tcPr>
            <w:tcW w:w="2120" w:type="dxa"/>
            <w:vAlign w:val="bottom"/>
          </w:tcPr>
          <w:p>
            <w:pPr>
              <w:spacing w:after="0"/>
              <w:rPr>
                <w:sz w:val="17"/>
                <w:szCs w:val="17"/>
                <w:color w:val="auto"/>
              </w:rPr>
            </w:pPr>
          </w:p>
        </w:tc>
      </w:tr>
      <w:tr>
        <w:trPr>
          <w:trHeight w:val="21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 usage (issued and outstanding + reserved for issuance)</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149,290,497</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50,709,503</w:t>
            </w:r>
          </w:p>
        </w:tc>
      </w:tr>
      <w:tr>
        <w:trPr>
          <w:trHeight w:val="32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 usage as a percentage of authorized</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74.65%</w:t>
            </w:r>
          </w:p>
        </w:tc>
        <w:tc>
          <w:tcPr>
            <w:tcW w:w="21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Amendment</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If the stockholders approve this proposal, our charter will be amended to increase the number of shares of common stock the Company is authorized to issue from 200,000,000 shares to 400,000,000 shares. The par value of the common stock will remain at $0.001 per share. There will be no change to the number of authorized shares of undesignated preferred stock. The Certificate of Amendment would amend the first paragraph of ARTICLE IV of the charter in its entirety to read as follows:</w:t>
      </w:r>
    </w:p>
    <w:p>
      <w:pPr>
        <w:spacing w:after="0" w:line="180" w:lineRule="exact"/>
        <w:rPr>
          <w:sz w:val="20"/>
          <w:szCs w:val="20"/>
          <w:color w:val="auto"/>
        </w:rPr>
      </w:pPr>
    </w:p>
    <w:p>
      <w:pPr>
        <w:ind w:left="760" w:right="3240"/>
        <w:spacing w:after="0" w:line="272" w:lineRule="auto"/>
        <w:rPr>
          <w:sz w:val="20"/>
          <w:szCs w:val="20"/>
          <w:color w:val="auto"/>
        </w:rPr>
      </w:pPr>
      <w:r>
        <w:rPr>
          <w:rFonts w:ascii="Times New Roman" w:cs="Times New Roman" w:eastAsia="Times New Roman" w:hAnsi="Times New Roman"/>
          <w:sz w:val="17"/>
          <w:szCs w:val="17"/>
          <w:color w:val="auto"/>
        </w:rPr>
        <w:t>"The total number of shares of capital stock which the Corporation shall have authority to issue is four hundred and ten million (410,000,000), of which (i) four hundred million (400,000,000) shares shall be a class designated as common stock, par value $0.001 per share (the “Common Stock”), and</w:t>
      </w:r>
    </w:p>
    <w:p>
      <w:pPr>
        <w:spacing w:after="0" w:line="2" w:lineRule="exact"/>
        <w:rPr>
          <w:sz w:val="20"/>
          <w:szCs w:val="20"/>
          <w:color w:val="auto"/>
        </w:rPr>
      </w:pPr>
    </w:p>
    <w:p>
      <w:pPr>
        <w:ind w:left="760" w:right="3340" w:firstLine="42"/>
        <w:spacing w:after="0" w:line="260" w:lineRule="auto"/>
        <w:tabs>
          <w:tab w:leader="none" w:pos="10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million (10,000,000) shares shall be a class designated as undesignated preferred stock, par value $0.001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0" w:name="page51"/>
    <w:bookmarkEnd w:id="50"/>
    <w:p>
      <w:pPr>
        <w:ind w:right="20"/>
        <w:spacing w:after="0" w:line="282" w:lineRule="auto"/>
        <w:rPr>
          <w:sz w:val="20"/>
          <w:szCs w:val="20"/>
          <w:color w:val="auto"/>
        </w:rPr>
      </w:pPr>
      <w:r>
        <w:rPr>
          <w:rFonts w:ascii="Times New Roman" w:cs="Times New Roman" w:eastAsia="Times New Roman" w:hAnsi="Times New Roman"/>
          <w:sz w:val="18"/>
          <w:szCs w:val="18"/>
          <w:color w:val="auto"/>
        </w:rPr>
        <w:t>The remaining text of ARTICLE IV of the charter will remain unchanged. The complete text of the Charter Amendment is attached to this Proxy Statement as Annex 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Anti-takeover Effects</w:t>
      </w:r>
    </w:p>
    <w:p>
      <w:pPr>
        <w:spacing w:after="0" w:line="2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Release No. 34-15230 of the staff of the SEC requires disclosure and discussion of the effects of any action that may be used as an anti-takeover mechanism. Although not a factor in the decision by our Board to effect the increase of our authorized shares of common stock, one of the effects of having increased additional shares of our authorized common stock available for issuance may be to enable the board to render more difficult or to discourage an attempt to obtain control of the Company by means of a merger, tender offer, proxy contest, or otherwise, and thereby protect the continuity of then-present management. Unless prohibited by the regulations of applicable law or other agreements or restrictions, a sale of shares of common stock by us or other transactions in which the number of our outstanding shares of common stock would be increased could dilute the interest of a party attempting to obtain control of us. By potentially discouraging initiation of any such unsolicited takeover attempts, the Charter Amendment may limit the opportunity for our stockholders to dispose of their shares at the higher price generally available in takeover attempts or that may be available under a merger proposal.</w:t>
      </w:r>
    </w:p>
    <w:p>
      <w:pPr>
        <w:spacing w:after="0" w:line="1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Charter Amendment is not being proposed in response to any effort of which we are aware to accumulate shares of common stock or obtain control of the Company. While it is possible that our management could use the Charter Amendment to resist or frustrate a third-party transaction that is favored by a majority of stockholders, we have no current intent or plans to employ the Charter Amendment as an anti-takeover device and do not have any plans or proposals to adopt any other provisions or enter into other arrangements that may have material anti-takeover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except to the extent of their ownership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outstanding shares of capital stock entitled to vote on such matter. You may vote “FOR,” “AGAINST” or “ABSTAIN” from voting on this proposal. Abstentions and broker “non-votes,” if any, will be counted as votes against the proposal.</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3 to approve an amendment to our Second Amended and Restated Certificate of Incorporation, as amended to date, to increase the number of authorized shares of common stock from 200,000,000 to 400,000,000</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7"/>
          <w:szCs w:val="17"/>
          <w:b w:val="1"/>
          <w:bCs w:val="1"/>
          <w:color w:val="auto"/>
        </w:rPr>
        <w:t>PROPOSAL NO. 4 – NON-BINDING, ADVISORY VOTE TO APPROVE THE COMPENSATION OF OUR NAMED EXECUTIVE OFFICERS</w:t>
      </w:r>
    </w:p>
    <w:p>
      <w:pPr>
        <w:spacing w:after="0" w:line="2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prior years, we were an “emerging growth company” as defined in the Jumpstart Our Business Startups Act of 2012, as amended; therefore, we were not required to hold a non-binding advisory vote to approve the compensation of our named executive officers, commonly known as a “Say-on-Pay” vote. Under the Dodd-Frank Wall Street Reform and Consumer Protection Act, or the Dodd-Frank Act, and Section 14A of the Exchange Act, our stockholders are entitled to vote in such Say-on-Pay vote to approve, on a non-binding, advisory basis, the compensation of our named executive officers as disclosed in this proxy statement at least once every three years. Although this is a non-binding advisory vote, because we value the opinion of our stockholders, our board of directors and our compensation committee will consider the outcome of the “Say-on-Pay” vote described in this Proposal No. 3 and the related “Say-on-Frequency” vote described in Proposal 5 of this proxy statement at the Annual Meeting, as well as feedback received throughout the year, when making compensation determinations for our executive officers in the future.</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This vote is not intended to address any specific item of compensation, but rather the overall compensation our named executive officers and the compensation philosophy, policies and practices described in this proxy statement. The compensation of our named executive officers subject to the vote is disclosed under the “Compensation Discussion and Analysis” section, the compensation tables, and related narrative disclosure that accompanies the compensation tables contained in this proxy statement. As discussed in those disclosures, we believe that our compensation policies and decisions are designed to reward performance, are strongly aligned with our stockholders’ interests and are consistent with current market practices. Compensation of our named executive officers is designed to enable us to attract, motivate, and retain talented and experienced executives to lead us successfully in a competitive environment. Accordingly, we are asking our stockholders to </w:t>
      </w:r>
      <w:r>
        <w:rPr>
          <w:rFonts w:ascii="Times New Roman" w:cs="Times New Roman" w:eastAsia="Times New Roman" w:hAnsi="Times New Roman"/>
          <w:sz w:val="18"/>
          <w:szCs w:val="18"/>
          <w:color w:val="212529"/>
        </w:rPr>
        <w:t>cast a non-binding, advisory vote FOR the following resolution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7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RESOLVED</w:t>
      </w:r>
      <w:r>
        <w:rPr>
          <w:rFonts w:ascii="Times New Roman" w:cs="Times New Roman" w:eastAsia="Times New Roman" w:hAnsi="Times New Roman"/>
          <w:sz w:val="18"/>
          <w:szCs w:val="18"/>
          <w:color w:val="auto"/>
        </w:rPr>
        <w:t>, that the compensation of our named executive officers, as disclosed pursuant to the r</w:t>
      </w:r>
      <w:r>
        <w:rPr>
          <w:rFonts w:ascii="Times New Roman" w:cs="Times New Roman" w:eastAsia="Times New Roman" w:hAnsi="Times New Roman"/>
          <w:sz w:val="18"/>
          <w:szCs w:val="18"/>
          <w:color w:val="212529"/>
        </w:rPr>
        <w:t>ules of the Securities and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12529"/>
        </w:rPr>
        <w:t>Commission</w:t>
      </w:r>
      <w:r>
        <w:rPr>
          <w:rFonts w:ascii="Times New Roman" w:cs="Times New Roman" w:eastAsia="Times New Roman" w:hAnsi="Times New Roman"/>
          <w:sz w:val="18"/>
          <w:szCs w:val="18"/>
          <w:i w:val="1"/>
          <w:iCs w:val="1"/>
          <w:color w:val="212529"/>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including the Compensation Discussion and Analysis, the compensation tables and related narrative disclosures contained in this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proxy statement, is hereby APPROVED.</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of directors, or our compensation committee. However, our board of directors and compensation committee value your opinion and intend to consider the outcome of the vote when making compensation decisions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majority of the votes properly cast FOR this proposal is required to approve, on a non-binding, advisory basis, the 2024 compensation of our named executive officers. Shares that are voted “abstain” and broker non-votes, if any, will have no effect on the outcome of this proposal.</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voting “FOR” Proposal No. 4 to approve, on a non-binding, advisory basis, the compensation of our named executive officers.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2" w:name="page53"/>
    <w:bookmarkEnd w:id="52"/>
    <w:p>
      <w:pPr>
        <w:jc w:val="center"/>
        <w:ind w:left="400" w:right="10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5 – NON-BINDING, ADVISORY VOTE ON THE FREQUENCY OF FUTURE NON-BINDING, ADVISORY VOTES ON THE COMPENSATION OF OUR NAMED EXECUTIVE OFFICERS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Dodd-Frank Act and Section 14A of the Exchange Act provide that stockholders must be given the opportunity to vote, on a non-binding, advisory basis, for their preference as to how frequently we should hold future Say-on-Pay votes. We are required to solicit stockholder votes on the frequency of future non-binding, advisory votes to approve the compensation of our named executive officers at least once every six years. This is commonly known as a “Say-on-Frequency” proposal. We are asking our stockholders whether our future Say-on-Pay votes should occur every one, two, or three years. Stockholders may also abstain from voting.</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vote on this proposal is advisory; therefore, it is not binding on the Company, our board of directors or our compensation committee. We may determine in the future that it is in the best interests of the Company and our stockholders to hold Say-on-Pay votes more or less frequently than the frequency indicated by stockholders in voting on this proposal or as currently recommended by our board of directors. However, we plan to consider the results of the vote on this proposal in determining the frequency of our Say-on-Pay votes because we value the opinions of our stockholders.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Currently, we believe that it is in the best interests of the Company and our stockholders to hold a Say-on-Pay vote every year, and this is the frequency recommended by our board of directors. We believe this frequency will enable our stockholders to vote, on a non-binding, advisory basis, on our most recent executive compensation practices and decisions as presented in our annual proxy statements, which will lead to greater transparency and more meaningful and timely communication between the Company and our stockholders regarding the compensation of our named executive officers. Accordingly, we ask our stockholders to indicate their preferred voting frequency by voting for every “one year,” “two years,” or “three years” (or abstaining from voting) in response to the following resolution at the Annual Meeting:</w:t>
      </w:r>
    </w:p>
    <w:p>
      <w:pPr>
        <w:spacing w:after="0" w:line="183" w:lineRule="exact"/>
        <w:rPr>
          <w:sz w:val="20"/>
          <w:szCs w:val="20"/>
          <w:color w:val="auto"/>
        </w:rPr>
      </w:pPr>
    </w:p>
    <w:p>
      <w:pPr>
        <w:jc w:val="both"/>
        <w:ind w:left="76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RESOLVED</w:t>
      </w:r>
      <w:r>
        <w:rPr>
          <w:rFonts w:ascii="Times New Roman" w:cs="Times New Roman" w:eastAsia="Times New Roman" w:hAnsi="Times New Roman"/>
          <w:sz w:val="18"/>
          <w:szCs w:val="18"/>
          <w:color w:val="auto"/>
        </w:rPr>
        <w:t>, that the alternative of every one year, two years, or three years that receives the highest number of affirmative votes cast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in person or by proxy at this meeting will be deemed the preferred frequency with which the Company is to hold future non-binding, advisory votes on the compensation of the Company’s named 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Stockholders will not be voting to approve or disapprove of the recommendation of our board of directors. The proxy card provides stockholders with the opportunity to choose among four options with respect to this proposal (holding the vote every one, two, or three years, or abstaining). The option that receives the highest number of affirmative votes properly cast will be deemed to be the frequency preferred by our stockholders. Shares that are voted “abstain” and broker non-votes, if any, will have no effect on the outcome of this proposal.</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on a non-binding, advisory basis, for “ONE YEAR” as the preferred frequency for future non-binding advisory votes on the compensation of our named executed officers.</w:t>
      </w: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4" w:right="459" w:bottom="1440" w:gutter="0" w:footer="0" w:header="0"/>
        </w:sectPr>
      </w:pPr>
    </w:p>
    <w:bookmarkStart w:id="53" w:name="page54"/>
    <w:bookmarkEnd w:id="53"/>
    <w:p>
      <w:pPr>
        <w:ind w:left="20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1, 2025 by:</w:t>
      </w:r>
    </w:p>
    <w:p>
      <w:pPr>
        <w:spacing w:after="0" w:line="2"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Tango’s outstanding common stock;</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Tango’s named executive officers and directors; and</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Tango’s executive officers and directors as a group.</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RSUs, within 60 days of April 1, 2025. Shares subject to RSU awards that vest within 60 days of April 1, 2025, are considered outstanding and beneficially owned by the person holding such options or RSU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201 Brookline Avenue, Suite 901, Boston, MA 02215. The percentage of beneficial ownership is calculated based on 108,107,890 shares of common stock outstanding as of April 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Weber, M.D.(1)</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5,123,715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Daniella Beckman(2)</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1,163,421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Alexis Borisy(3)</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240,838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Malte Peters, M.D.(4)</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Lesley Ann Calhoun(5)</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189,300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Mace Rothenberg, M.D.(6)</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Ketchum(7)</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64,114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Kanishka Pothula(8)</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Crystal, M.D., Ph.D.(9)</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442,940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Douglas Barry(10)</w:t>
            </w:r>
          </w:p>
        </w:tc>
        <w:tc>
          <w:tcPr>
            <w:tcW w:w="440" w:type="dxa"/>
            <w:vAlign w:val="bottom"/>
            <w:tcBorders>
              <w:bottom w:val="single" w:sz="8" w:color="CCEEFF"/>
            </w:tcBorders>
            <w:gridSpan w:val="2"/>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449,024</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 and Directors as a group (10 individuals)</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8,095,922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Rock Ventures IV, L.P.(11)</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16,859,075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Boxer Capital, LLC(12)</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10,707,885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EcoR1 Capital, LLC(13)</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10,620,736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TCG Crossover II(14)</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10,500,612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Nextech Invest, Ltd.(15)</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5,533,980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-988060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-988060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40" w:right="420" w:hanging="432"/>
        <w:spacing w:after="0" w:line="250" w:lineRule="auto"/>
        <w:tabs>
          <w:tab w:leader="none" w:pos="3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1,456,344 shares of common stock and options to purchase 3,667,371 shares of common stock exercisable within 60 days of April 1, 2025.</w:t>
      </w: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98,898 shares of common stock and options to purchase 1,064,523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and options to purchase 235,838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and options to purchase 223,270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1"/>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189,300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1"/>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and options to purchase 189,300 shares of common stock exercisable within 60 days of April 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4" w:name="page55"/>
    <w:bookmarkEnd w:id="54"/>
    <w:p>
      <w:pPr>
        <w:ind w:left="400" w:hanging="391"/>
        <w:spacing w:after="0"/>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 shares of common stock and options to purchase 60,781 shares of common stock exercisable within 60 days of April 1, 2025.</w:t>
      </w:r>
    </w:p>
    <w:p>
      <w:pPr>
        <w:spacing w:after="0" w:line="2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Pothula has waived all equity or cash compensation for service as a non-employee director.</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69,700 shares of common stock and options to purchase 373,240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23,551 shares of common stock and options to purchase 425,473 shares of common stock exercisable within 60 days of April 1, 2025.</w:t>
      </w:r>
    </w:p>
    <w:p>
      <w:pPr>
        <w:spacing w:after="0" w:line="9" w:lineRule="exact"/>
        <w:rPr>
          <w:rFonts w:ascii="Times New Roman" w:cs="Times New Roman" w:eastAsia="Times New Roman" w:hAnsi="Times New Roman"/>
          <w:sz w:val="18"/>
          <w:szCs w:val="18"/>
          <w:color w:val="auto"/>
        </w:rPr>
      </w:pPr>
    </w:p>
    <w:p>
      <w:pPr>
        <w:ind w:left="440" w:hanging="432"/>
        <w:spacing w:after="0" w:line="250" w:lineRule="auto"/>
        <w:tabs>
          <w:tab w:leader="none" w:pos="3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Form 4 filed by Third Rock Ventures IV, L.P. (“TRV IV”), Third Rock Ventures GP IV, L.P. (“TRV GP IV”) and TRV GP IV, LLC (“TRV GP IV LLC”, and collectively with TRV IV and TRV GP IV, the “Reporting Persons”) with the SEC on September 17, 2024. The general partner of TRV IV is TRV GP IV. The general partner of TRV GP IV is TRV GP IV, LLC. Abbie Celniker, Ph.D., Robert Tepper, M.D., Craig Muir and Cary Pfeffer, M.D. are the managing members of TRV GP IV, LLC who collectively make voting and investment decisions with respect to shares held by TRV IV L.P. The address for each of the Reporting Persons is 201 Brookline Ave, Suite 1401, Boston, MA 02215.</w:t>
      </w:r>
    </w:p>
    <w:p>
      <w:pPr>
        <w:spacing w:after="0" w:line="1"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3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13D/A filed by Boxer Capital Management, LLC (“Boxer Capital Management”), BCTG Holdings, LLC (“BCTG Holdings”), MVA Investors, LLC (“MVA Investors together with Boxer Capital, BCTG Holdings, and Aaron Davis, the “Reporting Persons”) with the SEC on January 2, 2025. Consists of 326,886 shares beneficially owned by MVA Investors and 10,380,999 shares beneficially owned by Boxer Capital Management. Aaron Davis has shared voting and dispositive power over the shares owned by MVA Investors and Boxer Capital Management. Aaron Davis serves as the Chief Executive Officer of MVA Investors. Each of the individuals and entities listed above expressly disclaims beneficial interest of the shares listed above except to the extent of any pecuniary interest therein. The principal business address of the Reporting Persons is: 12860 El Camino Real, Suite 300, San Diego, CA 92130.</w:t>
      </w:r>
    </w:p>
    <w:p>
      <w:pPr>
        <w:spacing w:after="0" w:line="2" w:lineRule="exact"/>
        <w:rPr>
          <w:rFonts w:ascii="Times New Roman" w:cs="Times New Roman" w:eastAsia="Times New Roman" w:hAnsi="Times New Roman"/>
          <w:sz w:val="18"/>
          <w:szCs w:val="18"/>
          <w:color w:val="auto"/>
        </w:rPr>
      </w:pPr>
    </w:p>
    <w:p>
      <w:pPr>
        <w:ind w:left="440" w:right="240" w:hanging="432"/>
        <w:spacing w:after="0" w:line="250" w:lineRule="auto"/>
        <w:tabs>
          <w:tab w:leader="none" w:pos="3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13G/A filed by EcoR1 Capital, LLC (“EcoR1”), EcoR1 Capital Fund Qualified, L.P. (“EcoR1 Capital”) and Oleg Nodelman (collectively, the “Reporting Persons”) with the SEC on February 14, 2025. The general partner of EcoR1 Capital is EcoR1. The manager of EcoR1 is Oleg Nodelman. Each of the individuals and entities listed above expressly disclaims beneficial interest of the shares listed above except to the extent of any pecuniary interest therein. The address for each Reporting Persons is 357 Tehama Street #3, San Francisco, CA 94103.</w:t>
      </w:r>
    </w:p>
    <w:p>
      <w:pPr>
        <w:spacing w:after="0" w:line="1" w:lineRule="exact"/>
        <w:rPr>
          <w:rFonts w:ascii="Times New Roman" w:cs="Times New Roman" w:eastAsia="Times New Roman" w:hAnsi="Times New Roman"/>
          <w:sz w:val="18"/>
          <w:szCs w:val="18"/>
          <w:color w:val="auto"/>
        </w:rPr>
      </w:pPr>
    </w:p>
    <w:p>
      <w:pPr>
        <w:ind w:left="440" w:right="40" w:hanging="432"/>
        <w:spacing w:after="0" w:line="250" w:lineRule="auto"/>
        <w:tabs>
          <w:tab w:leader="none" w:pos="3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 filed by TCG Crossover Fund II, L.P. and TCG Crossover GP II, LLC (collectively, the “Reporting Persons”) with the SEC on November 20, 2024.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address of the principal business office of each Reporting Person is 705 High St., Palo Alto, CA 94301.</w:t>
      </w:r>
    </w:p>
    <w:p>
      <w:pPr>
        <w:spacing w:after="0" w:line="1" w:lineRule="exact"/>
        <w:rPr>
          <w:rFonts w:ascii="Times New Roman" w:cs="Times New Roman" w:eastAsia="Times New Roman" w:hAnsi="Times New Roman"/>
          <w:sz w:val="18"/>
          <w:szCs w:val="18"/>
          <w:color w:val="auto"/>
        </w:rPr>
      </w:pPr>
    </w:p>
    <w:p>
      <w:pPr>
        <w:ind w:left="440" w:right="20" w:hanging="432"/>
        <w:spacing w:after="0" w:line="252" w:lineRule="auto"/>
        <w:tabs>
          <w:tab w:leader="none" w:pos="3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solely based on a Schedule 13G filed by Nextech Crossover I SCSp (“Nextech”), Nextech Crossover I GP S. à r.l. (“Nextech S. à r.l.”), Ian Charoub, Costas Constantinides and Rocco Sgobbo (collectively with Nextech and Nextech S. à r.l., the “Reporting Persons”) with the SEC on August 21, 2023. The general partner of Nextech is Nextech S. à r.l. Ian Charoub, Costas Constantinides and Rocco Sgobbo are members of the board of managers of Nextech S. à r.l. and share voting and dispositive power over the shares held by Nextech, and may be deemed to own beneficially the shares held by Nextech. The address for each of the Reporting Persons is 8 rue Lou Hemmer L-1748 Luxembourg-Findel Grand-Duché de Luxembourg.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5" w:name="page56"/>
    <w:bookmarkEnd w:id="5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following is a description of transactions or series of similar transactions since January 1, 2024 (other than the compensation agreements and other arrangements described under the sections entitled “Executive Compensation” and “Director Compensation” in this proxy statement) to which:</w:t>
      </w:r>
    </w:p>
    <w:p>
      <w:pPr>
        <w:spacing w:after="0" w:line="1"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or will be, a participant;</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63"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director, executive officer, holder of 5% or more of any class of our capital stock or any member of the immediate family of, or entities affiliated with, any of the foregoing persons, had, or will have, a direct or indirect material interest.</w:t>
      </w:r>
    </w:p>
    <w:p>
      <w:pPr>
        <w:spacing w:after="0" w:line="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believe that all of the transactions described below were made on terms no less favorable to us than could have been obtained from unaffiliated third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Sesame Therapeutics, Inc.</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2024, the Company and Sesame Therapeutics, Inc., or Sesame, entered into a license agreement, pursuant to which the Company granted a non-exclusive license to certain know-how associated with preclinical research. Pursuant to the license agreement, we received a $100,000 upfront, non-refundable payment in June 2024 and are eligible to receive up to $25.9 million in potential future clinical, regulatory, and commercial milestone payment events, as well as low single-digit tiered royalties on net sales of any product covered by a licensed patent. The transaction was deemed a related party transaction because Dr. Weber and Mr. Borisy are directors and equityholders in Sesame, and Nextech, an investment firm in which Mr. Pothula serves as a partner and of which Mr. Borisy is affiliated, holds an equity interest in Sesame. Pursuant to our Related Party Transaction Policy, the material facts as to the related parties' relationship and interest in the transaction were disclosed to the audit committee for consideration. However, because two of the three members of the audit committee had material interests in the proposed transaction, the remaining member of the audit committee recommended that the proposed transaction be considered by the full board of directors. The agreement was reviewed and approved by the non-interested members of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Revolution Medicines, Inc.</w:t>
      </w:r>
    </w:p>
    <w:p>
      <w:pPr>
        <w:spacing w:after="0" w:line="22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In November 2024, the Company and Revolution Medicines, Inc., or RevMed, entered into a clinical trial collaboration and supply agreement. The agreement provides that RevMed will supply two of its RAS inhibitors at no cost to the Company for use in clinical trials that will include these combinations.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this transaction is a related party transaction. The agreement was reviewed and approved by the non-interested members of our audit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Aaron Davis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August 2024, the Company entered into a Consulting Agreement with Aaron Davis, the Managing Member of Boxer Capital Management, LLC, and a Tango director until August 2023. Boxer Capital Management has an investment management agreement with Boxer Capital. Boxer Capital is a former 10% holder of Tango common stock, but continues to hold in excess of 5% of Tango's outstanding common stock. In exchange for providing certain consulting services related to communications and investor relations messaging in connection with the public disclosure of Tango clinical trial programs and certain related matters, the Company issued Mr. Davis an option award to acquire 65,000 shares of common stock. The exercise price of the option was equal to the stock price on the date of grant. The agreement was reviewed and approved by the non-interested members of our audit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or as an executive officer to the maximum extent allowed under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6" w:name="page57"/>
    <w:bookmarkEnd w:id="56"/>
    <w:p>
      <w:pPr>
        <w:ind w:right="60"/>
        <w:spacing w:after="0" w:line="258" w:lineRule="auto"/>
        <w:rPr>
          <w:sz w:val="20"/>
          <w:szCs w:val="20"/>
          <w:color w:val="auto"/>
        </w:rPr>
      </w:pPr>
      <w:r>
        <w:rPr>
          <w:rFonts w:ascii="Times New Roman" w:cs="Times New Roman" w:eastAsia="Times New Roman" w:hAnsi="Times New Roman"/>
          <w:sz w:val="18"/>
          <w:szCs w:val="18"/>
          <w:color w:val="auto"/>
        </w:rPr>
        <w:t>Our audit committee reviews and approves transactions with directors, officers and holders of 5% or more our capital stock and their affiliates, or each, related party. Prior to the transaction, the material facts as to the related party’s relationship or interest in the transaction are disclosed to our audit committee prior to their consideration of such transaction, and the transaction is not considered approved unless approved by the audit committee.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Party Transactions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spacing w:after="0" w:line="13"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officers, directors or director nominee;</w:t>
      </w:r>
    </w:p>
    <w:p>
      <w:pPr>
        <w:spacing w:after="0" w:line="7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us to be the beneficial owner of more than 5% of our voting stock;</w:t>
      </w:r>
    </w:p>
    <w:p>
      <w:pPr>
        <w:spacing w:after="0" w:line="90"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5% of our voting stock; and</w:t>
      </w:r>
    </w:p>
    <w:p>
      <w:pPr>
        <w:spacing w:after="0" w:line="31"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The audit committee has the responsibility to review related party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 AND OTHER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Tango Therapeutics, Inc., 201 Brookline Avenue, Suite 901, Boston, Massachusetts 02215, Attention: Corporate Secretary, telephone: (857) 320-4900.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2026 proxy statement must submit the proposal in accordance with the procedures outlined in Rule 14a-8 so that it is received by us no later than December 22, 2025. In addition, to comply with the SEC’s universal proxy rules, stockholders who intend to solicit proxies in support of director nominees other than our nominees must provide notice that sets forth the information required by Rule 14a-19 under the Exchange Act no later than March 7, 2026.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Tango Therapeutics, Inc., 201 Brookline Avenue, Suite 901, Boston, Massachusetts 02215, Attention: Corporate Secretary.</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5, 2026 and no later than March 7, 2026. Stockholder proposals and the required notice should be addressed to Tango Therapeutics, Inc., 201 Brookline Avenue, Suite 901, Boston, Massachusetts 02215, Attention: Corporate Secretary.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OUR COMPANY'S SECOND AMENDED AND RESTATED CERTIFICATE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AS AMENDED TO DATE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Tango Therapeutics,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93" w:lineRule="exact"/>
        <w:rPr>
          <w:sz w:val="20"/>
          <w:szCs w:val="20"/>
          <w:color w:val="auto"/>
        </w:rPr>
      </w:pPr>
    </w:p>
    <w:p>
      <w:pPr>
        <w:jc w:val="both"/>
        <w:ind w:firstLine="757"/>
        <w:spacing w:after="0" w:line="243"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on May 21, 2020. An Amended and Restated Certificate of Incorporation was filed with the Secretary of State of the State of Delaware on September 2, 2020, as amended by the Certificate of Amendment filed with the Secretary of State of the State of Delaware on June 5, 2024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Pursuant to Section 242 of the DGCL, this Certificate of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certain provisions of the Charter.</w:t>
      </w:r>
    </w:p>
    <w:p>
      <w:pPr>
        <w:spacing w:after="0" w:line="222" w:lineRule="exact"/>
        <w:rPr>
          <w:rFonts w:ascii="Times New Roman" w:cs="Times New Roman" w:eastAsia="Times New Roman" w:hAnsi="Times New Roman"/>
          <w:sz w:val="22"/>
          <w:szCs w:val="22"/>
          <w:color w:val="auto"/>
        </w:rPr>
      </w:pPr>
    </w:p>
    <w:p>
      <w:pPr>
        <w:ind w:firstLine="757"/>
        <w:spacing w:after="0" w:line="234"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Amendment has been approved and duly adopted by the Corporation’s Board of Directors and stockholders in accordance with the provisions of Section 242 of the DGCL.</w:t>
      </w:r>
    </w:p>
    <w:p>
      <w:pPr>
        <w:spacing w:after="0" w:line="20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first paragraph of Article IV of the Charter is hereby amended to read in its entirety as follows:</w:t>
      </w:r>
    </w:p>
    <w:p>
      <w:pPr>
        <w:spacing w:after="0" w:line="19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four hundred and ten million (410,000,000), of which (i) four hundred million (400,000,000) shares shall be a class designated as common stock, par value $0.001 per share (the “Common Stock”), and (ii) ten million (10,000,000) shares shall be a class designated as undesignated preferred stock, par value $0.001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this Amendment, having been duly adopted in accordance with Section 242 of the DGCL, has been duly executed by a duly authorized officer of the Corporation on this 5th day of June, 2025.</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00" w:lineRule="exact"/>
        <w:rPr>
          <w:sz w:val="20"/>
          <w:szCs w:val="20"/>
          <w:color w:val="auto"/>
        </w:rPr>
      </w:pPr>
    </w:p>
    <w:p>
      <w:pPr>
        <w:spacing w:after="0" w:line="3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-7620</wp:posOffset>
            </wp:positionV>
            <wp:extent cx="263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Barbara Weber, M.D.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654685</wp:posOffset>
            </wp:positionV>
            <wp:extent cx="7157720" cy="86283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862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654685</wp:posOffset>
            </wp:positionV>
            <wp:extent cx="7157720" cy="86283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862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3"/>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2"/>
    </w:lvl>
  </w:abstractNum>
  <w:abstractNum w:abstractNumId="12">
    <w:nsid w:val="4516DDE9"/>
    <w:multiLevelType w:val="hybridMultilevel"/>
    <w:lvl w:ilvl="0">
      <w:lvlJc w:val="left"/>
      <w:lvlText w:val="&amp;"/>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upperLetter"/>
      <w:start w:val="1"/>
    </w:lvl>
  </w:abstractNum>
  <w:abstractNum w:abstractNumId="34">
    <w:nsid w:val="725A06FB"/>
    <w:multiLevelType w:val="hybridMultilevel"/>
    <w:lvl w:ilvl="0">
      <w:lvlJc w:val="left"/>
      <w:lvlText w:val="(%1)"/>
      <w:numFmt w:val="lowerRoman"/>
      <w:start w:val="3"/>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3"/>
    </w:lvl>
    <w:lvl w:ilvl="1">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o"/>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4"/>
    </w:lvl>
  </w:abstractNum>
  <w:abstractNum w:abstractNumId="45">
    <w:nsid w:val="579478FE"/>
    <w:multiLevelType w:val="hybridMultilevel"/>
    <w:lvl w:ilvl="0">
      <w:lvlJc w:val="left"/>
      <w:lvlText w:val="(%1)"/>
      <w:numFmt w:val="lowerRoman"/>
      <w:start w:val="2"/>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7"/>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2025-04-21T13:34:34Z</dcterms:created>
  <dcterms:modified xsi:type="dcterms:W3CDTF">2025-04-21T13:34:34Z</dcterms:modified>
</cp:coreProperties>
</file>