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56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860" w:hanging="52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00" w:hanging="568"/>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ind w:left="100"/>
        <w:spacing w:after="0"/>
        <w:tabs>
          <w:tab w:leader="none" w:pos="1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0575" cy="3540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3540760"/>
                    </a:xfrm>
                    <a:prstGeom prst="rect">
                      <a:avLst/>
                    </a:prstGeom>
                    <a:noFill/>
                  </pic:spPr>
                </pic:pic>
              </a:graphicData>
            </a:graphic>
          </wp:anchor>
        </w:drawing>
      </w:r>
    </w:p>
    <w:p>
      <w:pPr>
        <w:spacing w:after="0" w:line="57" w:lineRule="exact"/>
        <w:rPr>
          <w:sz w:val="20"/>
          <w:szCs w:val="20"/>
          <w:color w:val="auto"/>
        </w:rPr>
      </w:pPr>
    </w:p>
    <w:p>
      <w:pPr>
        <w:ind w:left="800" w:right="8400" w:hanging="577"/>
        <w:spacing w:after="0" w:line="325"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Names of Reporting Persons Nextech Crossover I SCSp</w:t>
      </w:r>
    </w:p>
    <w:p>
      <w:pPr>
        <w:spacing w:after="0" w:line="1" w:lineRule="exact"/>
        <w:rPr>
          <w:rFonts w:ascii="Arial" w:cs="Arial" w:eastAsia="Arial" w:hAnsi="Arial"/>
          <w:sz w:val="16"/>
          <w:szCs w:val="16"/>
          <w:color w:val="auto"/>
        </w:rPr>
      </w:pPr>
    </w:p>
    <w:p>
      <w:pPr>
        <w:ind w:left="800" w:hanging="577"/>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8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62" w:lineRule="exact"/>
        <w:rPr>
          <w:rFonts w:ascii="Arial" w:cs="Arial" w:eastAsia="Arial" w:hAnsi="Arial"/>
          <w:sz w:val="18"/>
          <w:szCs w:val="18"/>
          <w:color w:val="auto"/>
        </w:rPr>
      </w:pPr>
    </w:p>
    <w:p>
      <w:pPr>
        <w:ind w:left="800" w:hanging="577"/>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6" w:lineRule="exact"/>
        <w:rPr>
          <w:rFonts w:ascii="Arial" w:cs="Arial" w:eastAsia="Arial" w:hAnsi="Arial"/>
          <w:sz w:val="18"/>
          <w:szCs w:val="18"/>
          <w:color w:val="auto"/>
        </w:rPr>
      </w:pPr>
    </w:p>
    <w:p>
      <w:pPr>
        <w:ind w:left="800" w:right="7840" w:hanging="577"/>
        <w:spacing w:after="0" w:line="27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Luxembourg</w:t>
      </w:r>
    </w:p>
    <w:tbl>
      <w:tblPr>
        <w:tblLayout w:type="fixed"/>
        <w:tblInd w:w="0" w:type="dxa"/>
        <w:tblCellMar>
          <w:top w:w="0" w:type="dxa"/>
          <w:left w:w="0" w:type="dxa"/>
          <w:bottom w:w="0" w:type="dxa"/>
          <w:right w:w="0" w:type="dxa"/>
        </w:tblCellMar>
      </w:tblPr>
      <w:tr>
        <w:trPr>
          <w:trHeight w:val="223"/>
        </w:trPr>
        <w:tc>
          <w:tcPr>
            <w:tcW w:w="160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Number of</w:t>
            </w:r>
          </w:p>
        </w:tc>
        <w:tc>
          <w:tcPr>
            <w:tcW w:w="68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8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60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980" w:type="dxa"/>
            <w:vAlign w:val="bottom"/>
          </w:tcPr>
          <w:p>
            <w:pPr>
              <w:ind w:left="100"/>
              <w:spacing w:after="0" w:line="202" w:lineRule="exact"/>
              <w:rPr>
                <w:sz w:val="20"/>
                <w:szCs w:val="20"/>
                <w:color w:val="auto"/>
              </w:rPr>
            </w:pPr>
            <w:r>
              <w:rPr>
                <w:rFonts w:ascii="Arial" w:cs="Arial" w:eastAsia="Arial" w:hAnsi="Arial"/>
                <w:sz w:val="18"/>
                <w:szCs w:val="18"/>
                <w:color w:val="auto"/>
              </w:rPr>
              <w:t>5,533,980 shares</w:t>
            </w:r>
          </w:p>
        </w:tc>
        <w:tc>
          <w:tcPr>
            <w:tcW w:w="0" w:type="dxa"/>
            <w:vAlign w:val="bottom"/>
          </w:tcPr>
          <w:p>
            <w:pPr>
              <w:spacing w:after="0"/>
              <w:rPr>
                <w:sz w:val="1"/>
                <w:szCs w:val="1"/>
                <w:color w:val="auto"/>
              </w:rPr>
            </w:pPr>
          </w:p>
        </w:tc>
      </w:tr>
      <w:tr>
        <w:trPr>
          <w:trHeight w:val="55"/>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Shares</w:t>
            </w: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6.</w:t>
            </w: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0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Owned by</w:t>
            </w:r>
          </w:p>
        </w:tc>
        <w:tc>
          <w:tcPr>
            <w:tcW w:w="680" w:type="dxa"/>
            <w:vAlign w:val="bottom"/>
            <w:tcBorders>
              <w:right w:val="single" w:sz="8" w:color="auto"/>
            </w:tcBorders>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0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680" w:type="dxa"/>
            <w:vAlign w:val="bottom"/>
            <w:tcBorders>
              <w:right w:val="single" w:sz="8" w:color="auto"/>
            </w:tcBorders>
            <w:vMerge w:val="continue"/>
          </w:tcPr>
          <w:p>
            <w:pPr>
              <w:spacing w:after="0"/>
              <w:rPr>
                <w:sz w:val="12"/>
                <w:szCs w:val="12"/>
                <w:color w:val="auto"/>
              </w:rPr>
            </w:pPr>
          </w:p>
        </w:tc>
        <w:tc>
          <w:tcPr>
            <w:tcW w:w="8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5,533,980 shares</w:t>
            </w:r>
          </w:p>
        </w:tc>
        <w:tc>
          <w:tcPr>
            <w:tcW w:w="0" w:type="dxa"/>
            <w:vAlign w:val="bottom"/>
          </w:tcPr>
          <w:p>
            <w:pPr>
              <w:spacing w:after="0"/>
              <w:rPr>
                <w:sz w:val="1"/>
                <w:szCs w:val="1"/>
                <w:color w:val="auto"/>
              </w:rPr>
            </w:pPr>
          </w:p>
        </w:tc>
      </w:tr>
      <w:tr>
        <w:trPr>
          <w:trHeight w:val="163"/>
        </w:trPr>
        <w:tc>
          <w:tcPr>
            <w:tcW w:w="1600" w:type="dxa"/>
            <w:vAlign w:val="bottom"/>
            <w:tcBorders>
              <w:right w:val="single" w:sz="8" w:color="auto"/>
            </w:tcBorders>
            <w:vMerge w:val="restart"/>
          </w:tcPr>
          <w:p>
            <w:pPr>
              <w:ind w:left="140"/>
              <w:spacing w:after="0" w:line="190" w:lineRule="exact"/>
              <w:rPr>
                <w:sz w:val="20"/>
                <w:szCs w:val="20"/>
                <w:color w:val="auto"/>
              </w:rPr>
            </w:pPr>
            <w:r>
              <w:rPr>
                <w:rFonts w:ascii="Arial" w:cs="Arial" w:eastAsia="Arial" w:hAnsi="Arial"/>
                <w:sz w:val="18"/>
                <w:szCs w:val="18"/>
                <w:color w:val="auto"/>
              </w:rPr>
              <w:t>Reporting</w:t>
            </w:r>
          </w:p>
        </w:tc>
        <w:tc>
          <w:tcPr>
            <w:tcW w:w="680" w:type="dxa"/>
            <w:vAlign w:val="bottom"/>
            <w:tcBorders>
              <w:right w:val="single" w:sz="8" w:color="auto"/>
            </w:tcBorders>
          </w:tcPr>
          <w:p>
            <w:pPr>
              <w:spacing w:after="0"/>
              <w:rPr>
                <w:sz w:val="14"/>
                <w:szCs w:val="14"/>
                <w:color w:val="auto"/>
              </w:rPr>
            </w:pPr>
          </w:p>
        </w:tc>
        <w:tc>
          <w:tcPr>
            <w:tcW w:w="8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Person With</w:t>
            </w:r>
          </w:p>
        </w:tc>
        <w:tc>
          <w:tcPr>
            <w:tcW w:w="6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8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9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0" w:right="5660" w:hanging="577"/>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5,533,980 shares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303"/>
        </w:trPr>
        <w:tc>
          <w:tcPr>
            <w:tcW w:w="40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678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Check if the Aggregate Amount in Row (9) Excludes Certain Shares (See Instructions)  </w:t>
            </w:r>
            <w:r>
              <w:rPr>
                <w:rFonts w:ascii="MS PGothic" w:cs="MS PGothic" w:eastAsia="MS PGothic" w:hAnsi="MS PGothic"/>
                <w:sz w:val="18"/>
                <w:szCs w:val="18"/>
                <w:color w:val="auto"/>
                <w:w w:val="92"/>
              </w:rPr>
              <w:t>☐</w:t>
            </w:r>
          </w:p>
        </w:tc>
      </w:tr>
    </w:tbl>
    <w:p>
      <w:pPr>
        <w:spacing w:after="0" w:line="25" w:lineRule="exact"/>
        <w:rPr>
          <w:sz w:val="20"/>
          <w:szCs w:val="20"/>
          <w:color w:val="auto"/>
        </w:rPr>
      </w:pPr>
    </w:p>
    <w:p>
      <w:pPr>
        <w:ind w:left="800" w:hanging="577"/>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5.4% (2)</w:t>
      </w:r>
    </w:p>
    <w:p>
      <w:pPr>
        <w:spacing w:after="0" w:line="62" w:lineRule="exact"/>
        <w:rPr>
          <w:rFonts w:ascii="Arial" w:cs="Arial" w:eastAsia="Arial" w:hAnsi="Arial"/>
          <w:sz w:val="18"/>
          <w:szCs w:val="18"/>
          <w:color w:val="auto"/>
        </w:rPr>
      </w:pPr>
    </w:p>
    <w:p>
      <w:pPr>
        <w:ind w:left="800" w:hanging="577"/>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jc w:val="both"/>
        <w:ind w:left="340" w:right="2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Schedule 13G is filed by Nextech Crossover I SCSP (“Nextech Crossover LP”), Nextech Crossover I GP S.à r.l. (“Nextech Crossover GP”), Ian Charoub, (“Charoub”), Costas Constantinides (“Constantinides”) and Rocco Sgobbo (“Sgobbo” and, with Nextech Crossover LP, Nextech Crossover GP, Charoub and Constantinides, collectively, the “Reporting Persons”). The Reporting Persons expressly disclaim status as a “group” for purposes of this Schedule 13G.</w:t>
      </w:r>
    </w:p>
    <w:p>
      <w:pPr>
        <w:spacing w:after="0" w:line="186"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of class was calculated based on the sum of (i) 88,467,269 shares of Common Stock outstanding as of August 2, 2023, as reported in the Issuer’s Quarterly Report on Form 10-Q filed with the Securities and Exchange Commission on August 7, 2023, and (ii) 13,196,671 shares of Common Stock issued in the private placement of equity securities by the Issuer that closed on August 11, 2023.</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2" w:name="page3"/>
    <w:bookmarkEnd w:id="2"/>
    <w:p>
      <w:pPr>
        <w:ind w:left="100"/>
        <w:spacing w:after="0"/>
        <w:tabs>
          <w:tab w:leader="none" w:pos="1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0575" cy="3540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3540125"/>
                    </a:xfrm>
                    <a:prstGeom prst="rect">
                      <a:avLst/>
                    </a:prstGeom>
                    <a:noFill/>
                  </pic:spPr>
                </pic:pic>
              </a:graphicData>
            </a:graphic>
          </wp:anchor>
        </w:drawing>
      </w:r>
    </w:p>
    <w:p>
      <w:pPr>
        <w:spacing w:after="0" w:line="57" w:lineRule="exact"/>
        <w:rPr>
          <w:sz w:val="20"/>
          <w:szCs w:val="20"/>
          <w:color w:val="auto"/>
        </w:rPr>
      </w:pPr>
    </w:p>
    <w:p>
      <w:pPr>
        <w:ind w:left="800" w:right="8200" w:hanging="577"/>
        <w:spacing w:after="0" w:line="325"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Nextech Crossover I GP S.à r.l.</w:t>
      </w:r>
    </w:p>
    <w:p>
      <w:pPr>
        <w:spacing w:after="0" w:line="1" w:lineRule="exact"/>
        <w:rPr>
          <w:rFonts w:ascii="Arial" w:cs="Arial" w:eastAsia="Arial" w:hAnsi="Arial"/>
          <w:sz w:val="16"/>
          <w:szCs w:val="16"/>
          <w:color w:val="auto"/>
        </w:rPr>
      </w:pPr>
    </w:p>
    <w:p>
      <w:pPr>
        <w:ind w:left="800" w:hanging="57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8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(1)</w:t>
      </w:r>
    </w:p>
    <w:p>
      <w:pPr>
        <w:spacing w:after="0" w:line="62" w:lineRule="exact"/>
        <w:rPr>
          <w:rFonts w:ascii="Arial" w:cs="Arial" w:eastAsia="Arial" w:hAnsi="Arial"/>
          <w:sz w:val="18"/>
          <w:szCs w:val="18"/>
          <w:color w:val="auto"/>
        </w:rPr>
      </w:pPr>
    </w:p>
    <w:p>
      <w:pPr>
        <w:ind w:left="800" w:hanging="57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6" w:lineRule="exact"/>
        <w:rPr>
          <w:rFonts w:ascii="Arial" w:cs="Arial" w:eastAsia="Arial" w:hAnsi="Arial"/>
          <w:sz w:val="18"/>
          <w:szCs w:val="18"/>
          <w:color w:val="auto"/>
        </w:rPr>
      </w:pPr>
    </w:p>
    <w:p>
      <w:pPr>
        <w:ind w:left="800" w:right="7840" w:hanging="577"/>
        <w:spacing w:after="0" w:line="27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Luxembourg</w:t>
      </w:r>
    </w:p>
    <w:tbl>
      <w:tblPr>
        <w:tblLayout w:type="fixed"/>
        <w:tblInd w:w="0" w:type="dxa"/>
        <w:tblCellMar>
          <w:top w:w="0" w:type="dxa"/>
          <w:left w:w="0" w:type="dxa"/>
          <w:bottom w:w="0" w:type="dxa"/>
          <w:right w:w="0" w:type="dxa"/>
        </w:tblCellMar>
      </w:tblPr>
      <w:tr>
        <w:trPr>
          <w:trHeight w:val="223"/>
        </w:trPr>
        <w:tc>
          <w:tcPr>
            <w:tcW w:w="160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Number of</w:t>
            </w:r>
          </w:p>
        </w:tc>
        <w:tc>
          <w:tcPr>
            <w:tcW w:w="68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8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60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980" w:type="dxa"/>
            <w:vAlign w:val="bottom"/>
          </w:tcPr>
          <w:p>
            <w:pPr>
              <w:ind w:left="100"/>
              <w:spacing w:after="0" w:line="202" w:lineRule="exact"/>
              <w:rPr>
                <w:sz w:val="20"/>
                <w:szCs w:val="20"/>
                <w:color w:val="auto"/>
              </w:rPr>
            </w:pPr>
            <w:r>
              <w:rPr>
                <w:rFonts w:ascii="Arial" w:cs="Arial" w:eastAsia="Arial" w:hAnsi="Arial"/>
                <w:sz w:val="18"/>
                <w:szCs w:val="18"/>
                <w:color w:val="auto"/>
              </w:rPr>
              <w:t>5,533,980 shares</w:t>
            </w:r>
          </w:p>
        </w:tc>
        <w:tc>
          <w:tcPr>
            <w:tcW w:w="0" w:type="dxa"/>
            <w:vAlign w:val="bottom"/>
          </w:tcPr>
          <w:p>
            <w:pPr>
              <w:spacing w:after="0"/>
              <w:rPr>
                <w:sz w:val="1"/>
                <w:szCs w:val="1"/>
                <w:color w:val="auto"/>
              </w:rPr>
            </w:pPr>
          </w:p>
        </w:tc>
      </w:tr>
      <w:tr>
        <w:trPr>
          <w:trHeight w:val="55"/>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Shares</w:t>
            </w: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6.</w:t>
            </w: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0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Owned by</w:t>
            </w:r>
          </w:p>
        </w:tc>
        <w:tc>
          <w:tcPr>
            <w:tcW w:w="680" w:type="dxa"/>
            <w:vAlign w:val="bottom"/>
            <w:tcBorders>
              <w:right w:val="single" w:sz="8" w:color="auto"/>
            </w:tcBorders>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0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680" w:type="dxa"/>
            <w:vAlign w:val="bottom"/>
            <w:tcBorders>
              <w:right w:val="single" w:sz="8" w:color="auto"/>
            </w:tcBorders>
            <w:vMerge w:val="continue"/>
          </w:tcPr>
          <w:p>
            <w:pPr>
              <w:spacing w:after="0"/>
              <w:rPr>
                <w:sz w:val="12"/>
                <w:szCs w:val="12"/>
                <w:color w:val="auto"/>
              </w:rPr>
            </w:pPr>
          </w:p>
        </w:tc>
        <w:tc>
          <w:tcPr>
            <w:tcW w:w="8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5,533,980 shares</w:t>
            </w:r>
          </w:p>
        </w:tc>
        <w:tc>
          <w:tcPr>
            <w:tcW w:w="0" w:type="dxa"/>
            <w:vAlign w:val="bottom"/>
          </w:tcPr>
          <w:p>
            <w:pPr>
              <w:spacing w:after="0"/>
              <w:rPr>
                <w:sz w:val="1"/>
                <w:szCs w:val="1"/>
                <w:color w:val="auto"/>
              </w:rPr>
            </w:pPr>
          </w:p>
        </w:tc>
      </w:tr>
      <w:tr>
        <w:trPr>
          <w:trHeight w:val="163"/>
        </w:trPr>
        <w:tc>
          <w:tcPr>
            <w:tcW w:w="1600" w:type="dxa"/>
            <w:vAlign w:val="bottom"/>
            <w:tcBorders>
              <w:right w:val="single" w:sz="8" w:color="auto"/>
            </w:tcBorders>
            <w:vMerge w:val="restart"/>
          </w:tcPr>
          <w:p>
            <w:pPr>
              <w:ind w:left="140"/>
              <w:spacing w:after="0" w:line="190" w:lineRule="exact"/>
              <w:rPr>
                <w:sz w:val="20"/>
                <w:szCs w:val="20"/>
                <w:color w:val="auto"/>
              </w:rPr>
            </w:pPr>
            <w:r>
              <w:rPr>
                <w:rFonts w:ascii="Arial" w:cs="Arial" w:eastAsia="Arial" w:hAnsi="Arial"/>
                <w:sz w:val="18"/>
                <w:szCs w:val="18"/>
                <w:color w:val="auto"/>
              </w:rPr>
              <w:t>Reporting</w:t>
            </w:r>
          </w:p>
        </w:tc>
        <w:tc>
          <w:tcPr>
            <w:tcW w:w="680" w:type="dxa"/>
            <w:vAlign w:val="bottom"/>
            <w:tcBorders>
              <w:right w:val="single" w:sz="8" w:color="auto"/>
            </w:tcBorders>
          </w:tcPr>
          <w:p>
            <w:pPr>
              <w:spacing w:after="0"/>
              <w:rPr>
                <w:sz w:val="14"/>
                <w:szCs w:val="14"/>
                <w:color w:val="auto"/>
              </w:rPr>
            </w:pPr>
          </w:p>
        </w:tc>
        <w:tc>
          <w:tcPr>
            <w:tcW w:w="8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Person With</w:t>
            </w:r>
          </w:p>
        </w:tc>
        <w:tc>
          <w:tcPr>
            <w:tcW w:w="6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8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9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0" w:right="5660" w:hanging="577"/>
        <w:spacing w:after="0" w:line="263"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5,533,980 shares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303"/>
        </w:trPr>
        <w:tc>
          <w:tcPr>
            <w:tcW w:w="40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678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Check if the Aggregate Amount in Row (9) Excludes Certain Shares (See Instructions)  </w:t>
            </w:r>
            <w:r>
              <w:rPr>
                <w:rFonts w:ascii="MS PGothic" w:cs="MS PGothic" w:eastAsia="MS PGothic" w:hAnsi="MS PGothic"/>
                <w:sz w:val="18"/>
                <w:szCs w:val="18"/>
                <w:color w:val="auto"/>
                <w:w w:val="92"/>
              </w:rPr>
              <w:t>☐</w:t>
            </w:r>
          </w:p>
        </w:tc>
      </w:tr>
    </w:tbl>
    <w:p>
      <w:pPr>
        <w:spacing w:after="0" w:line="25" w:lineRule="exact"/>
        <w:rPr>
          <w:sz w:val="20"/>
          <w:szCs w:val="20"/>
          <w:color w:val="auto"/>
        </w:rPr>
      </w:pPr>
    </w:p>
    <w:p>
      <w:pPr>
        <w:ind w:left="800" w:hanging="577"/>
        <w:spacing w:after="0"/>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5.4% (2)</w:t>
      </w:r>
    </w:p>
    <w:p>
      <w:pPr>
        <w:spacing w:after="0" w:line="62" w:lineRule="exact"/>
        <w:rPr>
          <w:rFonts w:ascii="Arial" w:cs="Arial" w:eastAsia="Arial" w:hAnsi="Arial"/>
          <w:sz w:val="18"/>
          <w:szCs w:val="18"/>
          <w:color w:val="auto"/>
        </w:rPr>
      </w:pPr>
    </w:p>
    <w:p>
      <w:pPr>
        <w:ind w:left="800" w:hanging="577"/>
        <w:spacing w:after="0"/>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248" w:lineRule="exact"/>
        <w:rPr>
          <w:rFonts w:ascii="Arial" w:cs="Arial" w:eastAsia="Arial" w:hAnsi="Arial"/>
          <w:sz w:val="16"/>
          <w:szCs w:val="16"/>
          <w:color w:val="auto"/>
        </w:rPr>
      </w:pPr>
    </w:p>
    <w:p>
      <w:pPr>
        <w:jc w:val="both"/>
        <w:ind w:left="340" w:right="2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 of class was calculated based on the sum of (i) 88,467,269 shares of Common Stock outstanding as of August 2, 2023, as reported in the Issuer’s Quarterly Report on Form 10-Q filed with the Securities and Exchange Commission on August 7, 2023, and (ii) 13,196,671 shares of Common Stock issued in the private placement of equity securities by the Issuer that closed on August 11, 2023.</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3" w:name="page4"/>
    <w:bookmarkEnd w:id="3"/>
    <w:p>
      <w:pPr>
        <w:ind w:left="100"/>
        <w:spacing w:after="0"/>
        <w:tabs>
          <w:tab w:leader="none" w:pos="1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0575" cy="3540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3540760"/>
                    </a:xfrm>
                    <a:prstGeom prst="rect">
                      <a:avLst/>
                    </a:prstGeom>
                    <a:noFill/>
                  </pic:spPr>
                </pic:pic>
              </a:graphicData>
            </a:graphic>
          </wp:anchor>
        </w:drawing>
      </w:r>
    </w:p>
    <w:p>
      <w:pPr>
        <w:spacing w:after="0" w:line="57" w:lineRule="exact"/>
        <w:rPr>
          <w:sz w:val="20"/>
          <w:szCs w:val="20"/>
          <w:color w:val="auto"/>
        </w:rPr>
      </w:pPr>
    </w:p>
    <w:p>
      <w:pPr>
        <w:ind w:left="800" w:right="8400" w:hanging="577"/>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Names of Reporting Persons Ian Charoub</w:t>
      </w:r>
    </w:p>
    <w:p>
      <w:pPr>
        <w:spacing w:after="0" w:line="21" w:lineRule="exact"/>
        <w:rPr>
          <w:rFonts w:ascii="Arial" w:cs="Arial" w:eastAsia="Arial" w:hAnsi="Arial"/>
          <w:sz w:val="18"/>
          <w:szCs w:val="18"/>
          <w:color w:val="auto"/>
        </w:rPr>
      </w:pPr>
    </w:p>
    <w:p>
      <w:pPr>
        <w:ind w:left="800" w:hanging="577"/>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8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(1)</w:t>
      </w:r>
    </w:p>
    <w:p>
      <w:pPr>
        <w:spacing w:after="0" w:line="62" w:lineRule="exact"/>
        <w:rPr>
          <w:rFonts w:ascii="Arial" w:cs="Arial" w:eastAsia="Arial" w:hAnsi="Arial"/>
          <w:sz w:val="18"/>
          <w:szCs w:val="18"/>
          <w:color w:val="auto"/>
        </w:rPr>
      </w:pPr>
    </w:p>
    <w:p>
      <w:pPr>
        <w:ind w:left="800" w:hanging="577"/>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6" w:lineRule="exact"/>
        <w:rPr>
          <w:rFonts w:ascii="Arial" w:cs="Arial" w:eastAsia="Arial" w:hAnsi="Arial"/>
          <w:sz w:val="18"/>
          <w:szCs w:val="18"/>
          <w:color w:val="auto"/>
        </w:rPr>
      </w:pPr>
    </w:p>
    <w:p>
      <w:pPr>
        <w:ind w:left="800" w:right="7840" w:hanging="577"/>
        <w:spacing w:after="0" w:line="274"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Sweden</w:t>
      </w:r>
    </w:p>
    <w:tbl>
      <w:tblPr>
        <w:tblLayout w:type="fixed"/>
        <w:tblInd w:w="0" w:type="dxa"/>
        <w:tblCellMar>
          <w:top w:w="0" w:type="dxa"/>
          <w:left w:w="0" w:type="dxa"/>
          <w:bottom w:w="0" w:type="dxa"/>
          <w:right w:w="0" w:type="dxa"/>
        </w:tblCellMar>
      </w:tblPr>
      <w:tr>
        <w:trPr>
          <w:trHeight w:val="223"/>
        </w:trPr>
        <w:tc>
          <w:tcPr>
            <w:tcW w:w="160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Number of</w:t>
            </w:r>
          </w:p>
        </w:tc>
        <w:tc>
          <w:tcPr>
            <w:tcW w:w="68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8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60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980" w:type="dxa"/>
            <w:vAlign w:val="bottom"/>
          </w:tcPr>
          <w:p>
            <w:pPr>
              <w:ind w:lef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5"/>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Shares</w:t>
            </w: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6.</w:t>
            </w: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0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5,533,980 shares</w:t>
            </w: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Owned by</w:t>
            </w:r>
          </w:p>
        </w:tc>
        <w:tc>
          <w:tcPr>
            <w:tcW w:w="680" w:type="dxa"/>
            <w:vAlign w:val="bottom"/>
            <w:tcBorders>
              <w:right w:val="single" w:sz="8" w:color="auto"/>
            </w:tcBorders>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0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680" w:type="dxa"/>
            <w:vAlign w:val="bottom"/>
            <w:tcBorders>
              <w:right w:val="single" w:sz="8" w:color="auto"/>
            </w:tcBorders>
            <w:vMerge w:val="continue"/>
          </w:tcPr>
          <w:p>
            <w:pPr>
              <w:spacing w:after="0"/>
              <w:rPr>
                <w:sz w:val="12"/>
                <w:szCs w:val="12"/>
                <w:color w:val="auto"/>
              </w:rPr>
            </w:pPr>
          </w:p>
        </w:tc>
        <w:tc>
          <w:tcPr>
            <w:tcW w:w="8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1600" w:type="dxa"/>
            <w:vAlign w:val="bottom"/>
            <w:tcBorders>
              <w:right w:val="single" w:sz="8" w:color="auto"/>
            </w:tcBorders>
            <w:vMerge w:val="restart"/>
          </w:tcPr>
          <w:p>
            <w:pPr>
              <w:ind w:left="140"/>
              <w:spacing w:after="0" w:line="190" w:lineRule="exact"/>
              <w:rPr>
                <w:sz w:val="20"/>
                <w:szCs w:val="20"/>
                <w:color w:val="auto"/>
              </w:rPr>
            </w:pPr>
            <w:r>
              <w:rPr>
                <w:rFonts w:ascii="Arial" w:cs="Arial" w:eastAsia="Arial" w:hAnsi="Arial"/>
                <w:sz w:val="18"/>
                <w:szCs w:val="18"/>
                <w:color w:val="auto"/>
              </w:rPr>
              <w:t>Reporting</w:t>
            </w:r>
          </w:p>
        </w:tc>
        <w:tc>
          <w:tcPr>
            <w:tcW w:w="680" w:type="dxa"/>
            <w:vAlign w:val="bottom"/>
            <w:tcBorders>
              <w:right w:val="single" w:sz="8" w:color="auto"/>
            </w:tcBorders>
          </w:tcPr>
          <w:p>
            <w:pPr>
              <w:spacing w:after="0"/>
              <w:rPr>
                <w:sz w:val="14"/>
                <w:szCs w:val="14"/>
                <w:color w:val="auto"/>
              </w:rPr>
            </w:pPr>
          </w:p>
        </w:tc>
        <w:tc>
          <w:tcPr>
            <w:tcW w:w="8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Person With</w:t>
            </w:r>
          </w:p>
        </w:tc>
        <w:tc>
          <w:tcPr>
            <w:tcW w:w="6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8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980" w:type="dxa"/>
            <w:vAlign w:val="bottom"/>
          </w:tcPr>
          <w:p>
            <w:pPr>
              <w:ind w:left="100"/>
              <w:spacing w:after="0"/>
              <w:rPr>
                <w:sz w:val="20"/>
                <w:szCs w:val="20"/>
                <w:color w:val="auto"/>
              </w:rPr>
            </w:pPr>
            <w:r>
              <w:rPr>
                <w:rFonts w:ascii="Arial" w:cs="Arial" w:eastAsia="Arial" w:hAnsi="Arial"/>
                <w:sz w:val="18"/>
                <w:szCs w:val="18"/>
                <w:color w:val="auto"/>
              </w:rPr>
              <w:t>5,533,980 shares</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0" w:right="5660" w:hanging="577"/>
        <w:spacing w:after="0" w:line="263"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5,533,980 shares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303"/>
        </w:trPr>
        <w:tc>
          <w:tcPr>
            <w:tcW w:w="40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678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Check if the Aggregate Amount in Row (9) Excludes Certain Shares (See Instructions)  </w:t>
            </w:r>
            <w:r>
              <w:rPr>
                <w:rFonts w:ascii="MS PGothic" w:cs="MS PGothic" w:eastAsia="MS PGothic" w:hAnsi="MS PGothic"/>
                <w:sz w:val="18"/>
                <w:szCs w:val="18"/>
                <w:color w:val="auto"/>
                <w:w w:val="92"/>
              </w:rPr>
              <w:t>☐</w:t>
            </w:r>
          </w:p>
        </w:tc>
      </w:tr>
    </w:tbl>
    <w:p>
      <w:pPr>
        <w:spacing w:after="0" w:line="25" w:lineRule="exact"/>
        <w:rPr>
          <w:sz w:val="20"/>
          <w:szCs w:val="20"/>
          <w:color w:val="auto"/>
        </w:rPr>
      </w:pPr>
    </w:p>
    <w:p>
      <w:pPr>
        <w:ind w:left="800" w:hanging="577"/>
        <w:spacing w:after="0"/>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5.4% (2)</w:t>
      </w:r>
    </w:p>
    <w:p>
      <w:pPr>
        <w:spacing w:after="0" w:line="62" w:lineRule="exact"/>
        <w:rPr>
          <w:rFonts w:ascii="Arial" w:cs="Arial" w:eastAsia="Arial" w:hAnsi="Arial"/>
          <w:sz w:val="18"/>
          <w:szCs w:val="18"/>
          <w:color w:val="auto"/>
        </w:rPr>
      </w:pPr>
    </w:p>
    <w:p>
      <w:pPr>
        <w:ind w:left="800" w:hanging="577"/>
        <w:spacing w:after="0"/>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5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248" w:lineRule="exact"/>
        <w:rPr>
          <w:rFonts w:ascii="Arial" w:cs="Arial" w:eastAsia="Arial" w:hAnsi="Arial"/>
          <w:sz w:val="16"/>
          <w:szCs w:val="16"/>
          <w:color w:val="auto"/>
        </w:rPr>
      </w:pPr>
    </w:p>
    <w:p>
      <w:pPr>
        <w:jc w:val="both"/>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percent of class was calculated based on the sum of (i) 88,467,269 shares of Common Stock outstanding as of August 2, 2023, as reported in the Issuer’s Quarterly Report on Form 10-Q filed with the Securities and Exchange Commission on August 7, 2023, and (ii) 13,196,671 shares of Common Stock issued in the private placement of equity securities by the Issuer that closed on August 11, 2023.</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4" w:name="page5"/>
    <w:bookmarkEnd w:id="4"/>
    <w:p>
      <w:pPr>
        <w:ind w:left="100"/>
        <w:spacing w:after="0"/>
        <w:tabs>
          <w:tab w:leader="none" w:pos="1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0575" cy="3540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3540125"/>
                    </a:xfrm>
                    <a:prstGeom prst="rect">
                      <a:avLst/>
                    </a:prstGeom>
                    <a:noFill/>
                  </pic:spPr>
                </pic:pic>
              </a:graphicData>
            </a:graphic>
          </wp:anchor>
        </w:drawing>
      </w:r>
    </w:p>
    <w:p>
      <w:pPr>
        <w:spacing w:after="0" w:line="57" w:lineRule="exact"/>
        <w:rPr>
          <w:sz w:val="20"/>
          <w:szCs w:val="20"/>
          <w:color w:val="auto"/>
        </w:rPr>
      </w:pPr>
    </w:p>
    <w:p>
      <w:pPr>
        <w:ind w:left="800" w:right="8400" w:hanging="577"/>
        <w:spacing w:after="0" w:line="325"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Names of Reporting Persons Costas Constantinides</w:t>
      </w:r>
    </w:p>
    <w:p>
      <w:pPr>
        <w:spacing w:after="0" w:line="1" w:lineRule="exact"/>
        <w:rPr>
          <w:rFonts w:ascii="Arial" w:cs="Arial" w:eastAsia="Arial" w:hAnsi="Arial"/>
          <w:sz w:val="16"/>
          <w:szCs w:val="16"/>
          <w:color w:val="auto"/>
        </w:rPr>
      </w:pPr>
    </w:p>
    <w:p>
      <w:pPr>
        <w:ind w:left="800" w:hanging="577"/>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8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62" w:lineRule="exact"/>
        <w:rPr>
          <w:rFonts w:ascii="Arial" w:cs="Arial" w:eastAsia="Arial" w:hAnsi="Arial"/>
          <w:sz w:val="18"/>
          <w:szCs w:val="18"/>
          <w:color w:val="auto"/>
        </w:rPr>
      </w:pPr>
    </w:p>
    <w:p>
      <w:pPr>
        <w:ind w:left="800" w:hanging="577"/>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6" w:lineRule="exact"/>
        <w:rPr>
          <w:rFonts w:ascii="Arial" w:cs="Arial" w:eastAsia="Arial" w:hAnsi="Arial"/>
          <w:sz w:val="18"/>
          <w:szCs w:val="18"/>
          <w:color w:val="auto"/>
        </w:rPr>
      </w:pPr>
    </w:p>
    <w:p>
      <w:pPr>
        <w:ind w:left="800" w:right="7840" w:hanging="577"/>
        <w:spacing w:after="0" w:line="274"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Cyprus</w:t>
      </w:r>
    </w:p>
    <w:tbl>
      <w:tblPr>
        <w:tblLayout w:type="fixed"/>
        <w:tblInd w:w="0" w:type="dxa"/>
        <w:tblCellMar>
          <w:top w:w="0" w:type="dxa"/>
          <w:left w:w="0" w:type="dxa"/>
          <w:bottom w:w="0" w:type="dxa"/>
          <w:right w:w="0" w:type="dxa"/>
        </w:tblCellMar>
      </w:tblPr>
      <w:tr>
        <w:trPr>
          <w:trHeight w:val="223"/>
        </w:trPr>
        <w:tc>
          <w:tcPr>
            <w:tcW w:w="160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Number of</w:t>
            </w:r>
          </w:p>
        </w:tc>
        <w:tc>
          <w:tcPr>
            <w:tcW w:w="68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8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60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980" w:type="dxa"/>
            <w:vAlign w:val="bottom"/>
          </w:tcPr>
          <w:p>
            <w:pPr>
              <w:ind w:lef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5"/>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Shares</w:t>
            </w: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6.</w:t>
            </w: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0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5,533,980 shares</w:t>
            </w: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Owned by</w:t>
            </w:r>
          </w:p>
        </w:tc>
        <w:tc>
          <w:tcPr>
            <w:tcW w:w="680" w:type="dxa"/>
            <w:vAlign w:val="bottom"/>
            <w:tcBorders>
              <w:right w:val="single" w:sz="8" w:color="auto"/>
            </w:tcBorders>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0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680" w:type="dxa"/>
            <w:vAlign w:val="bottom"/>
            <w:tcBorders>
              <w:right w:val="single" w:sz="8" w:color="auto"/>
            </w:tcBorders>
            <w:vMerge w:val="continue"/>
          </w:tcPr>
          <w:p>
            <w:pPr>
              <w:spacing w:after="0"/>
              <w:rPr>
                <w:sz w:val="12"/>
                <w:szCs w:val="12"/>
                <w:color w:val="auto"/>
              </w:rPr>
            </w:pPr>
          </w:p>
        </w:tc>
        <w:tc>
          <w:tcPr>
            <w:tcW w:w="8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1600" w:type="dxa"/>
            <w:vAlign w:val="bottom"/>
            <w:tcBorders>
              <w:right w:val="single" w:sz="8" w:color="auto"/>
            </w:tcBorders>
            <w:vMerge w:val="restart"/>
          </w:tcPr>
          <w:p>
            <w:pPr>
              <w:ind w:left="140"/>
              <w:spacing w:after="0" w:line="190" w:lineRule="exact"/>
              <w:rPr>
                <w:sz w:val="20"/>
                <w:szCs w:val="20"/>
                <w:color w:val="auto"/>
              </w:rPr>
            </w:pPr>
            <w:r>
              <w:rPr>
                <w:rFonts w:ascii="Arial" w:cs="Arial" w:eastAsia="Arial" w:hAnsi="Arial"/>
                <w:sz w:val="18"/>
                <w:szCs w:val="18"/>
                <w:color w:val="auto"/>
              </w:rPr>
              <w:t>Reporting</w:t>
            </w:r>
          </w:p>
        </w:tc>
        <w:tc>
          <w:tcPr>
            <w:tcW w:w="680" w:type="dxa"/>
            <w:vAlign w:val="bottom"/>
            <w:tcBorders>
              <w:right w:val="single" w:sz="8" w:color="auto"/>
            </w:tcBorders>
          </w:tcPr>
          <w:p>
            <w:pPr>
              <w:spacing w:after="0"/>
              <w:rPr>
                <w:sz w:val="14"/>
                <w:szCs w:val="14"/>
                <w:color w:val="auto"/>
              </w:rPr>
            </w:pPr>
          </w:p>
        </w:tc>
        <w:tc>
          <w:tcPr>
            <w:tcW w:w="8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Person With</w:t>
            </w:r>
          </w:p>
        </w:tc>
        <w:tc>
          <w:tcPr>
            <w:tcW w:w="6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8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980" w:type="dxa"/>
            <w:vAlign w:val="bottom"/>
          </w:tcPr>
          <w:p>
            <w:pPr>
              <w:ind w:left="100"/>
              <w:spacing w:after="0"/>
              <w:rPr>
                <w:sz w:val="20"/>
                <w:szCs w:val="20"/>
                <w:color w:val="auto"/>
              </w:rPr>
            </w:pPr>
            <w:r>
              <w:rPr>
                <w:rFonts w:ascii="Arial" w:cs="Arial" w:eastAsia="Arial" w:hAnsi="Arial"/>
                <w:sz w:val="18"/>
                <w:szCs w:val="18"/>
                <w:color w:val="auto"/>
              </w:rPr>
              <w:t>5,533,980 shares</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0" w:right="5660" w:hanging="577"/>
        <w:spacing w:after="0" w:line="263"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5,533,980 shares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303"/>
        </w:trPr>
        <w:tc>
          <w:tcPr>
            <w:tcW w:w="40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678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Check if the Aggregate Amount in Row (9) Excludes Certain Shares (See Instructions)  </w:t>
            </w:r>
            <w:r>
              <w:rPr>
                <w:rFonts w:ascii="MS PGothic" w:cs="MS PGothic" w:eastAsia="MS PGothic" w:hAnsi="MS PGothic"/>
                <w:sz w:val="18"/>
                <w:szCs w:val="18"/>
                <w:color w:val="auto"/>
                <w:w w:val="92"/>
              </w:rPr>
              <w:t>☐</w:t>
            </w:r>
          </w:p>
        </w:tc>
      </w:tr>
    </w:tbl>
    <w:p>
      <w:pPr>
        <w:spacing w:after="0" w:line="25" w:lineRule="exact"/>
        <w:rPr>
          <w:sz w:val="20"/>
          <w:szCs w:val="20"/>
          <w:color w:val="auto"/>
        </w:rPr>
      </w:pPr>
    </w:p>
    <w:p>
      <w:pPr>
        <w:ind w:left="800" w:hanging="577"/>
        <w:spacing w:after="0"/>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5.4% (2)</w:t>
      </w:r>
    </w:p>
    <w:p>
      <w:pPr>
        <w:spacing w:after="0" w:line="62" w:lineRule="exact"/>
        <w:rPr>
          <w:rFonts w:ascii="Arial" w:cs="Arial" w:eastAsia="Arial" w:hAnsi="Arial"/>
          <w:sz w:val="18"/>
          <w:szCs w:val="18"/>
          <w:color w:val="auto"/>
        </w:rPr>
      </w:pPr>
    </w:p>
    <w:p>
      <w:pPr>
        <w:ind w:left="800" w:hanging="577"/>
        <w:spacing w:after="0"/>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5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248" w:lineRule="exact"/>
        <w:rPr>
          <w:rFonts w:ascii="Arial" w:cs="Arial" w:eastAsia="Arial" w:hAnsi="Arial"/>
          <w:sz w:val="16"/>
          <w:szCs w:val="16"/>
          <w:color w:val="auto"/>
        </w:rPr>
      </w:pPr>
    </w:p>
    <w:p>
      <w:pPr>
        <w:jc w:val="both"/>
        <w:ind w:left="340" w:right="2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percent of class was calculated based on the sum of (i) 88,467,269 shares of Common Stock outstanding as of August 2, 2023, as reported in the Issuer’s Quarterly Report on Form 10-Q filed with the Securities and Exchange Commission on August 7, 2023, and (ii) 13,196,671 shares of Common Stock issued in the private placement of equity securities by the Issuer that closed on August 11, 2023.</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5" w:name="page6"/>
    <w:bookmarkEnd w:id="5"/>
    <w:p>
      <w:pPr>
        <w:ind w:left="100"/>
        <w:spacing w:after="0"/>
        <w:tabs>
          <w:tab w:leader="none" w:pos="1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0575" cy="3540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3540760"/>
                    </a:xfrm>
                    <a:prstGeom prst="rect">
                      <a:avLst/>
                    </a:prstGeom>
                    <a:noFill/>
                  </pic:spPr>
                </pic:pic>
              </a:graphicData>
            </a:graphic>
          </wp:anchor>
        </w:drawing>
      </w:r>
    </w:p>
    <w:p>
      <w:pPr>
        <w:spacing w:after="0" w:line="57" w:lineRule="exact"/>
        <w:rPr>
          <w:sz w:val="20"/>
          <w:szCs w:val="20"/>
          <w:color w:val="auto"/>
        </w:rPr>
      </w:pPr>
    </w:p>
    <w:p>
      <w:pPr>
        <w:ind w:left="800" w:right="8400" w:hanging="577"/>
        <w:spacing w:after="0" w:line="277"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 Rocco Sgobbo</w:t>
      </w:r>
    </w:p>
    <w:p>
      <w:pPr>
        <w:spacing w:after="0" w:line="21" w:lineRule="exact"/>
        <w:rPr>
          <w:rFonts w:ascii="Arial" w:cs="Arial" w:eastAsia="Arial" w:hAnsi="Arial"/>
          <w:sz w:val="18"/>
          <w:szCs w:val="18"/>
          <w:color w:val="auto"/>
        </w:rPr>
      </w:pPr>
    </w:p>
    <w:p>
      <w:pPr>
        <w:ind w:left="800" w:hanging="577"/>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8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(1)</w:t>
      </w:r>
    </w:p>
    <w:p>
      <w:pPr>
        <w:spacing w:after="0" w:line="62" w:lineRule="exact"/>
        <w:rPr>
          <w:rFonts w:ascii="Arial" w:cs="Arial" w:eastAsia="Arial" w:hAnsi="Arial"/>
          <w:sz w:val="18"/>
          <w:szCs w:val="18"/>
          <w:color w:val="auto"/>
        </w:rPr>
      </w:pPr>
    </w:p>
    <w:p>
      <w:pPr>
        <w:ind w:left="800" w:hanging="577"/>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6" w:lineRule="exact"/>
        <w:rPr>
          <w:rFonts w:ascii="Arial" w:cs="Arial" w:eastAsia="Arial" w:hAnsi="Arial"/>
          <w:sz w:val="18"/>
          <w:szCs w:val="18"/>
          <w:color w:val="auto"/>
        </w:rPr>
      </w:pPr>
    </w:p>
    <w:p>
      <w:pPr>
        <w:ind w:left="800" w:right="7840" w:hanging="577"/>
        <w:spacing w:after="0" w:line="274"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Switzerland</w:t>
      </w:r>
    </w:p>
    <w:tbl>
      <w:tblPr>
        <w:tblLayout w:type="fixed"/>
        <w:tblInd w:w="0" w:type="dxa"/>
        <w:tblCellMar>
          <w:top w:w="0" w:type="dxa"/>
          <w:left w:w="0" w:type="dxa"/>
          <w:bottom w:w="0" w:type="dxa"/>
          <w:right w:w="0" w:type="dxa"/>
        </w:tblCellMar>
      </w:tblPr>
      <w:tr>
        <w:trPr>
          <w:trHeight w:val="223"/>
        </w:trPr>
        <w:tc>
          <w:tcPr>
            <w:tcW w:w="160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Number of</w:t>
            </w:r>
          </w:p>
        </w:tc>
        <w:tc>
          <w:tcPr>
            <w:tcW w:w="68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8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60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980" w:type="dxa"/>
            <w:vAlign w:val="bottom"/>
          </w:tcPr>
          <w:p>
            <w:pPr>
              <w:ind w:lef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5"/>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Shares</w:t>
            </w: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6.</w:t>
            </w: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0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5,533,980 shares</w:t>
            </w: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Owned by</w:t>
            </w:r>
          </w:p>
        </w:tc>
        <w:tc>
          <w:tcPr>
            <w:tcW w:w="680" w:type="dxa"/>
            <w:vAlign w:val="bottom"/>
            <w:tcBorders>
              <w:right w:val="single" w:sz="8" w:color="auto"/>
            </w:tcBorders>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0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0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680" w:type="dxa"/>
            <w:vAlign w:val="bottom"/>
            <w:tcBorders>
              <w:right w:val="single" w:sz="8" w:color="auto"/>
            </w:tcBorders>
            <w:vMerge w:val="continue"/>
          </w:tcPr>
          <w:p>
            <w:pPr>
              <w:spacing w:after="0"/>
              <w:rPr>
                <w:sz w:val="12"/>
                <w:szCs w:val="12"/>
                <w:color w:val="auto"/>
              </w:rPr>
            </w:pPr>
          </w:p>
        </w:tc>
        <w:tc>
          <w:tcPr>
            <w:tcW w:w="8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9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1600" w:type="dxa"/>
            <w:vAlign w:val="bottom"/>
            <w:tcBorders>
              <w:right w:val="single" w:sz="8" w:color="auto"/>
            </w:tcBorders>
            <w:vMerge w:val="restart"/>
          </w:tcPr>
          <w:p>
            <w:pPr>
              <w:ind w:left="140"/>
              <w:spacing w:after="0" w:line="190" w:lineRule="exact"/>
              <w:rPr>
                <w:sz w:val="20"/>
                <w:szCs w:val="20"/>
                <w:color w:val="auto"/>
              </w:rPr>
            </w:pPr>
            <w:r>
              <w:rPr>
                <w:rFonts w:ascii="Arial" w:cs="Arial" w:eastAsia="Arial" w:hAnsi="Arial"/>
                <w:sz w:val="18"/>
                <w:szCs w:val="18"/>
                <w:color w:val="auto"/>
              </w:rPr>
              <w:t>Reporting</w:t>
            </w:r>
          </w:p>
        </w:tc>
        <w:tc>
          <w:tcPr>
            <w:tcW w:w="680" w:type="dxa"/>
            <w:vAlign w:val="bottom"/>
            <w:tcBorders>
              <w:right w:val="single" w:sz="8" w:color="auto"/>
            </w:tcBorders>
          </w:tcPr>
          <w:p>
            <w:pPr>
              <w:spacing w:after="0"/>
              <w:rPr>
                <w:sz w:val="14"/>
                <w:szCs w:val="14"/>
                <w:color w:val="auto"/>
              </w:rPr>
            </w:pPr>
          </w:p>
        </w:tc>
        <w:tc>
          <w:tcPr>
            <w:tcW w:w="8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Person With</w:t>
            </w:r>
          </w:p>
        </w:tc>
        <w:tc>
          <w:tcPr>
            <w:tcW w:w="6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8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980" w:type="dxa"/>
            <w:vAlign w:val="bottom"/>
          </w:tcPr>
          <w:p>
            <w:pPr>
              <w:ind w:left="100"/>
              <w:spacing w:after="0"/>
              <w:rPr>
                <w:sz w:val="20"/>
                <w:szCs w:val="20"/>
                <w:color w:val="auto"/>
              </w:rPr>
            </w:pPr>
            <w:r>
              <w:rPr>
                <w:rFonts w:ascii="Arial" w:cs="Arial" w:eastAsia="Arial" w:hAnsi="Arial"/>
                <w:sz w:val="18"/>
                <w:szCs w:val="18"/>
                <w:color w:val="auto"/>
              </w:rPr>
              <w:t>5,533,980 shares</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0" w:right="5660" w:hanging="577"/>
        <w:spacing w:after="0" w:line="263"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5,533,980 shares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303"/>
        </w:trPr>
        <w:tc>
          <w:tcPr>
            <w:tcW w:w="40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678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Check if the Aggregate Amount in Row (9) Excludes Certain Shares (See Instructions)  </w:t>
            </w:r>
            <w:r>
              <w:rPr>
                <w:rFonts w:ascii="MS PGothic" w:cs="MS PGothic" w:eastAsia="MS PGothic" w:hAnsi="MS PGothic"/>
                <w:sz w:val="18"/>
                <w:szCs w:val="18"/>
                <w:color w:val="auto"/>
                <w:w w:val="92"/>
              </w:rPr>
              <w:t>☐</w:t>
            </w:r>
          </w:p>
        </w:tc>
      </w:tr>
    </w:tbl>
    <w:p>
      <w:pPr>
        <w:spacing w:after="0" w:line="25" w:lineRule="exact"/>
        <w:rPr>
          <w:sz w:val="20"/>
          <w:szCs w:val="20"/>
          <w:color w:val="auto"/>
        </w:rPr>
      </w:pPr>
    </w:p>
    <w:p>
      <w:pPr>
        <w:ind w:left="800" w:hanging="577"/>
        <w:spacing w:after="0"/>
        <w:tabs>
          <w:tab w:leader="none" w:pos="8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5.4% (2)</w:t>
      </w:r>
    </w:p>
    <w:p>
      <w:pPr>
        <w:spacing w:after="0" w:line="62" w:lineRule="exact"/>
        <w:rPr>
          <w:rFonts w:ascii="Arial" w:cs="Arial" w:eastAsia="Arial" w:hAnsi="Arial"/>
          <w:sz w:val="18"/>
          <w:szCs w:val="18"/>
          <w:color w:val="auto"/>
        </w:rPr>
      </w:pPr>
    </w:p>
    <w:p>
      <w:pPr>
        <w:ind w:left="800" w:hanging="577"/>
        <w:spacing w:after="0"/>
        <w:tabs>
          <w:tab w:leader="none" w:pos="8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5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248" w:lineRule="exact"/>
        <w:rPr>
          <w:rFonts w:ascii="Arial" w:cs="Arial" w:eastAsia="Arial" w:hAnsi="Arial"/>
          <w:sz w:val="16"/>
          <w:szCs w:val="16"/>
          <w:color w:val="auto"/>
        </w:rPr>
      </w:pPr>
    </w:p>
    <w:p>
      <w:pPr>
        <w:jc w:val="both"/>
        <w:ind w:left="340" w:right="2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 of class was calculated based on the sum of (i) 88,467,269 shares of Common Stock outstanding as of August 2, 2023, as reported in the Issuer’s Quarterly Report on Form 10-Q filed with the Securities and Exchange Commission on August 7, 2023, and (ii) 13,196,671 shares of Common Stock issued in the private placement of equity securities by the Issuer that closed on August 11, 2023.</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Tango Therapeutics, Inc.</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4" w:lineRule="exact"/>
        <w:rPr>
          <w:rFonts w:ascii="Arial" w:cs="Arial" w:eastAsia="Arial" w:hAnsi="Arial"/>
          <w:sz w:val="18"/>
          <w:szCs w:val="18"/>
          <w:color w:val="auto"/>
        </w:rPr>
      </w:pPr>
    </w:p>
    <w:p>
      <w:pPr>
        <w:ind w:left="1140" w:right="6819"/>
        <w:spacing w:after="0" w:line="277" w:lineRule="auto"/>
        <w:rPr>
          <w:rFonts w:ascii="Arial" w:cs="Arial" w:eastAsia="Arial" w:hAnsi="Arial"/>
          <w:sz w:val="18"/>
          <w:szCs w:val="18"/>
          <w:color w:val="auto"/>
        </w:rPr>
      </w:pPr>
      <w:r>
        <w:rPr>
          <w:rFonts w:ascii="Arial" w:cs="Arial" w:eastAsia="Arial" w:hAnsi="Arial"/>
          <w:sz w:val="18"/>
          <w:szCs w:val="18"/>
          <w:color w:val="auto"/>
        </w:rPr>
        <w:t>201 Brookline Ave., Suite 901 Boston, MA 02215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-19050</wp:posOffset>
            </wp:positionV>
            <wp:extent cx="6412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-576580</wp:posOffset>
            </wp:positionV>
            <wp:extent cx="64122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1140" w:right="4759"/>
        <w:spacing w:after="0" w:line="255" w:lineRule="auto"/>
        <w:rPr>
          <w:rFonts w:ascii="Arial" w:cs="Arial" w:eastAsia="Arial" w:hAnsi="Arial"/>
          <w:sz w:val="18"/>
          <w:szCs w:val="18"/>
          <w:color w:val="auto"/>
        </w:rPr>
      </w:pPr>
      <w:r>
        <w:rPr>
          <w:rFonts w:ascii="Arial" w:cs="Arial" w:eastAsia="Arial" w:hAnsi="Arial"/>
          <w:sz w:val="18"/>
          <w:szCs w:val="18"/>
          <w:color w:val="auto"/>
        </w:rPr>
        <w:t>Nextech Crossover I SCSp (“Nextech Crossover LP”) Nextech Crossover I GP S.à r.l. (“Nextech Crossover GP”) Ian Charoub (“Charoub”)</w:t>
      </w:r>
    </w:p>
    <w:p>
      <w:pPr>
        <w:spacing w:after="0" w:line="2" w:lineRule="exact"/>
        <w:rPr>
          <w:rFonts w:ascii="Arial" w:cs="Arial" w:eastAsia="Arial" w:hAnsi="Arial"/>
          <w:sz w:val="18"/>
          <w:szCs w:val="18"/>
          <w:color w:val="auto"/>
        </w:rPr>
      </w:pPr>
    </w:p>
    <w:p>
      <w:pPr>
        <w:ind w:left="1140" w:right="5999"/>
        <w:spacing w:after="0" w:line="323" w:lineRule="auto"/>
        <w:rPr>
          <w:rFonts w:ascii="Arial" w:cs="Arial" w:eastAsia="Arial" w:hAnsi="Arial"/>
          <w:sz w:val="18"/>
          <w:szCs w:val="18"/>
          <w:color w:val="auto"/>
        </w:rPr>
      </w:pPr>
      <w:r>
        <w:rPr>
          <w:rFonts w:ascii="Arial" w:cs="Arial" w:eastAsia="Arial" w:hAnsi="Arial"/>
          <w:sz w:val="16"/>
          <w:szCs w:val="16"/>
          <w:color w:val="auto"/>
        </w:rPr>
        <w:t>Costas Constantinides (“Constantinides”) Rocco Sgobbo (“Sgobbo”)</w:t>
      </w:r>
    </w:p>
    <w:p>
      <w:pPr>
        <w:spacing w:after="0" w:line="151"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140" w:right="6839"/>
        <w:spacing w:after="0" w:line="286" w:lineRule="auto"/>
        <w:rPr>
          <w:rFonts w:ascii="Arial" w:cs="Arial" w:eastAsia="Arial" w:hAnsi="Arial"/>
          <w:sz w:val="18"/>
          <w:szCs w:val="18"/>
          <w:color w:val="auto"/>
        </w:rPr>
      </w:pPr>
      <w:r>
        <w:rPr>
          <w:rFonts w:ascii="Arial" w:cs="Arial" w:eastAsia="Arial" w:hAnsi="Arial"/>
          <w:sz w:val="17"/>
          <w:szCs w:val="17"/>
          <w:color w:val="auto"/>
        </w:rPr>
        <w:t>8 rue Lou Hemmer L-1748 Luxembourg-Findel Grand-Duché de Luxembourg</w:t>
      </w:r>
    </w:p>
    <w:p>
      <w:pPr>
        <w:spacing w:after="0" w:line="178"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-267335</wp:posOffset>
            </wp:positionV>
            <wp:extent cx="64122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-962025</wp:posOffset>
            </wp:positionV>
            <wp:extent cx="64122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8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7"/>
              </w:rPr>
              <w:t>Citizenship or Place of Organization</w:t>
            </w:r>
          </w:p>
        </w:tc>
      </w:tr>
      <w:tr>
        <w:trPr>
          <w:trHeight w:val="20"/>
        </w:trPr>
        <w:tc>
          <w:tcPr>
            <w:tcW w:w="4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2240" w:type="dxa"/>
            <w:vAlign w:val="bottom"/>
            <w:gridSpan w:val="2"/>
          </w:tcPr>
          <w:p>
            <w:pPr>
              <w:spacing w:after="0"/>
              <w:rPr>
                <w:sz w:val="20"/>
                <w:szCs w:val="20"/>
                <w:color w:val="auto"/>
              </w:rPr>
            </w:pPr>
            <w:r>
              <w:rPr>
                <w:rFonts w:ascii="Arial" w:cs="Arial" w:eastAsia="Arial" w:hAnsi="Arial"/>
                <w:sz w:val="18"/>
                <w:szCs w:val="18"/>
                <w:color w:val="auto"/>
              </w:rPr>
              <w:t>Nextech Crossover LP</w:t>
            </w:r>
          </w:p>
        </w:tc>
        <w:tc>
          <w:tcPr>
            <w:tcW w:w="282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Nextech Crossover GP</w:t>
            </w:r>
          </w:p>
        </w:tc>
        <w:tc>
          <w:tcPr>
            <w:tcW w:w="282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Charoub</w:t>
            </w:r>
          </w:p>
        </w:tc>
        <w:tc>
          <w:tcPr>
            <w:tcW w:w="28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Constantinides</w:t>
            </w:r>
          </w:p>
        </w:tc>
        <w:tc>
          <w:tcPr>
            <w:tcW w:w="282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30"/>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Sgobbo</w:t>
            </w: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Switzerland</w:t>
            </w:r>
          </w:p>
        </w:tc>
      </w:tr>
    </w:tbl>
    <w:p>
      <w:pPr>
        <w:spacing w:after="0" w:line="202" w:lineRule="exact"/>
        <w:rPr>
          <w:sz w:val="20"/>
          <w:szCs w:val="20"/>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Common Stock, $0.001 par value (“Common Stock”)</w:t>
      </w:r>
    </w:p>
    <w:p>
      <w:pPr>
        <w:spacing w:after="0" w:line="23" w:lineRule="exact"/>
        <w:rPr>
          <w:rFonts w:ascii="Arial" w:cs="Arial" w:eastAsia="Arial" w:hAnsi="Arial"/>
          <w:sz w:val="18"/>
          <w:szCs w:val="18"/>
          <w:color w:val="auto"/>
        </w:rPr>
      </w:pPr>
    </w:p>
    <w:p>
      <w:pPr>
        <w:ind w:left="1140" w:right="7859" w:hanging="565"/>
        <w:spacing w:after="0" w:line="622" w:lineRule="auto"/>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CUSIP Number 87583X109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-184785</wp:posOffset>
            </wp:positionV>
            <wp:extent cx="64122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-605155</wp:posOffset>
            </wp:positionV>
            <wp:extent cx="64122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1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 w:name="page8"/>
    <w:bookmarkEnd w:id="7"/>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regarding the aggregate number and percentage of the class of securities of the issuer identified in Item 1 is provided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21,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Sole</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Sole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Voting</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Voting</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Dispositive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Dispositive</w:t>
            </w: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Beneficial</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Percentage</w:t>
            </w:r>
          </w:p>
        </w:tc>
      </w:tr>
      <w:tr>
        <w:trPr>
          <w:trHeight w:val="234"/>
        </w:trPr>
        <w:tc>
          <w:tcPr>
            <w:tcW w:w="24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Reporting Persons</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Directly</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Power</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Power</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Power</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Power</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Ownership</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of Class (2)</w:t>
            </w:r>
          </w:p>
        </w:tc>
        <w:tc>
          <w:tcPr>
            <w:tcW w:w="160" w:type="dxa"/>
            <w:vAlign w:val="bottom"/>
            <w:tcBorders>
              <w:bottom w:val="single" w:sz="8" w:color="CCEEFF"/>
            </w:tcBorders>
          </w:tcPr>
          <w:p>
            <w:pPr>
              <w:spacing w:after="0"/>
              <w:rPr>
                <w:sz w:val="20"/>
                <w:szCs w:val="20"/>
                <w:color w:val="auto"/>
              </w:rPr>
            </w:pPr>
          </w:p>
        </w:tc>
      </w:tr>
      <w:tr>
        <w:trPr>
          <w:trHeight w:val="209"/>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Nextech Crossover LP (1)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5,533,980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5,533,980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5,533,980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7"/>
              </w:rPr>
              <w:t>5,533,980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Nextech Crossover GP (1)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5,533,980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5,533,980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5,533,980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Charoub (1)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5,533,980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5,533,980</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5,533,980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Constantinides (1)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5,533,980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5,533,980</w:t>
            </w: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5,533,980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Sgobbo (1)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5,533,980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5,533,980</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5,533,980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bl>
    <w:p>
      <w:pPr>
        <w:spacing w:after="0" w:line="202" w:lineRule="exact"/>
        <w:rPr>
          <w:sz w:val="20"/>
          <w:szCs w:val="20"/>
          <w:color w:val="auto"/>
        </w:rPr>
      </w:pPr>
    </w:p>
    <w:p>
      <w:pPr>
        <w:jc w:val="both"/>
        <w:ind w:left="1280" w:hanging="404"/>
        <w:spacing w:after="0" w:line="255" w:lineRule="auto"/>
        <w:rPr>
          <w:sz w:val="20"/>
          <w:szCs w:val="20"/>
          <w:color w:val="auto"/>
        </w:rPr>
      </w:pPr>
      <w:r>
        <w:rPr>
          <w:rFonts w:ascii="Arial" w:cs="Arial" w:eastAsia="Arial" w:hAnsi="Arial"/>
          <w:sz w:val="18"/>
          <w:szCs w:val="18"/>
          <w:color w:val="auto"/>
        </w:rPr>
        <w:t>(1)     The shares are held by Nextech Crossover LP. Nextech Crossover GP serves as the sole general partner of Nextech Crossover LP and has sole voting and investment control over the shares owned by Nextech Crossover LP and may be deemed to own beneficially the shares held by Nextech Crossover LP. Nextech Crossover GP owns no securities of the Issuer directly. Charoub, Constantinides and Sgobbo are members of the board of managers of Nextech Crossover GP and share voting and dispositive power over the shares held by Nextech Crossover LP, and may be deemed to own beneficially the shares held by Nextech Crossover LP. Charoub, Constantinides and Sgobbo own no securities of the Issuer directly.</w:t>
      </w:r>
    </w:p>
    <w:p>
      <w:pPr>
        <w:spacing w:after="0" w:line="192" w:lineRule="exact"/>
        <w:rPr>
          <w:sz w:val="20"/>
          <w:szCs w:val="20"/>
          <w:color w:val="auto"/>
        </w:rPr>
      </w:pPr>
    </w:p>
    <w:p>
      <w:pPr>
        <w:jc w:val="both"/>
        <w:ind w:left="1280" w:hanging="404"/>
        <w:spacing w:after="0" w:line="311" w:lineRule="auto"/>
        <w:rPr>
          <w:sz w:val="20"/>
          <w:szCs w:val="20"/>
          <w:color w:val="auto"/>
        </w:rPr>
      </w:pPr>
      <w:r>
        <w:rPr>
          <w:rFonts w:ascii="Arial" w:cs="Arial" w:eastAsia="Arial" w:hAnsi="Arial"/>
          <w:sz w:val="16"/>
          <w:szCs w:val="16"/>
          <w:color w:val="auto"/>
        </w:rPr>
        <w:t>(2)     The percent of class was calculated based on the sum of (i) 88,467,269 shares of Common Stock outstanding as of August 2, 2023, as reported in the Issuer’s Quarterly Report on Form 10-Q filed with the Securities and Exchange Commission on August 7, 2023, and (ii) 13,196,671 shares of Common Stock issued in the private placement of equity securities by the Issuer that closed on August 11, 2023.</w:t>
      </w:r>
    </w:p>
    <w:p>
      <w:pPr>
        <w:spacing w:after="0" w:line="14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800" w:right="20"/>
        <w:spacing w:after="0" w:line="238"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00" w:hanging="795"/>
        <w:spacing w:after="0" w:line="282" w:lineRule="auto"/>
        <w:tabs>
          <w:tab w:leader="none" w:pos="7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Nextech Crossover I SCSp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Nextech Crossover I GP S.à r.l.</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Ian Charoub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Ian Charoub</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Costas Constantinides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Costas Constantinides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Nextech Crossover I GP S.à r.l.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Ian Charoub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Ian Charoub</w:t>
      </w:r>
    </w:p>
    <w:p>
      <w:pPr>
        <w:spacing w:after="0" w:line="23" w:lineRule="exact"/>
        <w:rPr>
          <w:sz w:val="20"/>
          <w:szCs w:val="20"/>
          <w:color w:val="auto"/>
        </w:rPr>
      </w:pPr>
    </w:p>
    <w:p>
      <w:pPr>
        <w:jc w:val="center"/>
        <w:ind w:right="886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Costas Constantinides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Costas Constantinides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Ian Charoub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Ian Charoub</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Costas Constantinides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Costas Constantinides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Rocco Sgobbo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Rocco Sgobbo</w:t>
      </w: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the undersigned, hereby express our agreement that the attached Schedule 13G (or any amendments thereto) relating to the Common Stock of Tango Therapeutics, Inc. is filed on behalf of each of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Nextech Crossover I SCSp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Nextech Crossover I GP S.à r.l.</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Ian Charoub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Ian Charoub</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Costas Constantinides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Costas Constantinides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Nextech Crossover I GP S.à r.l.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Ian Charoub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Ian Charoub</w:t>
      </w:r>
    </w:p>
    <w:p>
      <w:pPr>
        <w:spacing w:after="0" w:line="23" w:lineRule="exact"/>
        <w:rPr>
          <w:sz w:val="20"/>
          <w:szCs w:val="20"/>
          <w:color w:val="auto"/>
        </w:rPr>
      </w:pPr>
    </w:p>
    <w:p>
      <w:pPr>
        <w:jc w:val="center"/>
        <w:ind w:right="904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Costas Constantinides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Costas Constantinides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Ian Charoub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Ian Charoub</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Costas Constantinides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Costas Constantinides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Rocco Sgobbo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Rocco Sgobbo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9"/>
    </w:lvl>
  </w:abstractNum>
  <w:abstractNum w:abstractNumId="5">
    <w:nsid w:val="4E6AFB66"/>
    <w:multiLevelType w:val="hybridMultilevel"/>
    <w:lvl w:ilvl="0">
      <w:lvlJc w:val="left"/>
      <w:lvlText w:val="%1"/>
      <w:numFmt w:val="decimal"/>
      <w:start w:val="1"/>
    </w:lvl>
    <w:lvl w:ilvl="1">
      <w:lvlJc w:val="left"/>
      <w:lvlText w:val="%2."/>
      <w:numFmt w:val="decimal"/>
      <w:start w:val="11"/>
    </w:lvl>
  </w:abstractNum>
  <w:abstractNum w:abstractNumId="6">
    <w:nsid w:val="25E45D32"/>
    <w:multiLevelType w:val="hybridMultilevel"/>
    <w:lvl w:ilvl="0">
      <w:lvlJc w:val="left"/>
      <w:lvlText w:val="(%1)"/>
      <w:numFmt w:val="decimal"/>
      <w:start w:val="1"/>
    </w:lvl>
    <w:lvl w:ilvl="1">
      <w:lvlJc w:val="left"/>
      <w:lvlText w:val="%2"/>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9"/>
    </w:lvl>
  </w:abstractNum>
  <w:abstractNum w:abstractNumId="9">
    <w:nsid w:val="3F2DBA31"/>
    <w:multiLevelType w:val="hybridMultilevel"/>
    <w:lvl w:ilvl="0">
      <w:lvlJc w:val="left"/>
      <w:lvlText w:val="%1"/>
      <w:numFmt w:val="decimal"/>
      <w:start w:val="1"/>
    </w:lvl>
    <w:lvl w:ilvl="1">
      <w:lvlJc w:val="left"/>
      <w:lvlText w:val="%2."/>
      <w:numFmt w:val="decimal"/>
      <w:start w:val="11"/>
    </w:lvl>
  </w:abstractNum>
  <w:abstractNum w:abstractNumId="10">
    <w:nsid w:val="7C83E458"/>
    <w:multiLevelType w:val="hybridMultilevel"/>
    <w:lvl w:ilvl="0">
      <w:lvlJc w:val="left"/>
      <w:lvlText w:val="(%1)"/>
      <w:numFmt w:val="decimal"/>
      <w:start w:val="1"/>
    </w:lvl>
    <w:lvl w:ilvl="1">
      <w:lvlJc w:val="left"/>
      <w:lvlText w:val="%2"/>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decimal"/>
      <w:start w:val="1"/>
    </w:lvl>
    <w:lvl w:ilvl="1">
      <w:lvlJc w:val="left"/>
      <w:lvlText w:val="%2."/>
      <w:numFmt w:val="decimal"/>
      <w:start w:val="11"/>
    </w:lvl>
  </w:abstractNum>
  <w:abstractNum w:abstractNumId="14">
    <w:nsid w:val="628C895D"/>
    <w:multiLevelType w:val="hybridMultilevel"/>
    <w:lvl w:ilvl="0">
      <w:lvlJc w:val="left"/>
      <w:lvlText w:val="(%1)"/>
      <w:numFmt w:val="decimal"/>
      <w:start w:val="1"/>
    </w:lvl>
    <w:lvl w:ilvl="1">
      <w:lvlJc w:val="left"/>
      <w:lvlText w:val="%2"/>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9"/>
    </w:lvl>
  </w:abstractNum>
  <w:abstractNum w:abstractNumId="17">
    <w:nsid w:val="2443A858"/>
    <w:multiLevelType w:val="hybridMultilevel"/>
    <w:lvl w:ilvl="0">
      <w:lvlJc w:val="left"/>
      <w:lvlText w:val="%1"/>
      <w:numFmt w:val="decimal"/>
      <w:start w:val="1"/>
    </w:lvl>
    <w:lvl w:ilvl="1">
      <w:lvlJc w:val="left"/>
      <w:lvlText w:val="%2."/>
      <w:numFmt w:val="decimal"/>
      <w:start w:val="11"/>
    </w:lvl>
  </w:abstractNum>
  <w:abstractNum w:abstractNumId="18">
    <w:nsid w:val="2D1D5AE9"/>
    <w:multiLevelType w:val="hybridMultilevel"/>
    <w:lvl w:ilvl="0">
      <w:lvlJc w:val="left"/>
      <w:lvlText w:val="(%1)"/>
      <w:numFmt w:val="decimal"/>
      <w:start w:val="1"/>
    </w:lvl>
    <w:lvl w:ilvl="1">
      <w:lvlJc w:val="left"/>
      <w:lvlText w:val="%2"/>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9"/>
    </w:lvl>
  </w:abstractNum>
  <w:abstractNum w:abstractNumId="21">
    <w:nsid w:val="8EDBDAB"/>
    <w:multiLevelType w:val="hybridMultilevel"/>
    <w:lvl w:ilvl="0">
      <w:lvlJc w:val="left"/>
      <w:lvlText w:val="%1"/>
      <w:numFmt w:val="decimal"/>
      <w:start w:val="1"/>
    </w:lvl>
    <w:lvl w:ilvl="1">
      <w:lvlJc w:val="left"/>
      <w:lvlText w:val="%2."/>
      <w:numFmt w:val="decimal"/>
      <w:start w:val="11"/>
    </w:lvl>
  </w:abstractNum>
  <w:abstractNum w:abstractNumId="22">
    <w:nsid w:val="79838CB2"/>
    <w:multiLevelType w:val="hybridMultilevel"/>
    <w:lvl w:ilvl="0">
      <w:lvlJc w:val="left"/>
      <w:lvlText w:val="(%1)"/>
      <w:numFmt w:val="decimal"/>
      <w:start w:val="1"/>
    </w:lvl>
    <w:lvl w:ilvl="1">
      <w:lvlJc w:val="left"/>
      <w:lvlText w:val="%2"/>
      <w:numFmt w:val="decimal"/>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lowerLetter"/>
      <w:start w:val="4"/>
    </w:lvl>
  </w:abstractNum>
  <w:abstractNum w:abstractNumId="26">
    <w:nsid w:val="54E49EB4"/>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2023-08-21T15:26:07Z</dcterms:created>
  <dcterms:modified xsi:type="dcterms:W3CDTF">2023-08-21T15:26:07Z</dcterms:modified>
</cp:coreProperties>
</file>