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Tango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87583X109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87583X109</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EcoR1 Capital,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10,630,736.00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10,630,736.00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10,630,736.00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OO</w:t>
      </w:r>
    </w:p>
    <w:p>
      <w:pPr>
        <w:spacing w:after="0" w:line="200" w:lineRule="exact"/>
        <w:rPr>
          <w:sz w:val="20"/>
          <w:szCs w:val="20"/>
          <w:color w:val="auto"/>
        </w:rPr>
      </w:pPr>
    </w:p>
    <w:p>
      <w:pPr>
        <w:sectPr>
          <w:pgSz w:w="11900" w:h="16871" w:orient="portrait"/>
          <w:cols w:equalWidth="0" w:num="2">
            <w:col w:w="1100" w:space="60"/>
            <w:col w:w="10080"/>
          </w:cols>
          <w:pgMar w:left="320" w:top="166" w:right="339" w:bottom="0" w:gutter="0" w:footer="0" w:header="0"/>
        </w:sectPr>
      </w:pPr>
    </w:p>
    <w:p>
      <w:pPr>
        <w:spacing w:after="0" w:line="70"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Percentage calculated based on 107,417,818 shares of Common Stock outstanding 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November 1, 2024, as reported in the Form 10-Q filed by the Issuer for the quarter ended September 30, 2024.</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87583X109</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Oleg Nodelman</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UNITED STATES</w:t>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120" w:type="dxa"/>
            <w:vAlign w:val="bottom"/>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10,630,736.00</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6"/>
                <w:szCs w:val="16"/>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With:</w:t>
            </w:r>
          </w:p>
        </w:tc>
        <w:tc>
          <w:tcPr>
            <w:tcW w:w="22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10,630,736.00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10,630,736.00</w:t>
      </w:r>
    </w:p>
    <w:p>
      <w:pPr>
        <w:sectPr>
          <w:pgSz w:w="11900" w:h="16871" w:orient="portrait"/>
          <w:cols w:equalWidth="0" w:num="1">
            <w:col w:w="11240"/>
          </w:cols>
          <w:pgMar w:left="320" w:top="166" w:right="339" w:bottom="0" w:gutter="0" w:footer="0" w:header="0"/>
          <w:type w:val="continuous"/>
        </w:sectPr>
      </w:pPr>
    </w:p>
    <w:bookmarkStart w:id="2" w:name="page3"/>
    <w:bookmarkEnd w:id="2"/>
    <w:p>
      <w:pPr>
        <w:ind w:left="40"/>
        <w:spacing w:after="0"/>
        <w:tabs>
          <w:tab w:leader="none" w:pos="1140" w:val="left"/>
        </w:tabs>
        <w:rPr>
          <w:sz w:val="20"/>
          <w:szCs w:val="20"/>
          <w:color w:val="auto"/>
        </w:rPr>
      </w:pPr>
      <w:r>
        <w:rPr>
          <w:rFonts w:ascii="Times New Roman" w:cs="Times New Roman" w:eastAsia="Times New Roman" w:hAnsi="Times New Roman"/>
          <w:sz w:val="22"/>
          <w:szCs w:val="22"/>
          <w:color w:val="auto"/>
        </w:rPr>
        <w:t>10</w:t>
      </w:r>
      <w:r>
        <w:rPr>
          <w:sz w:val="20"/>
          <w:szCs w:val="20"/>
          <w:color w:val="auto"/>
        </w:rPr>
        <w:tab/>
      </w:r>
      <w:r>
        <w:rPr>
          <w:rFonts w:ascii="Times New Roman" w:cs="Times New Roman" w:eastAsia="Times New Roman" w:hAnsi="Times New Roman"/>
          <w:sz w:val="22"/>
          <w:szCs w:val="22"/>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165735</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9.9 %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HC, IN</w:t>
      </w:r>
    </w:p>
    <w:p>
      <w:pPr>
        <w:spacing w:after="0" w:line="246"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Percentage calculated based on 107,417,818 shares of Common Stock outstanding 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November 1, 2024, as reported in the Form 10-Q filed by the Issuer for the quarter ended September 30, 2024.</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87583X109</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EcoR1 Capital Fund Qualified,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40"/>
          </w:cols>
          <w:pgMar w:left="320" w:top="111" w:right="33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10,022,411.00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10,022,411.00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10,022,411.00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100" w:space="60"/>
            <w:col w:w="10080"/>
          </w:cols>
          <w:pgMar w:left="320" w:top="111" w:right="339" w:bottom="0" w:gutter="0" w:footer="0" w:header="0"/>
          <w:type w:val="continuous"/>
        </w:sectPr>
      </w:pPr>
    </w:p>
    <w:p>
      <w:pPr>
        <w:spacing w:after="0" w:line="70"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Percentage calculated based on 107,417,818 shares of Common Stock outstanding 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November 1, 2024, as reported in the Form 10-Q filed by the Issuer for the quarter ended September 30, 2024.</w:t>
      </w:r>
    </w:p>
    <w:p>
      <w:pPr>
        <w:sectPr>
          <w:pgSz w:w="11900" w:h="16838" w:orient="portrait"/>
          <w:cols w:equalWidth="0" w:num="1">
            <w:col w:w="11240"/>
          </w:cols>
          <w:pgMar w:left="320" w:top="111" w:right="3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5"/>
          <w:szCs w:val="25"/>
          <w:color w:val="auto"/>
        </w:rPr>
        <w:t>SCHEDULE 13G</w:t>
      </w:r>
    </w:p>
    <w:p>
      <w:pPr>
        <w:sectPr>
          <w:pgSz w:w="11900" w:h="16838" w:orient="portrait"/>
          <w:cols w:equalWidth="0" w:num="1">
            <w:col w:w="11240"/>
          </w:cols>
          <w:pgMar w:left="320" w:top="111" w:right="339"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Tango Therapeutics,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201 Brookline Ave., Suite 901, Boston, MA 02215</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right="100"/>
        <w:spacing w:after="0" w:line="253" w:lineRule="auto"/>
        <w:rPr>
          <w:sz w:val="20"/>
          <w:szCs w:val="20"/>
          <w:color w:val="auto"/>
        </w:rPr>
      </w:pPr>
      <w:r>
        <w:rPr>
          <w:rFonts w:ascii="Times New Roman" w:cs="Times New Roman" w:eastAsia="Times New Roman" w:hAnsi="Times New Roman"/>
          <w:sz w:val="21"/>
          <w:szCs w:val="21"/>
          <w:color w:val="auto"/>
        </w:rPr>
        <w:t>EcoR1 Capital, LLC, a Delaware limited liability company ("EcoR1") EcoR1 Capital Fund Qualified, L.P., a Delaware limited partnership ("Qualified Fund") Oleg Nodelman Qualified Fund is filing this statement jointly with</w:t>
      </w:r>
    </w:p>
    <w:p>
      <w:pPr>
        <w:spacing w:after="0" w:line="1" w:lineRule="exact"/>
        <w:rPr>
          <w:sz w:val="20"/>
          <w:szCs w:val="20"/>
          <w:color w:val="auto"/>
        </w:rPr>
      </w:pPr>
    </w:p>
    <w:p>
      <w:pPr>
        <w:ind w:left="920" w:hanging="912"/>
        <w:spacing w:after="0" w:line="233"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other reporting persons, but not as a member of a group, and it expressly disclaims membership in a group. In addition, the filing of this Schedule 13G on behalf of Qualified Fund should not be construed as an admission that it is, and it disclaims that it is, a beneficial owner, as defined in Rule 13d-3 under the Act, of any securities covered by this Schedule 13G. Each reporting person also disclaims beneficial ownership of the securities reported herein except to the extent of that person's pecuniary interest therein.</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357 Tehama Street #3, San Francisco, CA 94103</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See Item 4 of the cover sheet for each reporting person.</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87583X109</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00" w:hanging="912"/>
        <w:spacing w:after="0" w:line="185" w:lineRule="auto"/>
        <w:tabs>
          <w:tab w:leader="none" w:pos="920" w:val="left"/>
        </w:tabs>
        <w:numPr>
          <w:ilvl w:val="0"/>
          <w:numId w:val="7"/>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EcoR1: 10,630,736 Qualified Fund: 10,022,411 Oleg Nodelman: 10,630,736</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EcoR1: 9.9% Qualified Fund: 9.3% Oleg Nodelman: 9.9% %</w:t>
      </w:r>
    </w:p>
    <w:p>
      <w:pPr>
        <w:spacing w:after="0" w:line="20" w:lineRule="exact"/>
        <w:rPr>
          <w:sz w:val="20"/>
          <w:szCs w:val="20"/>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EcoR1: 0 Qualified Fund: 0 Oleg Nodelman: 0</w:t>
      </w:r>
    </w:p>
    <w:p>
      <w:pPr>
        <w:spacing w:after="0" w:line="28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EcoR1: 10,630,736 Qualified Fund: 10,022,411 Oleg Nodelman: 10,630,736</w:t>
      </w:r>
    </w:p>
    <w:p>
      <w:pPr>
        <w:sectPr>
          <w:pgSz w:w="11900" w:h="16838" w:orient="portrait"/>
          <w:cols w:equalWidth="0" w:num="1">
            <w:col w:w="11060"/>
          </w:cols>
          <w:pgMar w:left="360" w:top="193" w:right="479" w:bottom="0" w:gutter="0" w:footer="0" w:header="0"/>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EcoR1: 0 Qualified Fund: 0 Oleg Nodelman: 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EcoR1: 10,630,736 Qualified Fund: 10,022,411 Oleg Nodelman: 10,630,736</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ectPr>
          <w:pgSz w:w="11900" w:h="16838" w:orient="portrait"/>
          <w:cols w:equalWidth="0" w:num="2">
            <w:col w:w="620" w:space="300"/>
            <w:col w:w="10220"/>
          </w:cols>
          <w:pgMar w:left="360" w:top="112" w:right="399" w:bottom="910" w:gutter="0" w:footer="0" w:header="0"/>
        </w:sectPr>
      </w:pPr>
    </w:p>
    <w:p>
      <w:pPr>
        <w:jc w:val="both"/>
        <w:ind w:left="920"/>
        <w:spacing w:after="0" w:line="244" w:lineRule="auto"/>
        <w:rPr>
          <w:sz w:val="20"/>
          <w:szCs w:val="20"/>
          <w:color w:val="auto"/>
        </w:rPr>
      </w:pPr>
      <w:r>
        <w:rPr>
          <w:rFonts w:ascii="Times New Roman" w:cs="Times New Roman" w:eastAsia="Times New Roman" w:hAnsi="Times New Roman"/>
          <w:sz w:val="22"/>
          <w:szCs w:val="22"/>
          <w:color w:val="auto"/>
        </w:rPr>
        <w:t>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w:t>
      </w:r>
    </w:p>
    <w:p>
      <w:pPr>
        <w:spacing w:after="0" w:line="200" w:lineRule="exact"/>
        <w:rPr>
          <w:sz w:val="20"/>
          <w:szCs w:val="20"/>
          <w:color w:val="auto"/>
        </w:rPr>
      </w:pPr>
    </w:p>
    <w:p>
      <w:pPr>
        <w:spacing w:after="0" w:line="243" w:lineRule="exact"/>
        <w:rPr>
          <w:sz w:val="20"/>
          <w:szCs w:val="20"/>
          <w:color w:val="auto"/>
        </w:rPr>
      </w:pPr>
    </w:p>
    <w:p>
      <w:pPr>
        <w:ind w:left="920" w:right="80"/>
        <w:spacing w:after="0" w:line="256" w:lineRule="auto"/>
        <w:rPr>
          <w:sz w:val="20"/>
          <w:szCs w:val="20"/>
          <w:color w:val="auto"/>
        </w:rPr>
      </w:pPr>
      <w:r>
        <w:rPr>
          <w:rFonts w:ascii="Times New Roman" w:cs="Times New Roman" w:eastAsia="Times New Roman" w:hAnsi="Times New Roman"/>
          <w:sz w:val="22"/>
          <w:szCs w:val="22"/>
          <w:color w:val="auto"/>
        </w:rPr>
        <w:t>EcoR1 is the general partner and investment adviser of investment funds, including Qualified Fund. Mr. Nodelman is the control person of EcoR1.</w:t>
      </w: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spacing w:after="0" w:line="234"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9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EcoR1 Capital, LLC</w:t>
      </w:r>
    </w:p>
    <w:p>
      <w:pPr>
        <w:spacing w:after="0" w:line="152" w:lineRule="exact"/>
        <w:rPr>
          <w:sz w:val="20"/>
          <w:szCs w:val="20"/>
          <w:color w:val="auto"/>
        </w:rPr>
      </w:pPr>
    </w:p>
    <w:p>
      <w:pPr>
        <w:ind w:left="2920"/>
        <w:spacing w:after="0"/>
        <w:tabs>
          <w:tab w:leader="none" w:pos="39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Oleg Nodelman</w:t>
      </w:r>
    </w:p>
    <w:p>
      <w:pPr>
        <w:spacing w:after="0" w:line="44"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color w:val="auto"/>
        </w:rPr>
        <w:t>Name/Title: Manager</w:t>
      </w:r>
    </w:p>
    <w:p>
      <w:pPr>
        <w:spacing w:after="0" w:line="44" w:lineRule="exact"/>
        <w:rPr>
          <w:sz w:val="20"/>
          <w:szCs w:val="20"/>
          <w:color w:val="auto"/>
        </w:rPr>
      </w:pPr>
    </w:p>
    <w:p>
      <w:pPr>
        <w:ind w:left="2920"/>
        <w:spacing w:after="0"/>
        <w:tabs>
          <w:tab w:leader="none" w:pos="39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02/14/2025</w:t>
      </w:r>
    </w:p>
    <w:p>
      <w:pPr>
        <w:spacing w:after="0" w:line="152"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22"/>
          <w:szCs w:val="22"/>
          <w:color w:val="auto"/>
        </w:rPr>
        <w:t>Oleg Nodelman</w:t>
      </w:r>
    </w:p>
    <w:p>
      <w:pPr>
        <w:spacing w:after="0" w:line="152" w:lineRule="exact"/>
        <w:rPr>
          <w:sz w:val="20"/>
          <w:szCs w:val="20"/>
          <w:color w:val="auto"/>
        </w:rPr>
      </w:pPr>
    </w:p>
    <w:p>
      <w:pPr>
        <w:ind w:left="2920"/>
        <w:spacing w:after="0"/>
        <w:tabs>
          <w:tab w:leader="none" w:pos="39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Oleg Nodelman</w:t>
      </w:r>
    </w:p>
    <w:p>
      <w:pPr>
        <w:spacing w:after="0" w:line="44"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color w:val="auto"/>
        </w:rPr>
        <w:t>Name/Title: Reporting person</w:t>
      </w:r>
    </w:p>
    <w:p>
      <w:pPr>
        <w:spacing w:after="0" w:line="44" w:lineRule="exact"/>
        <w:rPr>
          <w:sz w:val="20"/>
          <w:szCs w:val="20"/>
          <w:color w:val="auto"/>
        </w:rPr>
      </w:pPr>
    </w:p>
    <w:p>
      <w:pPr>
        <w:ind w:left="2920"/>
        <w:spacing w:after="0"/>
        <w:tabs>
          <w:tab w:leader="none" w:pos="39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02/14/2025</w:t>
      </w:r>
    </w:p>
    <w:p>
      <w:pPr>
        <w:spacing w:after="0" w:line="152"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2"/>
          <w:szCs w:val="22"/>
          <w:color w:val="auto"/>
        </w:rPr>
        <w:t>EcoR1 Capital Fund Qualified,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Oleg Nodelman</w:t>
      </w:r>
    </w:p>
    <w:p>
      <w:pPr>
        <w:spacing w:after="0" w:line="2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37"/>
          <w:szCs w:val="37"/>
          <w:color w:val="auto"/>
          <w:vertAlign w:val="subscript"/>
        </w:rPr>
        <w:t>Name/Title:</w:t>
      </w:r>
      <w:r>
        <w:rPr>
          <w:rFonts w:ascii="Times New Roman" w:cs="Times New Roman" w:eastAsia="Times New Roman" w:hAnsi="Times New Roman"/>
          <w:sz w:val="19"/>
          <w:szCs w:val="19"/>
          <w:color w:val="auto"/>
        </w:rPr>
        <w:t xml:space="preserve"> Manager</w:t>
      </w:r>
      <w:r>
        <w:rPr>
          <w:rFonts w:ascii="Times New Roman" w:cs="Times New Roman" w:eastAsia="Times New Roman" w:hAnsi="Times New Roman"/>
          <w:sz w:val="37"/>
          <w:szCs w:val="37"/>
          <w:color w:val="auto"/>
          <w:vertAlign w:val="subscript"/>
        </w:rPr>
        <w:t>LLC</w:t>
      </w:r>
      <w:r>
        <w:rPr>
          <w:rFonts w:ascii="Times New Roman" w:cs="Times New Roman" w:eastAsia="Times New Roman" w:hAnsi="Times New Roman"/>
          <w:sz w:val="19"/>
          <w:szCs w:val="19"/>
          <w:color w:val="auto"/>
        </w:rPr>
        <w:t xml:space="preserve"> of the General Partner, EcoR1 Capital,</w:t>
      </w:r>
    </w:p>
    <w:p>
      <w:pPr>
        <w:spacing w:after="0" w:line="129"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02/14/2025</w:t>
      </w:r>
    </w:p>
    <w:p>
      <w:pPr>
        <w:sectPr>
          <w:pgSz w:w="11900" w:h="16838" w:orient="portrait"/>
          <w:cols w:equalWidth="0" w:num="1">
            <w:col w:w="11140"/>
          </w:cols>
          <w:pgMar w:left="360" w:top="112" w:right="399" w:bottom="910" w:gutter="0" w:footer="0" w:header="0"/>
          <w:type w:val="continuous"/>
        </w:sectPr>
      </w:pPr>
    </w:p>
    <w:bookmarkStart w:id="5" w:name="page6"/>
    <w:bookmarkEnd w:id="5"/>
    <w:p>
      <w:pPr>
        <w:jc w:val="center"/>
        <w:spacing w:after="0"/>
        <w:rPr>
          <w:sz w:val="20"/>
          <w:szCs w:val="20"/>
          <w:color w:val="auto"/>
        </w:rPr>
      </w:pPr>
      <w:r>
        <w:rPr>
          <w:rFonts w:ascii="Times New Roman" w:cs="Times New Roman" w:eastAsia="Times New Roman" w:hAnsi="Times New Roman"/>
          <w:sz w:val="20"/>
          <w:szCs w:val="20"/>
          <w:color w:val="auto"/>
        </w:rPr>
        <w:t>EXHIBIT 99.1</w:t>
      </w: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AGREEMENT REGARDING JOINT FILING</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OF STATEMENT ON SCHEDULE 13D OR 13G</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9"/>
          <w:szCs w:val="19"/>
          <w:color w:val="auto"/>
        </w:rPr>
        <w:t>The undersigned agree to file jointly with the Securities and Exchange Commission (the “SEC”) any and all statements on Schedule 13D or Schedule 13G or Forms 3, 4 or 5(and any amendments or supplements thereto) required under section 13(d) and 16(a) of the Securities Exchange Act of 1934, as amended, in connection with purchases by the undersigned of the securities of any issuer. For that purpose, the undersigned hereby constitute and appoint EcoR1 Capital, LLC, a Delaware limited liability company, as their true and lawful agent and attorney-in-fact, with full power and authority for and on behalf of the undersigned to prepare or cause to be prepared, sign, file with the SEC and furnish to any other person all certificates, instruments, agreements and documents necessary to comply with section 13(d) and section 16(a) of the Securities Exchange Act of 1934, as amended, in connection with said purchases, and to do and perform every act necessary and proper to be done incident to the exercise of the foregoing power, as fully as the undersigned might or could do if personally present.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Dated: February 14, 2025</w:t>
      </w:r>
    </w:p>
    <w:p>
      <w:pPr>
        <w:spacing w:after="0" w:line="225"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b w:val="1"/>
          <w:bCs w:val="1"/>
          <w:color w:val="auto"/>
        </w:rPr>
        <w:t>ECOR1 CAPITAL, LLC</w:t>
      </w:r>
    </w:p>
    <w:p>
      <w:pPr>
        <w:spacing w:after="0" w:line="200" w:lineRule="exact"/>
        <w:rPr>
          <w:sz w:val="20"/>
          <w:szCs w:val="20"/>
          <w:color w:val="auto"/>
        </w:rPr>
      </w:pPr>
    </w:p>
    <w:p>
      <w:pPr>
        <w:spacing w:after="0" w:line="25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i w:val="1"/>
          <w:iCs w:val="1"/>
          <w:u w:val="single" w:color="auto"/>
          <w:color w:val="auto"/>
        </w:rPr>
        <w:t>/s/ Oleg Nodelman</w:t>
      </w:r>
    </w:p>
    <w:p>
      <w:pPr>
        <w:spacing w:after="0" w:line="25"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color w:val="auto"/>
        </w:rPr>
        <w:t>Oleg Nodelman</w:t>
      </w:r>
    </w:p>
    <w:p>
      <w:pPr>
        <w:ind w:left="5400"/>
        <w:spacing w:after="0"/>
        <w:rPr>
          <w:sz w:val="20"/>
          <w:szCs w:val="20"/>
          <w:color w:val="auto"/>
        </w:rPr>
      </w:pPr>
      <w:r>
        <w:rPr>
          <w:rFonts w:ascii="Times New Roman" w:cs="Times New Roman" w:eastAsia="Times New Roman" w:hAnsi="Times New Roman"/>
          <w:sz w:val="20"/>
          <w:szCs w:val="20"/>
          <w:color w:val="auto"/>
        </w:rPr>
        <w:t>Manager</w:t>
      </w:r>
    </w:p>
    <w:p>
      <w:pPr>
        <w:spacing w:after="0" w:line="203"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b w:val="1"/>
          <w:bCs w:val="1"/>
          <w:color w:val="auto"/>
        </w:rPr>
        <w:t>ECOR1 CAPITAL FUND QUALIFIED, L.P.</w:t>
      </w:r>
    </w:p>
    <w:p>
      <w:pPr>
        <w:spacing w:after="0" w:line="233"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color w:val="auto"/>
        </w:rPr>
        <w:t>By: EcoR1 Capital, LLC,</w:t>
      </w:r>
    </w:p>
    <w:p>
      <w:pPr>
        <w:spacing w:after="0" w:line="22"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color w:val="auto"/>
        </w:rPr>
        <w:t>General Partner</w:t>
      </w:r>
    </w:p>
    <w:p>
      <w:pPr>
        <w:spacing w:after="0" w:line="203"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i w:val="1"/>
          <w:iCs w:val="1"/>
          <w:u w:val="single" w:color="auto"/>
          <w:color w:val="auto"/>
        </w:rPr>
        <w:t>/s/ Oleg Nodelman</w:t>
      </w:r>
    </w:p>
    <w:p>
      <w:pPr>
        <w:spacing w:after="0" w:line="25"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color w:val="auto"/>
        </w:rPr>
        <w:t>Oleg Nodelman</w:t>
      </w:r>
    </w:p>
    <w:p>
      <w:pPr>
        <w:ind w:left="5400"/>
        <w:spacing w:after="0"/>
        <w:rPr>
          <w:sz w:val="20"/>
          <w:szCs w:val="20"/>
          <w:color w:val="auto"/>
        </w:rPr>
      </w:pPr>
      <w:r>
        <w:rPr>
          <w:rFonts w:ascii="Times New Roman" w:cs="Times New Roman" w:eastAsia="Times New Roman" w:hAnsi="Times New Roman"/>
          <w:sz w:val="20"/>
          <w:szCs w:val="20"/>
          <w:color w:val="auto"/>
        </w:rPr>
        <w:t>Manager</w:t>
      </w:r>
    </w:p>
    <w:p>
      <w:pPr>
        <w:spacing w:after="0" w:line="200" w:lineRule="exact"/>
        <w:rPr>
          <w:sz w:val="20"/>
          <w:szCs w:val="20"/>
          <w:color w:val="auto"/>
        </w:rPr>
      </w:pPr>
    </w:p>
    <w:p>
      <w:pPr>
        <w:spacing w:after="0" w:line="233"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i w:val="1"/>
          <w:iCs w:val="1"/>
          <w:u w:val="single" w:color="auto"/>
          <w:color w:val="auto"/>
        </w:rPr>
        <w:t>/s/ Oleg Nodelman</w:t>
      </w:r>
    </w:p>
    <w:p>
      <w:pPr>
        <w:spacing w:after="0" w:line="26"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color w:val="auto"/>
        </w:rPr>
        <w:t>Oleg Nodelman</w:t>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2"/>
      <w:numFmt w:val="bullet"/>
      <w:start w:val="1"/>
    </w:lvl>
  </w:abstractNum>
  <w:abstractNum w:abstractNumId="3">
    <w:nsid w:val="2EB141F2"/>
    <w:multiLevelType w:val="hybridMultilevel"/>
    <w:lvl w:ilvl="0">
      <w:lvlJc w:val="left"/>
      <w:lvlText w:val="3"/>
      <w:numFmt w:val="bullet"/>
      <w:start w:val="1"/>
    </w:lvl>
  </w:abstractNum>
  <w:abstractNum w:abstractNumId="4">
    <w:nsid w:val="41B71EFB"/>
    <w:multiLevelType w:val="hybridMultilevel"/>
    <w:lvl w:ilvl="0">
      <w:lvlJc w:val="left"/>
      <w:lvlText w:val="2"/>
      <w:numFmt w:val="bullet"/>
      <w:start w:val="1"/>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1)"/>
      <w:numFmt w:val="lowerLetter"/>
      <w:start w:val="11"/>
    </w:lvl>
  </w:abstractNum>
  <w:abstractNum w:abstractNumId="8">
    <w:nsid w:val="5BD062C2"/>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2025-02-14T11:38:04Z</dcterms:created>
  <dcterms:modified xsi:type="dcterms:W3CDTF">2025-02-14T11:38:04Z</dcterms:modified>
</cp:coreProperties>
</file>