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990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99059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Huang Alan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60" w:type="dxa"/>
            <w:vAlign w:val="bottom"/>
            <w:tcBorders>
              <w:top w:val="single" w:sz="8" w:color="0000EE"/>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Tango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TNGX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3"/>
              </w:rPr>
              <w:t>C/O TANGO THERAPEUTICS,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9"/>
              </w:rPr>
              <w:t>100 BINNEY STREET, SUITE 700</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9"/>
        </w:trPr>
        <w:tc>
          <w:tcPr>
            <w:tcW w:w="1840" w:type="dxa"/>
            <w:vAlign w:val="bottom"/>
            <w:gridSpan w:val="2"/>
          </w:tcPr>
          <w:p>
            <w:pPr>
              <w:ind w:left="40"/>
              <w:spacing w:after="0"/>
              <w:rPr>
                <w:sz w:val="20"/>
                <w:szCs w:val="20"/>
                <w:color w:val="auto"/>
              </w:rPr>
            </w:pPr>
            <w:r>
              <w:rPr>
                <w:rFonts w:ascii="Arial" w:cs="Arial" w:eastAsia="Arial" w:hAnsi="Arial"/>
                <w:sz w:val="20"/>
                <w:szCs w:val="20"/>
                <w:color w:val="0000FF"/>
              </w:rPr>
              <w:t>CAMBRIDGE MA</w:t>
            </w:r>
          </w:p>
        </w:tc>
        <w:tc>
          <w:tcPr>
            <w:tcW w:w="1260" w:type="dxa"/>
            <w:vAlign w:val="bottom"/>
          </w:tcPr>
          <w:p>
            <w:pPr>
              <w:jc w:val="right"/>
              <w:ind w:right="354"/>
              <w:spacing w:after="0"/>
              <w:rPr>
                <w:sz w:val="20"/>
                <w:szCs w:val="20"/>
                <w:color w:val="auto"/>
              </w:rPr>
            </w:pPr>
            <w:r>
              <w:rPr>
                <w:rFonts w:ascii="Arial" w:cs="Arial" w:eastAsia="Arial" w:hAnsi="Arial"/>
                <w:sz w:val="20"/>
                <w:szCs w:val="20"/>
                <w:color w:val="0000FF"/>
              </w:rPr>
              <w:t>02142</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Scientific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20" w:type="dxa"/>
            <w:vAlign w:val="bottom"/>
          </w:tcPr>
          <w:p>
            <w:pPr>
              <w:jc w:val="center"/>
              <w:ind w:left="71"/>
              <w:spacing w:after="0"/>
              <w:rPr>
                <w:sz w:val="20"/>
                <w:szCs w:val="20"/>
                <w:color w:val="auto"/>
              </w:rPr>
            </w:pPr>
            <w:r>
              <w:rPr>
                <w:rFonts w:ascii="Arial" w:cs="Arial" w:eastAsia="Arial" w:hAnsi="Arial"/>
                <w:sz w:val="20"/>
                <w:szCs w:val="20"/>
                <w:color w:val="0000FF"/>
                <w:w w:val="88"/>
              </w:rPr>
              <w:t>135,887</w:t>
            </w:r>
          </w:p>
        </w:tc>
        <w:tc>
          <w:tcPr>
            <w:tcW w:w="960" w:type="dxa"/>
            <w:vAlign w:val="bottom"/>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jc w:val="right"/>
              <w:ind w:right="694"/>
              <w:spacing w:after="0"/>
              <w:rPr>
                <w:sz w:val="20"/>
                <w:szCs w:val="20"/>
                <w:color w:val="auto"/>
              </w:rPr>
            </w:pPr>
            <w:r>
              <w:rPr>
                <w:rFonts w:ascii="Arial" w:cs="Arial" w:eastAsia="Arial" w:hAnsi="Arial"/>
                <w:sz w:val="20"/>
                <w:szCs w:val="20"/>
                <w:b w:val="1"/>
                <w:bCs w:val="1"/>
                <w:color w:val="auto"/>
                <w:w w:val="99"/>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jc w:val="right"/>
              <w:ind w:right="294"/>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6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20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20" w:type="dxa"/>
            <w:vAlign w:val="bottom"/>
          </w:tcPr>
          <w:p>
            <w:pPr>
              <w:spacing w:after="0"/>
              <w:rPr>
                <w:sz w:val="14"/>
                <w:szCs w:val="14"/>
                <w:color w:val="auto"/>
              </w:rPr>
            </w:pPr>
          </w:p>
        </w:tc>
        <w:tc>
          <w:tcPr>
            <w:tcW w:w="96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20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6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04/11/2028</w:t>
            </w:r>
          </w:p>
        </w:tc>
        <w:tc>
          <w:tcPr>
            <w:tcW w:w="1720" w:type="dxa"/>
            <w:vAlign w:val="bottom"/>
          </w:tcPr>
          <w:p>
            <w:pPr>
              <w:jc w:val="center"/>
              <w:ind w:left="51"/>
              <w:spacing w:after="0"/>
              <w:rPr>
                <w:sz w:val="20"/>
                <w:szCs w:val="20"/>
                <w:color w:val="auto"/>
              </w:rPr>
            </w:pPr>
            <w:r>
              <w:rPr>
                <w:rFonts w:ascii="Arial" w:cs="Arial" w:eastAsia="Arial" w:hAnsi="Arial"/>
                <w:sz w:val="20"/>
                <w:szCs w:val="20"/>
                <w:color w:val="0000FF"/>
                <w:w w:val="89"/>
              </w:rPr>
              <w:t>Common Stock</w:t>
            </w:r>
          </w:p>
        </w:tc>
        <w:tc>
          <w:tcPr>
            <w:tcW w:w="900" w:type="dxa"/>
            <w:vAlign w:val="bottom"/>
          </w:tcPr>
          <w:p>
            <w:pPr>
              <w:jc w:val="center"/>
              <w:ind w:left="52"/>
              <w:spacing w:after="0"/>
              <w:rPr>
                <w:sz w:val="20"/>
                <w:szCs w:val="20"/>
                <w:color w:val="auto"/>
              </w:rPr>
            </w:pPr>
            <w:r>
              <w:rPr>
                <w:rFonts w:ascii="Arial" w:cs="Arial" w:eastAsia="Arial" w:hAnsi="Arial"/>
                <w:sz w:val="20"/>
                <w:szCs w:val="20"/>
                <w:color w:val="0000FF"/>
                <w:w w:val="84"/>
              </w:rPr>
              <w:t>84,930</w:t>
            </w:r>
          </w:p>
        </w:tc>
        <w:tc>
          <w:tcPr>
            <w:tcW w:w="60" w:type="dxa"/>
            <w:vAlign w:val="bottom"/>
          </w:tcPr>
          <w:p>
            <w:pPr>
              <w:spacing w:after="0"/>
              <w:rPr>
                <w:sz w:val="24"/>
                <w:szCs w:val="24"/>
                <w:color w:val="auto"/>
              </w:rPr>
            </w:pPr>
          </w:p>
        </w:tc>
        <w:tc>
          <w:tcPr>
            <w:tcW w:w="940" w:type="dxa"/>
            <w:vAlign w:val="bottom"/>
          </w:tcPr>
          <w:p>
            <w:pPr>
              <w:jc w:val="right"/>
              <w:ind w:right="194"/>
              <w:spacing w:after="0"/>
              <w:rPr>
                <w:sz w:val="20"/>
                <w:szCs w:val="20"/>
                <w:color w:val="auto"/>
              </w:rPr>
            </w:pPr>
            <w:r>
              <w:rPr>
                <w:rFonts w:ascii="Arial" w:cs="Arial" w:eastAsia="Arial" w:hAnsi="Arial"/>
                <w:sz w:val="20"/>
                <w:szCs w:val="20"/>
                <w:color w:val="0000FF"/>
              </w:rPr>
              <w:t>1.383</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6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04/11/2028</w:t>
            </w:r>
          </w:p>
        </w:tc>
        <w:tc>
          <w:tcPr>
            <w:tcW w:w="1720" w:type="dxa"/>
            <w:vAlign w:val="bottom"/>
          </w:tcPr>
          <w:p>
            <w:pPr>
              <w:jc w:val="center"/>
              <w:ind w:left="51"/>
              <w:spacing w:after="0"/>
              <w:rPr>
                <w:sz w:val="20"/>
                <w:szCs w:val="20"/>
                <w:color w:val="auto"/>
              </w:rPr>
            </w:pPr>
            <w:r>
              <w:rPr>
                <w:rFonts w:ascii="Arial" w:cs="Arial" w:eastAsia="Arial" w:hAnsi="Arial"/>
                <w:sz w:val="20"/>
                <w:szCs w:val="20"/>
                <w:color w:val="0000FF"/>
                <w:w w:val="89"/>
              </w:rPr>
              <w:t>Common Stock</w:t>
            </w:r>
          </w:p>
        </w:tc>
        <w:tc>
          <w:tcPr>
            <w:tcW w:w="900" w:type="dxa"/>
            <w:vAlign w:val="bottom"/>
          </w:tcPr>
          <w:p>
            <w:pPr>
              <w:jc w:val="center"/>
              <w:ind w:left="52"/>
              <w:spacing w:after="0"/>
              <w:rPr>
                <w:sz w:val="20"/>
                <w:szCs w:val="20"/>
                <w:color w:val="auto"/>
              </w:rPr>
            </w:pPr>
            <w:r>
              <w:rPr>
                <w:rFonts w:ascii="Arial" w:cs="Arial" w:eastAsia="Arial" w:hAnsi="Arial"/>
                <w:sz w:val="20"/>
                <w:szCs w:val="20"/>
                <w:color w:val="0000FF"/>
                <w:w w:val="88"/>
              </w:rPr>
              <w:t>110,409</w:t>
            </w:r>
          </w:p>
        </w:tc>
        <w:tc>
          <w:tcPr>
            <w:tcW w:w="60" w:type="dxa"/>
            <w:vAlign w:val="bottom"/>
          </w:tcPr>
          <w:p>
            <w:pPr>
              <w:spacing w:after="0"/>
              <w:rPr>
                <w:sz w:val="24"/>
                <w:szCs w:val="24"/>
                <w:color w:val="auto"/>
              </w:rPr>
            </w:pPr>
          </w:p>
        </w:tc>
        <w:tc>
          <w:tcPr>
            <w:tcW w:w="940" w:type="dxa"/>
            <w:vAlign w:val="bottom"/>
          </w:tcPr>
          <w:p>
            <w:pPr>
              <w:jc w:val="right"/>
              <w:ind w:right="194"/>
              <w:spacing w:after="0"/>
              <w:rPr>
                <w:sz w:val="20"/>
                <w:szCs w:val="20"/>
                <w:color w:val="auto"/>
              </w:rPr>
            </w:pPr>
            <w:r>
              <w:rPr>
                <w:rFonts w:ascii="Arial" w:cs="Arial" w:eastAsia="Arial" w:hAnsi="Arial"/>
                <w:sz w:val="20"/>
                <w:szCs w:val="20"/>
                <w:color w:val="0000FF"/>
              </w:rPr>
              <w:t>1.383</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6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01/24/2029</w:t>
            </w:r>
          </w:p>
        </w:tc>
        <w:tc>
          <w:tcPr>
            <w:tcW w:w="1720" w:type="dxa"/>
            <w:vAlign w:val="bottom"/>
          </w:tcPr>
          <w:p>
            <w:pPr>
              <w:jc w:val="center"/>
              <w:ind w:left="51"/>
              <w:spacing w:after="0"/>
              <w:rPr>
                <w:sz w:val="20"/>
                <w:szCs w:val="20"/>
                <w:color w:val="auto"/>
              </w:rPr>
            </w:pPr>
            <w:r>
              <w:rPr>
                <w:rFonts w:ascii="Arial" w:cs="Arial" w:eastAsia="Arial" w:hAnsi="Arial"/>
                <w:sz w:val="20"/>
                <w:szCs w:val="20"/>
                <w:color w:val="0000FF"/>
                <w:w w:val="89"/>
              </w:rPr>
              <w:t>Common Stock</w:t>
            </w:r>
          </w:p>
        </w:tc>
        <w:tc>
          <w:tcPr>
            <w:tcW w:w="900" w:type="dxa"/>
            <w:vAlign w:val="bottom"/>
          </w:tcPr>
          <w:p>
            <w:pPr>
              <w:jc w:val="center"/>
              <w:ind w:left="52"/>
              <w:spacing w:after="0"/>
              <w:rPr>
                <w:sz w:val="20"/>
                <w:szCs w:val="20"/>
                <w:color w:val="auto"/>
              </w:rPr>
            </w:pPr>
            <w:r>
              <w:rPr>
                <w:rFonts w:ascii="Arial" w:cs="Arial" w:eastAsia="Arial" w:hAnsi="Arial"/>
                <w:sz w:val="20"/>
                <w:szCs w:val="20"/>
                <w:color w:val="0000FF"/>
                <w:w w:val="84"/>
              </w:rPr>
              <w:t>67,944</w:t>
            </w:r>
          </w:p>
        </w:tc>
        <w:tc>
          <w:tcPr>
            <w:tcW w:w="60" w:type="dxa"/>
            <w:vAlign w:val="bottom"/>
          </w:tcPr>
          <w:p>
            <w:pPr>
              <w:spacing w:after="0"/>
              <w:rPr>
                <w:sz w:val="24"/>
                <w:szCs w:val="24"/>
                <w:color w:val="auto"/>
              </w:rPr>
            </w:pPr>
          </w:p>
        </w:tc>
        <w:tc>
          <w:tcPr>
            <w:tcW w:w="940" w:type="dxa"/>
            <w:vAlign w:val="bottom"/>
          </w:tcPr>
          <w:p>
            <w:pPr>
              <w:jc w:val="right"/>
              <w:ind w:right="194"/>
              <w:spacing w:after="0"/>
              <w:rPr>
                <w:sz w:val="20"/>
                <w:szCs w:val="20"/>
                <w:color w:val="auto"/>
              </w:rPr>
            </w:pPr>
            <w:r>
              <w:rPr>
                <w:rFonts w:ascii="Arial" w:cs="Arial" w:eastAsia="Arial" w:hAnsi="Arial"/>
                <w:sz w:val="20"/>
                <w:szCs w:val="20"/>
                <w:color w:val="0000FF"/>
              </w:rPr>
              <w:t>1.531</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6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01/30/2030</w:t>
            </w:r>
          </w:p>
        </w:tc>
        <w:tc>
          <w:tcPr>
            <w:tcW w:w="1720" w:type="dxa"/>
            <w:vAlign w:val="bottom"/>
          </w:tcPr>
          <w:p>
            <w:pPr>
              <w:jc w:val="center"/>
              <w:ind w:left="51"/>
              <w:spacing w:after="0"/>
              <w:rPr>
                <w:sz w:val="20"/>
                <w:szCs w:val="20"/>
                <w:color w:val="auto"/>
              </w:rPr>
            </w:pPr>
            <w:r>
              <w:rPr>
                <w:rFonts w:ascii="Arial" w:cs="Arial" w:eastAsia="Arial" w:hAnsi="Arial"/>
                <w:sz w:val="20"/>
                <w:szCs w:val="20"/>
                <w:color w:val="0000FF"/>
                <w:w w:val="89"/>
              </w:rPr>
              <w:t>Common Stock</w:t>
            </w:r>
          </w:p>
        </w:tc>
        <w:tc>
          <w:tcPr>
            <w:tcW w:w="900" w:type="dxa"/>
            <w:vAlign w:val="bottom"/>
          </w:tcPr>
          <w:p>
            <w:pPr>
              <w:jc w:val="center"/>
              <w:ind w:left="52"/>
              <w:spacing w:after="0"/>
              <w:rPr>
                <w:sz w:val="20"/>
                <w:szCs w:val="20"/>
                <w:color w:val="auto"/>
              </w:rPr>
            </w:pPr>
            <w:r>
              <w:rPr>
                <w:rFonts w:ascii="Arial" w:cs="Arial" w:eastAsia="Arial" w:hAnsi="Arial"/>
                <w:sz w:val="20"/>
                <w:szCs w:val="20"/>
                <w:color w:val="0000FF"/>
                <w:w w:val="84"/>
              </w:rPr>
              <w:t>67,944</w:t>
            </w:r>
          </w:p>
        </w:tc>
        <w:tc>
          <w:tcPr>
            <w:tcW w:w="60" w:type="dxa"/>
            <w:vAlign w:val="bottom"/>
          </w:tcPr>
          <w:p>
            <w:pPr>
              <w:spacing w:after="0"/>
              <w:rPr>
                <w:sz w:val="24"/>
                <w:szCs w:val="24"/>
                <w:color w:val="auto"/>
              </w:rPr>
            </w:pPr>
          </w:p>
        </w:tc>
        <w:tc>
          <w:tcPr>
            <w:tcW w:w="940" w:type="dxa"/>
            <w:vAlign w:val="bottom"/>
          </w:tcPr>
          <w:p>
            <w:pPr>
              <w:jc w:val="right"/>
              <w:ind w:right="194"/>
              <w:spacing w:after="0"/>
              <w:rPr>
                <w:sz w:val="20"/>
                <w:szCs w:val="20"/>
                <w:color w:val="auto"/>
              </w:rPr>
            </w:pPr>
            <w:r>
              <w:rPr>
                <w:rFonts w:ascii="Arial" w:cs="Arial" w:eastAsia="Arial" w:hAnsi="Arial"/>
                <w:sz w:val="20"/>
                <w:szCs w:val="20"/>
                <w:color w:val="0000FF"/>
              </w:rPr>
              <w:t>1.648</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60" w:type="dxa"/>
            <w:vAlign w:val="bottom"/>
            <w:gridSpan w:val="2"/>
          </w:tcPr>
          <w:p>
            <w:pPr>
              <w:jc w:val="right"/>
              <w:ind w:right="341"/>
              <w:spacing w:after="0"/>
              <w:rPr>
                <w:sz w:val="20"/>
                <w:szCs w:val="20"/>
                <w:color w:val="auto"/>
              </w:rPr>
            </w:pPr>
            <w:r>
              <w:rPr>
                <w:rFonts w:ascii="Arial" w:cs="Arial" w:eastAsia="Arial" w:hAnsi="Arial"/>
                <w:sz w:val="13"/>
                <w:szCs w:val="13"/>
                <w:color w:val="008000"/>
              </w:rPr>
              <w:t>(5)</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01/28/2031</w:t>
            </w:r>
          </w:p>
        </w:tc>
        <w:tc>
          <w:tcPr>
            <w:tcW w:w="1720" w:type="dxa"/>
            <w:vAlign w:val="bottom"/>
          </w:tcPr>
          <w:p>
            <w:pPr>
              <w:jc w:val="center"/>
              <w:ind w:left="51"/>
              <w:spacing w:after="0"/>
              <w:rPr>
                <w:sz w:val="20"/>
                <w:szCs w:val="20"/>
                <w:color w:val="auto"/>
              </w:rPr>
            </w:pPr>
            <w:r>
              <w:rPr>
                <w:rFonts w:ascii="Arial" w:cs="Arial" w:eastAsia="Arial" w:hAnsi="Arial"/>
                <w:sz w:val="20"/>
                <w:szCs w:val="20"/>
                <w:color w:val="0000FF"/>
                <w:w w:val="89"/>
              </w:rPr>
              <w:t>Common Stock</w:t>
            </w:r>
          </w:p>
        </w:tc>
        <w:tc>
          <w:tcPr>
            <w:tcW w:w="900" w:type="dxa"/>
            <w:vAlign w:val="bottom"/>
          </w:tcPr>
          <w:p>
            <w:pPr>
              <w:jc w:val="center"/>
              <w:ind w:left="52"/>
              <w:spacing w:after="0"/>
              <w:rPr>
                <w:sz w:val="20"/>
                <w:szCs w:val="20"/>
                <w:color w:val="auto"/>
              </w:rPr>
            </w:pPr>
            <w:r>
              <w:rPr>
                <w:rFonts w:ascii="Arial" w:cs="Arial" w:eastAsia="Arial" w:hAnsi="Arial"/>
                <w:sz w:val="20"/>
                <w:szCs w:val="20"/>
                <w:color w:val="0000FF"/>
                <w:w w:val="84"/>
              </w:rPr>
              <w:t>95,121</w:t>
            </w:r>
          </w:p>
        </w:tc>
        <w:tc>
          <w:tcPr>
            <w:tcW w:w="60" w:type="dxa"/>
            <w:vAlign w:val="bottom"/>
          </w:tcPr>
          <w:p>
            <w:pPr>
              <w:spacing w:after="0"/>
              <w:rPr>
                <w:sz w:val="24"/>
                <w:szCs w:val="24"/>
                <w:color w:val="auto"/>
              </w:rPr>
            </w:pPr>
          </w:p>
        </w:tc>
        <w:tc>
          <w:tcPr>
            <w:tcW w:w="940" w:type="dxa"/>
            <w:vAlign w:val="bottom"/>
          </w:tcPr>
          <w:p>
            <w:pPr>
              <w:jc w:val="right"/>
              <w:ind w:right="194"/>
              <w:spacing w:after="0"/>
              <w:rPr>
                <w:sz w:val="20"/>
                <w:szCs w:val="20"/>
                <w:color w:val="auto"/>
              </w:rPr>
            </w:pPr>
            <w:r>
              <w:rPr>
                <w:rFonts w:ascii="Arial" w:cs="Arial" w:eastAsia="Arial" w:hAnsi="Arial"/>
                <w:sz w:val="20"/>
                <w:szCs w:val="20"/>
                <w:color w:val="0000FF"/>
              </w:rPr>
              <w:t>3.503</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60" w:type="dxa"/>
            <w:vAlign w:val="bottom"/>
            <w:gridSpan w:val="2"/>
          </w:tcPr>
          <w:p>
            <w:pPr>
              <w:jc w:val="right"/>
              <w:ind w:right="341"/>
              <w:spacing w:after="0"/>
              <w:rPr>
                <w:sz w:val="20"/>
                <w:szCs w:val="20"/>
                <w:color w:val="auto"/>
              </w:rPr>
            </w:pPr>
            <w:r>
              <w:rPr>
                <w:rFonts w:ascii="Arial" w:cs="Arial" w:eastAsia="Arial" w:hAnsi="Arial"/>
                <w:sz w:val="13"/>
                <w:szCs w:val="13"/>
                <w:color w:val="008000"/>
              </w:rPr>
              <w:t>(6)</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01/28/2031</w:t>
            </w:r>
          </w:p>
        </w:tc>
        <w:tc>
          <w:tcPr>
            <w:tcW w:w="1720" w:type="dxa"/>
            <w:vAlign w:val="bottom"/>
          </w:tcPr>
          <w:p>
            <w:pPr>
              <w:jc w:val="center"/>
              <w:ind w:left="51"/>
              <w:spacing w:after="0"/>
              <w:rPr>
                <w:sz w:val="20"/>
                <w:szCs w:val="20"/>
                <w:color w:val="auto"/>
              </w:rPr>
            </w:pPr>
            <w:r>
              <w:rPr>
                <w:rFonts w:ascii="Arial" w:cs="Arial" w:eastAsia="Arial" w:hAnsi="Arial"/>
                <w:sz w:val="20"/>
                <w:szCs w:val="20"/>
                <w:color w:val="0000FF"/>
                <w:w w:val="89"/>
              </w:rPr>
              <w:t>Common Stock</w:t>
            </w:r>
          </w:p>
        </w:tc>
        <w:tc>
          <w:tcPr>
            <w:tcW w:w="900" w:type="dxa"/>
            <w:vAlign w:val="bottom"/>
          </w:tcPr>
          <w:p>
            <w:pPr>
              <w:jc w:val="center"/>
              <w:ind w:left="52"/>
              <w:spacing w:after="0"/>
              <w:rPr>
                <w:sz w:val="20"/>
                <w:szCs w:val="20"/>
                <w:color w:val="auto"/>
              </w:rPr>
            </w:pPr>
            <w:r>
              <w:rPr>
                <w:rFonts w:ascii="Arial" w:cs="Arial" w:eastAsia="Arial" w:hAnsi="Arial"/>
                <w:sz w:val="20"/>
                <w:szCs w:val="20"/>
                <w:color w:val="0000FF"/>
                <w:w w:val="84"/>
              </w:rPr>
              <w:t>67,944</w:t>
            </w:r>
          </w:p>
        </w:tc>
        <w:tc>
          <w:tcPr>
            <w:tcW w:w="60" w:type="dxa"/>
            <w:vAlign w:val="bottom"/>
          </w:tcPr>
          <w:p>
            <w:pPr>
              <w:spacing w:after="0"/>
              <w:rPr>
                <w:sz w:val="24"/>
                <w:szCs w:val="24"/>
                <w:color w:val="auto"/>
              </w:rPr>
            </w:pPr>
          </w:p>
        </w:tc>
        <w:tc>
          <w:tcPr>
            <w:tcW w:w="940" w:type="dxa"/>
            <w:vAlign w:val="bottom"/>
          </w:tcPr>
          <w:p>
            <w:pPr>
              <w:jc w:val="right"/>
              <w:ind w:right="194"/>
              <w:spacing w:after="0"/>
              <w:rPr>
                <w:sz w:val="20"/>
                <w:szCs w:val="20"/>
                <w:color w:val="auto"/>
              </w:rPr>
            </w:pPr>
            <w:r>
              <w:rPr>
                <w:rFonts w:ascii="Arial" w:cs="Arial" w:eastAsia="Arial" w:hAnsi="Arial"/>
                <w:sz w:val="20"/>
                <w:szCs w:val="20"/>
                <w:color w:val="0000FF"/>
              </w:rPr>
              <w:t>3.503</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shall vest and become exercisable in equally monthly installments over a period of 48 months from January 1, 2018.</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shall vest and become exercisable in monthly installments over a period of 48 months from April 1, 2018.</w:t>
      </w:r>
    </w:p>
    <w:p>
      <w:pPr>
        <w:spacing w:after="0" w:line="52" w:lineRule="exact"/>
        <w:rPr>
          <w:rFonts w:ascii="Arial" w:cs="Arial" w:eastAsia="Arial" w:hAnsi="Arial"/>
          <w:sz w:val="15"/>
          <w:szCs w:val="15"/>
          <w:color w:val="008000"/>
        </w:rPr>
      </w:pPr>
    </w:p>
    <w:p>
      <w:pPr>
        <w:ind w:left="40" w:right="6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shall vest and become exercisable over a four-year period, at a rate of 25% on January 1, 2020, with the remaining option shares vesting in 36 equal monthly installments thereafter.</w:t>
      </w:r>
    </w:p>
    <w:p>
      <w:pPr>
        <w:spacing w:after="0" w:line="26" w:lineRule="exact"/>
        <w:rPr>
          <w:rFonts w:ascii="Arial" w:cs="Arial" w:eastAsia="Arial" w:hAnsi="Arial"/>
          <w:sz w:val="15"/>
          <w:szCs w:val="15"/>
          <w:color w:val="008000"/>
        </w:rPr>
      </w:pPr>
    </w:p>
    <w:p>
      <w:pPr>
        <w:ind w:left="40" w:right="6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shall vest and become exercisable over a four-year period, at a rate of 25% on January 1, 2021, with the remaining option shares vesting in 36 equal monthly installments thereafter.</w:t>
      </w:r>
    </w:p>
    <w:p>
      <w:pPr>
        <w:spacing w:after="0" w:line="26" w:lineRule="exact"/>
        <w:rPr>
          <w:rFonts w:ascii="Arial" w:cs="Arial" w:eastAsia="Arial" w:hAnsi="Arial"/>
          <w:sz w:val="15"/>
          <w:szCs w:val="15"/>
          <w:color w:val="008000"/>
        </w:rPr>
      </w:pPr>
    </w:p>
    <w:p>
      <w:pPr>
        <w:ind w:left="40" w:right="6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shall vest and become exercisable over a four-year period, at a rate of 25% on January 1, 2022, with the remaining option shares vesting in 36 equal monthly installments thereafter.</w:t>
      </w:r>
    </w:p>
    <w:p>
      <w:pPr>
        <w:spacing w:after="0" w:line="26" w:lineRule="exact"/>
        <w:rPr>
          <w:rFonts w:ascii="Arial" w:cs="Arial" w:eastAsia="Arial" w:hAnsi="Arial"/>
          <w:sz w:val="15"/>
          <w:szCs w:val="15"/>
          <w:color w:val="008000"/>
        </w:rPr>
      </w:pPr>
    </w:p>
    <w:p>
      <w:pPr>
        <w:ind w:left="40" w:right="6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shall vest and become exercisable over a four-year period, at a rate of 25% on January 1, 2022, with the remaining option shares vesting in 36 equal monthly installments 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Power of Attorney</w:t>
      </w:r>
    </w:p>
    <w:p>
      <w:pPr>
        <w:spacing w:after="0" w:line="38"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By: /s/ Daniella Beckman,</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08/12/2021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20" w:type="dxa"/>
            <w:vAlign w:val="bottom"/>
            <w:vMerge w:val="restart"/>
          </w:tcPr>
          <w:p>
            <w:pPr>
              <w:spacing w:after="0" w:line="220" w:lineRule="exact"/>
              <w:rPr>
                <w:sz w:val="20"/>
                <w:szCs w:val="20"/>
                <w:color w:val="auto"/>
              </w:rPr>
            </w:pPr>
            <w:r>
              <w:rPr>
                <w:rFonts w:ascii="Arial" w:cs="Arial" w:eastAsia="Arial" w:hAnsi="Arial"/>
                <w:sz w:val="20"/>
                <w:szCs w:val="20"/>
                <w:color w:val="0000FF"/>
                <w:w w:val="87"/>
              </w:rPr>
              <w:t>as attorney-in-fact</w:t>
            </w:r>
          </w:p>
        </w:tc>
        <w:tc>
          <w:tcPr>
            <w:tcW w:w="76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20" w:type="dxa"/>
            <w:vAlign w:val="bottom"/>
            <w:tcBorders>
              <w:bottom w:val="single" w:sz="8" w:color="auto"/>
            </w:tcBorders>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Intentional misstatements or omissions of facts constitute Federal Criminal Violations </w:t>
            </w:r>
            <w:r>
              <w:rPr>
                <w:rFonts w:ascii="Arial" w:cs="Arial" w:eastAsia="Arial" w:hAnsi="Arial"/>
                <w:sz w:val="15"/>
                <w:szCs w:val="15"/>
                <w:i w:val="1"/>
                <w:iCs w:val="1"/>
                <w:color w:val="auto"/>
              </w:rPr>
              <w:t>See</w:t>
            </w:r>
            <w:r>
              <w:rPr>
                <w:rFonts w:ascii="Arial" w:cs="Arial" w:eastAsia="Arial" w:hAnsi="Arial"/>
                <w:sz w:val="15"/>
                <w:szCs w:val="15"/>
                <w:color w:val="auto"/>
              </w:rPr>
              <w:t xml:space="preserve"> 18 U.S.C. 1001 and 15 U.S.C. 78ff(a).</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Note: File three copies of this Form, one of which must be manually signed. If space is insufficient,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6 for procedure.</w:t>
      </w:r>
    </w:p>
    <w:p>
      <w:pPr>
        <w:spacing w:after="0" w:line="50" w:lineRule="exact"/>
        <w:rPr>
          <w:sz w:val="20"/>
          <w:szCs w:val="20"/>
          <w:color w:val="auto"/>
        </w:rPr>
      </w:pP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4" w:right="559" w:bottom="1440" w:gutter="0" w:footer="0" w:header="0"/>
        </w:sectPr>
      </w:pPr>
    </w:p>
    <w:bookmarkStart w:id="2" w:name="page3"/>
    <w:bookmarkEnd w:id="2"/>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936"/>
        <w:spacing w:after="0" w:line="236"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Barbara Weber, Daniella Beckman and William Collins, signing singly, the undersigned's true and lawful attorney-in-fact to:</w:t>
      </w:r>
    </w:p>
    <w:p>
      <w:pPr>
        <w:spacing w:after="0" w:line="232" w:lineRule="exact"/>
        <w:rPr>
          <w:sz w:val="20"/>
          <w:szCs w:val="20"/>
          <w:color w:val="auto"/>
        </w:rPr>
      </w:pPr>
    </w:p>
    <w:p>
      <w:pPr>
        <w:ind w:left="1400" w:right="739" w:hanging="464"/>
        <w:spacing w:after="0" w:line="264" w:lineRule="auto"/>
        <w:tabs>
          <w:tab w:leader="none" w:pos="14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Tango Therapeutics, Inc. (the "Company"), (i) Form ID, including any attached documents, to effect the assignment of codes to the undersigned to be used in the transmission of information to the United States Securities and Exchange Commission using the EDGAR System, (ii) Forms 3, 4 and 5,</w:t>
      </w:r>
    </w:p>
    <w:p>
      <w:pPr>
        <w:spacing w:after="0" w:line="4" w:lineRule="exact"/>
        <w:rPr>
          <w:rFonts w:ascii="Courier New" w:cs="Courier New" w:eastAsia="Courier New" w:hAnsi="Courier New"/>
          <w:sz w:val="18"/>
          <w:szCs w:val="18"/>
          <w:color w:val="auto"/>
        </w:rPr>
      </w:pPr>
    </w:p>
    <w:p>
      <w:pPr>
        <w:ind w:left="1400" w:right="619" w:firstLine="5"/>
        <w:spacing w:after="0" w:line="236" w:lineRule="auto"/>
        <w:tabs>
          <w:tab w:leader="none" w:pos="2102" w:val="left"/>
        </w:tabs>
        <w:numPr>
          <w:ilvl w:val="1"/>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Schedule 13D, (iv) Schedule 13G and (v) amendments of each thereof, in accordance with Section 16(a) of the Securities Exchange Act of 1934, as amended, and the rules thereunder;</w:t>
      </w:r>
    </w:p>
    <w:p>
      <w:pPr>
        <w:spacing w:after="0" w:line="232" w:lineRule="exact"/>
        <w:rPr>
          <w:rFonts w:ascii="Courier New" w:cs="Courier New" w:eastAsia="Courier New" w:hAnsi="Courier New"/>
          <w:sz w:val="20"/>
          <w:szCs w:val="20"/>
          <w:color w:val="auto"/>
        </w:rPr>
      </w:pPr>
    </w:p>
    <w:p>
      <w:pPr>
        <w:ind w:left="1400" w:right="619" w:hanging="464"/>
        <w:spacing w:after="0" w:line="237"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233" w:lineRule="exact"/>
        <w:rPr>
          <w:rFonts w:ascii="Courier New" w:cs="Courier New" w:eastAsia="Courier New" w:hAnsi="Courier New"/>
          <w:sz w:val="20"/>
          <w:szCs w:val="20"/>
          <w:color w:val="auto"/>
        </w:rPr>
      </w:pPr>
    </w:p>
    <w:p>
      <w:pPr>
        <w:ind w:left="1400" w:right="619" w:hanging="464"/>
        <w:spacing w:after="0" w:line="237"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32" w:lineRule="exact"/>
        <w:rPr>
          <w:sz w:val="20"/>
          <w:szCs w:val="20"/>
          <w:color w:val="auto"/>
        </w:rPr>
      </w:pPr>
    </w:p>
    <w:p>
      <w:pPr>
        <w:ind w:right="619" w:firstLine="936"/>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230"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12th day of August,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Alan Huang</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Name: Alan Huang</w:t>
      </w:r>
    </w:p>
    <w:p>
      <w:pPr>
        <w:sectPr>
          <w:pgSz w:w="11900" w:h="16838" w:orient="portrait"/>
          <w:cols w:equalWidth="0" w:num="1">
            <w:col w:w="9979"/>
          </w:cols>
          <w:pgMar w:left="480" w:top="136" w:right="1440" w:bottom="105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7364" TargetMode="External"/><Relationship Id="rId11"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2021-08-12T19:43:11Z</dcterms:created>
  <dcterms:modified xsi:type="dcterms:W3CDTF">2021-08-12T19:43:11Z</dcterms:modified>
</cp:coreProperties>
</file>