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10,147,867.00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10,147,867.00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10,147,867.00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(a) 9,081,201 shares of Common Stock and (b) 1,066,666 shares of the Common Stock underlying Pre-Funded Warrants which are exercisable within 60 days of this Statement.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to the extent that doing so would result in the holder of the Pre-Funded Warrants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As of the date of this filing, the Reporting Persons (as defined in Item 2(a) below) hold less than the Beneficial Ownership Limitation in the aggregate. Based on 145,714,648 shares of Common Stock, as follows: (a) 144,647,982 shares of Common Stock outstanding as of May 6, 2026, as reported by the Issuer (as defined in Item 1(a) below) in its quarterly report filed with the Securities and Exchange Commission (the Commission) on May 13, 2026 (the Form 10-Q), plus (b) 1,066,666 shares of Common Stock underlying Pre-Funded Warrants which are exercisable within 60 days of this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10,147,867.00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10,147,867.00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10,147,867.00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(a) 9,081,201 shares of Common Stock and (b) 1,066,666 shares of the Common Stock underlying Pre-Funded Warrants which are exercisable within 60 days of this Statement.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due to the Beneficial Ownership Limitation. As of the date of this filing, the Reporting Persons hold less than the Beneficial Ownership Limitation in the aggregate. Based on 145,714,648 shares of Common Stock, as follows: (a) 144,647,982 shares of Common Stock outstanding as of May 6, 2026, as reported by the Issuer in the Form 10-Q, plus (b) 1,066,666 shares of Common Stock underlying Pre-Funded Warrants which are exercisable within 60 days of this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10,147,867.00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10,147,867.00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10,147,867.00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(a) 9,081,201 shares of Common Stock and (b) 1,066,666 shares of the Common Stock underlying Pre-Funded Warrants which are exercisable within 60 days of this Statement.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The Pre-Funded Warrants contain a provision which prohibits the exercise of the Pre-Funded Warrants due to the Beneficial Ownership Limitation. As of the date of this filing, the Reporting Persons hold less than the Beneficial Ownership Limitation in the aggregate. Based on 145,714,648 shares of Common Stock, as follows: (a) 144,647,982 shares of Common Stock outstanding as of May 6, 2026, as reported by the Issuer in the Form 10-Q, plus (b) 1,066,666 shares of Common Stock underlying Pre-Funded Warrants which are exercisable within 60 days of this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4 (Amendment No. 4) amends and supplements the Schedule 13G initially filed with the Commission on November 20, 2024, as amended by Amendment No. 1 filed with the Commission on November 14, 2025, Amendment No. 2 filed with the Commission on February 17, 2026 and Amendment No. 3 filed with the Commission on May 15, 2026 (the Original Schedule 13G) and is being filed by TCG Crossover Fund II, L.P. (TCG Crossover II), TCG Crossover GP II, LLC (TCG Crossover GP II, and together with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4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II is a limited liability company organized under the laws of the State of Delaware. TCG Crossover II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TCG Crossover II and the limited liability company agreement of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2315</Words>
  <Characters>11841</Characters>
  <CharactersWithSpaces>14106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