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ngx-20260630.htm"/>
      <w:bookmarkStart w:id="1" w:name="kstngx20260630"/>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i113.ROC</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 to 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001-39485</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TANGO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872" w:type="dxa"/>
        <w:jc w:val="left"/>
        <w:tblInd w:w="0" w:type="dxa"/>
        <w:tblLayout w:type="fixed"/>
        <w:tblCellMar>
          <w:top w:w="28" w:type="dxa"/>
          <w:left w:w="28" w:type="dxa"/>
          <w:bottom w:w="28" w:type="dxa"/>
          <w:right w:w="28" w:type="dxa"/>
        </w:tblCellMar>
      </w:tblPr>
      <w:tblGrid>
        <w:gridCol w:w="2626"/>
        <w:gridCol w:w="1246"/>
      </w:tblGrid>
      <w:tr>
        <w:trPr/>
        <w:tc>
          <w:tcPr>
            <w:tcW w:w="26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85-1195036</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201 Brookline Ave., Suite 901</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02215</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(857) 320-4900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005" w:type="dxa"/>
        <w:jc w:val="left"/>
        <w:tblInd w:w="0" w:type="dxa"/>
        <w:tblLayout w:type="fixed"/>
        <w:tblCellMar>
          <w:top w:w="28" w:type="dxa"/>
          <w:left w:w="28" w:type="dxa"/>
          <w:bottom w:w="28" w:type="dxa"/>
          <w:right w:w="28" w:type="dxa"/>
        </w:tblCellMar>
      </w:tblPr>
      <w:tblGrid>
        <w:gridCol w:w="3571"/>
        <w:gridCol w:w="146"/>
        <w:gridCol w:w="826"/>
        <w:gridCol w:w="146"/>
        <w:gridCol w:w="331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TNGX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4, 2026, the registrant had 168,610,367</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am_1_financial_statement">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_loss">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redeem">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business is subject to numerous material and other risks that you should be aware of before making an investment decision with respect to our securities. These risks are described more fully in Part I, Item 1A of our Annual Report on Form 10-K for the year ended December 31, 2025 and this Quarterly Report on Form 10-Q. These risks include, among others, the following (which is not an exhaustive list of all such risks):</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have incurred significant net losses since our inception and anticipate that we will continue to incur losses for the foreseeable future. We expect our operating results to fluctuate significantly in the future as our business advances.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have never successfully completed any clinical trials and we may be unable to do so for any product candidates we develop. Certain of our programs are still in preclinical development and may never advance to clinical development.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clinical trials and target engagement.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product development involves a lengthy and expensive process, with an uncertain outcome. Further, our current and potential future collaborations may not realize the anticipated benefits.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we experience delays or difficulties in the initiation, enrollment or dosing of patients in clinical trials, the announcement of clinical trial results and our receipt of necessary regulatory approvals (if any) could be delayed or prevented.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health crises may materially and adversely affect our business and our financial results and could cause a disruption to the development of our product candidates and the initiation and completion of clinical trials.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r>
              <w:rPr>
                <w:rFonts w:ascii="Times New Roman" w:hAnsi="Times New Roman"/>
                <w:i/>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contract with a limited number of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rely on a very limited number of third parties for the supply of API, and drug product to be used in our product candidates (for example, an affiliate of WuXi AppTec is the sole source of API for all of our clinical-stage product candidates), and WuXi AppTec has been the subject of proposed Congressional legislation that, if enacted, could materially restrict our ability to conduct business with, and obtain API from, WuXi AppTec. The loss of any of these suppliers, including WuXi AppTec, could significantly harm our business.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we cannot obtain new patents, maintain our existing patents and protect the confidentiality and proprietary nature of our trade secrets and other intellectual property, our business and competitive position may be harmed.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of combination therapies may present more or different challenges than development of single agent therapies.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Inadequate funding for government agencies in or outside the United States, including from government shutdowns or other disruptions to these agencies' staffing and operations, could prevent new products and services being developed or commercialized in a timely manner or otherwise prevent those agencies from performing normal business functions on which the operation of our business may rely, which could negatively impact our business. Unfavorable global economic conditions could adversely affect our business, financial condition or results of operations.</w:t>
            </w:r>
          </w:p>
        </w:tc>
      </w:tr>
    </w:tbl>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Quarterly Report on Form 10-Q contains express or implied forward-looking statements within the meaning of Section 27A of the Securities Act of 1933, as amended, and Section 21E of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timing of upcoming clinical milestones and data disclosures, including our plans to: (a) disclose clinical data in the lung cancer cohort of the vopimetostat monotherapy clinical trial in 2026, (b) disclose initial safety and efficacy data from the TNG456 Phase 1/2 clinical trial in 2026 and (c) initiate a Phase 1/2 combination clinical trial of vopimetostat and ERAS-0015 in the second half of 2026;</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and potential (or those of third parties) to manufacture our drug product, drug substance and product candidates successfully for preclinical use, for clinical trials and on a larger scale for commercial use, if approved;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ability and willingness of our third-party strategic collaborators to continue research and development activities relating to our development candidates and product candidates;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obtain funding for our operations necessary to complete further research, development and commercialization (if approved) of our product candidates (and that existing cash, cash equivalents and marketable securities will enable us to meet our current operating plan and fund our operating expenses and capital expenditure requirements for at least the next 12 months);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our ability to obtain and, if approved, maintain regulatory approval of our product candidates (as well as approval or clearance of screening tests and companion diagnostic tests for our product candidates) and the potential paths to approval for our product candidates, including for vopimetostat as a monotherapy or in combination in MTAP-deleted pancreatic and lung cancer, including our plans to continue working internally and with regulators and our collaborator Revolution Medicines toward the goal of developing a registrational plan and path forward for vopimetostat plus daraxonrasib in MTAP-deleted pancreatic cancer</w:t>
            </w:r>
            <w:r>
              <w:rPr>
                <w:rFonts w:ascii="Times New Roman" w:hAnsi="Times New Roman"/>
                <w:color w:val="FF0000"/>
                <w:sz w:val="20"/>
              </w:rPr>
              <w:t>;</w:t>
            </w:r>
          </w:p>
        </w:tc>
      </w:tr>
    </w:tbl>
    <w:tbl>
      <w:tblPr>
        <w:tblW w:w="5007" w:type="dxa"/>
        <w:jc w:val="left"/>
        <w:tblInd w:w="0" w:type="dxa"/>
        <w:tblLayout w:type="fixed"/>
        <w:tblCellMar>
          <w:top w:w="28" w:type="dxa"/>
          <w:left w:w="28" w:type="dxa"/>
          <w:bottom w:w="28" w:type="dxa"/>
          <w:right w:w="28" w:type="dxa"/>
        </w:tblCellMar>
      </w:tblPr>
      <w:tblGrid>
        <w:gridCol w:w="161"/>
        <w:gridCol w:w="109"/>
        <w:gridCol w:w="146"/>
        <w:gridCol w:w="45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commercialize our products, if approved;</w:t>
            </w:r>
          </w:p>
        </w:tc>
      </w:tr>
    </w:tbl>
    <w:tbl>
      <w:tblPr>
        <w:tblW w:w="6237" w:type="dxa"/>
        <w:jc w:val="left"/>
        <w:tblInd w:w="0" w:type="dxa"/>
        <w:tblLayout w:type="fixed"/>
        <w:tblCellMar>
          <w:top w:w="28" w:type="dxa"/>
          <w:left w:w="28" w:type="dxa"/>
          <w:bottom w:w="28" w:type="dxa"/>
          <w:right w:w="28" w:type="dxa"/>
        </w:tblCellMar>
      </w:tblPr>
      <w:tblGrid>
        <w:gridCol w:w="161"/>
        <w:gridCol w:w="109"/>
        <w:gridCol w:w="146"/>
        <w:gridCol w:w="582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tc>
      </w:tr>
    </w:tbl>
    <w:tbl>
      <w:tblPr>
        <w:tblW w:w="8892" w:type="dxa"/>
        <w:jc w:val="left"/>
        <w:tblInd w:w="0" w:type="dxa"/>
        <w:tblLayout w:type="fixed"/>
        <w:tblCellMar>
          <w:top w:w="28" w:type="dxa"/>
          <w:left w:w="28" w:type="dxa"/>
          <w:bottom w:w="28" w:type="dxa"/>
          <w:right w:w="28" w:type="dxa"/>
        </w:tblCellMar>
      </w:tblPr>
      <w:tblGrid>
        <w:gridCol w:w="161"/>
        <w:gridCol w:w="109"/>
        <w:gridCol w:w="146"/>
        <w:gridCol w:w="847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 candidates;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our ability to enforce our intellectual property rights;</w:t>
            </w:r>
          </w:p>
        </w:tc>
      </w:tr>
    </w:tbl>
    <w:tbl>
      <w:tblPr>
        <w:tblW w:w="8067" w:type="dxa"/>
        <w:jc w:val="left"/>
        <w:tblInd w:w="0" w:type="dxa"/>
        <w:tblLayout w:type="fixed"/>
        <w:tblCellMar>
          <w:top w:w="28" w:type="dxa"/>
          <w:left w:w="28" w:type="dxa"/>
          <w:bottom w:w="28" w:type="dxa"/>
          <w:right w:w="28" w:type="dxa"/>
        </w:tblCellMar>
      </w:tblPr>
      <w:tblGrid>
        <w:gridCol w:w="161"/>
        <w:gridCol w:w="109"/>
        <w:gridCol w:w="146"/>
        <w:gridCol w:w="76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estimates of our future expenses, capital requirements, and our need for additional financing;</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potential benefits of strategic collaboration agreements (including our clinical trial and supply agreements with Revolution Medicines and Erasca), our ability to enter into strategic collaborations or arrangements, and our ability to attract collaborators with development, regulatory and commercialization expertise;</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agreements with third parties (i) in connection with clinical trials; (ii) to successfully manufacture our drug substances for preclinical use, for clinical trials and on a larger scale for commercial use, if approved; and (iii) in connection with the commercialization of our product candidates (if approved) and any other approved products;</w:t>
            </w:r>
          </w:p>
        </w:tc>
      </w:tr>
    </w:tbl>
    <w:tbl>
      <w:tblPr>
        <w:tblW w:w="9462" w:type="dxa"/>
        <w:jc w:val="left"/>
        <w:tblInd w:w="0" w:type="dxa"/>
        <w:tblLayout w:type="fixed"/>
        <w:tblCellMar>
          <w:top w:w="28" w:type="dxa"/>
          <w:left w:w="28" w:type="dxa"/>
          <w:bottom w:w="28" w:type="dxa"/>
          <w:right w:w="28" w:type="dxa"/>
        </w:tblCellMar>
      </w:tblPr>
      <w:tblGrid>
        <w:gridCol w:w="161"/>
        <w:gridCol w:w="109"/>
        <w:gridCol w:w="146"/>
        <w:gridCol w:w="904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financial performance, including the expectation that we will continue to incur operating losses and negative cash flow;</w:t>
            </w:r>
          </w:p>
        </w:tc>
      </w:tr>
    </w:tbl>
    <w:tbl>
      <w:tblPr>
        <w:tblW w:w="7047" w:type="dxa"/>
        <w:jc w:val="left"/>
        <w:tblInd w:w="0" w:type="dxa"/>
        <w:tblLayout w:type="fixed"/>
        <w:tblCellMar>
          <w:top w:w="28" w:type="dxa"/>
          <w:left w:w="28" w:type="dxa"/>
          <w:bottom w:w="28" w:type="dxa"/>
          <w:right w:w="28" w:type="dxa"/>
        </w:tblCellMar>
      </w:tblPr>
      <w:tblGrid>
        <w:gridCol w:w="161"/>
        <w:gridCol w:w="109"/>
        <w:gridCol w:w="146"/>
        <w:gridCol w:w="663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rate and degree of market acceptance of our product candidates, if approved;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developments in the United States and foreign countries, including product approval requirements and pricing regulations by U.S. regulatory authorities (such as the Centers for Medicare &amp; Medicaid Services) and foreign regulatory authorities; and the outcome of discussions with such regulatory authorities regarding our clinical trial design;</w:t>
            </w:r>
          </w:p>
        </w:tc>
      </w:tr>
    </w:tbl>
    <w:tbl>
      <w:tblPr>
        <w:tblW w:w="9207" w:type="dxa"/>
        <w:jc w:val="left"/>
        <w:tblInd w:w="0" w:type="dxa"/>
        <w:tblLayout w:type="fixed"/>
        <w:tblCellMar>
          <w:top w:w="28" w:type="dxa"/>
          <w:left w:w="28" w:type="dxa"/>
          <w:bottom w:w="28" w:type="dxa"/>
          <w:right w:w="28" w:type="dxa"/>
        </w:tblCellMar>
      </w:tblPr>
      <w:tblGrid>
        <w:gridCol w:w="161"/>
        <w:gridCol w:w="109"/>
        <w:gridCol w:w="146"/>
        <w:gridCol w:w="879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(or the ability of third parties with whom we contract) to produce our products or product candidates with advantages in turnaround times or manufacturing cost;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deliver the deep, durable target inhibition — with favorable tolerability and safety profiles — necessary to maximize clinical benefit as a result of the unique ability of synthetic lethal targeting to spare normal cells, as well as the success of competing therapies that may become available;</w:t>
            </w:r>
          </w:p>
        </w:tc>
      </w:tr>
    </w:tbl>
    <w:tbl>
      <w:tblPr>
        <w:tblW w:w="6372" w:type="dxa"/>
        <w:jc w:val="left"/>
        <w:tblInd w:w="0" w:type="dxa"/>
        <w:tblLayout w:type="fixed"/>
        <w:tblCellMar>
          <w:top w:w="28" w:type="dxa"/>
          <w:left w:w="28" w:type="dxa"/>
          <w:bottom w:w="28" w:type="dxa"/>
          <w:right w:w="28" w:type="dxa"/>
        </w:tblCellMar>
      </w:tblPr>
      <w:tblGrid>
        <w:gridCol w:w="161"/>
        <w:gridCol w:w="109"/>
        <w:gridCol w:w="146"/>
        <w:gridCol w:w="59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ability to attract and retain key scientific or management personnel;</w:t>
            </w:r>
          </w:p>
        </w:tc>
      </w:tr>
    </w:tbl>
    <w:tbl>
      <w:tblPr>
        <w:tblW w:w="3402" w:type="dxa"/>
        <w:jc w:val="left"/>
        <w:tblInd w:w="0" w:type="dxa"/>
        <w:tblLayout w:type="fixed"/>
        <w:tblCellMar>
          <w:top w:w="28" w:type="dxa"/>
          <w:left w:w="28" w:type="dxa"/>
          <w:bottom w:w="28" w:type="dxa"/>
          <w:right w:w="28" w:type="dxa"/>
        </w:tblCellMar>
      </w:tblPr>
      <w:tblGrid>
        <w:gridCol w:w="161"/>
        <w:gridCol w:w="109"/>
        <w:gridCol w:w="146"/>
        <w:gridCol w:w="298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impact of laws and regulations;</w:t>
            </w:r>
          </w:p>
        </w:tc>
      </w:tr>
    </w:tbl>
    <w:tbl>
      <w:tblPr>
        <w:tblW w:w="10205" w:type="dxa"/>
        <w:jc w:val="left"/>
        <w:tblInd w:w="0" w:type="dxa"/>
        <w:tblLayout w:type="fixed"/>
        <w:tblCellMar>
          <w:top w:w="28" w:type="dxa"/>
          <w:left w:w="28" w:type="dxa"/>
          <w:bottom w:w="28" w:type="dxa"/>
          <w:right w:w="28" w:type="dxa"/>
        </w:tblCellMar>
      </w:tblPr>
      <w:tblGrid>
        <w:gridCol w:w="161"/>
        <w:gridCol w:w="146"/>
        <w:gridCol w:w="146"/>
        <w:gridCol w:w="975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5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5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developments relating to our competitors and industry;</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impact of trade restrictions (such as sanctions or tariffs); regulatory requirements, legal actions, or enforcement; volatility in inflation or interest rates; and inadequate funding for government agencies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effect of public health crises on our business operations, including but not limited to our preclinical studies and clinical trials and any future studies or trials; </w:t>
            </w:r>
          </w:p>
        </w:tc>
      </w:tr>
    </w:tbl>
    <w:p>
      <w:pPr>
        <w:pStyle w:val="TextBody"/>
        <w:bidi w:val="0"/>
        <w:jc w:val="left"/>
        <w:rPr/>
      </w:pPr>
      <w:r>
        <w:rPr/>
        <w:t> </w:t>
      </w:r>
    </w:p>
    <w:tbl>
      <w:tblPr>
        <w:tblW w:w="7422" w:type="dxa"/>
        <w:jc w:val="left"/>
        <w:tblInd w:w="0" w:type="dxa"/>
        <w:tblLayout w:type="fixed"/>
        <w:tblCellMar>
          <w:top w:w="28" w:type="dxa"/>
          <w:left w:w="28" w:type="dxa"/>
          <w:bottom w:w="28" w:type="dxa"/>
          <w:right w:w="28" w:type="dxa"/>
        </w:tblCellMar>
      </w:tblPr>
      <w:tblGrid>
        <w:gridCol w:w="161"/>
        <w:gridCol w:w="109"/>
        <w:gridCol w:w="146"/>
        <w:gridCol w:w="70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expected benefit of our drugs in patients as single agents and/or in combination;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the potential of preclinical and initial clinical data to support clinical trial results, including (i) our belief that robust preclinical data and initial clinical data for vopimetostat and RAS(ON) inhibitors support a potentially strong combination effect in clinical trials of vopimetostat in combination with RAS inhibitors and (ii) our belief that strong preclinical data and initial clinical data showing significant </w:t>
            </w:r>
            <w:r>
              <w:rPr>
                <w:rFonts w:ascii="Times New Roman" w:hAnsi="Times New Roman"/>
                <w:i/>
                <w:color w:val="000000"/>
                <w:sz w:val="20"/>
              </w:rPr>
              <w:t>in vivo</w:t>
            </w:r>
            <w:r>
              <w:rPr>
                <w:rFonts w:ascii="Times New Roman" w:hAnsi="Times New Roman"/>
                <w:color w:val="000000"/>
                <w:sz w:val="20"/>
              </w:rPr>
              <w:t> combination benefit could support potential clinical combinations of our PRMT5 inhibitors with CDK4/6 or MAT2A inhibitors, as well as other oncogene-targeted therapies;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potential benefits and development paths of our drugs as monotherapies and in combination with RAS inhibitors;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risks and uncertainties, including those identified in Part II, Item 1A of this Quarterly Report on Form 10-Q and in Part I, Item 1A of our Annual Report on Form 10-K for the year ended December 31, 2025. In both cases, see section titled “Risk Factors.”</w:t>
            </w:r>
          </w:p>
        </w:tc>
      </w:tr>
    </w:tbl>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forward-looking statements contained in Part I, Item 1A of our Annual Report on Form 10-K for the year ended December 31, 2025 and Part II, Item 1A of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our Annual Report on Form 10-K for the year ended December 31, 2025. Should one or more of these risks or uncertainties materialize, or should any of our assumptions prove incorrect, actual results may vary in material respects from those projected in these forward-looking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USE OF DEFINED TERMS IN THIS QUARTERLY REPORT ON FORM 10-Q</w:t>
      </w:r>
    </w:p>
    <w:p>
      <w:pPr>
        <w:pStyle w:val="TextBody"/>
        <w:bidi w:val="0"/>
        <w:jc w:val="left"/>
        <w:rPr>
          <w:rFonts w:ascii="Times New Roman" w:hAnsi="Times New Roman"/>
          <w:color w:val="000000"/>
          <w:sz w:val="20"/>
        </w:rPr>
      </w:pPr>
      <w:r>
        <w:rPr>
          <w:rFonts w:ascii="Times New Roman" w:hAnsi="Times New Roman"/>
          <w:color w:val="000000"/>
          <w:sz w:val="20"/>
        </w:rPr>
        <w:t>Unless the context otherwise requires in this Quarterly Report on Form 10-Q for the quarter ended June 30, 2026, we use the following defined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color w:val="000000"/>
        </w:rPr>
      </w:pPr>
      <w:r>
        <w:rPr>
          <w:color w:val="000000"/>
        </w:rPr>
        <w:t>“</w:t>
      </w:r>
      <w:r>
        <w:rPr>
          <w:rFonts w:ascii="Times New Roman" w:hAnsi="Times New Roman"/>
          <w:color w:val="000000"/>
          <w:sz w:val="20"/>
        </w:rPr>
        <w:t>the Company”, “Tango”, “we”, “our” and “us” mean Tango Therapeutics, Inc. and its wholly-owned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color w:val="000000"/>
        </w:rPr>
      </w:pPr>
      <w:r>
        <w:rPr>
          <w:color w:val="000000"/>
        </w:rPr>
        <w:t>“</w:t>
      </w:r>
      <w:r>
        <w:rPr>
          <w:rFonts w:ascii="Times New Roman" w:hAnsi="Times New Roman"/>
          <w:color w:val="000000"/>
          <w:sz w:val="20"/>
        </w:rPr>
        <w:t>1260H” means Section 1260H of the National Defense Authorization Act for Fiscal Year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color w:val="000000"/>
        </w:rPr>
      </w:pPr>
      <w:r>
        <w:rPr>
          <w:color w:val="000000"/>
        </w:rPr>
        <w:t>“</w:t>
      </w:r>
      <w:r>
        <w:rPr>
          <w:rFonts w:ascii="Times New Roman" w:hAnsi="Times New Roman"/>
          <w:color w:val="000000"/>
          <w:sz w:val="20"/>
        </w:rPr>
        <w:t xml:space="preserve">2017 Plan” means the 2017 Stock Option and Grant Plan, as amended;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color w:val="000000"/>
        </w:rPr>
      </w:pPr>
      <w:r>
        <w:rPr>
          <w:color w:val="000000"/>
        </w:rPr>
        <w:t>“</w:t>
      </w:r>
      <w:r>
        <w:rPr>
          <w:rFonts w:ascii="Times New Roman" w:hAnsi="Times New Roman"/>
          <w:color w:val="000000"/>
          <w:sz w:val="20"/>
        </w:rPr>
        <w:t xml:space="preserve">2018 Gilead Agreement” means our Research Collaboration and License Agreement with Gilead, dated October 22, 2018, which was superseded by the Gilead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color w:val="000000"/>
        </w:rPr>
      </w:pPr>
      <w:r>
        <w:rPr>
          <w:color w:val="000000"/>
        </w:rPr>
        <w:t>“</w:t>
      </w:r>
      <w:r>
        <w:rPr>
          <w:rFonts w:ascii="Times New Roman" w:hAnsi="Times New Roman"/>
          <w:color w:val="000000"/>
          <w:sz w:val="20"/>
        </w:rPr>
        <w:t xml:space="preserve">2021 ESPP” means the 2021 Employee Stock Purchase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color w:val="000000"/>
        </w:rPr>
      </w:pPr>
      <w:r>
        <w:rPr>
          <w:color w:val="000000"/>
        </w:rPr>
        <w:t>“</w:t>
      </w:r>
      <w:r>
        <w:rPr>
          <w:rFonts w:ascii="Times New Roman" w:hAnsi="Times New Roman"/>
          <w:color w:val="000000"/>
          <w:sz w:val="20"/>
        </w:rPr>
        <w:t>2021 Plan” means the 2021 Option and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left"/>
        <w:rPr>
          <w:color w:val="000000"/>
        </w:rPr>
      </w:pPr>
      <w:r>
        <w:rPr>
          <w:color w:val="000000"/>
        </w:rPr>
        <w:t>“</w:t>
      </w:r>
      <w:r>
        <w:rPr>
          <w:rFonts w:ascii="Times New Roman" w:hAnsi="Times New Roman"/>
          <w:color w:val="000000"/>
          <w:sz w:val="20"/>
        </w:rPr>
        <w:t>API” means active pharmaceutical ingredients;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viii.</w:t>
      </w:r>
    </w:p>
    <w:p>
      <w:pPr>
        <w:pStyle w:val="TextBody"/>
        <w:bidi w:val="0"/>
        <w:spacing w:before="120" w:after="283"/>
        <w:jc w:val="left"/>
        <w:rPr>
          <w:color w:val="000000"/>
        </w:rPr>
      </w:pPr>
      <w:r>
        <w:rPr>
          <w:color w:val="000000"/>
        </w:rPr>
        <w:t>“</w:t>
      </w:r>
      <w:r>
        <w:rPr>
          <w:rFonts w:ascii="Times New Roman" w:hAnsi="Times New Roman"/>
          <w:color w:val="000000"/>
          <w:sz w:val="20"/>
        </w:rPr>
        <w:t>ASC” means Accounting Standards Codification;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ix.</w:t>
      </w:r>
    </w:p>
    <w:p>
      <w:pPr>
        <w:pStyle w:val="TextBody"/>
        <w:bidi w:val="0"/>
        <w:spacing w:before="120" w:after="283"/>
        <w:jc w:val="left"/>
        <w:rPr>
          <w:color w:val="000000"/>
        </w:rPr>
      </w:pPr>
      <w:r>
        <w:rPr>
          <w:color w:val="000000"/>
        </w:rPr>
        <w:t>“</w:t>
      </w:r>
      <w:r>
        <w:rPr>
          <w:rFonts w:ascii="Times New Roman" w:hAnsi="Times New Roman"/>
          <w:color w:val="000000"/>
          <w:sz w:val="20"/>
        </w:rPr>
        <w:t>ASU” means Accounting Standards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w:t>
      </w:r>
    </w:p>
    <w:p>
      <w:pPr>
        <w:pStyle w:val="TextBody"/>
        <w:bidi w:val="0"/>
        <w:spacing w:before="120" w:after="283"/>
        <w:jc w:val="left"/>
        <w:rPr>
          <w:color w:val="000000"/>
        </w:rPr>
      </w:pPr>
      <w:r>
        <w:rPr>
          <w:color w:val="000000"/>
        </w:rPr>
        <w:t>“</w:t>
      </w:r>
      <w:r>
        <w:rPr>
          <w:rFonts w:ascii="Times New Roman" w:hAnsi="Times New Roman"/>
          <w:color w:val="000000"/>
          <w:sz w:val="20"/>
        </w:rPr>
        <w:t>BCTG” means BCTG Acquisition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w:t>
      </w:r>
    </w:p>
    <w:p>
      <w:pPr>
        <w:pStyle w:val="TextBody"/>
        <w:bidi w:val="0"/>
        <w:spacing w:before="120" w:after="283"/>
        <w:jc w:val="left"/>
        <w:rPr>
          <w:color w:val="000000"/>
        </w:rPr>
      </w:pPr>
      <w:r>
        <w:rPr>
          <w:color w:val="000000"/>
        </w:rPr>
        <w:t>“</w:t>
      </w:r>
      <w:r>
        <w:rPr>
          <w:rFonts w:ascii="Times New Roman" w:hAnsi="Times New Roman"/>
          <w:color w:val="000000"/>
          <w:sz w:val="20"/>
        </w:rPr>
        <w:t>BIOSECURE Act” means Section 851 of the National Defense Authorization Act for Fiscal Year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xii.</w:t>
      </w:r>
    </w:p>
    <w:p>
      <w:pPr>
        <w:pStyle w:val="TextBody"/>
        <w:bidi w:val="0"/>
        <w:spacing w:before="120" w:after="283"/>
        <w:jc w:val="left"/>
        <w:rPr>
          <w:color w:val="000000"/>
        </w:rPr>
      </w:pPr>
      <w:r>
        <w:rPr>
          <w:color w:val="000000"/>
        </w:rPr>
        <w:t>“</w:t>
      </w:r>
      <w:r>
        <w:rPr>
          <w:rFonts w:ascii="Times New Roman" w:hAnsi="Times New Roman"/>
          <w:color w:val="000000"/>
          <w:sz w:val="20"/>
        </w:rPr>
        <w:t>Business Combination” means the merger of BCTG Merger Sub Inc. with and into Tango Therapeutics, Inc. (now known as Tango Therapeutics Sub, Inc.) on August 10, 2021, with Tango Therapeutics, Inc. as the surviving company in the merger as a wholly-owned subsidiary of BCTG (now known as Tango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xiii.</w:t>
      </w:r>
    </w:p>
    <w:p>
      <w:pPr>
        <w:pStyle w:val="TextBody"/>
        <w:bidi w:val="0"/>
        <w:spacing w:before="120" w:after="283"/>
        <w:jc w:val="left"/>
        <w:rPr>
          <w:color w:val="000000"/>
        </w:rPr>
      </w:pPr>
      <w:r>
        <w:rPr>
          <w:color w:val="000000"/>
        </w:rPr>
        <w:t>“</w:t>
      </w:r>
      <w:r>
        <w:rPr>
          <w:rFonts w:ascii="Times New Roman" w:hAnsi="Times New Roman"/>
          <w:color w:val="000000"/>
          <w:sz w:val="20"/>
        </w:rPr>
        <w:t xml:space="preserve">CDMO” means Contract Development and Manufacturing Organizations;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xiv.</w:t>
      </w:r>
    </w:p>
    <w:p>
      <w:pPr>
        <w:pStyle w:val="TextBody"/>
        <w:bidi w:val="0"/>
        <w:spacing w:before="120" w:after="283"/>
        <w:jc w:val="left"/>
        <w:rPr>
          <w:color w:val="000000"/>
        </w:rPr>
      </w:pPr>
      <w:r>
        <w:rPr>
          <w:color w:val="000000"/>
        </w:rPr>
        <w:t>“</w:t>
      </w:r>
      <w:r>
        <w:rPr>
          <w:rFonts w:ascii="Times New Roman" w:hAnsi="Times New Roman"/>
          <w:color w:val="000000"/>
          <w:sz w:val="20"/>
        </w:rPr>
        <w:t>Certificate of Incorporation” means our Second Amended and Restated Certificate of Incorporation, as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xv.</w:t>
      </w:r>
    </w:p>
    <w:p>
      <w:pPr>
        <w:pStyle w:val="TextBody"/>
        <w:bidi w:val="0"/>
        <w:spacing w:before="120" w:after="283"/>
        <w:jc w:val="left"/>
        <w:rPr>
          <w:color w:val="000000"/>
        </w:rPr>
      </w:pPr>
      <w:r>
        <w:rPr>
          <w:color w:val="000000"/>
        </w:rPr>
        <w:t>“</w:t>
      </w:r>
      <w:r>
        <w:rPr>
          <w:rFonts w:ascii="Times New Roman" w:hAnsi="Times New Roman"/>
          <w:color w:val="000000"/>
          <w:sz w:val="20"/>
        </w:rPr>
        <w:t>CNS” means central nervous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xvi.</w:t>
      </w:r>
    </w:p>
    <w:p>
      <w:pPr>
        <w:pStyle w:val="TextBody"/>
        <w:bidi w:val="0"/>
        <w:spacing w:before="120" w:after="283"/>
        <w:jc w:val="left"/>
        <w:rPr>
          <w:color w:val="000000"/>
        </w:rPr>
      </w:pPr>
      <w:r>
        <w:rPr>
          <w:color w:val="000000"/>
        </w:rPr>
        <w:t>“</w:t>
      </w:r>
      <w:r>
        <w:rPr>
          <w:rFonts w:ascii="Times New Roman" w:hAnsi="Times New Roman"/>
          <w:color w:val="000000"/>
          <w:sz w:val="20"/>
        </w:rPr>
        <w:t>CODM” means chief operating decision maker;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xvii.</w:t>
      </w:r>
    </w:p>
    <w:p>
      <w:pPr>
        <w:pStyle w:val="TextBody"/>
        <w:bidi w:val="0"/>
        <w:spacing w:before="120" w:after="283"/>
        <w:jc w:val="left"/>
        <w:rPr>
          <w:color w:val="000000"/>
        </w:rPr>
      </w:pPr>
      <w:r>
        <w:rPr>
          <w:color w:val="000000"/>
        </w:rPr>
        <w:t>“</w:t>
      </w:r>
      <w:r>
        <w:rPr>
          <w:rFonts w:ascii="Times New Roman" w:hAnsi="Times New Roman"/>
          <w:color w:val="000000"/>
          <w:sz w:val="20"/>
        </w:rPr>
        <w:t>CoREST” means Co-repressor of Repressor Element-1 Silencing Transcription;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xviii.</w:t>
      </w:r>
    </w:p>
    <w:p>
      <w:pPr>
        <w:pStyle w:val="TextBody"/>
        <w:bidi w:val="0"/>
        <w:spacing w:before="120" w:after="283"/>
        <w:jc w:val="left"/>
        <w:rPr>
          <w:color w:val="000000"/>
        </w:rPr>
      </w:pPr>
      <w:r>
        <w:rPr>
          <w:color w:val="000000"/>
        </w:rPr>
        <w:t>“</w:t>
      </w:r>
      <w:r>
        <w:rPr>
          <w:rFonts w:ascii="Times New Roman" w:hAnsi="Times New Roman"/>
          <w:color w:val="000000"/>
          <w:sz w:val="20"/>
        </w:rPr>
        <w:t>CTCSA” means Clinical Trial Collaboration and Supply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xix.</w:t>
      </w:r>
    </w:p>
    <w:p>
      <w:pPr>
        <w:pStyle w:val="TextBody"/>
        <w:bidi w:val="0"/>
        <w:spacing w:before="120" w:after="283"/>
        <w:jc w:val="left"/>
        <w:rPr>
          <w:color w:val="000000"/>
        </w:rPr>
      </w:pPr>
      <w:r>
        <w:rPr>
          <w:color w:val="000000"/>
        </w:rPr>
        <w:t>“</w:t>
      </w:r>
      <w:r>
        <w:rPr>
          <w:rFonts w:ascii="Times New Roman" w:hAnsi="Times New Roman"/>
          <w:color w:val="000000"/>
          <w:sz w:val="20"/>
        </w:rPr>
        <w:t xml:space="preserve">DCR” means disease control 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w:t>
      </w:r>
    </w:p>
    <w:p>
      <w:pPr>
        <w:pStyle w:val="TextBody"/>
        <w:bidi w:val="0"/>
        <w:spacing w:before="120" w:after="283"/>
        <w:jc w:val="left"/>
        <w:rPr>
          <w:color w:val="000000"/>
        </w:rPr>
      </w:pPr>
      <w:r>
        <w:rPr>
          <w:color w:val="000000"/>
        </w:rPr>
        <w:t>“</w:t>
      </w:r>
      <w:r>
        <w:rPr>
          <w:rFonts w:ascii="Times New Roman" w:hAnsi="Times New Roman"/>
          <w:color w:val="000000"/>
          <w:sz w:val="20"/>
        </w:rPr>
        <w:t xml:space="preserve">DLTs” means dose-limiting toxicities;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xxi.</w:t>
      </w:r>
    </w:p>
    <w:p>
      <w:pPr>
        <w:pStyle w:val="TextBody"/>
        <w:bidi w:val="0"/>
        <w:spacing w:before="120" w:after="283"/>
        <w:jc w:val="left"/>
        <w:rPr>
          <w:color w:val="000000"/>
        </w:rPr>
      </w:pPr>
      <w:r>
        <w:rPr>
          <w:color w:val="000000"/>
        </w:rPr>
        <w:t>“</w:t>
      </w:r>
      <w:r>
        <w:rPr>
          <w:rFonts w:ascii="Times New Roman" w:hAnsi="Times New Roman"/>
          <w:color w:val="000000"/>
          <w:sz w:val="20"/>
        </w:rPr>
        <w:t>Erasca” means Erasca,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xxii.</w:t>
      </w:r>
    </w:p>
    <w:p>
      <w:pPr>
        <w:pStyle w:val="TextBody"/>
        <w:bidi w:val="0"/>
        <w:spacing w:before="120" w:after="283"/>
        <w:jc w:val="left"/>
        <w:rPr>
          <w:color w:val="000000"/>
        </w:rPr>
      </w:pPr>
      <w:r>
        <w:rPr>
          <w:color w:val="000000"/>
        </w:rPr>
        <w:t>“</w:t>
      </w:r>
      <w:r>
        <w:rPr>
          <w:rFonts w:ascii="Times New Roman" w:hAnsi="Times New Roman"/>
          <w:color w:val="000000"/>
          <w:sz w:val="20"/>
        </w:rPr>
        <w:t>Exchange Act” means the Securities Exchange Act of 1934, as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xxiii.</w:t>
      </w:r>
    </w:p>
    <w:p>
      <w:pPr>
        <w:pStyle w:val="TextBody"/>
        <w:bidi w:val="0"/>
        <w:spacing w:before="120" w:after="283"/>
        <w:jc w:val="left"/>
        <w:rPr>
          <w:color w:val="000000"/>
        </w:rPr>
      </w:pPr>
      <w:r>
        <w:rPr>
          <w:color w:val="000000"/>
        </w:rPr>
        <w:t>“</w:t>
      </w:r>
      <w:r>
        <w:rPr>
          <w:rFonts w:ascii="Times New Roman" w:hAnsi="Times New Roman"/>
          <w:color w:val="000000"/>
          <w:sz w:val="20"/>
        </w:rPr>
        <w:t xml:space="preserve">FASB” means the Financial Accounting Standards Board;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xxiv.</w:t>
      </w:r>
    </w:p>
    <w:p>
      <w:pPr>
        <w:pStyle w:val="TextBody"/>
        <w:bidi w:val="0"/>
        <w:spacing w:before="120" w:after="283"/>
        <w:jc w:val="left"/>
        <w:rPr>
          <w:color w:val="000000"/>
        </w:rPr>
      </w:pPr>
      <w:r>
        <w:rPr>
          <w:color w:val="000000"/>
        </w:rPr>
        <w:t>“</w:t>
      </w:r>
      <w:r>
        <w:rPr>
          <w:rFonts w:ascii="Times New Roman" w:hAnsi="Times New Roman"/>
          <w:color w:val="000000"/>
          <w:sz w:val="20"/>
        </w:rPr>
        <w:t>FOCAD” means focadhesin;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xxv.</w:t>
      </w:r>
    </w:p>
    <w:p>
      <w:pPr>
        <w:pStyle w:val="TextBody"/>
        <w:bidi w:val="0"/>
        <w:spacing w:before="120" w:after="283"/>
        <w:jc w:val="left"/>
        <w:rPr>
          <w:color w:val="000000"/>
        </w:rPr>
      </w:pPr>
      <w:r>
        <w:rPr>
          <w:color w:val="000000"/>
        </w:rPr>
        <w:t>“</w:t>
      </w:r>
      <w:r>
        <w:rPr>
          <w:rFonts w:ascii="Times New Roman" w:hAnsi="Times New Roman"/>
          <w:color w:val="000000"/>
          <w:sz w:val="20"/>
        </w:rPr>
        <w:t>Gilead” means Gilead 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xxvi.</w:t>
      </w:r>
    </w:p>
    <w:p>
      <w:pPr>
        <w:pStyle w:val="TextBody"/>
        <w:bidi w:val="0"/>
        <w:spacing w:before="120" w:after="283"/>
        <w:jc w:val="left"/>
        <w:rPr>
          <w:color w:val="000000"/>
        </w:rPr>
      </w:pPr>
      <w:r>
        <w:rPr>
          <w:color w:val="000000"/>
        </w:rPr>
        <w:t>“</w:t>
      </w:r>
      <w:r>
        <w:rPr>
          <w:rFonts w:ascii="Times New Roman" w:hAnsi="Times New Roman"/>
          <w:color w:val="000000"/>
          <w:sz w:val="20"/>
        </w:rPr>
        <w:t>Gilead Agreement” means our Amended and Restated Research Collaboration and License Agreement with Gilead, dated August 17, 2020;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xxvii.</w:t>
      </w:r>
    </w:p>
    <w:p>
      <w:pPr>
        <w:pStyle w:val="TextBody"/>
        <w:bidi w:val="0"/>
        <w:spacing w:before="120" w:after="283"/>
        <w:jc w:val="left"/>
        <w:rPr>
          <w:color w:val="000000"/>
        </w:rPr>
      </w:pPr>
      <w:r>
        <w:rPr>
          <w:color w:val="000000"/>
        </w:rPr>
        <w:t>“</w:t>
      </w:r>
      <w:r>
        <w:rPr>
          <w:rFonts w:ascii="Times New Roman" w:hAnsi="Times New Roman"/>
          <w:color w:val="000000"/>
          <w:sz w:val="20"/>
        </w:rPr>
        <w:t>GBM” means glioblastoma;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xxviii.</w:t>
      </w:r>
    </w:p>
    <w:p>
      <w:pPr>
        <w:pStyle w:val="TextBody"/>
        <w:bidi w:val="0"/>
        <w:spacing w:before="120" w:after="283"/>
        <w:jc w:val="left"/>
        <w:rPr>
          <w:color w:val="000000"/>
        </w:rPr>
      </w:pPr>
      <w:r>
        <w:rPr>
          <w:color w:val="000000"/>
        </w:rPr>
        <w:t>“</w:t>
      </w:r>
      <w:r>
        <w:rPr>
          <w:rFonts w:ascii="Times New Roman" w:hAnsi="Times New Roman"/>
          <w:color w:val="000000"/>
          <w:sz w:val="20"/>
        </w:rPr>
        <w:t>Inducement Plan” means the 2023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xxix.</w:t>
      </w:r>
    </w:p>
    <w:p>
      <w:pPr>
        <w:pStyle w:val="TextBody"/>
        <w:bidi w:val="0"/>
        <w:spacing w:before="120" w:after="283"/>
        <w:jc w:val="left"/>
        <w:rPr>
          <w:color w:val="000000"/>
        </w:rPr>
      </w:pPr>
      <w:r>
        <w:rPr>
          <w:color w:val="000000"/>
        </w:rPr>
        <w:t>“</w:t>
      </w:r>
      <w:r>
        <w:rPr>
          <w:rFonts w:ascii="Times New Roman" w:hAnsi="Times New Roman"/>
          <w:color w:val="000000"/>
          <w:sz w:val="20"/>
        </w:rPr>
        <w:t xml:space="preserve">IND” means Investigational New Drug Application;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xxx.</w:t>
      </w:r>
    </w:p>
    <w:p>
      <w:pPr>
        <w:pStyle w:val="TextBody"/>
        <w:bidi w:val="0"/>
        <w:spacing w:before="120" w:after="283"/>
        <w:jc w:val="left"/>
        <w:rPr>
          <w:color w:val="000000"/>
        </w:rPr>
      </w:pPr>
      <w:r>
        <w:rPr>
          <w:color w:val="000000"/>
        </w:rPr>
        <w:t>“</w:t>
      </w:r>
      <w:r>
        <w:rPr>
          <w:rFonts w:ascii="Times New Roman" w:hAnsi="Times New Roman"/>
          <w:color w:val="000000"/>
          <w:sz w:val="20"/>
        </w:rPr>
        <w:t>Leerink Partners” means Leerink Partners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xxxi.</w:t>
      </w:r>
    </w:p>
    <w:p>
      <w:pPr>
        <w:pStyle w:val="TextBody"/>
        <w:bidi w:val="0"/>
        <w:spacing w:before="120" w:after="283"/>
        <w:jc w:val="left"/>
        <w:rPr>
          <w:color w:val="000000"/>
        </w:rPr>
      </w:pPr>
      <w:r>
        <w:rPr>
          <w:color w:val="000000"/>
        </w:rPr>
        <w:t>“</w:t>
      </w:r>
      <w:r>
        <w:rPr>
          <w:rFonts w:ascii="Times New Roman" w:hAnsi="Times New Roman"/>
          <w:color w:val="000000"/>
          <w:sz w:val="20"/>
        </w:rPr>
        <w:t>Leerink Sales Agreement” means our Sales Agreement with Leerink Partners, dated November 21,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xxxii.</w:t>
      </w:r>
    </w:p>
    <w:p>
      <w:pPr>
        <w:pStyle w:val="TextBody"/>
        <w:bidi w:val="0"/>
        <w:spacing w:before="120" w:after="283"/>
        <w:jc w:val="left"/>
        <w:rPr>
          <w:color w:val="000000"/>
        </w:rPr>
      </w:pPr>
      <w:r>
        <w:rPr>
          <w:color w:val="000000"/>
        </w:rPr>
        <w:t>“</w:t>
      </w:r>
      <w:r>
        <w:rPr>
          <w:rFonts w:ascii="Times New Roman" w:hAnsi="Times New Roman"/>
          <w:color w:val="000000"/>
          <w:sz w:val="20"/>
        </w:rPr>
        <w:t>MTAP” means methylthioadenosine phosphorylase;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xxxiii.</w:t>
      </w:r>
    </w:p>
    <w:p>
      <w:pPr>
        <w:pStyle w:val="TextBody"/>
        <w:bidi w:val="0"/>
        <w:spacing w:before="120" w:after="283"/>
        <w:jc w:val="left"/>
        <w:rPr>
          <w:color w:val="000000"/>
        </w:rPr>
      </w:pPr>
      <w:r>
        <w:rPr>
          <w:color w:val="000000"/>
        </w:rPr>
        <w:t>“</w:t>
      </w:r>
      <w:r>
        <w:rPr>
          <w:rFonts w:ascii="Times New Roman" w:hAnsi="Times New Roman"/>
          <w:color w:val="000000"/>
          <w:sz w:val="20"/>
        </w:rPr>
        <w:t>NSCLC” means non-small cell lung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xxxiv.</w:t>
      </w:r>
    </w:p>
    <w:p>
      <w:pPr>
        <w:pStyle w:val="TextBody"/>
        <w:bidi w:val="0"/>
        <w:spacing w:before="120" w:after="283"/>
        <w:jc w:val="left"/>
        <w:rPr>
          <w:color w:val="000000"/>
        </w:rPr>
      </w:pPr>
      <w:r>
        <w:rPr>
          <w:color w:val="000000"/>
        </w:rPr>
        <w:t>“</w:t>
      </w:r>
      <w:r>
        <w:rPr>
          <w:rFonts w:ascii="Times New Roman" w:hAnsi="Times New Roman"/>
          <w:color w:val="000000"/>
          <w:sz w:val="20"/>
        </w:rPr>
        <w:t>OBBBA” means the One Big Beautiful Bill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xxxv.</w:t>
      </w:r>
    </w:p>
    <w:p>
      <w:pPr>
        <w:pStyle w:val="TextBody"/>
        <w:bidi w:val="0"/>
        <w:spacing w:before="120" w:after="283"/>
        <w:jc w:val="left"/>
        <w:rPr>
          <w:color w:val="000000"/>
        </w:rPr>
      </w:pPr>
      <w:r>
        <w:rPr>
          <w:color w:val="000000"/>
        </w:rPr>
        <w:t>“</w:t>
      </w:r>
      <w:r>
        <w:rPr>
          <w:rFonts w:ascii="Times New Roman" w:hAnsi="Times New Roman"/>
          <w:color w:val="000000"/>
          <w:sz w:val="20"/>
        </w:rPr>
        <w:t>OMB” means the Office of Management and Budget;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xxxvi.</w:t>
      </w:r>
    </w:p>
    <w:p>
      <w:pPr>
        <w:pStyle w:val="TextBody"/>
        <w:bidi w:val="0"/>
        <w:spacing w:before="120" w:after="283"/>
        <w:jc w:val="left"/>
        <w:rPr>
          <w:color w:val="000000"/>
        </w:rPr>
      </w:pPr>
      <w:r>
        <w:rPr>
          <w:color w:val="000000"/>
        </w:rPr>
        <w:t>“</w:t>
      </w:r>
      <w:r>
        <w:rPr>
          <w:rFonts w:ascii="Times New Roman" w:hAnsi="Times New Roman"/>
          <w:color w:val="000000"/>
          <w:sz w:val="20"/>
        </w:rPr>
        <w:t>ORR” means objective response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xxxvii.</w:t>
      </w:r>
    </w:p>
    <w:p>
      <w:pPr>
        <w:pStyle w:val="TextBody"/>
        <w:bidi w:val="0"/>
        <w:spacing w:before="120" w:after="283"/>
        <w:jc w:val="left"/>
        <w:rPr>
          <w:color w:val="000000"/>
        </w:rPr>
      </w:pPr>
      <w:r>
        <w:rPr>
          <w:color w:val="000000"/>
        </w:rPr>
        <w:t>“</w:t>
      </w:r>
      <w:r>
        <w:rPr>
          <w:rFonts w:ascii="Times New Roman" w:hAnsi="Times New Roman"/>
          <w:color w:val="000000"/>
          <w:sz w:val="20"/>
        </w:rPr>
        <w:t xml:space="preserve">PDAC” means pancreatic ductal adenocarcinoma;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xxxviii.</w:t>
      </w:r>
    </w:p>
    <w:p>
      <w:pPr>
        <w:pStyle w:val="TextBody"/>
        <w:bidi w:val="0"/>
        <w:spacing w:before="120" w:after="283"/>
        <w:jc w:val="left"/>
        <w:rPr>
          <w:color w:val="000000"/>
        </w:rPr>
      </w:pPr>
      <w:r>
        <w:rPr>
          <w:color w:val="000000"/>
        </w:rPr>
        <w:t>“</w:t>
      </w:r>
      <w:r>
        <w:rPr>
          <w:rFonts w:ascii="Times New Roman" w:hAnsi="Times New Roman"/>
          <w:color w:val="000000"/>
          <w:sz w:val="20"/>
        </w:rPr>
        <w:t>PRMT5” means protein arginine methyltransferase 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xxxix.</w:t>
      </w:r>
    </w:p>
    <w:p>
      <w:pPr>
        <w:pStyle w:val="TextBody"/>
        <w:bidi w:val="0"/>
        <w:spacing w:before="120" w:after="283"/>
        <w:jc w:val="left"/>
        <w:rPr>
          <w:color w:val="000000"/>
        </w:rPr>
      </w:pPr>
      <w:r>
        <w:rPr>
          <w:color w:val="000000"/>
        </w:rPr>
        <w:t>“</w:t>
      </w:r>
      <w:r>
        <w:rPr>
          <w:rFonts w:ascii="Times New Roman" w:hAnsi="Times New Roman"/>
          <w:color w:val="000000"/>
          <w:sz w:val="20"/>
        </w:rPr>
        <w:t>QD” means once daily;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xl.</w:t>
      </w:r>
    </w:p>
    <w:p>
      <w:pPr>
        <w:pStyle w:val="TextBody"/>
        <w:bidi w:val="0"/>
        <w:spacing w:before="120" w:after="283"/>
        <w:jc w:val="left"/>
        <w:rPr>
          <w:color w:val="000000"/>
        </w:rPr>
      </w:pPr>
      <w:r>
        <w:rPr>
          <w:color w:val="000000"/>
        </w:rPr>
        <w:t>“</w:t>
      </w:r>
      <w:r>
        <w:rPr>
          <w:rFonts w:ascii="Times New Roman" w:hAnsi="Times New Roman"/>
          <w:color w:val="000000"/>
          <w:sz w:val="20"/>
        </w:rPr>
        <w:t>Quarterly Report” or “Quarterly Report on Form 10-Q” means this Quarterly Report on Form 10-Q for the quarter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xli.</w:t>
      </w:r>
    </w:p>
    <w:p>
      <w:pPr>
        <w:pStyle w:val="TextBody"/>
        <w:bidi w:val="0"/>
        <w:spacing w:before="120" w:after="283"/>
        <w:jc w:val="left"/>
        <w:rPr>
          <w:color w:val="000000"/>
        </w:rPr>
      </w:pPr>
      <w:r>
        <w:rPr>
          <w:color w:val="000000"/>
        </w:rPr>
        <w:t>“</w:t>
      </w:r>
      <w:r>
        <w:rPr>
          <w:rFonts w:ascii="Times New Roman" w:hAnsi="Times New Roman"/>
          <w:color w:val="000000"/>
          <w:sz w:val="20"/>
        </w:rPr>
        <w:t>RAS” means rat sarcoma;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xlii.</w:t>
      </w:r>
    </w:p>
    <w:p>
      <w:pPr>
        <w:pStyle w:val="TextBody"/>
        <w:bidi w:val="0"/>
        <w:spacing w:before="120" w:after="283"/>
        <w:jc w:val="left"/>
        <w:rPr>
          <w:color w:val="000000"/>
        </w:rPr>
      </w:pPr>
      <w:r>
        <w:rPr>
          <w:color w:val="000000"/>
        </w:rPr>
        <w:t>“</w:t>
      </w:r>
      <w:r>
        <w:rPr>
          <w:rFonts w:ascii="Times New Roman" w:hAnsi="Times New Roman"/>
          <w:color w:val="000000"/>
          <w:sz w:val="20"/>
        </w:rPr>
        <w:t>Revolution Medicines” means Revolution Medicines,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xliii.</w:t>
      </w:r>
    </w:p>
    <w:p>
      <w:pPr>
        <w:pStyle w:val="TextBody"/>
        <w:bidi w:val="0"/>
        <w:spacing w:before="120" w:after="283"/>
        <w:jc w:val="left"/>
        <w:rPr>
          <w:color w:val="000000"/>
        </w:rPr>
      </w:pPr>
      <w:r>
        <w:rPr>
          <w:color w:val="000000"/>
        </w:rPr>
        <w:t>“</w:t>
      </w:r>
      <w:r>
        <w:rPr>
          <w:rFonts w:ascii="Times New Roman" w:hAnsi="Times New Roman"/>
          <w:color w:val="000000"/>
          <w:sz w:val="20"/>
        </w:rPr>
        <w:t>RSUs” means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xliv.</w:t>
      </w:r>
    </w:p>
    <w:p>
      <w:pPr>
        <w:pStyle w:val="TextBody"/>
        <w:bidi w:val="0"/>
        <w:spacing w:before="120" w:after="283"/>
        <w:jc w:val="left"/>
        <w:rPr>
          <w:color w:val="000000"/>
        </w:rPr>
      </w:pPr>
      <w:r>
        <w:rPr>
          <w:color w:val="000000"/>
        </w:rPr>
        <w:t>“</w:t>
      </w:r>
      <w:r>
        <w:rPr>
          <w:rFonts w:ascii="Times New Roman" w:hAnsi="Times New Roman"/>
          <w:color w:val="000000"/>
          <w:sz w:val="20"/>
        </w:rPr>
        <w:t xml:space="preserve">SEC” means the U.S. Securities and Exchange Commission;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xlv.</w:t>
      </w:r>
    </w:p>
    <w:p>
      <w:pPr>
        <w:pStyle w:val="TextBody"/>
        <w:bidi w:val="0"/>
        <w:spacing w:before="120" w:after="283"/>
        <w:jc w:val="left"/>
        <w:rPr>
          <w:color w:val="000000"/>
        </w:rPr>
      </w:pPr>
      <w:r>
        <w:rPr>
          <w:color w:val="000000"/>
        </w:rPr>
        <w:t>“</w:t>
      </w:r>
      <w:r>
        <w:rPr>
          <w:rFonts w:ascii="Times New Roman" w:hAnsi="Times New Roman"/>
          <w:color w:val="000000"/>
          <w:sz w:val="20"/>
        </w:rPr>
        <w:t>Sesame” means Sesame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xlvi.</w:t>
      </w:r>
    </w:p>
    <w:p>
      <w:pPr>
        <w:pStyle w:val="TextBody"/>
        <w:bidi w:val="0"/>
        <w:spacing w:before="120" w:after="283"/>
        <w:jc w:val="left"/>
        <w:rPr>
          <w:color w:val="000000"/>
        </w:rPr>
      </w:pPr>
      <w:r>
        <w:rPr>
          <w:color w:val="000000"/>
        </w:rPr>
        <w:t>“</w:t>
      </w:r>
      <w:r>
        <w:rPr>
          <w:rFonts w:ascii="Times New Roman" w:hAnsi="Times New Roman"/>
          <w:color w:val="000000"/>
          <w:sz w:val="20"/>
        </w:rPr>
        <w:t>Sesame Agreement” means a license agreement pursuant to which we granted a non-exclusive license to certain know-how associated with preclinical research granted to Sesame;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xlvii.</w:t>
      </w:r>
    </w:p>
    <w:p>
      <w:pPr>
        <w:pStyle w:val="TextBody"/>
        <w:bidi w:val="0"/>
        <w:spacing w:before="120" w:after="283"/>
        <w:jc w:val="left"/>
        <w:rPr>
          <w:color w:val="000000"/>
        </w:rPr>
      </w:pPr>
      <w:r>
        <w:rPr>
          <w:color w:val="000000"/>
        </w:rPr>
        <w:t>“</w:t>
      </w:r>
      <w:r>
        <w:rPr>
          <w:rFonts w:ascii="Times New Roman" w:hAnsi="Times New Roman"/>
          <w:color w:val="000000"/>
          <w:sz w:val="20"/>
        </w:rPr>
        <w:t>U.S. GAAP” means accounting principles generally accepted in the United States of America;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xlviii.</w:t>
      </w:r>
    </w:p>
    <w:p>
      <w:pPr>
        <w:pStyle w:val="TextBody"/>
        <w:bidi w:val="0"/>
        <w:spacing w:before="120" w:after="283"/>
        <w:jc w:val="left"/>
        <w:rPr>
          <w:color w:val="000000"/>
        </w:rPr>
      </w:pPr>
      <w:r>
        <w:rPr>
          <w:color w:val="000000"/>
        </w:rPr>
        <w:t>“</w:t>
      </w:r>
      <w:r>
        <w:rPr>
          <w:rFonts w:ascii="Times New Roman" w:hAnsi="Times New Roman"/>
          <w:color w:val="000000"/>
          <w:sz w:val="20"/>
        </w:rPr>
        <w:t>WuXi AppTec” means WuXi AppTec Co., Ltd.</w:t>
      </w:r>
    </w:p>
    <w:p>
      <w:pPr>
        <w:pStyle w:val="TextBody"/>
        <w:bidi w:val="0"/>
        <w:jc w:val="left"/>
        <w:rPr/>
      </w:pPr>
      <w:r>
        <w:rPr/>
        <w:t> </w:t>
      </w:r>
    </w:p>
    <w:p>
      <w:pPr>
        <w:pStyle w:val="TextBody"/>
        <w:bidi w:val="0"/>
        <w:spacing w:before="0" w:after="12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were formerly known as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Our Annual Reports on Form 10-K, Quarterly Reports on Form 10-Q, Current Reports on Form 8-K, including exhibits, proxy and information statements and amendments to those reports filed or furnished pursuant to Sections 13(a), 14, and 15(d) of the Exchange Act are available through the “Investors” portion of our website free of charge as soon as reasonably practicable after we electronically file such material with, or furnish it to, the SEC. </w:t>
      </w:r>
      <w:r>
        <w:rPr>
          <w:rFonts w:ascii="Times New Roman" w:hAnsi="Times New Roman"/>
          <w:color w:val="000000"/>
          <w:sz w:val="22"/>
        </w:rPr>
        <w:t>W</w:t>
      </w:r>
      <w:r>
        <w:rPr>
          <w:rFonts w:ascii="Times New Roman" w:hAnsi="Times New Roman"/>
          <w:color w:val="000000"/>
          <w:sz w:val="20"/>
        </w:rPr>
        <w:t>e also make available, free of charge on our website, the reports filed with the SEC by our executive officers, directors and 10% stockholders pursuant to Section 16 under the Exchange Act as soon as reasonably practicable a</w:t>
      </w:r>
      <w:r>
        <w:rPr>
          <w:rFonts w:ascii="Times New Roman" w:hAnsi="Times New Roman"/>
          <w:color w:val="000000"/>
          <w:sz w:val="22"/>
        </w:rPr>
        <w:t>f</w:t>
      </w:r>
      <w:r>
        <w:rPr>
          <w:rFonts w:ascii="Times New Roman" w:hAnsi="Times New Roman"/>
          <w:color w:val="000000"/>
          <w:sz w:val="20"/>
        </w:rPr>
        <w:t>ter copies of those filings are provided to us by those persons</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A</w:t>
      </w:r>
      <w:r>
        <w:rPr>
          <w:rFonts w:ascii="Times New Roman" w:hAnsi="Times New Roman"/>
          <w:color w:val="000000"/>
          <w:sz w:val="20"/>
        </w:rPr>
        <w:t>ccordingly, investors should monitor such portions of our website, in addition to following our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Further, we intend to use our website at http://www.tangotx.com as a means of disclosing material non-public information and for complying with its disclosure obligations under the SEC Regulation FD. Such disclosures will be included on our website under the heading “Investors.” Accordingly, investors should monitor such portions of our website, in addition to following our press releases, SEC filings and public conference calls and webcasts (if any). The information contained on, or that may be accessed through, the website is not part of, and is not incorporated into, this Quarterly Report on Form 10-Q.</w:t>
      </w:r>
    </w:p>
    <w:p>
      <w:pPr>
        <w:pStyle w:val="TextBody"/>
        <w:bidi w:val="0"/>
        <w:jc w:val="left"/>
        <w:rPr>
          <w:rFonts w:ascii="Times New Roman" w:hAnsi="Times New Roman"/>
          <w:color w:val="000000"/>
          <w:sz w:val="20"/>
        </w:rPr>
      </w:pPr>
      <w:r>
        <w:rPr>
          <w:rFonts w:ascii="Times New Roman" w:hAnsi="Times New Roman"/>
          <w:color w:val="000000"/>
          <w:sz w:val="20"/>
        </w:rPr>
        <w:t xml:space="preserve">Our principal executive office is located at 201 Brookline Avenue, Suite 901, Boston, Massachusetts 02215.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am_1_financial_statement"/>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TANGO THERAPEUTICS, INC.</w:t>
      </w:r>
    </w:p>
    <w:p>
      <w:pPr>
        <w:pStyle w:val="TextBody"/>
        <w:bidi w:val="0"/>
        <w:jc w:val="center"/>
        <w:rPr>
          <w:rFonts w:ascii="Times New Roman" w:hAnsi="Times New Roman"/>
          <w:sz w:val="20"/>
        </w:rPr>
      </w:pPr>
      <w:bookmarkStart w:id="4" w:name="balance_sheet"/>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927" w:type="dxa"/>
        <w:jc w:val="left"/>
        <w:tblInd w:w="0" w:type="dxa"/>
        <w:tblLayout w:type="fixed"/>
        <w:tblCellMar>
          <w:top w:w="28" w:type="dxa"/>
          <w:left w:w="28" w:type="dxa"/>
          <w:bottom w:w="28" w:type="dxa"/>
          <w:right w:w="28" w:type="dxa"/>
        </w:tblCellMar>
      </w:tblPr>
      <w:tblGrid>
        <w:gridCol w:w="5641"/>
        <w:gridCol w:w="146"/>
        <w:gridCol w:w="211"/>
        <w:gridCol w:w="931"/>
        <w:gridCol w:w="166"/>
        <w:gridCol w:w="146"/>
        <w:gridCol w:w="219"/>
        <w:gridCol w:w="876"/>
        <w:gridCol w:w="591"/>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353,756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Preferred stock, $0.001 par value; 10,000,000 shares </w:t>
              <w:br/>
              <w:t xml:space="preserve">   authorized; no shares issued and outstanding as of June 30, 2026 </w:t>
              <w:br/>
              <w:t>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400,000,000 shares</w:t>
              <w:br/>
              <w:t>   authorized at June 30, 2026 and December 31, 2025, respectively;</w:t>
              <w:br/>
              <w:t xml:space="preserve">   168,380,091 and 135,940,454 shares issued and outstanding as of </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398,690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TANGO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mp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24"/>
        <w:gridCol w:w="146"/>
        <w:gridCol w:w="211"/>
        <w:gridCol w:w="1141"/>
        <w:gridCol w:w="166"/>
        <w:gridCol w:w="146"/>
        <w:gridCol w:w="211"/>
        <w:gridCol w:w="1141"/>
        <w:gridCol w:w="166"/>
        <w:gridCol w:w="146"/>
        <w:gridCol w:w="211"/>
        <w:gridCol w:w="1141"/>
        <w:gridCol w:w="166"/>
        <w:gridCol w:w="146"/>
        <w:gridCol w:w="211"/>
        <w:gridCol w:w="1141"/>
        <w:gridCol w:w="591"/>
      </w:tblGrid>
      <w:tr>
        <w:trPr/>
        <w:tc>
          <w:tcPr>
            <w:tcW w:w="3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149,875,939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110,540,836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148,660,404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110,494,397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(78,971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TANGO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redeem"/>
      <w:bookmarkEnd w:id="6"/>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85"/>
        <w:gridCol w:w="146"/>
        <w:gridCol w:w="146"/>
        <w:gridCol w:w="871"/>
        <w:gridCol w:w="146"/>
        <w:gridCol w:w="146"/>
        <w:gridCol w:w="196"/>
        <w:gridCol w:w="375"/>
        <w:gridCol w:w="146"/>
        <w:gridCol w:w="146"/>
        <w:gridCol w:w="181"/>
        <w:gridCol w:w="721"/>
        <w:gridCol w:w="146"/>
        <w:gridCol w:w="146"/>
        <w:gridCol w:w="331"/>
        <w:gridCol w:w="690"/>
        <w:gridCol w:w="151"/>
        <w:gridCol w:w="146"/>
        <w:gridCol w:w="190"/>
        <w:gridCol w:w="681"/>
        <w:gridCol w:w="151"/>
        <w:gridCol w:w="146"/>
        <w:gridCol w:w="185"/>
        <w:gridCol w:w="740"/>
        <w:gridCol w:w="197"/>
      </w:tblGrid>
      <w:tr>
        <w:trPr/>
        <w:tc>
          <w:tcPr>
            <w:tcW w:w="3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Accumulated </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135,940,454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948,971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(603,152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346,179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under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3,073,938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17,605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At-the-market offerings,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5,148,151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62,778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10,797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(45,514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144,162,543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(648,666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391,506</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under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3,050,872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shares issued in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21,166,676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651,348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651,369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16,892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0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(55,341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(55,341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3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168,380,091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1,729,004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(704,007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1,024,532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15" w:type="dxa"/>
        <w:jc w:val="left"/>
        <w:tblInd w:w="0" w:type="dxa"/>
        <w:tblLayout w:type="fixed"/>
        <w:tblCellMar>
          <w:top w:w="28" w:type="dxa"/>
          <w:left w:w="28" w:type="dxa"/>
          <w:bottom w:w="28" w:type="dxa"/>
          <w:right w:w="28" w:type="dxa"/>
        </w:tblCellMar>
      </w:tblPr>
      <w:tblGrid>
        <w:gridCol w:w="2806"/>
        <w:gridCol w:w="146"/>
        <w:gridCol w:w="146"/>
        <w:gridCol w:w="871"/>
        <w:gridCol w:w="146"/>
        <w:gridCol w:w="146"/>
        <w:gridCol w:w="196"/>
        <w:gridCol w:w="375"/>
        <w:gridCol w:w="146"/>
        <w:gridCol w:w="146"/>
        <w:gridCol w:w="181"/>
        <w:gridCol w:w="601"/>
        <w:gridCol w:w="151"/>
        <w:gridCol w:w="146"/>
        <w:gridCol w:w="331"/>
        <w:gridCol w:w="690"/>
        <w:gridCol w:w="151"/>
        <w:gridCol w:w="146"/>
        <w:gridCol w:w="190"/>
        <w:gridCol w:w="681"/>
        <w:gridCol w:w="151"/>
        <w:gridCol w:w="146"/>
        <w:gridCol w:w="215"/>
        <w:gridCol w:w="715"/>
        <w:gridCol w:w="19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107,729,343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700,631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(501,558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199,517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under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(39,876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108,107,890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707,888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(541,434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166,756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2,340,486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(38,853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110,871,249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715,036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(580,287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134,954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TANGO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12"/>
        <w:gridCol w:w="346"/>
        <w:gridCol w:w="211"/>
        <w:gridCol w:w="841"/>
        <w:gridCol w:w="346"/>
        <w:gridCol w:w="346"/>
        <w:gridCol w:w="211"/>
        <w:gridCol w:w="781"/>
        <w:gridCol w:w="811"/>
      </w:tblGrid>
      <w:tr>
        <w:trPr/>
        <w:tc>
          <w:tcPr>
            <w:tcW w:w="63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from</w:t>
              <w:br/>
              <w:t>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on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137,147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(573,507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(436,338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and pre-funded warrants,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714,818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transaction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stock plans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232,851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347,697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included in accounts payable and 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from obtaining right-of-use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Revaluation of right-of-use asset and lease liability upon lease remeasurement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issuance costs included in accounts payable and 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TANGO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consolidated_financial_statements"/>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Nature of the Business and Basis of Presentation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Tango Therapeutics, Inc. is a precision oncology company committed to the discovery and development of novel drugs in defined patient populations with high unmet medical need.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Tango Therapeutics, Inc. (together with its consolidated subsidiaries, Tango or the Company), formerly known as BCTG, was incorporated in Delaware on May 21, 2020. BCTG was a special purpose acquisition company (SPAC) formed for the purpose of effecting a merger, capital stock exchange, asset acquisition, stock purchase, reorganization or similar business combination.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conformity with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opinion of management, all adjustments necessary for a fair statement of the financial information, which are of a normal and recurring nature, have been made for the interim periods reported. Results of operations for the three and six months ended June 30, 2026 and 2025 are not necessarily indicative of the results for the year ending December 31, 2026, any other interim periods, or any future year or period. The unaudited condensed consolidated financial statements for the three and six months ended June 30, 2026 and 2025 have been prepared on the same basis as and should be read in conjunction with the audited consolidated financial statements and notes included in the Company’s Annual Report on Form 10-K for the year ended December 31, 2025 as filed with the SEC on March 5, 2026. </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expects that its existing cash, cash equivalents and marketable securities as of June 30, 2026 of $1.0 billion, will be sufficient to meet its current operating plan and fund operating expenses and capital expenditure requirements for at least twelve months from the issuance date of these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the Company completed an underwritten offering for the issuance of a total of 21,166,676 shares of common stock, including 3,000,009 shares pursuant to the exercise of the underwriters’ option to purchase additional shares, at a price to the public of $30.00 per share, and in lieu of common stock to certain investors, the Company sold pre-funded warrants to purchase up to 1,833,395 shares of common stock at a public offering price of $29.999 per pre-funded warrant, which represents the per share public offering price of each share of common stock less the $0.001 per share exercise price for each pre-funded warrant, resulting in gross proceeds of $690.0 million. The pre-funded warrants are immediately exercisable and will remain exercisable until exercised in full. After deducting the underwriting discounts and commissions and expenses related to the offering of $38.6 million, net proceeds were $651.4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2025, the Company entered into the Leerink Sales Agreement, which permits the Company to sell from time to time, at its option, up to an aggregate of $100.0 million of shares of its common stock through Leerink Partners, as sales agent. Sales of the common stock are made by methods deemed to be "at-the-market" stock offerings. The Leerink Sales Agreement will terminate upon the earliest of: (a) the sale of $100.0 million of shares of the Company's common stock or (b) the termination of the Leerink Sales Agreement by the Company or Leerink Partners. During the six months ended June 30, 2026, the Company sold 5,148,151 shares of common stock under this stock offering program for gross proceeds of $64.4 million. The Company may, at its option, sell up to approximately $35.6 million of shares of its common stock remaining under this Leerink Sales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the Company completed an underwritten offering and a concurrent private placement for the issuance of a total of 22,755,438 shares of common stock at a price of $8.66 per share and pre-funded warrants to purchase up to 3,226,458 shares of common stock at a purchase price of $8.659 per pre-funded warrant, resulting in gross proceeds of $225.0 million. The pre-funded warrants have an exercise price of $0.001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 share of common stock, are immediately exercisable and will remain exercisable until exercised in full. After deducting underwriting discounts and commissions and expenses related to the offering and private placement of $13.2 million, net proceeds were $211.8 million. Both transactions closed on October 24,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have been no changes from the significant accounting policies disclosed in Note 2, </w:t>
      </w:r>
      <w:r>
        <w:rPr>
          <w:rFonts w:ascii="Times New Roman" w:hAnsi="Times New Roman"/>
          <w:i/>
          <w:color w:val="000000"/>
          <w:sz w:val="20"/>
        </w:rPr>
        <w:t>Summary of Significant Accounting Policies</w:t>
      </w:r>
      <w:r>
        <w:rPr>
          <w:rFonts w:ascii="Times New Roman" w:hAnsi="Times New Roman"/>
          <w:color w:val="000000"/>
          <w:sz w:val="20"/>
        </w:rPr>
        <w:t>, of the audited consolidated financial statements and notes included in the Company’s Annual Report on Form 10-K for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requires that the Company make estimates, judgments and assumptions that may affect the reported amounts of assets, liabilities, equity, revenues and expenses and related disclosures. Significant estimates and assumptions made in the condensed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condensed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evaluating the potential impact of this adoption on the consolidated financial statements and related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Collaboration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2018, the Company entered into the 2018 Gilead Agreement with Gilead. Pursuant to the terms of the 2018 Gilead Agreement, the Company received an initial upfront payment of $50.0 million. Gilead had the option to obtain exclusive, worldwide licenses to develop and commercialize up to five validated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2020, the Company and Gilead entered into the Gilead Agreement, which superseded and replaced the 2018 Gilead Agreement. The Gilead Agreement represents a continuation of the initial target discovery and validation research and development efforts begun under the 2018 Gilead Agreement. Under the Gilead Agreement: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Company received upfront, non-refundable consideration of $125.0</w:t>
      </w:r>
      <w:r>
        <w:rPr>
          <w:color w:val="000000"/>
        </w:rPr>
        <w:t xml:space="preserve"> </w:t>
      </w:r>
      <w:r>
        <w:rPr>
          <w:rFonts w:ascii="Times New Roman" w:hAnsi="Times New Roman"/>
          <w:color w:val="000000"/>
          <w:sz w:val="20"/>
        </w:rPr>
        <w:t xml:space="preserve">million from Gilead upon execution of the Gilead Agreement in 2020;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the 2018 Gilead Agreement ended on the date the Gilead Agreement was executed. The Gilead Agreement has a research term of seven years;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Gilead expanded its option to license up to 15</w:t>
      </w:r>
      <w:r>
        <w:rPr>
          <w:color w:val="000000"/>
        </w:rPr>
        <w:t xml:space="preserve"> </w:t>
      </w:r>
      <w:r>
        <w:rPr>
          <w:rFonts w:ascii="Times New Roman" w:hAnsi="Times New Roman"/>
          <w:color w:val="000000"/>
          <w:sz w:val="20"/>
        </w:rPr>
        <w:t xml:space="preserve">programs for which Gilead may obtain exclusive, worldwide licenses to develop and commercialize therapies, subject to applicable license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exercising its option to license a program, Gilead may “extend” such program, in which case Gilead will pay research option-extension fees and the Company will continue to collaborate with Gilead to discover and develop programs, potentially through early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up to five programs licensed by Gilead, the Company has the option to co-develop and co-promote the lead product in the United States, subject to certain exceptions, and is eligible to receive tiered royalties in the first decile on ex-U.S.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2025, the Company and Gilead mutually agreed to truncate the research term of the Gilead Agreement from seven to five years, concluding the research portion of the collaboration. There was no financial penalty to the Company as a result, no licensed programs were returned to the Company, all ongoing work at Gilead on licensed programs will continue and agreements for all future milestones and royalties remain in effect. The Company has no future research obligations and the remaining unrecognized deferred revenue balance at the time of truncating the collaboration agreement of $53.8 million was recognized as revenue in the third quarter of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remains eligible to receive up to $300.0 million per program in clinical, regulatory, and commercial milestones and royalties on future sales of commercialized products, if any.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for the Gilead Collaboration</w:t>
      </w:r>
    </w:p>
    <w:p>
      <w:pPr>
        <w:pStyle w:val="TextBody"/>
        <w:bidi w:val="0"/>
        <w:spacing w:before="240" w:after="283"/>
        <w:jc w:val="left"/>
        <w:rPr>
          <w:rFonts w:ascii="Times New Roman" w:hAnsi="Times New Roman"/>
          <w:sz w:val="20"/>
        </w:rPr>
      </w:pPr>
      <w:r>
        <w:rPr>
          <w:rFonts w:ascii="Times New Roman" w:hAnsi="Times New Roman"/>
          <w:color w:val="000000"/>
          <w:sz w:val="20"/>
        </w:rPr>
        <w:t>The Gilead Agreement was accounted for under ASC 606. 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was paid to the Company in equal quarterly installment payments over an agreed upon payment schedule.</w:t>
      </w:r>
      <w:r>
        <w:rPr>
          <w:rFonts w:ascii="Times New Roman" w:hAnsi="Times New Roman"/>
          <w:color w:val="FF0000"/>
          <w:sz w:val="20"/>
        </w:rPr>
        <w:t xml:space="preserve"> </w:t>
      </w:r>
      <w:r>
        <w:rPr>
          <w:rFonts w:ascii="Times New Roman" w:hAnsi="Times New Roman"/>
          <w:color w:val="000000"/>
          <w:sz w:val="20"/>
        </w:rPr>
        <w:t xml:space="preserve">The research option-extension consideration were added to the transaction price under the Gilead Agreement. License fees were recognized as revenue immediately as the Company had no continued involvement in the advancement of the program, Gilead benefited from the license on its own, and the license was separately identifiable from the research services. </w:t>
      </w:r>
    </w:p>
    <w:p>
      <w:pPr>
        <w:pStyle w:val="TextBody"/>
        <w:bidi w:val="0"/>
        <w:spacing w:before="240" w:after="283"/>
        <w:jc w:val="left"/>
        <w:rPr>
          <w:rFonts w:ascii="Times New Roman" w:hAnsi="Times New Roman"/>
          <w:sz w:val="20"/>
        </w:rPr>
      </w:pPr>
      <w:r>
        <w:rPr>
          <w:rFonts w:ascii="Times New Roman" w:hAnsi="Times New Roman"/>
          <w:b/>
          <w:i/>
          <w:color w:val="000000"/>
          <w:sz w:val="20"/>
        </w:rPr>
        <w:t>Gilead Revenue Recognized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transaction price allocated to the combined performance obligation under the Gilead Agreement was $199.0 million. The total transaction price was comprised of the $50.0 million upfront payment pursuant to the 2018 Gilead Agreement, the $125.0 million upfront payment pursuant to the Gilead Agreement, and $24.0 million payment pursuant to the research option-extension fee in December 2020 and in September 2021. During the three months ended June 30, 2026 and 2025, the Company recognized $0 and $3.2 million, respectively, and during the six months ended June 30, 2026 and 2025, the Company recognized $0 and $8.6 million, respectively, of collaboration revenue associated with the Gilead Agreement and the 2018 Gilead Agreement based on performance completed during each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incurred pursuant to the Gilead Agreement and the 2018 Gilead Agreement are recorded as research and development expense.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information about the Company’s financial assets measured at fair value on a recurring basis: </w:t>
      </w:r>
    </w:p>
    <w:p>
      <w:pPr>
        <w:pStyle w:val="TextBody"/>
        <w:bidi w:val="0"/>
        <w:jc w:val="left"/>
        <w:rPr/>
      </w:pPr>
      <w:r>
        <w:rPr/>
        <w:t> </w:t>
      </w:r>
    </w:p>
    <w:tbl>
      <w:tblPr>
        <w:tblW w:w="7860" w:type="dxa"/>
        <w:jc w:val="left"/>
        <w:tblInd w:w="0" w:type="dxa"/>
        <w:tblLayout w:type="fixed"/>
        <w:tblCellMar>
          <w:top w:w="28" w:type="dxa"/>
          <w:left w:w="28" w:type="dxa"/>
          <w:bottom w:w="28" w:type="dxa"/>
          <w:right w:w="28" w:type="dxa"/>
        </w:tblCellMar>
      </w:tblPr>
      <w:tblGrid>
        <w:gridCol w:w="2841"/>
        <w:gridCol w:w="146"/>
        <w:gridCol w:w="211"/>
        <w:gridCol w:w="781"/>
        <w:gridCol w:w="146"/>
        <w:gridCol w:w="146"/>
        <w:gridCol w:w="211"/>
        <w:gridCol w:w="781"/>
        <w:gridCol w:w="146"/>
        <w:gridCol w:w="146"/>
        <w:gridCol w:w="239"/>
        <w:gridCol w:w="391"/>
        <w:gridCol w:w="146"/>
        <w:gridCol w:w="146"/>
        <w:gridCol w:w="211"/>
        <w:gridCol w:w="781"/>
        <w:gridCol w:w="3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 Value Measurements</w:t>
              <w:b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988,816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755" w:type="dxa"/>
        <w:jc w:val="left"/>
        <w:tblInd w:w="0" w:type="dxa"/>
        <w:tblLayout w:type="fixed"/>
        <w:tblCellMar>
          <w:top w:w="28" w:type="dxa"/>
          <w:left w:w="28" w:type="dxa"/>
          <w:bottom w:w="28" w:type="dxa"/>
          <w:right w:w="28" w:type="dxa"/>
        </w:tblCellMar>
      </w:tblPr>
      <w:tblGrid>
        <w:gridCol w:w="2841"/>
        <w:gridCol w:w="146"/>
        <w:gridCol w:w="211"/>
        <w:gridCol w:w="676"/>
        <w:gridCol w:w="146"/>
        <w:gridCol w:w="146"/>
        <w:gridCol w:w="211"/>
        <w:gridCol w:w="781"/>
        <w:gridCol w:w="146"/>
        <w:gridCol w:w="146"/>
        <w:gridCol w:w="239"/>
        <w:gridCol w:w="391"/>
        <w:gridCol w:w="146"/>
        <w:gridCol w:w="146"/>
        <w:gridCol w:w="211"/>
        <w:gridCol w:w="781"/>
        <w:gridCol w:w="3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 Value Measurements</w:t>
              <w:b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transfers between fair value levels during the six months ended June 30, 2026.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the Company’s marketable debt securities, classified as available-for-sale: </w:t>
      </w:r>
    </w:p>
    <w:tbl>
      <w:tblPr>
        <w:tblW w:w="8030" w:type="dxa"/>
        <w:jc w:val="left"/>
        <w:tblInd w:w="0" w:type="dxa"/>
        <w:tblLayout w:type="fixed"/>
        <w:tblCellMar>
          <w:top w:w="28" w:type="dxa"/>
          <w:left w:w="28" w:type="dxa"/>
          <w:bottom w:w="28" w:type="dxa"/>
          <w:right w:w="28" w:type="dxa"/>
        </w:tblCellMar>
      </w:tblPr>
      <w:tblGrid>
        <w:gridCol w:w="2841"/>
        <w:gridCol w:w="146"/>
        <w:gridCol w:w="211"/>
        <w:gridCol w:w="781"/>
        <w:gridCol w:w="146"/>
        <w:gridCol w:w="146"/>
        <w:gridCol w:w="295"/>
        <w:gridCol w:w="591"/>
        <w:gridCol w:w="146"/>
        <w:gridCol w:w="146"/>
        <w:gridCol w:w="270"/>
        <w:gridCol w:w="616"/>
        <w:gridCol w:w="166"/>
        <w:gridCol w:w="146"/>
        <w:gridCol w:w="211"/>
        <w:gridCol w:w="781"/>
        <w:gridCol w:w="3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b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10" w:type="dxa"/>
        <w:jc w:val="left"/>
        <w:tblInd w:w="0" w:type="dxa"/>
        <w:tblLayout w:type="fixed"/>
        <w:tblCellMar>
          <w:top w:w="28" w:type="dxa"/>
          <w:left w:w="28" w:type="dxa"/>
          <w:bottom w:w="28" w:type="dxa"/>
          <w:right w:w="28" w:type="dxa"/>
        </w:tblCellMar>
      </w:tblPr>
      <w:tblGrid>
        <w:gridCol w:w="2841"/>
        <w:gridCol w:w="146"/>
        <w:gridCol w:w="211"/>
        <w:gridCol w:w="781"/>
        <w:gridCol w:w="146"/>
        <w:gridCol w:w="146"/>
        <w:gridCol w:w="295"/>
        <w:gridCol w:w="591"/>
        <w:gridCol w:w="146"/>
        <w:gridCol w:w="146"/>
        <w:gridCol w:w="335"/>
        <w:gridCol w:w="551"/>
        <w:gridCol w:w="146"/>
        <w:gridCol w:w="146"/>
        <w:gridCol w:w="211"/>
        <w:gridCol w:w="781"/>
        <w:gridCol w:w="3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b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the fair value and gross unrealized losses aggregated by category and the length of time that individual securities have been in an unrealized loss position at June 30, 2026:</w:t>
      </w:r>
    </w:p>
    <w:tbl>
      <w:tblPr>
        <w:tblW w:w="10205" w:type="dxa"/>
        <w:jc w:val="left"/>
        <w:tblInd w:w="0" w:type="dxa"/>
        <w:tblLayout w:type="fixed"/>
        <w:tblCellMar>
          <w:top w:w="28" w:type="dxa"/>
          <w:left w:w="28" w:type="dxa"/>
          <w:bottom w:w="28" w:type="dxa"/>
          <w:right w:w="28" w:type="dxa"/>
        </w:tblCellMar>
      </w:tblPr>
      <w:tblGrid>
        <w:gridCol w:w="2230"/>
        <w:gridCol w:w="211"/>
        <w:gridCol w:w="781"/>
        <w:gridCol w:w="146"/>
        <w:gridCol w:w="146"/>
        <w:gridCol w:w="325"/>
        <w:gridCol w:w="741"/>
        <w:gridCol w:w="166"/>
        <w:gridCol w:w="146"/>
        <w:gridCol w:w="420"/>
        <w:gridCol w:w="293"/>
        <w:gridCol w:w="238"/>
        <w:gridCol w:w="238"/>
        <w:gridCol w:w="596"/>
        <w:gridCol w:w="470"/>
        <w:gridCol w:w="146"/>
        <w:gridCol w:w="146"/>
        <w:gridCol w:w="211"/>
        <w:gridCol w:w="781"/>
        <w:gridCol w:w="146"/>
        <w:gridCol w:w="146"/>
        <w:gridCol w:w="325"/>
        <w:gridCol w:w="741"/>
        <w:gridCol w:w="416"/>
      </w:tblGrid>
      <w:tr>
        <w:trPr/>
        <w:tc>
          <w:tcPr>
            <w:tcW w:w="2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5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twelve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than twelve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2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hold investment grade marketable securities considered to be in an unrealized loss position at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holds investment grade marketable securities considered to be in an unrealized loss position at June 30, 2026. Although these marketable securities are held at an unrealized loss position at June 30, 2026,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$4.4 million and $1.0 million in accrued interest at June 30, 2026 and December 31, 2025,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Supplemental Balance Sheet Information </w:t>
      </w:r>
    </w:p>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Property and equipment, net consists of the following: </w:t>
      </w:r>
    </w:p>
    <w:tbl>
      <w:tblPr>
        <w:tblW w:w="5642" w:type="dxa"/>
        <w:jc w:val="left"/>
        <w:tblInd w:w="0" w:type="dxa"/>
        <w:tblLayout w:type="fixed"/>
        <w:tblCellMar>
          <w:top w:w="28" w:type="dxa"/>
          <w:left w:w="28" w:type="dxa"/>
          <w:bottom w:w="28" w:type="dxa"/>
          <w:right w:w="28" w:type="dxa"/>
        </w:tblCellMar>
      </w:tblPr>
      <w:tblGrid>
        <w:gridCol w:w="2731"/>
        <w:gridCol w:w="146"/>
        <w:gridCol w:w="211"/>
        <w:gridCol w:w="736"/>
        <w:gridCol w:w="166"/>
        <w:gridCol w:w="146"/>
        <w:gridCol w:w="244"/>
        <w:gridCol w:w="851"/>
        <w:gridCol w:w="4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Depreciation expense was $0.9 million and $1.2 million for the six months ended June 30, 2026 and 2025, respectively. </w:t>
      </w:r>
    </w:p>
    <w:p>
      <w:pPr>
        <w:pStyle w:val="TextBody"/>
        <w:bidi w:val="0"/>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Accrued expenses and other current liabilities include the following: </w:t>
      </w:r>
    </w:p>
    <w:tbl>
      <w:tblPr>
        <w:tblW w:w="7272" w:type="dxa"/>
        <w:jc w:val="left"/>
        <w:tblInd w:w="0" w:type="dxa"/>
        <w:tblLayout w:type="fixed"/>
        <w:tblCellMar>
          <w:top w:w="28" w:type="dxa"/>
          <w:left w:w="28" w:type="dxa"/>
          <w:bottom w:w="28" w:type="dxa"/>
          <w:right w:w="28" w:type="dxa"/>
        </w:tblCellMar>
      </w:tblPr>
      <w:tblGrid>
        <w:gridCol w:w="4461"/>
        <w:gridCol w:w="146"/>
        <w:gridCol w:w="211"/>
        <w:gridCol w:w="676"/>
        <w:gridCol w:w="146"/>
        <w:gridCol w:w="146"/>
        <w:gridCol w:w="260"/>
        <w:gridCol w:w="835"/>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employee-related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As of June 30, 2026 and 2025, the Company maintained a restricted cash balance of $2.1 million and $2.6 million, respectively, all of which was related to a security deposit associated with the Company’s facility lease. In February 2026, $0.4 million of the security deposit was released to the Company, thus reducing the associated letter of credit. The cash will remain restricted in accordance with the lease agreement absent the event of a lease termination or modification. The reconciliation of cash and cash equivalents and restricted cash to amounts presented in the condensed consolidated statements of cash flows are as follows: </w:t>
      </w:r>
    </w:p>
    <w:tbl>
      <w:tblPr>
        <w:tblW w:w="6019" w:type="dxa"/>
        <w:jc w:val="left"/>
        <w:tblInd w:w="0" w:type="dxa"/>
        <w:tblLayout w:type="fixed"/>
        <w:tblCellMar>
          <w:top w:w="28" w:type="dxa"/>
          <w:left w:w="28" w:type="dxa"/>
          <w:bottom w:w="28" w:type="dxa"/>
          <w:right w:w="28" w:type="dxa"/>
        </w:tblCellMar>
      </w:tblPr>
      <w:tblGrid>
        <w:gridCol w:w="3511"/>
        <w:gridCol w:w="146"/>
        <w:gridCol w:w="211"/>
        <w:gridCol w:w="781"/>
        <w:gridCol w:w="146"/>
        <w:gridCol w:w="146"/>
        <w:gridCol w:w="211"/>
        <w:gridCol w:w="676"/>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and Other Agreements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Sesame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2023, the Company received an inconsequential equity stake in Sesame, a related party, in exchange for providing lab space and resources for the early phases of company development. The Company concluded that the common stock investment should be accounted for as an equity investment. Sesame's common stock is not exchange-traded and does not have a readily determinable fair value. Therefore, the Company accounts for the common stock investment under the measurement alternative for equity investments that do not have a readily determinable fair value. During 2025, an observable price change event occurred, resulting in the $0.5 million increase in fair value recognized related to the common stock investment as a result of the application of the measurement alternative. As of December 31, 2025, the cost of the investment in Sesame’s common stock was $0.5 million, including immaterial transaction costs, and was recorded as an equity investment within Other current assets on the consolidated balance sheets. There were no observable price changes that would result in an adjustment to the fair value of this equity investment during the three and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2024, the Company and Sesame entered into the Sesame Agreement. Pursuant to the Sesame Agreement, the Company received a $0.1 million upfront, non-refundable payment in June 2024. Under the terms of the Sesame Agreement, the Company is eligible to receive up to $25.9 million in potential future clinical, regulatory, and commercial milestone event payments. The Company is also eligible to receive low single-digit tiered royalties on net sales of any product covered by a licensed patent.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evaluated the Sesame Agreement under ASC 606. The Company identified the following promises under the agreement: (1) the non-exclusive license and (2) the initial know-how transfer, and determined that the promises were immaterial as the upfront license payment at contract inception was an inconsequential payment amount. The initial upfront license payment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was recorded as license revenue on the consolidated statements of operations and comprehensive loss during the period ended June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potential future milestone payments are considered to be variable consideration and have been excluded from the transaction price. Revenue for all potential clinical and regulatory milestone achievements will be recognized when the related milestones are achieved or when it becomes probable that a significant reversal in the amount of revenue recognized relating to the milestone event will not occur. Milestone payments that are not within the control of the Company or the licensee, such as regulatory approvals, are not considered probable of being achieved until those approvals are received. Additionally, revenue related to potential sales milestones and royalties from the sales of the licensed products will be recognized when the related sales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2025, the Company and Sesame entered into a use and occupancy sub-lease of office and laboratory space at 201 Brookline Avenue in Boston, Massachusetts. The sub-lease has a term of 17-months with an option to extend for one additional six-month period. Total sub-lease payments from Sesame to the Company will approximate $0.4 million over the term of the sub-lease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common relationships amongst current and former members of management and the boards of directors, the transaction above with Sesame is a related party transaction.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Trial Collaboration and Supply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Company and Revolution Medicines entered into a CTCSA. The CTCSA with Revolution Medicines provides that Revolution Medicines will supply daraxonrasib (RMC-6236), a RAS(ON) multi-selective inhibitor, and zoldonrasib (RMC-9805), a RAS(ON) G12D-selective inhibitor, at no cost to the Company for use in trials that will include vopimetostat and each of these RAS(ON) inhibitors. The Company will be the sponsor of any combination trials and bear associated costs. Each company will retain commercial rights to its respective compounds, and the agreement is mutually non-exclusive. Due to common relationships amongst members of management and the boards of directors, this transaction is a related party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differentiated profile of vopimetostat enabling the potential for efficacious and tolerable RAS inhibitor combinations, in March 2026, the Company entered into a CTCSA with Erasca to evaluate vopimetostat in combination with Erasca’s pan-RAS molecular glue, ERAS-0015. Under the terms of the agreement, Tango is the sponsor of the trial and Erasca is supplying ERAS-0015 at no cost. Each company will retain commercial rights to its respective compound, and the agreement is mutually non-exclusive.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Funding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ongoing preclinical and clinical studies. The Company enters into contracts in the normal course of business with contract research organizations in connection with the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pStyle w:val="TextBody"/>
        <w:bidi w:val="0"/>
        <w:spacing w:before="240" w:after="283"/>
        <w:jc w:val="left"/>
        <w:rPr>
          <w:rFonts w:ascii="Times New Roman" w:hAnsi="Times New Roman"/>
          <w:sz w:val="20"/>
        </w:rPr>
      </w:pPr>
      <w:r>
        <w:rPr>
          <w:rFonts w:ascii="Times New Roman" w:hAnsi="Times New Roman"/>
          <w:b/>
          <w:i/>
          <w:color w:val="000000"/>
          <w:sz w:val="20"/>
        </w:rPr>
        <w:t>Guarantees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defends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w:t>
      </w:r>
    </w:p>
    <w:p>
      <w:pPr>
        <w:pStyle w:val="TextBody"/>
        <w:bidi w:val="0"/>
        <w:spacing w:before="24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from time to time, may be party to litigation arising in the ordinary course of business. The Company was not subject to any material legal proceedings as of June 30, 2026, and no material legal proceedings are currently pending or threatened. Because of uncertainties related to claims, proceedings and litigation, assessments of potential liabilities are based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5, 2025, the Company’s stockholders approved an increase in the number of authorized shares of the Company's common stock from 200,000,000 to 400,000,000 and the Company filed a Certificate of Amendment to its Certificate of Incorporation with the Secretary of State of the State of Delaware to effect such increase, which became effective immediately upon filing.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Undesignated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Certificate of Incorporation, as amended and restated, authorizes the Company to issue shares of preferred stock with a par value of $0.001 per share. The number of shares of preferred stock authorized to be issued is 10,000,000 shares as of June 30, 2026 and December 31, 2025. The shares of preferred stock are currently undesignated and no shares are issued or outstanding.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Incentive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2017, the Company’s stockholders approved the 2017 Plan, under which stock options and restricted stock awards were granted to eligible employees, officers, directors, consultants, or other key persons who provide services to the Company. Such issuances under the 2017 Plan were subject to vesting, forfeiture and other restrictions as deemed appropriate by the Board of Directors at the time of issuance.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effectiveness of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2021, the Company's Board of Directors and stockholders approved the 2021 Plan, under which stock options, RSUs and other equity-based awards or any combination of these may be granted to eligible employees, officers, directors, consultants, or other key persons who provide services to the Company. Such issuances are subject to vesting, forfeiture and other restrictions as deemed appropriate by the Board of Directors at the time of issuance. As of June 30, 2026, the Company had 8,595,584 shares available for future issuance under the 2021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2023, the Company's Board of Directors approved the Inducement Plan, under which the Company reserved shares of common stock, to be used exclusively for grants of non-qualified stock options, restricted stock units and other equity-based awards, or any combination of these to individuals who were not previously employees or directors of the Company. As of June 30, 2026, the Company had 1,044,262 shares available for future issuance under the Inducement Plan.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recorded stock-based compensation expense in the following expense categories in its accompanying condensed consolidated statements of operations: </w:t>
      </w:r>
    </w:p>
    <w:tbl>
      <w:tblPr>
        <w:tblW w:w="7470" w:type="dxa"/>
        <w:jc w:val="left"/>
        <w:tblInd w:w="0" w:type="dxa"/>
        <w:tblLayout w:type="fixed"/>
        <w:tblCellMar>
          <w:top w:w="28" w:type="dxa"/>
          <w:left w:w="28" w:type="dxa"/>
          <w:bottom w:w="28" w:type="dxa"/>
          <w:right w:w="28" w:type="dxa"/>
        </w:tblCellMar>
      </w:tblPr>
      <w:tblGrid>
        <w:gridCol w:w="2311"/>
        <w:gridCol w:w="146"/>
        <w:gridCol w:w="243"/>
        <w:gridCol w:w="781"/>
        <w:gridCol w:w="168"/>
        <w:gridCol w:w="168"/>
        <w:gridCol w:w="243"/>
        <w:gridCol w:w="659"/>
        <w:gridCol w:w="146"/>
        <w:gridCol w:w="146"/>
        <w:gridCol w:w="211"/>
        <w:gridCol w:w="677"/>
        <w:gridCol w:w="146"/>
        <w:gridCol w:w="146"/>
        <w:gridCol w:w="211"/>
        <w:gridCol w:w="677"/>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period-over-period increase to general and administrative stock-based compensation expense is primarily due to incremental expenses derived from the modifications of previously issued equity awards during the three and six months ended June 30, 2026.</w:t>
      </w:r>
    </w:p>
    <w:p>
      <w:pPr>
        <w:pStyle w:val="TextBody"/>
        <w:bidi w:val="0"/>
        <w:spacing w:before="0" w:after="240"/>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table summarizes the stock option activity for the six months ended June 30, 2026: </w:t>
      </w:r>
    </w:p>
    <w:tbl>
      <w:tblPr>
        <w:tblW w:w="9670" w:type="dxa"/>
        <w:jc w:val="left"/>
        <w:tblInd w:w="0" w:type="dxa"/>
        <w:tblLayout w:type="fixed"/>
        <w:tblCellMar>
          <w:top w:w="28" w:type="dxa"/>
          <w:left w:w="28" w:type="dxa"/>
          <w:bottom w:w="28" w:type="dxa"/>
          <w:right w:w="28" w:type="dxa"/>
        </w:tblCellMar>
      </w:tblPr>
      <w:tblGrid>
        <w:gridCol w:w="3916"/>
        <w:gridCol w:w="146"/>
        <w:gridCol w:w="146"/>
        <w:gridCol w:w="1036"/>
        <w:gridCol w:w="166"/>
        <w:gridCol w:w="146"/>
        <w:gridCol w:w="214"/>
        <w:gridCol w:w="582"/>
        <w:gridCol w:w="146"/>
        <w:gridCol w:w="146"/>
        <w:gridCol w:w="236"/>
        <w:gridCol w:w="755"/>
        <w:gridCol w:w="146"/>
        <w:gridCol w:w="146"/>
        <w:gridCol w:w="211"/>
        <w:gridCol w:w="1141"/>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60,720,990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21,806,034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488,996,032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10,457,058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256,972,885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of June 30, 2026, total unrecognized compensation expense related to stock options was $83.4 million, which the Company expects to recognize over a remaining weighted-average period of 2.9 years.</w:t>
      </w:r>
    </w:p>
    <w:p>
      <w:pPr>
        <w:pStyle w:val="TextBody"/>
        <w:bidi w:val="0"/>
        <w:jc w:val="left"/>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the RSU activity for the six months ended June 30, 2026: </w:t>
      </w:r>
    </w:p>
    <w:tbl>
      <w:tblPr>
        <w:tblW w:w="8842" w:type="dxa"/>
        <w:jc w:val="left"/>
        <w:tblInd w:w="0" w:type="dxa"/>
        <w:tblLayout w:type="fixed"/>
        <w:tblCellMar>
          <w:top w:w="28" w:type="dxa"/>
          <w:left w:w="28" w:type="dxa"/>
          <w:bottom w:w="28" w:type="dxa"/>
          <w:right w:w="28" w:type="dxa"/>
        </w:tblCellMar>
      </w:tblPr>
      <w:tblGrid>
        <w:gridCol w:w="4381"/>
        <w:gridCol w:w="146"/>
        <w:gridCol w:w="146"/>
        <w:gridCol w:w="931"/>
        <w:gridCol w:w="166"/>
        <w:gridCol w:w="146"/>
        <w:gridCol w:w="681"/>
        <w:gridCol w:w="1854"/>
        <w:gridCol w:w="3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and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total unrecognized compensation expense related to RSUs was $18.4 million, which the Company expects to recognize over a remaining weighted-average period of 2.2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2021 ESPP was adopted and approved by the Company’s Board of Directors and by the Company’s stockholders and became effective in August 2021. During the six months ended June 30, 2026, the Company issued 97,255 shares of common stock under the 2021 ESPP.</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Net Income (Loss) Per Share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Basic and diluted net income (loss) per share attributable to common stockholders was calculated as follows: </w:t>
      </w:r>
    </w:p>
    <w:tbl>
      <w:tblPr>
        <w:tblW w:w="10205" w:type="dxa"/>
        <w:jc w:val="left"/>
        <w:tblInd w:w="0" w:type="dxa"/>
        <w:tblLayout w:type="fixed"/>
        <w:tblCellMar>
          <w:top w:w="28" w:type="dxa"/>
          <w:left w:w="28" w:type="dxa"/>
          <w:bottom w:w="28" w:type="dxa"/>
          <w:right w:w="28" w:type="dxa"/>
        </w:tblCellMar>
      </w:tblPr>
      <w:tblGrid>
        <w:gridCol w:w="3324"/>
        <w:gridCol w:w="146"/>
        <w:gridCol w:w="211"/>
        <w:gridCol w:w="1141"/>
        <w:gridCol w:w="166"/>
        <w:gridCol w:w="146"/>
        <w:gridCol w:w="211"/>
        <w:gridCol w:w="1141"/>
        <w:gridCol w:w="166"/>
        <w:gridCol w:w="146"/>
        <w:gridCol w:w="211"/>
        <w:gridCol w:w="1141"/>
        <w:gridCol w:w="166"/>
        <w:gridCol w:w="146"/>
        <w:gridCol w:w="211"/>
        <w:gridCol w:w="1141"/>
        <w:gridCol w:w="391"/>
      </w:tblGrid>
      <w:tr>
        <w:trPr/>
        <w:tc>
          <w:tcPr>
            <w:tcW w:w="3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w:t>
              <w:br/>
              <w:t>share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w:t>
              <w:br/>
              <w:t>share data)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stock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149,875,939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110,540,836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148,660,404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110,494,397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From time to time, the Company may issue pre-funded warrants which are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pre-funded warrants are included in the weighted-average number of shares of common stock used to calculate basic and diluted net loss per common share immediately upon issuance because the shares may be issued for little or no consideration, are fully vested and are exercisable after the original issuance date of the pre-funded warrants.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August 2023, the Company completed a private placement, in which pre-funded warrants to purchase up to 2,340,579 shares of common stock with an exercise price of $0.001 per share were issued. In June 2025, all of these pre-funded warrants were exercised.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October 2025, the Company completed a private placement, in which pre-funded warrants to purchase up to 3,226,458 shares of common stock with an exercise price of $0.001 per share were issued. In June 2026, the Company completed an underwritten offering, in which pre-funded warrants to purchase up to 1,833,395 shares of common stock with an exercise price of $0.001 per share were issued. All of these pre-funded warrants remain unexercised as of the June 30, 2026 balance sheet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Company’s potential dilutive securities, which include common stock options and unvested restricted common stock units, have been excluded from the computation of diluted net loss per share in the periods in which a net loss is recorded, as the effect would be to reduce the net loss per share. Therefore, the weighted-average number of common shares outstanding used to calculate both basic and diluted net loss per share attributable to common stockholders is the same in periods that resulted in a net loss.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 </w:t>
      </w:r>
    </w:p>
    <w:tbl>
      <w:tblPr>
        <w:tblW w:w="6644" w:type="dxa"/>
        <w:jc w:val="left"/>
        <w:tblInd w:w="0" w:type="dxa"/>
        <w:tblLayout w:type="fixed"/>
        <w:tblCellMar>
          <w:top w:w="28" w:type="dxa"/>
          <w:left w:w="28" w:type="dxa"/>
          <w:bottom w:w="28" w:type="dxa"/>
          <w:right w:w="28" w:type="dxa"/>
        </w:tblCellMar>
      </w:tblPr>
      <w:tblGrid>
        <w:gridCol w:w="3451"/>
        <w:gridCol w:w="146"/>
        <w:gridCol w:w="146"/>
        <w:gridCol w:w="1036"/>
        <w:gridCol w:w="146"/>
        <w:gridCol w:w="146"/>
        <w:gridCol w:w="146"/>
        <w:gridCol w:w="1036"/>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21,806,034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23,729,595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1,413,613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23,696,110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25,143,208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effective income tax rate was 0.0% and -0.1% for the three months ended June 30, 2026 and 2025, respectively, and 0.0% and -0.1% for the six months ended June 30, 2026 and 2025, respectively. The income tax provision was less than $0.1 million for each of the three months ended June 30, 2026 and 2025, respectively, and less than $0.1 million for each of the six months ended June 30, 2026 and 2025, respectively. The Company is forecasting a taxable loss position in 2026 for which no tax benefit is recorded due to the valuation allowance maintained against the Company’s deferred tax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 income tax rate for the three and six months ended June 30, 2026 and 2025 differed from the 21.0% federal statutory rate primarily due to the valuation allowance maintained against the Company’s deferred tax assets. On July 4, 2025, new U.S. tax legislation referred to as the OBBBA was signed into law. The OBBBA contains several changes to corporate taxation, including modifications to capitalization of research and development expenses, limitations on deductions for interest expense and accelerated fixed asset depreciation. The legislation has multiple effective dates including the 2026 tax year. The Company does not expect the OBBBA to have a material impact on its effective tax rate and net deferred tax asset balance in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in the United States and has one operating segment that is managed on a consolidated basis. The Company’s revenues to date have been primarily generated through its license and collaboration agreement with Gilead. The accounting policies, as described in the summary of significant accounting policies, is applicable across all Company operations. The Company’s Chief Executive Officer, as the CODM, manages and allocates resources to the operations of the Company on a consolidated basis. Managing and allocating resources on a total company basis enables the CODM to assess the overall level of resources available and how to best deploy these resources across departments and research and development programs that are in-line with the Company's long-term company-wide strategic goals. Consistent with this decision-making process, the Company’s CODM uses consolidated, single-segment financial information for purposes of evaluating performance, forecasting future period financial results and allocating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segment net income (loss). This measure is used to monitor budget versus actual results to assess performance of the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Company’s segment expense for the three and six months ended June 30, 2026 and 2025: </w:t>
      </w:r>
    </w:p>
    <w:tbl>
      <w:tblPr>
        <w:tblW w:w="9429" w:type="dxa"/>
        <w:jc w:val="left"/>
        <w:tblInd w:w="0" w:type="dxa"/>
        <w:tblLayout w:type="fixed"/>
        <w:tblCellMar>
          <w:top w:w="28" w:type="dxa"/>
          <w:left w:w="28" w:type="dxa"/>
          <w:bottom w:w="28" w:type="dxa"/>
          <w:right w:w="28" w:type="dxa"/>
        </w:tblCellMar>
      </w:tblPr>
      <w:tblGrid>
        <w:gridCol w:w="4186"/>
        <w:gridCol w:w="146"/>
        <w:gridCol w:w="216"/>
        <w:gridCol w:w="756"/>
        <w:gridCol w:w="170"/>
        <w:gridCol w:w="149"/>
        <w:gridCol w:w="216"/>
        <w:gridCol w:w="756"/>
        <w:gridCol w:w="166"/>
        <w:gridCol w:w="146"/>
        <w:gridCol w:w="211"/>
        <w:gridCol w:w="841"/>
        <w:gridCol w:w="166"/>
        <w:gridCol w:w="146"/>
        <w:gridCol w:w="211"/>
        <w:gridCol w:w="736"/>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Oncology Segment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Oncology Segment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vopimetostat direct program expenses -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TNG456 direct program expenses -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TNG260 direct program expenses* -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TNG961 direct program expenses** -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TNG908 direct program expenses*** -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Discovery direct program expenses -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Personnel-related expenses -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Facilities and other related expenses -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segment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(55,341</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2026, the Company announced it would deprioritize future development and resources allocated to the Phase 1/2 TNG260 clinical trial given the limited clinical benefit demonstrated in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2026, the Company announced it did not plan to further advance development of TNG961.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Company announced it stopped enrollment of the TNG908 Phase 1/2 clinical trial due to insufficient brain exposure for clinical activity in GBM patients and portfolio prioritization. Expenses beyond November 2024 relate to previously enrolled patients and close-out clinical trial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Other segment expenses included in Segment net loss includes general and administrative expense, interest income, other income and provision for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measure of segment assets is reported on the consolidated balance sheet as total consolidated assets. The CODM reviews cash, cash equivalents and marketable securities as a measure of segment assets. As of June 30, 2026, the Company’s cash, cash equivalents and marketable securities were $1.0 billion. All long-lived assets of the Company reside in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2025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our Annual Report on Form 10-K for the fiscal year ended December 31, 2025, our actual results could differ materially from the results described in, or implied by, the forward-looking statements contained in the following discussion and analysis.</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Tango was founded with a clear mission: to discover the next wave of targeted therapies in oncology by addressing the specific genetic alterations that drive cancer. We leverage our state-of-the-art target and drug discovery platforms to identify novel disease-relevant targets and develop medicines tailored to defined patient populations with high unmet medical need. Our novel small molecules are designed to be selectively active in cancer cells with specific genetic alterations, killing those cancer cells while sparing normal cells. We believe our approach will provide the ability to deliver deep, durable target inhibition with favorable tolerability and safety profiles, thus potentially maximizing clinical benefit.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currently focused on clinical development of two MTAP-deleted selective PRMT5 inhibitors: vopimetostat (TNG462) for non-CNS cancers, both as a monotherapy and in combination with RAS inhibitors, and TNG456, our next-generation, brain-penetrant PRMT5 inhibitor, for CNS cancers, including GBM. We are evaluating vopimetostat alone and in combination with RAS inhibitors based on overlapping patient populations, preclinical data supporting potential strong combination effect in clinical trials, and favorable clinical efficacy, durability, and safety profiles observed to date with each applicable drug individually. In June 2025, we treated the first patient in our combination clinical trial evaluating vopimetostat with the RAS(ON) multi-selective inhibitor, daraxonrasib, and RAS(ON) G12D-selective inhibitor, zoldonrasib (Revolution Medicines).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June 2026, we reported initial safety and efficacy data from our ongoing Phase 1/2 clinical trial of vopimetostat in combination with Revolution Medicines' RAS(ON) inhibitors in patients with MTAP-deleted and RAS-mutant metastatic PDAC.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the cutoff date of May 28, 2026, 59 patients with previously treated MTAP-deleted and RAS-mutant PDAC or NSCLC were treated with a vopimetostat-based combination with either daraxonrasib (n=20 PDAC; n=5 NSCLC) or zoldonrasib (n=34 PDAC). All patients had advanced disease, including 70% with liver metastases in the daraxonrasib PDAC arm and 77% with liver metastases in the zoldonrasib arm, and were generally heavily pre-treated, with more than half receiving the combinations as third-line treatment.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vopimetostat plus daraxonrasib dose escalation arm, patients received either vopimetostat 200 mg or 250 mg QD plus daraxonrasib 100 mg QD. As of the data cutoff date of May 28, 2026, 12 patients with PDAC and three patients with NSCLC were response evaluable with at least 14 weeks of follow up. In PDAC patients, we observed an ORR of 92% (11 of 12 patients, with nine of 11 responses confirmed as of the data cutoff date). In PDAC patients, we observed a 90% six-month progression free survival rate, and 100% DCR. In NSCLC patients, we observed an ORR of 100%, with three of three responses (all responses confirmed).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vopimetostat plus daraxonrasib combination was generally well-tolerated across dose levels. Most adverse events were grade one or two in severity, and grade three adverse events were observed and included thrombocytopenia, acneiform rash, stomatitis/mucositis and fatigue. There were no related grade four or five adverse events. There were no DLTs at the vopimetostat 200 mg/daraxonrasib 100 mg dose level, and three DLTs in two patients at the vopimetostat 250 mg/daraxonrasib 100 mg dose level. There were no discontinuations due to adverse events.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Based on these data, we intend to advance this combination approach into Phase 3 development for patients with MTAP-deleted pancreatic cancer. Subject to feedback from regulatory authorities, we plan to initiate a Phase 3 randomized-controlled trial in front-line pancreatic cancer and evaluate opportunities to advance the second line combination towards registration phase.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June 8, 2026, we also reported initial data from the vopimetostat plus zoldonrasib dose escalation arm in PDAC patients. Patients received vopimetostat 200 mg or 250 mg QD plus zoldonrasib 600 mg or 1200 mg QD. As of the data cutoff date of May 28, 2026, 27 patients were response evaluable with at least 14 weeks of follow-up. We observed an ORR of 52%,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74% six-month progression free survival rate, and 96% DCR in these patients. The vopimetostat plus zoldonrasib combination was generally well-tolerated across dose levels. Most adverse events were grade one or two in severity, and there were no related grade four or five adverse events or DLTs. There were no discontinuations due to adverse events.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plan to share data from the Phase 1/2 trial of the combination of vopimetostat plus RAS(ON) inhibitors at the 2026 European Society for Medical Oncology (ESMO) Congress in Madrid, Spain from October 23-27,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Given the differentiated profile of vopimetostat enabling the potential for efficacious and tolerable RAS inhibitor combinations, in March 2026, we entered into a CTCSA with Erasca to evaluate vopimetostat in combination with Erasca’s pan-RAS molecular glue, ERAS-0015. Under the terms of the CTCSA with Erasca, we are the sponsor of the trial and Erasca is supplying ERAS-0015 at no cost. We plan to initiate this Phase 1/2 clinical trial in the second half of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Phase 1/2 clinical trial of vopimetostat monotherapy in patients with MTAP-deleted selective cancers is ongoing. Emerging data from the lung cancer cohort are consistent with expectations, and we anticipate providing a safety and efficacy update in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TNG456 is a brain-penetrant PRMT5 inhibitor. In May 2025, the first patient was treated with TNG456 in the dose escalation portion of the Phase 1/2 clinical trial to evaluate the safety, pharmacokinetics, pharmacodynamics and antitumor activity of TNG456 as a monotherapy. The trial is currently enrolling patients with MTAP-deleted solid tumors, with a focus on GBM. We anticipate providing initial clinical data from this trial in the second half of 2026.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Due to an increased focus on our PRMT5 pipeline, we are deprioritizing future development and resources allocated to TNG260 and are in the process of shutting down the clinical trial. Additionally, TNG961 is currently in the IND-enabling phase of development and we do not have current plans to further advance development of this molecule. </w:t>
      </w:r>
    </w:p>
    <w:p>
      <w:pPr>
        <w:pStyle w:val="TextBody"/>
        <w:bidi w:val="0"/>
        <w:jc w:val="left"/>
        <w:rPr>
          <w:rFonts w:ascii="Times New Roman" w:hAnsi="Times New Roman"/>
          <w:sz w:val="20"/>
        </w:rPr>
      </w:pPr>
      <w:r>
        <w:rPr>
          <w:rFonts w:ascii="Times New Roman" w:hAnsi="Times New Roman"/>
          <w:b/>
          <w:color w:val="000000"/>
          <w:sz w:val="20"/>
        </w:rPr>
        <w:t>Financial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Through June 30, 2026, we have raised an aggregate of $1.8 billion from such transactions, including $1.6 billion in aggregate gross proceeds from the sale of preferred shares, the closing of our Business Combination, follow-on public and private offerings, and through our "at-the-market" stock offering programs, and $237.1 million pursuant to our collaboration with Gilead, the research portion of which concluded in August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existing cash, cash equivalents and marketable securities on hand as of June 30, 2026 of $1.0 billion, will enable us to meet our current operating plan and fund our operating expenses and capital expenditure requirements for at least twelve months from the issuance of the financial statements in this Quarterly Report. Since inception, we have incurred significant operating losses. For the six months ended June 30, 2026 and 2025, our net losses were $100.9 million and $78.7 million, respectively. We had an accumulated deficit of $704.0 million as of June 30, 2026.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The Nasdaq Stock Market LLC listing rules and the requirements of the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acceptable terms, or at all. Our failure to raise capital or enter into such agreements, as and when needed, could have a negative effect on our business, results of operations and financial condition.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if approved, we may not become profitable. If we fail to become profitable or are unable to sustain profitability on a continuing basis, then we may be unable to continue our operations at planned levels and be forced to reduce our operations. </w:t>
      </w:r>
    </w:p>
    <w:p>
      <w:pPr>
        <w:pStyle w:val="TextBody"/>
        <w:bidi w:val="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Collaboration Agreements with Gilead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2018, we entered into the 2018 Gilead Agreement with Gilead, under which we received an initial upfront payment of $50.0 million. In August 2020, the 2018 Gilead Agreement was expanded into the Gilead Agreement, a broader collaboration via an amended and restated research collaboration and license agreement, under which we received an upfront payment of $125.0 million. Upfront payments totaling $175.0 million and subsequent research extension fees totaling $24.0 million were recorded as deferred revenue on our balance sheet and recognized as revenue as or when the performance obligation under the contract was satisfied. In June 2024, Gilead licensed a program for a $12.0 million fee, which was recognized as license revenue in the second quarter of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2025, we and Gilead mutually agreed to truncate the research term of the Gilead Agreement from seven to five years, concluding the research portion of the collaboration. There was no financial penalty to us as a result, no licensed programs were returned to us, all ongoing work at Gilead on licensed programs will continue and agreements for all future milestones and royalties remain in effect. We have no future research obligations and the remaining unrecognized deferred revenue balance at the time of truncating the collaboration agreement of $53.8 million was recognized as revenue in the third quarter of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June 30, 2026 and 2025, we recognized $0 and $3.2 million, respectively, and during the six months ended June 30, 2026 and 2025, we recognized $0 and $8.6 million, respectively, of collaboration revenue associated with the 2018 Gilead Agreement and the Gilead Agreement based on performance completed during each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Refer to Note 2 and Note 3 to our unaudited condensed consolidated financial statements and related notes appearing elsewhere in this Quarterly Report on Form 10-Q and our audited consolidated financial statements and related notes for the year ended December 31, 2025 included in our Annual Report on Form 10-K for additional information regarding our revenue recognition accounting policy and our collaboration agreement with Gilead.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for our drug discovery efforts and the development of our product candidates. We expense research and development costs as incurred,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stock-based compensation, other related costs for those employees involved 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research and development expenses incurred under agreements with contract research organizations, vendors and consultants that conduct our preclinical and clinical studies, as well as other development activities related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manufacturing material for our preclinical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supplies and research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fulfill our obligations under the collaboration with Gilead through August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information technology systems, depreciation and other allocated expenses, which include direct and allocated expenses for rent, utilities and insurance.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direct external research and development expenses consist primarily of fees paid to contract research organizations, as well as outside vendors and consultants in connection with our preclinical and clinical development and manufacturing activities. We track these external research and development costs on a program-by-program basis once we have identified a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allocate employee costs or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w:t>
      </w:r>
    </w:p>
    <w:tbl>
      <w:tblPr>
        <w:tblW w:w="9072" w:type="dxa"/>
        <w:jc w:val="left"/>
        <w:tblInd w:w="0" w:type="dxa"/>
        <w:tblLayout w:type="fixed"/>
        <w:tblCellMar>
          <w:top w:w="28" w:type="dxa"/>
          <w:left w:w="28" w:type="dxa"/>
          <w:bottom w:w="28" w:type="dxa"/>
          <w:right w:w="28" w:type="dxa"/>
        </w:tblCellMar>
      </w:tblPr>
      <w:tblGrid>
        <w:gridCol w:w="4111"/>
        <w:gridCol w:w="146"/>
        <w:gridCol w:w="231"/>
        <w:gridCol w:w="741"/>
        <w:gridCol w:w="160"/>
        <w:gridCol w:w="160"/>
        <w:gridCol w:w="231"/>
        <w:gridCol w:w="741"/>
        <w:gridCol w:w="146"/>
        <w:gridCol w:w="146"/>
        <w:gridCol w:w="211"/>
        <w:gridCol w:w="677"/>
        <w:gridCol w:w="146"/>
        <w:gridCol w:w="146"/>
        <w:gridCol w:w="211"/>
        <w:gridCol w:w="677"/>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vopimetostat direct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TNG456 direct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TNG260 direct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TNG961 direct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TNG908 direct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Discovery direct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Facilities and other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37,199</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2026, we announced we would deprioritize future development and resources allocated to the Phase 1/2 TNG260 clinical trial given the limited clinical benefit demonstrated in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2026, we announced we did not plan to further advance development of TNG961.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we announced we stopped enrollment in the TNG908 Phase 1/2 trial due to insufficient brain exposure for GBM clinical activity and portfolio prioritization. Expenses beyond November 2024 related to previously enrolled patients and close-out clinical trial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continue to increase significantly with the commencement and continuation of our current and planned clinical trials. We anticipate that our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will increase substantially, particularly due to the numerous risks and uncertainties associated with developing product candidates, including the uncertainty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rate of progress, and expenses of our ongoing research activities as well as any preclinical studies, clinical trials and other research and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 appropriate safety profile with IND-enabling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in and completion of our clinical trials, including our combination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product candidates show safety and efficacy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receipt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commercial manufacturing capabilities or making arrangements with third-party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commercializing product candidates, if and when approved, whether alone or in collaboration with others;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continued acceptable safety profile of products following any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employee related costs, including salaries, bonuses, benefits, stock-based compensation and other related costs. General and administrative expenses also include professional services, including legal, accounting and audit services and other consulting fees, as well as facility costs not otherwise included in research and development expenses, insurance and other general administrative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income consists of income earned and losses incurred in connection with our investments in money market funds, U.S. Treasury bills and U.S. government agency bonds.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net consists of miscellaneous income and expense unrelated to our core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three and six months ended June 30, 2026 and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w:t>
      </w:r>
    </w:p>
    <w:tbl>
      <w:tblPr>
        <w:tblW w:w="6590" w:type="dxa"/>
        <w:jc w:val="left"/>
        <w:tblInd w:w="0" w:type="dxa"/>
        <w:tblLayout w:type="fixed"/>
        <w:tblCellMar>
          <w:top w:w="28" w:type="dxa"/>
          <w:left w:w="28" w:type="dxa"/>
          <w:bottom w:w="28" w:type="dxa"/>
          <w:right w:w="28" w:type="dxa"/>
        </w:tblCellMar>
      </w:tblPr>
      <w:tblGrid>
        <w:gridCol w:w="2511"/>
        <w:gridCol w:w="146"/>
        <w:gridCol w:w="216"/>
        <w:gridCol w:w="756"/>
        <w:gridCol w:w="170"/>
        <w:gridCol w:w="149"/>
        <w:gridCol w:w="216"/>
        <w:gridCol w:w="756"/>
        <w:gridCol w:w="166"/>
        <w:gridCol w:w="146"/>
        <w:gridCol w:w="211"/>
        <w:gridCol w:w="736"/>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 revenue of $0 and $3.2 million for the three months ended June 30, 2026 and 2025, respectively, was derived from the Gilead Agreement. All remaining deferred revenue from the upfront and research option-extension payments under the Gilead Agreement was recognized as collaboration revenue during the year ended December 31, 2025 as a result of the truncation of the Gilead Agreement which concluded all research activities in August 2025.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 was $37.2 million for the three months ended June 30, 2026 compared to $32.8 million for the three months ended June 30, 2025. The increase of $4.4 million was primarily driven by a $7.6 million increase in spend related to the advancement of the vopimetostat and TNG456 clinical programs. The increase was also due to higher personnel-related costs. These increases were partially offset by a $1.7 million decrease due to the discontinuation of the TNG908 and TNG260 clinical programs, a $1.5 million decrease in development costs for TNG961, and lower discovery program expenses.</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 was $22.6 million for the three months ended June 30, 2026 compared to $11.3 million for the three months ended June 30, 2025. The increase of $11.2 million was primarily due to an increase in personnel-related costs, including share-based compensation expense.</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income was $3.7 million for the three months ended June 30, 2026 compared to $1.2 million for the three months ended June 30, 2025, with the increase primarily attributable to a higher marketable securities balance during the second quarter of 2026 as compared to the same period in the prior year. </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net was $0.7 million for the three months ended June 30, 2026 compared to $0.9 million for the three months ended June 30, 2025. In both periods, other income, net, was primarily derived from accretion from investments purchased at a discount.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Provision for income taxes was less than $0.1 million for each of the three months ended June 30, 2026 and 2025. The tax provisions were insignificant in each of the three months ended June 30, 2026 and 2025.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w:t>
      </w:r>
    </w:p>
    <w:tbl>
      <w:tblPr>
        <w:tblW w:w="6638" w:type="dxa"/>
        <w:jc w:val="left"/>
        <w:tblInd w:w="0" w:type="dxa"/>
        <w:tblLayout w:type="fixed"/>
        <w:tblCellMar>
          <w:top w:w="28" w:type="dxa"/>
          <w:left w:w="28" w:type="dxa"/>
          <w:bottom w:w="28" w:type="dxa"/>
          <w:right w:w="28" w:type="dxa"/>
        </w:tblCellMar>
      </w:tblPr>
      <w:tblGrid>
        <w:gridCol w:w="2511"/>
        <w:gridCol w:w="146"/>
        <w:gridCol w:w="211"/>
        <w:gridCol w:w="841"/>
        <w:gridCol w:w="166"/>
        <w:gridCol w:w="146"/>
        <w:gridCol w:w="211"/>
        <w:gridCol w:w="736"/>
        <w:gridCol w:w="166"/>
        <w:gridCol w:w="146"/>
        <w:gridCol w:w="211"/>
        <w:gridCol w:w="736"/>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 revenue of $0 and $8.6 million for the six months ended June 30, 2026 and 2025, respectively, was derived from the Gilead Agreement. All remaining deferred revenue from the upfront and research option-extension payments under the Gilead Agreement was recognized as collaboration revenue during the year ended December 31, 2025 as a result of the truncation of the Gilead Agreement which concluded all research activities in August 2025.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 was $70.7 million for the six months ended June 30, 2026 compared to $69.2 million for the six months ended June 30, 2025. The increase of $1.5 million was primarily driven by a $12.1 million increase in spend related to the advancement of the vopimetostat and TNG456 clinical programs. The increase was partially offset by a $2.5 million decrease due to the discontinuation of the TNG908 and TNG260 clinical programs, $3.3 million decrease in development costs for TNG961, and lower discovery program expenses. The increase was further reduced by decreased spend on lab supplies and services, as well as other facilities related costs.</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 was $37.8 million for the six months ended June 30, 2026 compared to $22.8 million for the six months ended June 30, 2025. The increase of $15.0 million was primarily due to an increase in personnel-related costs, including share-based compensation expense. The change also included increased spend on consulting services and information technology related spend.</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income was $5.9 million for the six months ended June 30, 2026 compared to $2.9 million for the six months ended June 30, 2025, with the increase primarily attributable to a higher marketable securities balance during the second quarter of 2026 as compared to the same period in the prior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net was $1.8 million for the six months ended June 30, 2026 compared to $2.0 million for the six months ended June 30, 2025. In both periods, other income, net, was primarily derived from accretion from investments purchased at a discount.</w:t>
      </w:r>
    </w:p>
    <w:p>
      <w:pPr>
        <w:pStyle w:val="TextBody"/>
        <w:bidi w:val="0"/>
        <w:spacing w:before="24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Provision for income taxes was less than $0.1 million for each of the six months ended June 30, 2026 and 2025. The tax provisions were insignificant in each of the six months ended June 30, 2026 and 2025.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we have generated recurring net losses. We have not yet commercialized any products and we do not expect to generate revenue from sales of any products for several years, if at all. To date, we have funded our operations primarily through equity financings and from the proceeds received from the Gilead Agreement. Through June 30, 2026, we have raised an aggregate of $1.8 billion from such transactions, including $1.6 billion in aggregate gross proceeds from the sale of pre-public entity preferred shares, the closing of our Business Combination, follow-on public and private offerings, and through our "at-the-market" stock offering programs, and $237.1 million pursuant to our collaboration with Gilead, the research portion of which concluded in August 2025. As of June 30, 2026, we had cash and cash equivalents and marketable securities of $1.0 billion.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we completed an underwritten public offering for the issuance of a total of 21,166,676 shares of common stock, including 3,000,009 shares pursuant to the exercise of the underwriters’ option to purchase additional shares, at a price to the public of $30.00 per share and pre-funded warrants to purchase up to 1,833,395 shares of common stock at a public offering price of $29.999 per pre-funded warrant, which represents the per share public offering price of each share of common stock less the $0.001 per share exercise price for each pre-funded warrant, resulting in gross proceeds of $690.0 million. The pre-funded warrants are immediately exercisable and will remain exercisable until exercised in full. After deducting underwriting discounts and commissions and expenses related to the offering of $38.6 million, net proceeds were $651.4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2025, we entered into the Leerink Sales Agreement, which permitted us to sell from time to time, at our option, up to an aggregate of $100.0 million of shares of our common stock through Leerink Partners, as sales agent. Sales of the common stock are made by methods deemed to be "at-the-market" stock offerings. The Leerink Sales Agreement will terminate upon the earliest of: (a) the sale of $100.0 million of shares of our common stock or (b) the termination of the Leerink Sales Agreement by us or Leerink Partners. During the three months ended June 30, 2026, we did not sell any shares of our common stock under the Leerink Sales Agreement and during the six months ended June 30, 2026, we sold 5,148,151 shares of common stock under this stock offering program for gross proceeds of $64.4 million. We may, at our option, sell up to approximately $35.6 million of shares of our common stock remaining under this stock offering program. </w:t>
      </w:r>
    </w:p>
    <w:p>
      <w:pPr>
        <w:pStyle w:val="TextBody"/>
        <w:bidi w:val="0"/>
        <w:spacing w:before="24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existing cash, cash equivalents and marketable securities on hand as of June 30, 2026 of $1.0 billion will enable us to meet our current operating plan and fund our operating expenses and capital expenditure requirements for at least twelve months from the issuance of the financial statements in this Quarterly Report. We have based this estimate on assumptions that may prove to be wrong, and we could expend our capital resources sooner than we expect.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cash flows for each of the six month periods presented: </w:t>
      </w:r>
    </w:p>
    <w:tbl>
      <w:tblPr>
        <w:tblW w:w="8668" w:type="dxa"/>
        <w:jc w:val="left"/>
        <w:tblInd w:w="0" w:type="dxa"/>
        <w:tblLayout w:type="fixed"/>
        <w:tblCellMar>
          <w:top w:w="28" w:type="dxa"/>
          <w:left w:w="28" w:type="dxa"/>
          <w:bottom w:w="28" w:type="dxa"/>
          <w:right w:w="28" w:type="dxa"/>
        </w:tblCellMar>
      </w:tblPr>
      <w:tblGrid>
        <w:gridCol w:w="4636"/>
        <w:gridCol w:w="146"/>
        <w:gridCol w:w="211"/>
        <w:gridCol w:w="841"/>
        <w:gridCol w:w="166"/>
        <w:gridCol w:w="146"/>
        <w:gridCol w:w="211"/>
        <w:gridCol w:w="736"/>
        <w:gridCol w:w="166"/>
        <w:gridCol w:w="146"/>
        <w:gridCol w:w="211"/>
        <w:gridCol w:w="841"/>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$83.2 million for the six months ended June 30, 2026 compared to net cash used in operating activities of $78.2 million for the six months ended June 30, 2025. The increase in net cash used in operating activities for the six months ended June 30, 2026 was primarily due to an increase in the net loss as a result of higher operating expenses related to the advancement of our programs and personnel-related costs. The increase was partially offset by higher non-cash expenses and a decrease in operating assets and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$436.3 million for the six months ended June 30, 2026 compared to net cash provided by investing activities of $47.4 million for the six months ended June 30, 2025. The change was primarily due to an increase in purchases of marketable securities, which was partially offset by an increase in sales and maturities of marketable securities as compared to the six months ended June 30, 2025.</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$752.4 million for the six months ended June 30, 2026 compared to net cash provided by financing activities of less than $0.6 million for the six months ended June 30, 2025. The cash provided by financing activities for the six months ended June 30, 2026 primarily consisted of $651.4 million in net proceeds received from our June 2026 financing, $62.8 million in net proceeds received from our "at-the-market" stock offering program, as well as the cash provided from the exercises of stock options and ESPP purchases of $38.2 million during the period. The cash provided by financing activities for the six months ended June 30, 2025 consisted of the cash provided from the exercises of stock options and ESPP purchases.</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contractual obligations at June 30, 2026 and the effects that such obligations are expected to have on our liquidity and cash flows in future periods: </w:t>
      </w:r>
    </w:p>
    <w:tbl>
      <w:tblPr>
        <w:tblW w:w="8442" w:type="dxa"/>
        <w:jc w:val="left"/>
        <w:tblInd w:w="0" w:type="dxa"/>
        <w:tblLayout w:type="fixed"/>
        <w:tblCellMar>
          <w:top w:w="28" w:type="dxa"/>
          <w:left w:w="28" w:type="dxa"/>
          <w:bottom w:w="28" w:type="dxa"/>
          <w:right w:w="28" w:type="dxa"/>
        </w:tblCellMar>
      </w:tblPr>
      <w:tblGrid>
        <w:gridCol w:w="2521"/>
        <w:gridCol w:w="146"/>
        <w:gridCol w:w="211"/>
        <w:gridCol w:w="676"/>
        <w:gridCol w:w="146"/>
        <w:gridCol w:w="146"/>
        <w:gridCol w:w="211"/>
        <w:gridCol w:w="571"/>
        <w:gridCol w:w="146"/>
        <w:gridCol w:w="146"/>
        <w:gridCol w:w="221"/>
        <w:gridCol w:w="709"/>
        <w:gridCol w:w="146"/>
        <w:gridCol w:w="146"/>
        <w:gridCol w:w="221"/>
        <w:gridCol w:w="709"/>
        <w:gridCol w:w="146"/>
        <w:gridCol w:w="146"/>
        <w:gridCol w:w="211"/>
        <w:gridCol w:w="67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4"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June 30, 2026. Refer to Note 7 to our audited consolidated financial statements and related notes included in our Annual Report on Form 10-K for the year ended December 31, 2025 for additional discussion of the lease.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Purchase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with limited notice, and therefore are cancellable contracts. These payments are not included in the table above as the amount and timing of such payments are not known as of June 30, 2026. </w:t>
      </w:r>
    </w:p>
    <w:p>
      <w:pPr>
        <w:pStyle w:val="TextBody"/>
        <w:bidi w:val="0"/>
        <w:spacing w:before="240" w:after="283"/>
        <w:jc w:val="left"/>
        <w:rPr>
          <w:rFonts w:ascii="Times New Roman" w:hAnsi="Times New Roman"/>
          <w:sz w:val="20"/>
        </w:rPr>
      </w:pPr>
      <w:r>
        <w:rPr>
          <w:rFonts w:ascii="Times New Roman" w:hAnsi="Times New Roman"/>
          <w:i/>
          <w:color w:val="000000"/>
          <w:sz w:val="20"/>
        </w:rPr>
        <w:t>License Agreement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June 30, 2026 and December 31, 2025, we were unable to estimate the timing or likelihood of achieving these milestones or generating future product sales. Refer to Note 8 of our audited consolidated financial statements and related notes included in our Annual Report on Form 10-K for the year ended December 31, 2025 for a description of our license agreement.</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our significant accounting policies are described in more detail in Note 2 to our audited consolidated financial statements and related notes included in our Annual Report on Form 10-K for the year ended December 31, 2025, we believe that the following accounting policies are those most critical to the judgments and estimates used in the preparation of our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terms of our collaboration agreements may include consideration such as non-refundable up-front payments, license fees, research extension fees, and clinical, regulatory and sales-based milestones and royalties on product sales.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recognize revenue under ASC 606, </w:t>
      </w:r>
      <w:r>
        <w:rPr>
          <w:rFonts w:ascii="Times New Roman" w:hAnsi="Times New Roman"/>
          <w:i/>
          <w:color w:val="000000"/>
          <w:sz w:val="20"/>
        </w:rPr>
        <w:t>Revenue from Contracts with Customers</w:t>
      </w:r>
      <w:r>
        <w:rPr>
          <w:rFonts w:ascii="Times New Roman" w:hAnsi="Times New Roman"/>
          <w:color w:val="000000"/>
          <w:sz w:val="20"/>
        </w:rPr>
        <w:t xml:space="preserve">,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recognize the transaction price allocated to license payments as revenue upon delivery of the license to the customer and resulting ability of the customer to use and benefit from the license, if the license is determined to be distinct from the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ASC 606, we will recognize revenue when we fulfill our performance obligations under the agreements with customers.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 </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 </w:t>
      </w:r>
    </w:p>
    <w:p>
      <w:pPr>
        <w:pStyle w:val="TextBody"/>
        <w:bidi w:val="0"/>
        <w:spacing w:before="240" w:after="283"/>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2025. </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material changes to our market risks from those described in Part II, Item 7A, "Quantitative and Qualitative Disclosures About Market Risk," in our Annual Report on Form 10-K for the year ended December 31, 2025.</w:t>
      </w:r>
    </w:p>
    <w:p>
      <w:pPr>
        <w:pStyle w:val="TextBody"/>
        <w:bidi w:val="0"/>
        <w:spacing w:before="24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identified in connection with the evaluation required by paragraph (d) of Rules 13a-15 and 15d-15(d) under the Exchange Act that occurred during the quarter ended June 30, 2026 that materially affected, or were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not currently a party to any litigation or legal proceedings that, in the opinion of our management, are probable to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Investing in our securities involves a high degree of risk. In addition to the other information set forth in this Quarterly Report on Form 10-Q, careful consideration should be given to the risk factors discussed in Item 1A, “Risk Factors” in our Annual Report on Form 10-K for the year ended December 31, 2025,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 There have been no material changes to the risk factors set forth in our Annual Report on Form 10-K for the year ended December 31, 2025 as filed with the SEC on March 5, 2026.</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sz w:val="20"/>
        </w:rPr>
      </w:pPr>
      <w:r>
        <w:rPr>
          <w:rFonts w:ascii="Times New Roman" w:hAnsi="Times New Roman"/>
          <w:i/>
          <w:color w:val="000000"/>
          <w:sz w:val="20"/>
        </w:rPr>
        <w:t>(c) Insider Adoption or Termination of Trading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fiscal quarter ended June 30, 2026, none of our directors or officers informed us of the adoption, modification or termination of a “Rule 10b5-1 trading arrangement” or “non-Rule 10b5-1 trading arrangement,” as those terms are defined in Regulation S-K, Item 408, except as described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4"/>
        <w:gridCol w:w="835"/>
        <w:gridCol w:w="1631"/>
        <w:gridCol w:w="3154"/>
        <w:gridCol w:w="840"/>
        <w:gridCol w:w="1022"/>
        <w:gridCol w:w="1109"/>
      </w:tblGrid>
      <w:tr>
        <w:trPr/>
        <w:tc>
          <w:tcPr>
            <w:tcW w:w="161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31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1614"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Title</w:t>
            </w:r>
          </w:p>
        </w:tc>
        <w:tc>
          <w:tcPr>
            <w:tcW w:w="83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Adopted</w:t>
            </w:r>
          </w:p>
        </w:tc>
        <w:tc>
          <w:tcPr>
            <w:tcW w:w="163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Character of Trading Arrangement (1)</w:t>
            </w:r>
          </w:p>
        </w:tc>
        <w:tc>
          <w:tcPr>
            <w:tcW w:w="315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Number of Shares of Common Stock to be Purchased or Sold Pursuant to Trading Arrangement</w:t>
            </w:r>
          </w:p>
        </w:tc>
        <w:tc>
          <w:tcPr>
            <w:tcW w:w="840"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Duration (2)</w:t>
            </w:r>
          </w:p>
        </w:tc>
        <w:tc>
          <w:tcPr>
            <w:tcW w:w="102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Material Terms</w:t>
            </w:r>
          </w:p>
        </w:tc>
        <w:tc>
          <w:tcPr>
            <w:tcW w:w="1109"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Terminated</w:t>
            </w:r>
          </w:p>
        </w:tc>
      </w:tr>
      <w:tr>
        <w:trPr/>
        <w:tc>
          <w:tcPr>
            <w:tcW w:w="1614"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 xml:space="preserve">Adam Crystal, </w:t>
              <w:br/>
            </w:r>
            <w:r>
              <w:rPr>
                <w:rFonts w:ascii="Times New Roman" w:hAnsi="Times New Roman"/>
                <w:i/>
                <w:color w:val="000000"/>
                <w:sz w:val="18"/>
              </w:rPr>
              <w:t>President of Research and Development</w:t>
            </w:r>
          </w:p>
        </w:tc>
        <w:tc>
          <w:tcPr>
            <w:tcW w:w="835"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6/10/2026</w:t>
            </w:r>
          </w:p>
        </w:tc>
        <w:tc>
          <w:tcPr>
            <w:tcW w:w="163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Rule 10b5-1</w:t>
            </w:r>
            <w:r>
              <w:rPr>
                <w:rFonts w:ascii="Times New Roman" w:hAnsi="Times New Roman"/>
                <w:color w:val="000000"/>
                <w:sz w:val="20"/>
              </w:rPr>
              <w:t> </w:t>
            </w:r>
            <w:r>
              <w:rPr>
                <w:rFonts w:ascii="Times New Roman" w:hAnsi="Times New Roman"/>
                <w:color w:val="000000"/>
                <w:sz w:val="18"/>
              </w:rPr>
              <w:t>Trading Arrangement</w:t>
            </w:r>
          </w:p>
        </w:tc>
        <w:tc>
          <w:tcPr>
            <w:tcW w:w="315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Up to 210,000</w:t>
            </w:r>
            <w:r>
              <w:rPr>
                <w:rFonts w:ascii="Times New Roman" w:hAnsi="Times New Roman"/>
                <w:color w:val="000000"/>
                <w:sz w:val="20"/>
              </w:rPr>
              <w:t> </w:t>
            </w:r>
            <w:r>
              <w:rPr>
                <w:rFonts w:ascii="Times New Roman" w:hAnsi="Times New Roman"/>
                <w:color w:val="000000"/>
                <w:sz w:val="18"/>
              </w:rPr>
              <w:t>shares to be sold</w:t>
            </w:r>
          </w:p>
        </w:tc>
        <w:tc>
          <w:tcPr>
            <w:tcW w:w="840"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10/31/2027</w:t>
            </w:r>
          </w:p>
        </w:tc>
        <w:tc>
          <w:tcPr>
            <w:tcW w:w="1022"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109"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r>
      <w:tr>
        <w:trPr/>
        <w:tc>
          <w:tcPr>
            <w:tcW w:w="161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 xml:space="preserve">Jessica Newcomb, </w:t>
              <w:br/>
            </w:r>
            <w:r>
              <w:rPr>
                <w:rFonts w:ascii="Times New Roman" w:hAnsi="Times New Roman"/>
                <w:i/>
                <w:color w:val="000000"/>
                <w:sz w:val="18"/>
              </w:rPr>
              <w:t>Principal Accounting Officer</w:t>
            </w:r>
          </w:p>
        </w:tc>
        <w:tc>
          <w:tcPr>
            <w:tcW w:w="83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6/23/2026</w:t>
            </w:r>
          </w:p>
        </w:tc>
        <w:tc>
          <w:tcPr>
            <w:tcW w:w="16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Rule 10b5-1</w:t>
            </w:r>
            <w:r>
              <w:rPr>
                <w:rFonts w:ascii="Times New Roman" w:hAnsi="Times New Roman"/>
                <w:color w:val="000000"/>
                <w:sz w:val="20"/>
              </w:rPr>
              <w:t> </w:t>
            </w:r>
            <w:r>
              <w:rPr>
                <w:rFonts w:ascii="Times New Roman" w:hAnsi="Times New Roman"/>
                <w:color w:val="000000"/>
                <w:sz w:val="18"/>
              </w:rPr>
              <w:t>Trading Arrangement</w:t>
            </w:r>
          </w:p>
        </w:tc>
        <w:tc>
          <w:tcPr>
            <w:tcW w:w="315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Up to 68,655</w:t>
            </w:r>
            <w:r>
              <w:rPr>
                <w:rFonts w:ascii="Times New Roman" w:hAnsi="Times New Roman"/>
                <w:color w:val="000000"/>
                <w:sz w:val="20"/>
              </w:rPr>
              <w:t> </w:t>
            </w:r>
            <w:r>
              <w:rPr>
                <w:rFonts w:ascii="Times New Roman" w:hAnsi="Times New Roman"/>
                <w:color w:val="000000"/>
                <w:sz w:val="18"/>
              </w:rPr>
              <w:t>shares to be sold</w:t>
            </w:r>
          </w:p>
        </w:tc>
        <w:tc>
          <w:tcPr>
            <w:tcW w:w="84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6/15/2027</w:t>
            </w:r>
          </w:p>
        </w:tc>
        <w:tc>
          <w:tcPr>
            <w:tcW w:w="102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10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(1) This trading arrangement, identified as a “Rule 10b5-1 Trading Arrangement” is intended to satisfy the affirmative defense of Rule 10b5-1(c).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 This trading arrangement permits transactions through and including the earlier to occur of (a) the completion of all purchases or sales or (b) the date listed in the table. This trading arrangement, identified as a “Rule 10b5-1 Trading Arrangement” only permits transactions upon expiration of the applicable mandatory cooling-off period under Rule 10b5-1.</w:t>
      </w:r>
    </w:p>
    <w:p>
      <w:pPr>
        <w:pStyle w:val="TextBody"/>
        <w:bidi w:val="0"/>
        <w:spacing w:before="120" w:after="24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Second Amended and Restated Certificate of Incorporation of the Registrant, as amended (incorporated by reference to Exhibit 3.1 to the Registrant's Quarterly Report on Form 10-Q filed with the SEC on August 7,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 (incorporated by reference to Exhibit 4.2 to the Registrant’s Registration Statement on Form S-8 filed with the SEC on October 14,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80"/>
                  <w:sz w:val="20"/>
                  <w:u w:val="single"/>
                </w:rPr>
                <w:t>Certificate of Amendment to the Second Amended and Restated Certificate of Incorporation of the Registrant (incorporated by reference to Exhibit 3.1 to the Registrant's Current Report on Form 8-K filed with the SEC on June 6, 2025)</w:t>
              </w:r>
            </w:hyperlink>
            <w:r>
              <w:rPr>
                <w:rFonts w:ascii="Times New Roman" w:hAnsi="Times New Roman"/>
                <w:color w:val="0000FF"/>
                <w:sz w:val="20"/>
                <w:u w:val="single"/>
              </w:rPr>
              <w: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Pre-Funded Warrant (incorporated by reference to Exhibit 4.1 to the Registrant's Current Report on Form 8-K filed with the SEC on June 10,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gx-ex10_1.htm">
              <w:r>
                <w:rPr>
                  <w:rStyle w:val="InternetLink"/>
                  <w:rFonts w:ascii="Times New Roman" w:hAnsi="Times New Roman"/>
                  <w:color w:val="0000FF"/>
                  <w:sz w:val="20"/>
                  <w:u w:val="single"/>
                </w:rPr>
                <w:t>Amended and Restated Non-Employee Director Compensation Policy.</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g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g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g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5"/>
        <w:gridCol w:w="146"/>
        <w:gridCol w:w="9274"/>
      </w:tblGrid>
      <w:tr>
        <w:trPr/>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4" w:type="dxa"/>
            <w:tcBorders/>
            <w:vAlign w:val="center"/>
          </w:tcPr>
          <w:p>
            <w:pPr>
              <w:pStyle w:val="TableContents"/>
              <w:bidi w:val="0"/>
              <w:spacing w:before="0" w:after="283"/>
              <w:jc w:val="left"/>
              <w:rPr>
                <w:sz w:val="4"/>
                <w:szCs w:val="4"/>
              </w:rPr>
            </w:pPr>
            <w:r>
              <w:rPr>
                <w:sz w:val="4"/>
                <w:szCs w:val="4"/>
              </w:rPr>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g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as Inline XBRL with applicable taxonomy extension information contained in Exhibits 101)</w:t>
            </w:r>
          </w:p>
        </w:tc>
      </w:tr>
    </w:tbl>
    <w:p>
      <w:pPr>
        <w:pStyle w:val="TextBody"/>
        <w:pBdr>
          <w:bottom w:val="single" w:sz="4" w:space="1" w:color="000000"/>
        </w:pBdr>
        <w:bidi w:val="0"/>
        <w:jc w:val="left"/>
        <w:rPr/>
      </w:pPr>
      <w:r>
        <w:rPr/>
        <w:t> </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xml:space="preserve">** 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 </w:t>
      </w:r>
    </w:p>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b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02" w:type="dxa"/>
        <w:jc w:val="left"/>
        <w:tblInd w:w="0" w:type="dxa"/>
        <w:tblLayout w:type="fixed"/>
        <w:tblCellMar>
          <w:top w:w="28" w:type="dxa"/>
          <w:left w:w="28" w:type="dxa"/>
          <w:bottom w:w="28" w:type="dxa"/>
          <w:right w:w="28" w:type="dxa"/>
        </w:tblCellMar>
      </w:tblPr>
      <w:tblGrid>
        <w:gridCol w:w="2056"/>
        <w:gridCol w:w="109"/>
        <w:gridCol w:w="406"/>
        <w:gridCol w:w="333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Therapeutics, Inc.</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Malte Peters</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Malte Peters, M.D.</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3092" w:type="dxa"/>
        <w:jc w:val="left"/>
        <w:tblInd w:w="0" w:type="dxa"/>
        <w:tblLayout w:type="fixed"/>
        <w:tblCellMar>
          <w:top w:w="28" w:type="dxa"/>
          <w:left w:w="28" w:type="dxa"/>
          <w:bottom w:w="28" w:type="dxa"/>
          <w:right w:w="28" w:type="dxa"/>
        </w:tblCellMar>
      </w:tblPr>
      <w:tblGrid>
        <w:gridCol w:w="161"/>
        <w:gridCol w:w="109"/>
        <w:gridCol w:w="406"/>
        <w:gridCol w:w="241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Therapeutics,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Gall</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Matthew Gall</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bookmarkStart w:id="21" w:name="tngx-ex10_1.htm"/>
      <w:bookmarkStart w:id="22" w:name="kstngxex10_1"/>
      <w:bookmarkEnd w:id="21"/>
      <w:bookmarkEnd w:id="22"/>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TANGO THERAPEUTICS, INC.</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NON-EMPLOYEE DIRECTOR COMPENSATION POLICY</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4"/>
        </w:rPr>
        <w:t>The purpose of this Non-Employee Director Compensation Policy (the “Policy”) of Tango Therapeutics, Inc. (the “Company”) is to provide a total compensation package that enables the Company to attract and retain, on a long-term basis, high-caliber directors who are not employees or officers of the Company or its subsidiaries (“Outside Directors”). In furtherance of the purpose stated above, all Outside Directors shall be paid compensation for services provided to the Company as set forth below:</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Cash Retainers</w:t>
      </w:r>
    </w:p>
    <w:p>
      <w:pPr>
        <w:pStyle w:val="TextBody"/>
        <w:bidi w:val="0"/>
        <w:jc w:val="left"/>
        <w:rPr>
          <w:rFonts w:ascii="Times New Roman" w:hAnsi="Times New Roman"/>
          <w:sz w:val="20"/>
        </w:rPr>
      </w:pPr>
      <w:r>
        <w:rPr>
          <w:rFonts w:ascii="Times New Roman" w:hAnsi="Times New Roman"/>
          <w:color w:val="000000"/>
          <w:sz w:val="24"/>
          <w:u w:val="single"/>
        </w:rPr>
        <w:t>Annual Retainer for Board Membership:</w:t>
      </w:r>
      <w:r>
        <w:rPr>
          <w:rFonts w:ascii="Times New Roman" w:hAnsi="Times New Roman"/>
          <w:color w:val="000000"/>
          <w:sz w:val="20"/>
        </w:rPr>
        <w:t xml:space="preserve"> </w:t>
      </w:r>
      <w:r>
        <w:rPr>
          <w:rFonts w:ascii="Times New Roman" w:hAnsi="Times New Roman"/>
          <w:color w:val="000000"/>
          <w:sz w:val="24"/>
        </w:rPr>
        <w:t>$45,000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Additional Annual Retainer for Non-Executive Chair:</w:t>
      </w:r>
      <w:r>
        <w:rPr>
          <w:rFonts w:ascii="Times New Roman" w:hAnsi="Times New Roman"/>
          <w:color w:val="000000"/>
          <w:sz w:val="20"/>
        </w:rPr>
        <w:t xml:space="preserve"> </w:t>
      </w:r>
      <w:r>
        <w:rPr>
          <w:rFonts w:ascii="Times New Roman" w:hAnsi="Times New Roman"/>
          <w:color w:val="000000"/>
          <w:sz w:val="24"/>
        </w:rPr>
        <w:t>$35,000</w:t>
      </w:r>
    </w:p>
    <w:p>
      <w:pPr>
        <w:pStyle w:val="TextBody"/>
        <w:bidi w:val="0"/>
        <w:jc w:val="left"/>
        <w:rPr>
          <w:rFonts w:ascii="Times New Roman" w:hAnsi="Times New Roman"/>
          <w:sz w:val="20"/>
        </w:rPr>
      </w:pPr>
      <w:r>
        <w:rPr>
          <w:rFonts w:ascii="Times New Roman" w:hAnsi="Times New Roman"/>
          <w:color w:val="000000"/>
          <w:sz w:val="24"/>
          <w:u w:val="single"/>
        </w:rPr>
        <w:t>Additional Annual Retainer for Lead Independent Director:</w:t>
      </w:r>
      <w:r>
        <w:rPr>
          <w:rFonts w:ascii="Times New Roman" w:hAnsi="Times New Roman"/>
          <w:color w:val="000000"/>
          <w:sz w:val="20"/>
        </w:rPr>
        <w:t xml:space="preserve"> </w:t>
      </w:r>
      <w:r>
        <w:rPr>
          <w:rFonts w:ascii="Times New Roman" w:hAnsi="Times New Roman"/>
          <w:color w:val="000000"/>
          <w:sz w:val="24"/>
        </w:rPr>
        <w:t>$30,000</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4"/>
          <w:u w:val="single"/>
        </w:rPr>
        <w:t>Additional Annual Retainers for Committee Membership:</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Audit Committee Chair: $20,000</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Audit Committee member: $10,000</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Compensation Committee Chair: $15,000</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Compensation Committee member: $7,500</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Nominating and Corporate Governance Committee Chair: $10,000</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Nominating and Corporate Governance Committee member: $5,000</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Chair and committee member retainers are in addition to retainers for members of the Board of Directors. No additional compensation will be paid for attending individual committee meetings of the Board of Directors.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Equity Retainers</w:t>
      </w:r>
    </w:p>
    <w:p>
      <w:pPr>
        <w:pStyle w:val="TextBody"/>
        <w:bidi w:val="0"/>
        <w:jc w:val="left"/>
        <w:rPr>
          <w:rFonts w:ascii="Times New Roman" w:hAnsi="Times New Roman"/>
          <w:sz w:val="20"/>
        </w:rPr>
      </w:pPr>
      <w:r>
        <w:rPr>
          <w:rFonts w:ascii="Times New Roman" w:hAnsi="Times New Roman"/>
          <w:color w:val="000000"/>
          <w:sz w:val="24"/>
          <w:u w:val="single"/>
        </w:rPr>
        <w:t>Initial Award:</w:t>
      </w:r>
      <w:r>
        <w:rPr>
          <w:rFonts w:ascii="Times New Roman" w:hAnsi="Times New Roman"/>
          <w:color w:val="000000"/>
          <w:sz w:val="20"/>
        </w:rPr>
        <w:t xml:space="preserve"> </w:t>
      </w:r>
      <w:r>
        <w:rPr>
          <w:rFonts w:ascii="Times New Roman" w:hAnsi="Times New Roman"/>
          <w:color w:val="000000"/>
          <w:sz w:val="24"/>
        </w:rPr>
        <w:t>An initial, one-time equity award consisting of a stock option (the “Initial Option Award”) to purchase 75,000 shares and a restricted stock unit award (the “Initial RSU Award”) to acquire 12,500 restricted stock unit awards. The Initial Option Award and the Initial RSU Award will be granted to each new Outside Director upon his or her election to the Board of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Directors. The Initial Option Award shall vest in 36 substantially equal monthly installments over three years from the date of grant, provided, however, that all vesting shall cease if the director ceases to serve on the Board of Directors, unless the Board of Directors determines that the circumstances warrant continuation of vesting. The Initial Option Award shall expire not later than ten years from the date of grant, and shall have a per share exercise price equal to the Fair Market Value (as defined in the Company’s 2021 Stock Option and Incentive Plan) of the Company’s common stock on the date of grant. The Initial RSU Award shall vest in three equal annual installments over three years from the date of grant (the specific vesting dates to be established by the Compensation Committee); provided, however, that all vesting shall cease if the director ceases to serve on the Board of Directors prior to any applicable vesting of the Initial RSU Award, unless the Board of Directors determines that the circumstances warrant continuation of vesting.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Annual Award:</w:t>
      </w:r>
      <w:r>
        <w:rPr>
          <w:rFonts w:ascii="Times New Roman" w:hAnsi="Times New Roman"/>
          <w:color w:val="000000"/>
          <w:sz w:val="20"/>
        </w:rPr>
        <w:t xml:space="preserve"> </w:t>
      </w:r>
      <w:r>
        <w:rPr>
          <w:rFonts w:ascii="Times New Roman" w:hAnsi="Times New Roman"/>
          <w:color w:val="000000"/>
          <w:sz w:val="24"/>
        </w:rPr>
        <w:t>On each date of each Annual Meeting of Stockholders of the Company (the “Annual Meeting”), each continuing Outside Director, other than a director receiving an Initial Award, will receive: (i) an annual stock option award (the “Annual Option Award”) to purchase 25,000 shares and (ii) an annual restricted stock unit award (the “Annual RSU Award”) to acquire 4,000shares; provided, however, that Annual Option Awards and Annual RSU Awards made to Outside Directors who were elected in the 12 months preceding the date of grant of such Annual Awards will be pro-rated on a monthly basis for time in service. The Annual Option Award shall vest in 12 substantially equal monthly installments over one year from the date of grant provided, however, that all vesting shall cease if the director ceases to serve on the Board of Directors, unless the Board of Directors determines that the circumstances warrant continuation of vesting. Such Annual Award shall expire no later than ten years from the date of grant, and shall have a per share exercise price equal to the Fair Market Value of the Company’s common stock on the date of grant. The Annual RSU Award shall vest in its entirety approximately on the first anniversary of the date of grant (the specific vesting date to be established by the Compensation Committee); provided, however, that all vesting shall cease if the director ceases to serve on the Board of Directors prior to the vesting of the Annual RSU Award, unless the Board of Directors determines that the circumstances warrant continuation of vesting.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Sale Event Acceleration:</w:t>
      </w:r>
      <w:r>
        <w:rPr>
          <w:rFonts w:ascii="Times New Roman" w:hAnsi="Times New Roman"/>
          <w:color w:val="000000"/>
          <w:sz w:val="20"/>
        </w:rPr>
        <w:t xml:space="preserve"> </w:t>
      </w:r>
      <w:r>
        <w:rPr>
          <w:rFonts w:ascii="Times New Roman" w:hAnsi="Times New Roman"/>
          <w:color w:val="000000"/>
          <w:sz w:val="24"/>
        </w:rPr>
        <w:t>All outstanding Initial Awards and Annual Awards held by an Outside Director shall become fully vested and exercisable upon a Sale Event (as defined in the Company’s 2021 Stock Option and Incentive Plan).</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u w:val="single"/>
        </w:rPr>
        <w:t>Expenses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The Company will reimburse all reasonable out-of-pocket expenses incurred by non-employee directors in attending meetings of the Board of Directors or any committee thereof.</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u w:val="single"/>
        </w:rPr>
        <w:t>Maximum Annual Compensation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The aggregate amount of compensation, including both equity compensation and cash compensation, paid by the Company to any Outside Director in a calendar year for services as an Outside Director period shall not exceed $750,000; provided, however, that such amount shall be $1,000,000 for the calendar year in which the applicable Outside Director is initially elected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appointed to the Board of Directors; (or such other limits as may be set forth in Section 3(b) of the Company’s 2021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Adopted June 9, 2021.</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Amended: May 22, 2023, May 13, 2025, January 8, 2026, June 4, 2026</w:t>
      </w:r>
    </w:p>
    <w:p>
      <w:pPr>
        <w:pStyle w:val="HorizontalLine"/>
        <w:pBdr>
          <w:bottom w:val="double" w:sz="2" w:space="0" w:color="808080"/>
        </w:pBdr>
        <w:bidi w:val="0"/>
        <w:spacing w:before="0" w:after="283"/>
        <w:jc w:val="left"/>
        <w:rPr/>
      </w:pPr>
      <w:r>
        <w:rPr/>
      </w:r>
    </w:p>
    <w:p>
      <w:pPr>
        <w:pStyle w:val="TextBody"/>
        <w:bidi w:val="0"/>
        <w:jc w:val="left"/>
        <w:rPr/>
      </w:pPr>
      <w:bookmarkStart w:id="23" w:name="tngx-ex31_1.htm"/>
      <w:bookmarkStart w:id="24" w:name="kstngxex31_1"/>
      <w:bookmarkEnd w:id="23"/>
      <w:bookmarkEnd w:id="24"/>
      <w:r>
        <w:rPr/>
        <w:t> </w:t>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31.1</w:t>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OF PRINCIPAL EXECUTIVE OFFICER PURSUANT TO RULE 13a-14(a) / RULE 15d-14(a) OF THE SECURITIES EXCHANGE ACT OF 1934, AS AMENDED</w:t>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I, Malte Peters, M.D., certify that: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I have reviewed this Quarterly Report on Form 10-Q of Tango Therapeutics, Inc.;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6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Dated: August 11, 2026 </w:t>
      </w:r>
      <w:r>
        <w:rPr>
          <w:rFonts w:ascii="Times New Roman" w:hAnsi="Times New Roman"/>
          <w:color w:val="000000"/>
          <w:sz w:val="22"/>
          <w:u w:val="single"/>
        </w:rPr>
        <w:t>/s/ Malte Peters, M.D.</w:t>
      </w:r>
    </w:p>
    <w:p>
      <w:pPr>
        <w:pStyle w:val="TextBody"/>
        <w:bidi w:val="0"/>
        <w:jc w:val="left"/>
        <w:rPr>
          <w:rFonts w:ascii="Times New Roman" w:hAnsi="Times New Roman"/>
          <w:color w:val="000000"/>
          <w:sz w:val="22"/>
        </w:rPr>
      </w:pPr>
      <w:r>
        <w:rPr>
          <w:rFonts w:ascii="Times New Roman" w:hAnsi="Times New Roman"/>
          <w:color w:val="000000"/>
          <w:sz w:val="22"/>
        </w:rPr>
        <w:t>Malte Peters, M.D.</w:t>
      </w:r>
    </w:p>
    <w:p>
      <w:pPr>
        <w:pStyle w:val="TextBody"/>
        <w:bidi w:val="0"/>
        <w:jc w:val="left"/>
        <w:rPr>
          <w:rFonts w:ascii="Times New Roman" w:hAnsi="Times New Roman"/>
          <w:color w:val="000000"/>
          <w:sz w:val="22"/>
        </w:rPr>
      </w:pPr>
      <w:r>
        <w:rPr>
          <w:rFonts w:ascii="Times New Roman" w:hAnsi="Times New Roman"/>
          <w:color w:val="000000"/>
          <w:sz w:val="22"/>
        </w:rPr>
        <w:t>Chief Executive Officer</w:t>
      </w:r>
    </w:p>
    <w:p>
      <w:pPr>
        <w:pStyle w:val="TextBody"/>
        <w:bidi w:val="0"/>
        <w:jc w:val="left"/>
        <w:rPr>
          <w:rFonts w:ascii="Times New Roman" w:hAnsi="Times New Roman"/>
          <w:color w:val="000000"/>
          <w:sz w:val="22"/>
        </w:rPr>
      </w:pPr>
      <w:r>
        <w:rPr>
          <w:rFonts w:ascii="Times New Roman" w:hAnsi="Times New Roman"/>
          <w:color w:val="000000"/>
          <w:sz w:val="22"/>
        </w:rPr>
        <w:t>(Principal Executive Officer)</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tngx-ex31_2.htm"/>
      <w:bookmarkStart w:id="26" w:name="kstngxex31_2"/>
      <w:bookmarkEnd w:id="25"/>
      <w:bookmarkEnd w:id="26"/>
      <w:r>
        <w:rPr/>
        <w:t> </w:t>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31.2</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OF PRINCIPAL FINANCIAL OFFICER PURSUANT TO RULE 13a-14(a) / RULE 15d-14(a) OF THE SECURITIES EXCHANGE ACT OF 1934, AS AMENDED</w:t>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I, Matthew Gall, certify that: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I have reviewed this Quarterly Report on Form 10-Q of Tango Therapeutics, Inc.;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2"/>
        </w:rPr>
        <w:t xml:space="preserve">Dated: August 11, 2026 </w:t>
      </w:r>
      <w:r>
        <w:rPr>
          <w:rFonts w:ascii="Times New Roman" w:hAnsi="Times New Roman"/>
          <w:color w:val="000000"/>
          <w:sz w:val="22"/>
          <w:u w:val="single"/>
        </w:rPr>
        <w:t>/s/ Matthew Gall</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Matthew Gall</w:t>
      </w:r>
    </w:p>
    <w:p>
      <w:pPr>
        <w:pStyle w:val="TextBody"/>
        <w:bidi w:val="0"/>
        <w:jc w:val="left"/>
        <w:rPr>
          <w:rFonts w:ascii="Times New Roman" w:hAnsi="Times New Roman"/>
          <w:color w:val="000000"/>
          <w:sz w:val="22"/>
        </w:rPr>
      </w:pPr>
      <w:r>
        <w:rPr>
          <w:rFonts w:ascii="Times New Roman" w:hAnsi="Times New Roman"/>
          <w:color w:val="000000"/>
          <w:sz w:val="22"/>
        </w:rPr>
        <w:t>Chief Financial Officer</w:t>
      </w:r>
    </w:p>
    <w:p>
      <w:pPr>
        <w:pStyle w:val="TextBody"/>
        <w:bidi w:val="0"/>
        <w:jc w:val="left"/>
        <w:rPr>
          <w:rFonts w:ascii="Times New Roman" w:hAnsi="Times New Roman"/>
          <w:color w:val="000000"/>
          <w:sz w:val="22"/>
        </w:rPr>
      </w:pPr>
      <w:r>
        <w:rPr>
          <w:rFonts w:ascii="Times New Roman" w:hAnsi="Times New Roman"/>
          <w:color w:val="000000"/>
          <w:sz w:val="22"/>
        </w:rPr>
        <w:t>(Principal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tngx-ex32_1.htm"/>
      <w:bookmarkStart w:id="28" w:name="kstngxex32_1"/>
      <w:bookmarkEnd w:id="27"/>
      <w:bookmarkEnd w:id="28"/>
      <w:r>
        <w:rPr/>
        <w:t> </w:t>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32.1</w:t>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PURSUANT TO 18 U.S.C. SECTION 1350,</w:t>
      </w:r>
    </w:p>
    <w:p>
      <w:pPr>
        <w:pStyle w:val="TextBody"/>
        <w:bidi w:val="0"/>
        <w:jc w:val="center"/>
        <w:rPr>
          <w:rFonts w:ascii="Times New Roman" w:hAnsi="Times New Roman"/>
          <w:b/>
          <w:color w:val="000000"/>
          <w:sz w:val="22"/>
        </w:rPr>
      </w:pPr>
      <w:r>
        <w:rPr>
          <w:rFonts w:ascii="Times New Roman" w:hAnsi="Times New Roman"/>
          <w:b/>
          <w:color w:val="000000"/>
          <w:sz w:val="22"/>
        </w:rPr>
        <w:t>AS ADOPTED PURSUANT TO</w:t>
      </w:r>
    </w:p>
    <w:p>
      <w:pPr>
        <w:pStyle w:val="TextBody"/>
        <w:bidi w:val="0"/>
        <w:jc w:val="center"/>
        <w:rPr>
          <w:rFonts w:ascii="Times New Roman" w:hAnsi="Times New Roman"/>
          <w:b/>
          <w:color w:val="000000"/>
          <w:sz w:val="22"/>
        </w:rPr>
      </w:pPr>
      <w:r>
        <w:rPr>
          <w:rFonts w:ascii="Times New Roman" w:hAnsi="Times New Roman"/>
          <w:b/>
          <w:color w:val="000000"/>
          <w:sz w:val="22"/>
        </w:rPr>
        <w:t>SECTION 906 OF THE SARBANES-OXLEY ACT OF 2002</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connection with the Quarterly Report on Form 10-Q of Tango Therapeutics, Inc. (the “Company”) for the fiscal quarter ended June 30, 2026 as filed with the Securities and Exchange Commission (the “Report”), I, Malte Peters, M.D., Chief Executive Officer of the Company, certify, pursuant to 18 U.S.C. § 1350, as adopted pursuant to § 906 of the Sarbanes-Oxley Act of 2002, to my knowledge, that:</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the information contained in the Report fairly presents, in all material respects, the financial condition and results of operations of the Company.</w:t>
      </w:r>
    </w:p>
    <w:p>
      <w:pPr>
        <w:pStyle w:val="TextBody"/>
        <w:bidi w:val="0"/>
        <w:spacing w:before="0" w:after="120"/>
        <w:jc w:val="left"/>
        <w:rPr>
          <w:rFonts w:ascii="Times New Roman" w:hAnsi="Times New Roman"/>
          <w:sz w:val="20"/>
        </w:rPr>
      </w:pPr>
      <w:r>
        <w:rPr>
          <w:rFonts w:ascii="Times New Roman" w:hAnsi="Times New Roman"/>
          <w:color w:val="000000"/>
          <w:sz w:val="22"/>
        </w:rPr>
        <w:t xml:space="preserve">Dated: August 11, 2026 </w:t>
      </w:r>
      <w:r>
        <w:rPr>
          <w:rFonts w:ascii="Times New Roman" w:hAnsi="Times New Roman"/>
          <w:color w:val="000000"/>
          <w:sz w:val="22"/>
          <w:u w:val="single"/>
        </w:rPr>
        <w:t>/s/ Malte Peters, M.D.</w:t>
      </w:r>
    </w:p>
    <w:p>
      <w:pPr>
        <w:pStyle w:val="TextBody"/>
        <w:bidi w:val="0"/>
        <w:jc w:val="left"/>
        <w:rPr>
          <w:rFonts w:ascii="Times New Roman" w:hAnsi="Times New Roman"/>
          <w:color w:val="000000"/>
          <w:sz w:val="22"/>
        </w:rPr>
      </w:pPr>
      <w:r>
        <w:rPr>
          <w:rFonts w:ascii="Times New Roman" w:hAnsi="Times New Roman"/>
          <w:color w:val="000000"/>
          <w:sz w:val="22"/>
        </w:rPr>
        <w:t>Malte Peters, M.D.</w:t>
      </w:r>
    </w:p>
    <w:p>
      <w:pPr>
        <w:pStyle w:val="TextBody"/>
        <w:bidi w:val="0"/>
        <w:jc w:val="left"/>
        <w:rPr>
          <w:rFonts w:ascii="Times New Roman" w:hAnsi="Times New Roman"/>
          <w:color w:val="000000"/>
          <w:sz w:val="22"/>
        </w:rPr>
      </w:pPr>
      <w:r>
        <w:rPr>
          <w:rFonts w:ascii="Times New Roman" w:hAnsi="Times New Roman"/>
          <w:color w:val="000000"/>
          <w:sz w:val="22"/>
        </w:rPr>
        <w:t>Chief Executive Officer</w:t>
      </w:r>
    </w:p>
    <w:p>
      <w:pPr>
        <w:pStyle w:val="TextBody"/>
        <w:bidi w:val="0"/>
        <w:jc w:val="left"/>
        <w:rPr>
          <w:rFonts w:ascii="Times New Roman" w:hAnsi="Times New Roman"/>
          <w:color w:val="000000"/>
          <w:sz w:val="22"/>
        </w:rPr>
      </w:pPr>
      <w:r>
        <w:rPr>
          <w:rFonts w:ascii="Times New Roman" w:hAnsi="Times New Roman"/>
          <w:color w:val="000000"/>
          <w:sz w:val="22"/>
        </w:rPr>
        <w:t>(Principal Executive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tngx-ex32_2.htm"/>
      <w:bookmarkStart w:id="30" w:name="kstngxex32_2"/>
      <w:bookmarkEnd w:id="29"/>
      <w:bookmarkEnd w:id="30"/>
      <w:r>
        <w:rPr/>
        <w:t> </w:t>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32.2</w:t>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PURSUANT TO 18 U.S.C. SECTION 1350,</w:t>
      </w:r>
    </w:p>
    <w:p>
      <w:pPr>
        <w:pStyle w:val="TextBody"/>
        <w:bidi w:val="0"/>
        <w:jc w:val="center"/>
        <w:rPr>
          <w:rFonts w:ascii="Times New Roman" w:hAnsi="Times New Roman"/>
          <w:b/>
          <w:color w:val="000000"/>
          <w:sz w:val="22"/>
        </w:rPr>
      </w:pPr>
      <w:r>
        <w:rPr>
          <w:rFonts w:ascii="Times New Roman" w:hAnsi="Times New Roman"/>
          <w:b/>
          <w:color w:val="000000"/>
          <w:sz w:val="22"/>
        </w:rPr>
        <w:t>AS ADOPTED PURSUANT TO</w:t>
      </w:r>
    </w:p>
    <w:p>
      <w:pPr>
        <w:pStyle w:val="TextBody"/>
        <w:bidi w:val="0"/>
        <w:jc w:val="center"/>
        <w:rPr>
          <w:rFonts w:ascii="Times New Roman" w:hAnsi="Times New Roman"/>
          <w:b/>
          <w:color w:val="000000"/>
          <w:sz w:val="22"/>
        </w:rPr>
      </w:pPr>
      <w:r>
        <w:rPr>
          <w:rFonts w:ascii="Times New Roman" w:hAnsi="Times New Roman"/>
          <w:b/>
          <w:color w:val="000000"/>
          <w:sz w:val="22"/>
        </w:rPr>
        <w:t>SECTION 906 OF THE SARBANES-OXLEY ACT OF 2002</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connection with the Quarterly Report on Form 10-Q of Tango Therapeutics, Inc. (the “Company”) for the fiscal quarter ended June 30, 2026 as filed with the Securities and Exchange Commission (the “Report”), I, Matthew Gall, Chief Financial Officer of the Company, certify, pursuant to 18 U.S.C. § 1350, as adopted pursuant to § 906 of the Sarbanes-Oxley Act of 2002, to my knowledge, that:</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the information contained in the Report fairly presents, in all material respects, the financial condition and results of operations of the Company.</w:t>
      </w:r>
    </w:p>
    <w:p>
      <w:pPr>
        <w:pStyle w:val="TextBody"/>
        <w:bidi w:val="0"/>
        <w:spacing w:before="0" w:after="120"/>
        <w:jc w:val="left"/>
        <w:rPr>
          <w:rFonts w:ascii="Times New Roman" w:hAnsi="Times New Roman"/>
          <w:sz w:val="20"/>
        </w:rPr>
      </w:pPr>
      <w:r>
        <w:rPr>
          <w:rFonts w:ascii="Times New Roman" w:hAnsi="Times New Roman"/>
          <w:color w:val="000000"/>
          <w:sz w:val="22"/>
        </w:rPr>
        <w:t xml:space="preserve">Dated: August 11, 2026 </w:t>
      </w:r>
      <w:r>
        <w:rPr>
          <w:rFonts w:ascii="Times New Roman" w:hAnsi="Times New Roman"/>
          <w:color w:val="000000"/>
          <w:sz w:val="22"/>
          <w:u w:val="single"/>
        </w:rPr>
        <w:t>/s/ Matthew Gall</w:t>
      </w:r>
    </w:p>
    <w:p>
      <w:pPr>
        <w:pStyle w:val="TextBody"/>
        <w:bidi w:val="0"/>
        <w:jc w:val="left"/>
        <w:rPr>
          <w:rFonts w:ascii="Times New Roman" w:hAnsi="Times New Roman"/>
          <w:color w:val="000000"/>
          <w:sz w:val="22"/>
        </w:rPr>
      </w:pPr>
      <w:r>
        <w:rPr>
          <w:rFonts w:ascii="Times New Roman" w:hAnsi="Times New Roman"/>
          <w:color w:val="000000"/>
          <w:sz w:val="22"/>
        </w:rPr>
        <w:t>Matthew Gall</w:t>
      </w:r>
    </w:p>
    <w:p>
      <w:pPr>
        <w:pStyle w:val="TextBody"/>
        <w:bidi w:val="0"/>
        <w:jc w:val="left"/>
        <w:rPr>
          <w:rFonts w:ascii="Times New Roman" w:hAnsi="Times New Roman"/>
          <w:color w:val="000000"/>
          <w:sz w:val="22"/>
        </w:rPr>
      </w:pPr>
      <w:r>
        <w:rPr>
          <w:rFonts w:ascii="Times New Roman" w:hAnsi="Times New Roman"/>
          <w:color w:val="000000"/>
          <w:sz w:val="22"/>
        </w:rPr>
        <w:t>Chief Financial Officer</w:t>
      </w:r>
    </w:p>
    <w:p>
      <w:pPr>
        <w:pStyle w:val="TextBody"/>
        <w:bidi w:val="0"/>
        <w:jc w:val="left"/>
        <w:rPr>
          <w:rFonts w:ascii="Times New Roman" w:hAnsi="Times New Roman"/>
          <w:color w:val="000000"/>
          <w:sz w:val="22"/>
        </w:rPr>
      </w:pPr>
      <w:r>
        <w:rPr>
          <w:rFonts w:ascii="Times New Roman" w:hAnsi="Times New Roman"/>
          <w:color w:val="000000"/>
          <w:sz w:val="22"/>
        </w:rPr>
        <w:t>(Principal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9133/000095017024092274/tngx-ex3_1.htm" TargetMode="External"/><Relationship Id="rId3" Type="http://schemas.openxmlformats.org/officeDocument/2006/relationships/hyperlink" Target="https://www.sec.gov/Archives/edgar/data/1819133/000119312521298942/d211731dex42.htm" TargetMode="External"/><Relationship Id="rId4" Type="http://schemas.openxmlformats.org/officeDocument/2006/relationships/hyperlink" Target="https://www.sec.gov/Archives/edgar/data/1819133/000119312525137032/d926935dex31.htm" TargetMode="External"/><Relationship Id="rId5" Type="http://schemas.openxmlformats.org/officeDocument/2006/relationships/hyperlink" Target="https://www.sec.gov/Archives/edgar/data/1819133/000119312526266078/d81492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22613</Words>
  <Characters>124949</Characters>
  <CharactersWithSpaces>148402</CharactersWithSpaces>
  <Paragraphs>4880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