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xml.htm"/>
      <w:bookmarkStart w:id="1" w:name="ksdoc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Third Rock Ventures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08/11/2023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Tango Therapeutics, Inc.</w:t>
              </w:r>
            </w:hyperlink>
            <w:r>
              <w:rPr/>
              <w:t xml:space="preserve"> [ </w:t>
            </w:r>
            <w:r>
              <w:rPr>
                <w:rFonts w:ascii="Times;serif" w:hAnsi="Times;serif"/>
                <w:color w:val="0000FF"/>
                <w:sz w:val="24"/>
                <w:shd w:fill="FFFFFF" w:val="clear"/>
              </w:rPr>
              <w:t>TNGX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194,174</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4">
                    <w:r>
                      <w:rPr>
                        <w:rStyle w:val="InternetLink"/>
                      </w:rPr>
                      <w:t>Third Rock Ventures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Third Rock Ventures GP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TRV GP VI,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were acquired by the Reporting Person pursuant to a securities purchase agreement in a private placement offering of shares of the Issuer's common stock, which offering closed on August 11,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directly held by Third Rock Ventures VI, L.P. ("TRV VI"). The general partner of TRV VI is Third Rock Ventures GP VI, L.P. ("TRV GP VI"). The general partner of TRV GP VI is TRV GP VI, LLC ("TRV GP VI LLC"). Each of TRV GP VI and TRV GP VI LLC disclaims beneficial ownership of the shares except to the extent of its pecuniary interest therein, if any, and this report shall not be deemed an admission that it is the beneficial owner of such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Reid Huber, a partner at Third Rock Ventures, LLC, has been deputized to represent the Reporting Persons (and other funds affiliated with Third Rock Ventures, LLC that hold shares of the Issuer's stock) on the board of directors of the Issuer. By virtue of Mr. Huber's representation, for purposes of Section 16 of the Securities Exchange Act of 1934, each of the Reporting Person may be deemed directors by deputization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VI, LLC, general partner of Third Rock Ventures GP VI, L.P., general partner of Third Rock Ventures VI,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VI, LLC, general partner of Third Rock Ventures GP VI,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VI,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31056" TargetMode="External"/><Relationship Id="rId3" Type="http://schemas.openxmlformats.org/officeDocument/2006/relationships/hyperlink" Target="http://www.sec.gov/cgi-bin/browse-edgar?action=getcompany&amp;CIK=0001819133" TargetMode="External"/><Relationship Id="rId4" Type="http://schemas.openxmlformats.org/officeDocument/2006/relationships/hyperlink" Target="http://www.sec.gov/cgi-bin/browse-edgar?action=getcompany&amp;CIK=0001931056" TargetMode="External"/><Relationship Id="rId5" Type="http://schemas.openxmlformats.org/officeDocument/2006/relationships/hyperlink" Target="http://www.sec.gov/cgi-bin/browse-edgar?action=getcompany&amp;CIK=0001977499" TargetMode="External"/><Relationship Id="rId6" Type="http://schemas.openxmlformats.org/officeDocument/2006/relationships/hyperlink" Target="http://www.sec.gov/cgi-bin/browse-edgar?action=getcompany&amp;CIK=0001990716"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3870</Characters>
  <CharactersWithSpaces>4531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