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333-259448</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160020</wp:posOffset>
            </wp:positionV>
            <wp:extent cx="2751455"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1455"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Up to 68,034,602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120"/>
        <w:spacing w:after="0" w:line="257" w:lineRule="auto"/>
        <w:rPr>
          <w:sz w:val="20"/>
          <w:szCs w:val="20"/>
          <w:color w:val="auto"/>
        </w:rPr>
      </w:pPr>
      <w:r>
        <w:rPr>
          <w:rFonts w:ascii="Arial" w:cs="Arial" w:eastAsia="Arial" w:hAnsi="Arial"/>
          <w:sz w:val="18"/>
          <w:szCs w:val="18"/>
          <w:color w:val="auto"/>
        </w:rPr>
        <w:t>This prospectus relates to the offer and sale, from time to time, by the selling securityholders named in this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below) and (ii) up to 49,424,602 shares of our common stock that were issued to certain former shareholders of Tango Therapeutics Sub, Inc. at the closing of the Business Combination.</w:t>
      </w:r>
    </w:p>
    <w:p>
      <w:pPr>
        <w:spacing w:after="0" w:line="188" w:lineRule="exact"/>
        <w:rPr>
          <w:sz w:val="24"/>
          <w:szCs w:val="24"/>
          <w:color w:val="auto"/>
        </w:rPr>
      </w:pPr>
    </w:p>
    <w:p>
      <w:pPr>
        <w:ind w:left="120" w:right="120"/>
        <w:spacing w:after="0" w:line="263"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84" w:lineRule="exact"/>
        <w:rPr>
          <w:sz w:val="24"/>
          <w:szCs w:val="24"/>
          <w:color w:val="auto"/>
        </w:rPr>
      </w:pPr>
    </w:p>
    <w:p>
      <w:pPr>
        <w:ind w:left="120" w:right="120"/>
        <w:spacing w:after="0" w:line="296" w:lineRule="auto"/>
        <w:rPr>
          <w:sz w:val="20"/>
          <w:szCs w:val="20"/>
          <w:color w:val="auto"/>
        </w:rPr>
      </w:pPr>
      <w:r>
        <w:rPr>
          <w:rFonts w:ascii="Arial" w:cs="Arial" w:eastAsia="Arial" w:hAnsi="Arial"/>
          <w:sz w:val="16"/>
          <w:szCs w:val="16"/>
          <w:color w:val="auto"/>
        </w:rPr>
        <w:t>We are registering the securities described above for resale pursuant to certain registration rights we have granted. Our registration of the securities covered by this prospectus does not mean that the Selling Securityholders will offer or sell any of the securities. The Selling Securityholders and any of their permitted transferees may offer, sell or distribute all or a portion of the securities covered by this prospectus in a number of different ways and at varying prices. Additional information on the Selling Securityholders, and the times and manner in which they may offer and sell the securities covered by this prospectus, is provided under “</w:t>
      </w:r>
      <w:r>
        <w:rPr>
          <w:rFonts w:ascii="Arial" w:cs="Arial" w:eastAsia="Arial" w:hAnsi="Arial"/>
          <w:sz w:val="16"/>
          <w:szCs w:val="16"/>
          <w:i w:val="1"/>
          <w:iCs w:val="1"/>
          <w:color w:val="auto"/>
        </w:rPr>
        <w:t>Selling Securityholders</w:t>
      </w:r>
      <w:r>
        <w:rPr>
          <w:rFonts w:ascii="Arial" w:cs="Arial" w:eastAsia="Arial" w:hAnsi="Arial"/>
          <w:sz w:val="16"/>
          <w:szCs w:val="16"/>
          <w:color w:val="auto"/>
        </w:rPr>
        <w:t>” and “</w:t>
      </w:r>
      <w:r>
        <w:rPr>
          <w:rFonts w:ascii="Arial" w:cs="Arial" w:eastAsia="Arial" w:hAnsi="Arial"/>
          <w:sz w:val="16"/>
          <w:szCs w:val="16"/>
          <w:i w:val="1"/>
          <w:iCs w:val="1"/>
          <w:color w:val="auto"/>
        </w:rPr>
        <w:t>Plan of Distribution</w:t>
      </w:r>
      <w:r>
        <w:rPr>
          <w:rFonts w:ascii="Arial" w:cs="Arial" w:eastAsia="Arial" w:hAnsi="Arial"/>
          <w:sz w:val="16"/>
          <w:szCs w:val="16"/>
          <w:color w:val="auto"/>
        </w:rPr>
        <w:t>” in this prospectus.</w:t>
      </w:r>
    </w:p>
    <w:p>
      <w:pPr>
        <w:spacing w:after="0" w:line="16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left="120" w:right="1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“TNGX”. On September 28, 2021, the closing price of our common stock was $12.65 per share.</w:t>
      </w:r>
    </w:p>
    <w:p>
      <w:pPr>
        <w:spacing w:after="0" w:line="170" w:lineRule="exact"/>
        <w:rPr>
          <w:sz w:val="24"/>
          <w:szCs w:val="24"/>
          <w:color w:val="auto"/>
        </w:rPr>
      </w:pPr>
    </w:p>
    <w:p>
      <w:pPr>
        <w:ind w:left="120" w:right="560"/>
        <w:spacing w:after="0" w:line="277"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66" w:lineRule="exact"/>
        <w:rPr>
          <w:sz w:val="24"/>
          <w:szCs w:val="24"/>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risks that are described in the “</w:t>
      </w:r>
      <w:hyperlink w:anchor="page14">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section beginning on page 12 of this prospectus.</w:t>
      </w:r>
    </w:p>
    <w:p>
      <w:pPr>
        <w:spacing w:after="0" w:line="237" w:lineRule="exact"/>
        <w:rPr>
          <w:sz w:val="24"/>
          <w:szCs w:val="24"/>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1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October 7,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INTRODUCTORY NOTE AND FREQUENTLY USED TERMS</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640" w:type="dxa"/>
            <w:vAlign w:val="bottom"/>
            <w:gridSpan w:val="26"/>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0000EE"/>
            </w:tcBorders>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5920" w:type="dxa"/>
            <w:vAlign w:val="bottom"/>
            <w:gridSpan w:val="7"/>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PROSPECTUS SUMMARY</w:t>
              </w:r>
            </w:hyperlink>
          </w:p>
        </w:tc>
        <w:tc>
          <w:tcPr>
            <w:tcW w:w="84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CAUTIONARY NOTE REGARDING FORWARD-LOOKING STATEMENTS</w:t>
              </w:r>
            </w:hyperlink>
          </w:p>
        </w:tc>
        <w:tc>
          <w:tcPr>
            <w:tcW w:w="48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MARKET AND INDUSTRY DATA AND FORECASTS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5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USE OF PROCEEDS</w:t>
              </w:r>
            </w:hyperlink>
          </w:p>
        </w:tc>
        <w:tc>
          <w:tcPr>
            <w:tcW w:w="904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DIVIDEND POLICY</w:t>
              </w:r>
            </w:hyperlink>
          </w:p>
        </w:tc>
        <w:tc>
          <w:tcPr>
            <w:tcW w:w="906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DETERMINATION OF OFFERING PRICE</w:t>
              </w:r>
            </w:hyperlink>
          </w:p>
        </w:tc>
        <w:tc>
          <w:tcPr>
            <w:tcW w:w="742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UNAUDITED PRO FORMA CONDENSED COMBINED FINANCIAL INFORMATION</w:t>
              </w:r>
            </w:hyperlink>
          </w:p>
        </w:tc>
        <w:tc>
          <w:tcPr>
            <w:tcW w:w="40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BUSINESS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8"/>
              </w:rPr>
            </w:pPr>
            <w:hyperlink w:anchor="page133">
              <w:r>
                <w:rPr>
                  <w:rFonts w:ascii="Arial" w:cs="Arial" w:eastAsia="Arial" w:hAnsi="Arial"/>
                  <w:sz w:val="18"/>
                  <w:szCs w:val="18"/>
                  <w:color w:val="0000EE"/>
                  <w:w w:val="98"/>
                </w:rPr>
                <w:t>MANAGEMENT’S DISCUSSION AND ANALYSIS OF FINANCIAL CONDITION AND RESULTS</w:t>
              </w:r>
            </w:hyperlink>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OF OPERATIONS</w:t>
              </w:r>
            </w:hyperlink>
          </w:p>
        </w:tc>
        <w:tc>
          <w:tcPr>
            <w:tcW w:w="908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CERTAIN RELATIONSHIPS AND RELATED PERSON TRANSACTIONS</w:t>
              </w:r>
            </w:hyperlink>
          </w:p>
        </w:tc>
        <w:tc>
          <w:tcPr>
            <w:tcW w:w="50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58">
              <w:r>
                <w:rPr>
                  <w:rFonts w:ascii="Arial" w:cs="Arial" w:eastAsia="Arial" w:hAnsi="Arial"/>
                  <w:sz w:val="18"/>
                  <w:szCs w:val="18"/>
                  <w:color w:val="0000EE"/>
                  <w:w w:val="99"/>
                </w:rPr>
                <w:t>MANAGEMENT</w:t>
              </w:r>
            </w:hyperlink>
          </w:p>
        </w:tc>
        <w:tc>
          <w:tcPr>
            <w:tcW w:w="934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64">
              <w:r>
                <w:rPr>
                  <w:rFonts w:ascii="Arial" w:cs="Arial" w:eastAsia="Arial" w:hAnsi="Arial"/>
                  <w:sz w:val="18"/>
                  <w:szCs w:val="18"/>
                  <w:color w:val="0000EE"/>
                  <w:w w:val="95"/>
                </w:rPr>
                <w:t>EXECUTIVE COMPENSATION</w:t>
              </w:r>
            </w:hyperlink>
          </w:p>
        </w:tc>
        <w:tc>
          <w:tcPr>
            <w:tcW w:w="820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SECURITY OWNERSHIP OF CERTAIN BENEFICIAL OWNERS AND 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182">
              <w:r>
                <w:rPr>
                  <w:rFonts w:ascii="Arial" w:cs="Arial" w:eastAsia="Arial" w:hAnsi="Arial"/>
                  <w:sz w:val="18"/>
                  <w:szCs w:val="18"/>
                  <w:color w:val="0000EE"/>
                  <w:w w:val="95"/>
                </w:rPr>
                <w:t>SELLING SECURITYHOLDERS</w:t>
              </w:r>
            </w:hyperlink>
          </w:p>
        </w:tc>
        <w:tc>
          <w:tcPr>
            <w:tcW w:w="4220" w:type="dxa"/>
            <w:vAlign w:val="bottom"/>
            <w:tcBorders>
              <w:top w:val="single" w:sz="8" w:color="0000EE"/>
            </w:tcBorders>
            <w:gridSpan w:val="11"/>
          </w:tcPr>
          <w:p>
            <w:pPr>
              <w:spacing w:after="0"/>
              <w:rPr>
                <w:sz w:val="17"/>
                <w:szCs w:val="17"/>
                <w:color w:val="auto"/>
              </w:rPr>
            </w:pPr>
          </w:p>
        </w:tc>
        <w:tc>
          <w:tcPr>
            <w:tcW w:w="39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MATERIAL UNITED STATES FEDERAL INCOME TAX CONSIDERATIONS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PLAN OF DISTRIBUTION</w:t>
              </w:r>
            </w:hyperlink>
          </w:p>
        </w:tc>
        <w:tc>
          <w:tcPr>
            <w:tcW w:w="4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199">
              <w:r>
                <w:rPr>
                  <w:rFonts w:ascii="Arial" w:cs="Arial" w:eastAsia="Arial" w:hAnsi="Arial"/>
                  <w:sz w:val="18"/>
                  <w:szCs w:val="18"/>
                  <w:color w:val="0000EE"/>
                  <w:w w:val="99"/>
                </w:rPr>
                <w:t>ADDITIONAL INFORMATION</w:t>
              </w:r>
            </w:hyperlink>
          </w:p>
        </w:tc>
        <w:tc>
          <w:tcPr>
            <w:tcW w:w="824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7"/>
              </w:rPr>
            </w:pPr>
            <w:hyperlink w:anchor="page202">
              <w:r>
                <w:rPr>
                  <w:rFonts w:ascii="Arial" w:cs="Arial" w:eastAsia="Arial" w:hAnsi="Arial"/>
                  <w:sz w:val="18"/>
                  <w:szCs w:val="18"/>
                  <w:color w:val="0000EE"/>
                  <w:w w:val="97"/>
                </w:rPr>
                <w:t>INDEX TO FINANCIAL STATEMENTS</w:t>
              </w:r>
            </w:hyperlink>
          </w:p>
        </w:tc>
        <w:tc>
          <w:tcPr>
            <w:tcW w:w="760" w:type="dxa"/>
            <w:vAlign w:val="bottom"/>
            <w:tcBorders>
              <w:top w:val="single" w:sz="8" w:color="0000EE"/>
            </w:tcBorders>
            <w:gridSpan w:val="2"/>
          </w:tcPr>
          <w:p>
            <w:pPr>
              <w:spacing w:after="0"/>
              <w:rPr>
                <w:sz w:val="17"/>
                <w:szCs w:val="17"/>
                <w:color w:val="auto"/>
              </w:rPr>
            </w:pPr>
          </w:p>
        </w:tc>
        <w:tc>
          <w:tcPr>
            <w:tcW w:w="6840" w:type="dxa"/>
            <w:vAlign w:val="bottom"/>
            <w:gridSpan w:val="9"/>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INTRODUCTORY NOTE AND FREQUENTLY USED TERMS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August 10, 2021, or the Closing Date, BCTG Acquisition Corp., a Delaware corporation and our predecessor, or BCTG, consummated a business combination, or the Business Combination, pursuant to the terms of the Agreement and Plan of Merger, dated as of April 13, 2021, or the Merger Agreement, by and among BCTG, BCTG Merger Sub Inc., a Delaware corporation, or BCTG Merger Sub, and Tango Therapeutics, Inc. (now known as Tango Therapeutics Sub, Inc.), a Delaware corporation, or Old Tango. Prior to consummation of the Business Combination, Old Tango changed its name from “Tango Therapeutics, Inc.” to “Tango Therapeutics Sub, Inc.” and in connection with the Business Combination, BCTG changed its name to “Tango Therapeutics, Inc.” (the former name of Old Tango).</w:t>
      </w:r>
    </w:p>
    <w:p>
      <w:pPr>
        <w:spacing w:after="0" w:line="192"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4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Under the Merger Agreement, BCTG agreed to acquire all of the outstanding shares of Tango common stock (including any options or warrants exercisable therefor) for $550,000,000 in aggregate consideration, comprising 55,000,000 shares of BCTG common stock, based on a price of $10.00 per share.</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Concurrently with the execution of the Merger Agreement, BCTG entered into subscription agreements, or the Subscription Agreements with the PIPE Investors pursuant to which, at the closing of the Merger, the PIPE Investors subscribed for and purchased an aggregate of 18,610,000 shares of our common stock, or the Investor Shares, at a price of $10.00 per share for aggregate gross proceeds of $186,100,000. We refer to the foregoing transaction in this prospectus as the PIPE Financing.</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the context otherwise requires, references in this prospectus to “we,” “us,” “our,” and the “Company” refer to Tango Therapeutics, Inc., and its consolidated subsidiaries (including Old Tango).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in this prospectus, unless otherwise stated or the context otherwise requires:</w:t>
      </w:r>
    </w:p>
    <w:p>
      <w:pPr>
        <w:spacing w:after="0" w:line="131" w:lineRule="exact"/>
        <w:rPr>
          <w:sz w:val="20"/>
          <w:szCs w:val="20"/>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“Founders Shares” means the outstanding shares of BCTG’s Common Stock held by the Sponsor, its directors and affiliates of its management team since June 2020 and includes the Private Shares.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“Merger Consideration” and “Merger Consideration Shares” means the 55,000,000 shares of Common Stock issued as part of the consideration for the Business Combination.</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“Private Placement” means the private placement consummated simultaneously with BCTG’s initial public offering in which BCTG issued to the Sponsor the Private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“Private Shares” means the shares of Common Stock of BCTG issued in the Private Placement to the Sponsor.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“Sponsor” means BCTG Holdings, LLC, a Delaware limited liability company.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“Tango” or “New Tango” means Tango Therapeutics, Inc., a Delaware corporation, (f/k/a BCTG Acquisition Corp.) following the closing of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or the SEC, using a “shelf” registration process. Under this shelf registration process, the Selling Securityholders and their permitted transferees may, from time to time, sell the securities offered by them described in this prospectus. We will not receive any proceeds from the sale by the Selling Securityholders of the securities offered by them described in this prospectus.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Selling Securityholders and their permitted transferees may use the shelf registration statement to sell such securities from time to time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More Information.</w:t>
      </w:r>
      <w:r>
        <w:rPr>
          <w:rFonts w:ascii="Arial" w:cs="Arial" w:eastAsia="Arial" w:hAnsi="Arial"/>
          <w:sz w:val="18"/>
          <w:szCs w:val="18"/>
          <w:color w:val="auto"/>
        </w:rPr>
        <w:t>”</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Neither we nor the Selling Securityholders have authorized anyone to provide any information or to make any representations other than those contained in this prospectus, any applicable prospectus supplement or any free writing prospectuses prepared by or on behalf of us or to which we have referred you.</w:t>
      </w:r>
    </w:p>
    <w:p>
      <w:pPr>
        <w:spacing w:after="0" w:line="18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free writing prospectuses prepared by or on behalf of us or to which we have referred you.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7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this prospectus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53"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or </w:t>
      </w:r>
      <w:r>
        <w:rPr>
          <w:rFonts w:ascii="Arial" w:cs="Arial" w:eastAsia="Arial" w:hAnsi="Arial"/>
          <w:sz w:val="14"/>
          <w:szCs w:val="14"/>
          <w:b w:val="1"/>
          <w:bCs w:val="1"/>
          <w:color w:val="auto"/>
        </w:rPr>
        <w:t>TM</w:t>
      </w:r>
      <w:r>
        <w:rPr>
          <w:rFonts w:ascii="Arial" w:cs="Arial" w:eastAsia="Arial" w:hAnsi="Arial"/>
          <w:sz w:val="17"/>
          <w:szCs w:val="17"/>
          <w:b w:val="1"/>
          <w:bCs w:val="1"/>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entities’ trade names, trademarks or service marks to imply a relationship with, or endorsement or sponsorship of us by, any other entities.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“Cautionary Note Regarding Forward-Looking Statements,” “Management’s Discussion and Analysis of Financial Condition and Results of Operations” and “Unaudited Pro Forma Condensed Combined Financial Information,” as well as the financial statements included elsewhere in this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6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first product candidate, TNG908, is a potent, selective, synthetic lethal, small molecule inhibitor of protein arginine methyltransferase 5, or PRMT5, designed to work selectively in cancer cells with an -methylthioadenosine phosphorylase, or MTAP, deletion. MTAP-deletion occurs in approximately 10% to 15% of all human tumors, including many common cancers with high unmet need such as squamous cell lung, esophageal and bladder cancer, creating a significant therapeutic opportunity for patients. The challenge of non-synthetic lethal 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degrades 5’-deoxy-5’-methylthioadenosine, or MTA,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non-selective PRMT5 inhibitor kills cancer cells and normal cells at approximately the same exposure, markedly limiting potential efficacy. This difference in mechanism of inhibition occurs because TNG908 binds much more efficiently to the PRMT5-MTA complex, so the increased MTA levels in MTAP-deleted cancer cells make TNG908 more potent in MTAP-deleted cancer cells than in normal cells. In our preclinical studies, TNG908 has demonstrated 15-fold greater potency in MTAP-deleted cancer cells versus normal cells. This unique selectivity of TNG908 for MTAP-deleted cancer cells allows for the near-complete and sustained inhibition of PRMT5 needed to induce tumor cell death while sparing normal cells, including bone marrow cells which is likely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responsible for the dose-limiting toxicity of non-synthetic lethal PRMT5 inhibitors currently in clinical development. In our preclinical studies, TNG908 demonstrated selectivity for MTAP-deleted tumors,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 pharmacokinetics that, if approved, support its potential to be a highly differentiated synthetic lethal PRMT5 inhibitor. We plan to file an Investigational New Drug, or IND, application for TNG908 in the fourth quarter of 2021 and initiate a Phase 1/2 clinical trial in the first half of 2022.</w:t>
      </w:r>
    </w:p>
    <w:p>
      <w:pPr>
        <w:spacing w:after="0" w:line="187"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 xml:space="preserve">Our second product candidate has the potential to be a highly differentiated small molecule inhibitor of ubiquitin-specific protease 1, or USP1, a synthetic lethal target for BRCA1-mutant breast, ovarian and prostate cancer. USP1 has the potential to treat a patient population that is comparable in size to approximately half of the patient population for poly (ADP-ribose) polymerase, or PARP, inhibitors that are effective against cancers with BRCA1 and BRCA2 mutations. BRCA1 mutations are present in approximately 15% of ovarian cancer, 5% of breast cancer, and 1% of prostate cancer.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data demonstrate potent anti-tumor activity with a lead series compound used as a single agent. Preclinical data further 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We anticipate advancing a clinical candidate and filing an IND for this program in 2022.</w:t>
      </w:r>
    </w:p>
    <w:p>
      <w:pPr>
        <w:spacing w:after="0" w:line="16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third program, an undisclosed target (Target 3), exploits our platform developed to find synthetic lethal targets that reverse the immune evasion effects of tumor suppressor gene loss, in this case serine-threonine kinase 11, or STK11, loss-of-function mutations. STK11 loss-of-function mutations are present in approximately 20% of non-small cell 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into IND-enabling studies in the second half of 2022 and filing an IND in 2023.</w:t>
      </w:r>
    </w:p>
    <w:p>
      <w:pPr>
        <w:spacing w:after="0" w:line="17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two programs.</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w:t>
      </w:r>
    </w:p>
    <w:p>
      <w:pPr>
        <w:spacing w:after="0" w:line="18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September 2021, Gilead elected to extend a program for a research extension fee of $12.0 million.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will be added to the transaction price under the Gilead Agreement.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current portfolio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0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8604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but are not limited to:</w:t>
      </w:r>
    </w:p>
    <w:p>
      <w:pPr>
        <w:spacing w:after="0" w:line="89" w:lineRule="exact"/>
        <w:rPr>
          <w:sz w:val="20"/>
          <w:szCs w:val="20"/>
          <w:color w:val="auto"/>
        </w:rPr>
      </w:pPr>
    </w:p>
    <w:p>
      <w:pPr>
        <w:jc w:val="both"/>
        <w:ind w:left="1080" w:right="16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this prospectus and only two years of related “Management’s Discussion and Analysis of Financial Condition and Results of Operations” in our periodic reports and registration statements, including this prospectus;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 Oxley Act of 2002, as amended, or the Sarbanes-Oxley Act;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may take advantage of these exemptions until we are no longer an emerging growth company. We will remain an emerging growth company until the earliest of: (i) December 31, 2025,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securities.</w:t>
      </w:r>
    </w:p>
    <w:p>
      <w:pPr>
        <w:spacing w:after="0" w:line="18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Our business is subject to numerous material and other risks that you should be aware of before making an investment decision. These risks are described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These risks include, among others,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anticipate that we will continue to incur losses for the foreseeable future.</w:t>
      </w:r>
    </w:p>
    <w:p>
      <w:pPr>
        <w:spacing w:after="0" w:line="153" w:lineRule="exact"/>
        <w:rPr>
          <w:rFonts w:ascii="Arial" w:cs="Arial" w:eastAsia="Arial" w:hAnsi="Arial"/>
          <w:sz w:val="16"/>
          <w:szCs w:val="16"/>
          <w:color w:val="auto"/>
        </w:rPr>
      </w:pPr>
    </w:p>
    <w:p>
      <w:pPr>
        <w:ind w:left="1080" w:right="140" w:hanging="424"/>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92"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5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92"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mailing address for our principal executive office is 100 Binney Street, Suite 700, Cambridge, MA 02142, and our telephone number is 857-320-4900. Our website address is https://tangotx.com.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300" w:hanging="179"/>
        <w:spacing w:after="0" w:line="282" w:lineRule="auto"/>
        <w:rPr>
          <w:sz w:val="20"/>
          <w:szCs w:val="20"/>
          <w:color w:val="auto"/>
        </w:rPr>
      </w:pPr>
      <w:r>
        <w:rPr>
          <w:rFonts w:ascii="Arial" w:cs="Arial" w:eastAsia="Arial" w:hAnsi="Arial"/>
          <w:sz w:val="18"/>
          <w:szCs w:val="18"/>
          <w:b w:val="1"/>
          <w:bCs w:val="1"/>
          <w:color w:val="auto"/>
        </w:rPr>
        <w:t>Shares of Common Stock that may be offered and sold from time to time by the Selling Securityholders named herein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outstanding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for our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 to 68,034,602 shares of Common Stock consisting of (i) 18,610,000 shares of Common Stock issued in a private placement consummated concurrently with the Merger and (ii) 49,424,602 shares of Common Stock issued to certain former shareholders of Tango Therapeutics Sub, Inc. at the closing of the Business Combination.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87,474,258 shares of Common Stock as of August 31, 2021.</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“TNGX.”</w:t>
      </w:r>
    </w:p>
    <w:p>
      <w:pPr>
        <w:spacing w:after="0" w:line="62"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Any investment in the Common Stock offered hereby is speculative and involves a high degree of risk. You should carefully consider the information set forth under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w:t>
      </w:r>
    </w:p>
    <w:p>
      <w:pPr>
        <w:sectPr>
          <w:pgSz w:w="11900" w:h="16838" w:orient="portrait"/>
          <w:cols w:equalWidth="0" w:num="2">
            <w:col w:w="5680" w:space="280"/>
            <w:col w:w="5160"/>
          </w:cols>
          <w:pgMar w:left="32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Certain statements in this prospectus may constitute “forward-looking statements” for purposes of the federal securities laws.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83" w:lineRule="exact"/>
        <w:rPr>
          <w:sz w:val="20"/>
          <w:szCs w:val="20"/>
          <w:color w:val="auto"/>
        </w:rPr>
      </w:pPr>
    </w:p>
    <w:p>
      <w:pPr>
        <w:ind w:left="1080" w:right="14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its industry;</w:t>
      </w:r>
    </w:p>
    <w:p>
      <w:pPr>
        <w:spacing w:after="0" w:line="130"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the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These risks and 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results to differ materially from those expressed in the estimates made by the independent parties or by us.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other information in this prospectus, including our financial statements and the related notes and the “Management’s Discussion and Analysis of Financial Condition and Results of Operations” section of this prospectus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272" w:lineRule="exact"/>
        <w:rPr>
          <w:sz w:val="20"/>
          <w:szCs w:val="20"/>
          <w:color w:val="auto"/>
        </w:rPr>
      </w:pPr>
    </w:p>
    <w:p>
      <w:pPr>
        <w:ind w:left="120" w:right="3720"/>
        <w:spacing w:after="0" w:line="378" w:lineRule="auto"/>
        <w:rPr>
          <w:sz w:val="20"/>
          <w:szCs w:val="20"/>
          <w:color w:val="auto"/>
        </w:rPr>
      </w:pPr>
      <w:r>
        <w:rPr>
          <w:rFonts w:ascii="Arial" w:cs="Arial" w:eastAsia="Arial" w:hAnsi="Arial"/>
          <w:sz w:val="18"/>
          <w:szCs w:val="18"/>
          <w:b w:val="1"/>
          <w:bCs w:val="1"/>
          <w:color w:val="auto"/>
        </w:rPr>
        <w:t xml:space="preserve">Risks Related to Our Limited Operating History, Financial Position, and Capital Requirements </w:t>
      </w:r>
      <w:r>
        <w:rPr>
          <w:rFonts w:ascii="Arial" w:cs="Arial" w:eastAsia="Arial" w:hAnsi="Arial"/>
          <w:sz w:val="18"/>
          <w:szCs w:val="18"/>
          <w:b w:val="1"/>
          <w:bCs w:val="1"/>
          <w:i w:val="1"/>
          <w:iCs w:val="1"/>
          <w:color w:val="auto"/>
        </w:rPr>
        <w:t>We are a precision oncology company with a limited operating history.</w:t>
      </w:r>
    </w:p>
    <w:p>
      <w:pPr>
        <w:ind w:left="120" w:right="60"/>
        <w:spacing w:after="0" w:line="270" w:lineRule="auto"/>
        <w:rPr>
          <w:sz w:val="20"/>
          <w:szCs w:val="20"/>
          <w:color w:val="auto"/>
        </w:rPr>
      </w:pPr>
      <w:r>
        <w:rPr>
          <w:rFonts w:ascii="Arial" w:cs="Arial" w:eastAsia="Arial" w:hAnsi="Arial"/>
          <w:sz w:val="17"/>
          <w:szCs w:val="17"/>
          <w:color w:val="auto"/>
        </w:rPr>
        <w:t>We commenced operations in 2017 and are a precision oncology company with a limited operating history. Biopharmaceutical product development is a highly speculative undertaking and involves a substantial degree of risk. Since our inception, we have devoted substantially all of our efforts to organizing and staffing our company, acquiring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precision oncology programs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anticipate that we will continue to incur losses for the foreseeable future.</w:t>
      </w:r>
    </w:p>
    <w:p>
      <w:pPr>
        <w:spacing w:after="0" w:line="140"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have incurred significant net losses since our inception. For the years ended December 31, 2020 and 2019, and the six months ended June 30, 2021, our net losses were $52.0 million, $14.1 million and $16.6 million, respectively. As of June 30, 2021, we had an accumulated deficit of $119.7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92" w:lineRule="exact"/>
        <w:rPr>
          <w:sz w:val="20"/>
          <w:szCs w:val="20"/>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COVID-19 pandemic;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92" w:lineRule="exact"/>
        <w:rPr>
          <w:sz w:val="20"/>
          <w:szCs w:val="20"/>
          <w:color w:val="auto"/>
        </w:rPr>
      </w:pPr>
    </w:p>
    <w:p>
      <w:pPr>
        <w:ind w:left="5540" w:right="2020" w:hanging="4884"/>
        <w:spacing w:after="0" w:line="449" w:lineRule="auto"/>
        <w:tabs>
          <w:tab w:leader="none" w:pos="1094"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complete our planned preclinical studies for our novel precision oncology development programs; 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file and the acceptance of our IND for TNG908 and our other programs in order to commence our future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enroll subjects in, and complete, our planned clinical trials;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required to obtain U.S. and foreign regulatory approval for our product candidates;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 and maintain acceptance of our products, if and when approved, by patients, the medical community and third-party payors;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position our products to effectively compete with other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measures to help minimize the risk of COVID-19 to our employees as well as patients and subjects enrolled in our clinical trials;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2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development of pharmaceutical products is capital-intensive. We are currently advancing our precision oncology programs through preclinical development. We plan to file an IND for TNG908 in the fourth quarter of 2021 and begin a Phase 1/2 clinical trial in the first half of 2022. We also plan to file an IND for our USP1 inhibitor program in 2022 and file an IND for our undisclosed target for STK11-mutant cancers (Target 3) in 2023. Consequently,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will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including:</w:t>
      </w:r>
    </w:p>
    <w:p>
      <w:pPr>
        <w:spacing w:after="0" w:line="29" w:lineRule="exact"/>
        <w:rPr>
          <w:sz w:val="20"/>
          <w:szCs w:val="20"/>
          <w:color w:val="auto"/>
        </w:rPr>
      </w:pPr>
    </w:p>
    <w:p>
      <w:pPr>
        <w:ind w:left="1080" w:right="7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and clinical development, and clinical trials for our product candidates;</w:t>
      </w:r>
    </w:p>
    <w:p>
      <w:pPr>
        <w:spacing w:after="0" w:line="75" w:lineRule="exact"/>
        <w:rPr>
          <w:rFonts w:ascii="Arial" w:cs="Arial" w:eastAsia="Arial" w:hAnsi="Arial"/>
          <w:sz w:val="18"/>
          <w:szCs w:val="18"/>
          <w:color w:val="auto"/>
        </w:rPr>
      </w:pPr>
    </w:p>
    <w:p>
      <w:pPr>
        <w:ind w:left="1080" w:right="10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agreements or any additional collaboration agreements we may establish;</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the development of any companion diagnostics we may use in the future; and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8"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private and public equity offerings, debt financings, collaborations, strategic alliances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6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have not yet demonstrated our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development and may never advance to clinical development. We plan to file an IND for TNG908 in the fourth quarter of 2021 and expect to begin a Phase 1/2 clinical trial in the first half of 2022. We also plan to file an IND for our USP1 inhibitor program in 2022 and file an IND for our undisclosed target for STK11-mutant cancers (Target 3) in 2023. We may not be able to file such IND or INDs for any of our other product candidates on the timelines we expect, if at all. Moreover, we cannot be sure that submission of an IND will result in the U.S. Food and Drug Administration, or FDA, allowing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we currently expect. Successful completion of our clinical trials is a prerequisite to submitting a new drug application, or NDA to the FDA, a Marketing Authorization Application, or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Our lead development candidate, TNG908, is currently in IND-enabling studies. However, we do not know whether this will advance to future clinical trials, and if so, whether it or any of our future clinical trials will begin on time or be completed on schedule, if at all.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8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having the product removed from the market after obtaining regulatory approval.</w:t>
      </w:r>
    </w:p>
    <w:p>
      <w:pPr>
        <w:spacing w:after="0" w:line="33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6"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discovery and development of oncology therapeutics for patients with genetically defined or biomarker-driven cancers is an emerging field,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for each alternation will be large enough to allow us to successfully obtain approval for each alternation type and commercialize our product candidates and achieve profitability.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preclinical studies and future clinical trials may not be successful. Currently, all our programs are in preclinical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In connection with the clinical development of our product candidates for certain indications, we may engage third parties to develop or otherwise obtain access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tests to identify patient subsets within a disease category who may derive selective and meaningful benefit from our product candidates. Such companion diagnostics would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p>
    <w:p>
      <w:pPr>
        <w:spacing w:after="0" w:line="16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00" w:lineRule="exact"/>
        <w:rPr>
          <w:sz w:val="20"/>
          <w:szCs w:val="20"/>
          <w:color w:val="auto"/>
        </w:rPr>
      </w:pPr>
    </w:p>
    <w:p>
      <w:pPr>
        <w:spacing w:after="0" w:line="298"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From time to time, we may publicly disclose interim, top-line or preliminary data from our future clinical trials, which is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remain subject to audit and verification procedures that may result in the final data being materially different from the preliminary top-line data we previously published. As a result, preliminary, interim and top-line data should be viewed with caution until the final data are available. Adverse differences between preliminary or interim data and final data could significantly harm our business prospects and may cause the price of our common stock to fluctuate or decline.</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If the preliminary, interim or top-line data that we report differ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292"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93" w:lineRule="exact"/>
        <w:rPr>
          <w:sz w:val="20"/>
          <w:szCs w:val="20"/>
          <w:color w:val="auto"/>
        </w:rPr>
      </w:pPr>
    </w:p>
    <w:p>
      <w:pPr>
        <w:ind w:left="1080" w:right="2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third party contractors may fail to comply with regulatory requirements, fail to maintain adequate quality controls, be unable to provide us with sufficient product supply to conduct or complete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20"/>
        <w:spacing w:after="0" w:line="308" w:lineRule="auto"/>
        <w:rPr>
          <w:sz w:val="20"/>
          <w:szCs w:val="20"/>
          <w:color w:val="auto"/>
        </w:rPr>
      </w:pPr>
      <w:r>
        <w:rPr>
          <w:rFonts w:ascii="Arial" w:cs="Arial" w:eastAsia="Arial" w:hAnsi="Arial"/>
          <w:sz w:val="17"/>
          <w:szCs w:val="17"/>
          <w:color w:val="auto"/>
        </w:rPr>
        <w:t>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52" w:lineRule="exact"/>
        <w:rPr>
          <w:sz w:val="20"/>
          <w:szCs w:val="20"/>
          <w:color w:val="auto"/>
        </w:rPr>
      </w:pPr>
    </w:p>
    <w:p>
      <w:pPr>
        <w:ind w:left="1080" w:right="1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clinical trials of our product candidates may be delayed due to complications associated with the evolving COVID-19 pandemic;</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1"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orphan indications have small populations, our ability to enroll eligible patients may be limited or may result in slower enrollment than we anticipate.</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5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Furthermore, our ability to enroll patients may be significantly delayed by the evolving COVID-19 pandemic, and we cannot accurately predict the extent and scope of such delays at this point.</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7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seek to accelerate clinical development and regulatory timelines. Patient enrollment may be affected by other factors, including:</w:t>
      </w:r>
    </w:p>
    <w:p>
      <w:pPr>
        <w:spacing w:after="0" w:line="98"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5540" w:right="204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 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Certain of our current product candidates and any future product candidates have the potential to be administered in combination with existing standards of care like checkpoint inhibitor immunotherapies, chemotherapies, targeted therapies or radiotherapy. Our ability to develop and ultimately commercialize our current programs and product candidates and any future programs or product candidates used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failure to maintain or enter into new successful commercial relationships, or the expense of purchasing checkpoint inhibitor immunotherapies or other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b w:val="1"/>
          <w:bCs w:val="1"/>
          <w:i w:val="1"/>
          <w:iCs w:val="1"/>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Any results from our early preclinical studies of our programs or our product candidates may not necessarily be predictive of the results from later preclinical studies and clinical trials. Similarly, even if we are 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2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We expect to file an IND for TNG908 in the fourth quarter of 2021, file an IND for our USP1 inhibitor program in 2022 and file an IND for our undisclosed target for STK11-mutant cancers (Target 3) in 2023. However, we may not be able to file such INDs or INDs for future product candidates for our precision oncology or other programs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304"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our precision oncology programs,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146"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66"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8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Some of our product candidates modulate pathway for which there are currently no approved or effective therapies, which may result in uncertainty regarding our current and future development efforts and ability to obtain regulatory approval for such candidates. We select programs for cancer driver targets based on compelling biological rationale. We explore new programs based on extensive preclinical data analysis which sometimes cannot predict efficacy or safety in humans.</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Some of our product candidates utilize novel binding locations, which may result in greater research and development expenses, regulatory issues that could delay or prevent approval, or discovery of unknown or unanticipated adverse effects. We utilize structural biology in tight integration with our medicinal chemistry and biology capabilities to predict and design the compounds that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we raise problems we may not be able to resolve.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9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may in the future choose to conduct additional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w:t>
      </w:r>
    </w:p>
    <w:p>
      <w:pPr>
        <w:spacing w:after="0" w:line="1"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8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92"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through internal research programs, thereby limiting our ability to develop, diversify and expand our product portfolio.</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73" w:lineRule="exact"/>
        <w:rPr>
          <w:sz w:val="20"/>
          <w:szCs w:val="20"/>
          <w:color w:val="auto"/>
        </w:rPr>
      </w:pPr>
    </w:p>
    <w:p>
      <w:pPr>
        <w:jc w:val="both"/>
        <w:ind w:left="120" w:right="480"/>
        <w:spacing w:after="0" w:line="375"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or preclinical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71"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29"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62"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2020 and continuing into 2021, a novel strain of a virus named SARS-CoV-2 (severe acute respiratory syndrome coronavirus 2), or coronavirus, which causes COVID-19 has spread to most countries across the world, including all 50 states within the United States,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w:t>
      </w:r>
    </w:p>
    <w:p>
      <w:pPr>
        <w:spacing w:after="0" w:line="2" w:lineRule="exact"/>
        <w:rPr>
          <w:sz w:val="20"/>
          <w:szCs w:val="20"/>
          <w:color w:val="auto"/>
        </w:rPr>
      </w:pPr>
    </w:p>
    <w:p>
      <w:pPr>
        <w:ind w:left="120" w:right="180"/>
        <w:spacing w:after="0" w:line="252" w:lineRule="auto"/>
        <w:rPr>
          <w:sz w:val="20"/>
          <w:szCs w:val="20"/>
          <w:color w:val="auto"/>
        </w:rPr>
      </w:pPr>
      <w:r>
        <w:rPr>
          <w:rFonts w:ascii="Arial" w:cs="Arial" w:eastAsia="Arial" w:hAnsi="Arial"/>
          <w:sz w:val="18"/>
          <w:szCs w:val="18"/>
          <w:color w:val="auto"/>
        </w:rPr>
        <w:t>party partners, including our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United States, including our ability to recruit and retain patients and principal investigators and site staff who, as healthcare providers, may have heightened exposure to COVID-19 if an outbreak occurs in their geography. For example, similar to other biopharmaceutical companies, we may</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76"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Additionally, timely enrollment in planned clinical trials is dependent upon clinical trial sites which could be adversely affected by global health matters, such as pandemics. We plan to conduct clinical trials for our product candidates in geographies which are currently being affected by the</w:t>
      </w:r>
    </w:p>
    <w:p>
      <w:pPr>
        <w:ind w:left="120" w:right="200"/>
        <w:spacing w:after="0" w:line="260" w:lineRule="auto"/>
        <w:rPr>
          <w:sz w:val="20"/>
          <w:szCs w:val="20"/>
          <w:color w:val="auto"/>
        </w:rPr>
      </w:pPr>
      <w:r>
        <w:rPr>
          <w:rFonts w:ascii="Arial" w:cs="Arial" w:eastAsia="Arial" w:hAnsi="Arial"/>
          <w:sz w:val="18"/>
          <w:szCs w:val="18"/>
          <w:color w:val="auto"/>
        </w:rPr>
        <w:t>COVID-19 pandemic. Some factors from the COVID-19 pandemic that may delay or otherwise adversely affect enrollment in the clinical trials of our product candidates, as well as our business generally, include:</w:t>
      </w:r>
    </w:p>
    <w:p>
      <w:pPr>
        <w:spacing w:after="0" w:line="91" w:lineRule="exact"/>
        <w:rPr>
          <w:sz w:val="20"/>
          <w:szCs w:val="20"/>
          <w:color w:val="auto"/>
        </w:rPr>
      </w:pPr>
    </w:p>
    <w:p>
      <w:pPr>
        <w:ind w:left="1080" w:right="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negative affect on the operations of our third-party manufacturers;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51" w:lineRule="exact"/>
        <w:rPr>
          <w:rFonts w:ascii="Arial" w:cs="Arial" w:eastAsia="Arial" w:hAnsi="Arial"/>
          <w:sz w:val="17"/>
          <w:szCs w:val="17"/>
          <w:color w:val="auto"/>
        </w:rPr>
      </w:pPr>
    </w:p>
    <w:p>
      <w:pPr>
        <w:ind w:left="1080" w:right="44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23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 or FDA.</w:t>
      </w:r>
    </w:p>
    <w:p>
      <w:pPr>
        <w:spacing w:after="0" w:line="18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Any of these factors, and other factors related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We also compete more broadly across the market for cost-effective and reimbursable cancer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7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19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76"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genetic alteration which occurs in 10 to 15% of all human tumors, including many commonly occurring cancers with high unmet need such as squamous cell lung, esophageal and bladder cancer. Our second product candidate, USP1, is a strong synthetic lethal target for BRCA1-mutant which are present in approximately 15% of ovarian cancer, 5% of breast cancer, and 1% of prostate cancer. Additionally, our undisclosed Target 3 program is being developed for patients with STK11 loss-of-function mutations, a genetic alteration in approximately 20% of non-small cell lung cancer. Our projections of both the number of people who have these diseases, as well as the subset of people with these diseases who have the potential to benefit from treatment with our programs and product candidates, are based on our estimates.</w:t>
      </w:r>
    </w:p>
    <w:p>
      <w:pPr>
        <w:spacing w:after="0" w:line="16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2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2"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72"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63" w:lineRule="exact"/>
        <w:rPr>
          <w:sz w:val="20"/>
          <w:szCs w:val="20"/>
          <w:color w:val="auto"/>
        </w:rPr>
      </w:pPr>
    </w:p>
    <w:p>
      <w:pPr>
        <w:ind w:left="1080" w:right="5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commercial success of the checkpoint blockade drugs with which our products may be co-administered;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current product candidates and any future product candidates or those products with which they may be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clinical indications for which our product candidates are approved and the approved claims that we may make for the products;</w:t>
      </w:r>
    </w:p>
    <w:p>
      <w:pPr>
        <w:spacing w:after="0" w:line="142"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89"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current product candidates and any future product candidates and any products with which they are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party payors, including government healthcare programs such as Medicare and Medicaid and other healthcare payors;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of market introduction of our current product candidates and any future product candidates, as well as competitive products;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ind w:left="120" w:right="200"/>
        <w:spacing w:after="0" w:line="340" w:lineRule="auto"/>
        <w:rPr>
          <w:sz w:val="20"/>
          <w:szCs w:val="20"/>
          <w:color w:val="auto"/>
        </w:rPr>
      </w:pPr>
      <w:r>
        <w:rPr>
          <w:rFonts w:ascii="Arial" w:cs="Arial" w:eastAsia="Arial" w:hAnsi="Arial"/>
          <w:sz w:val="15"/>
          <w:szCs w:val="15"/>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3"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9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w:t>
      </w:r>
    </w:p>
    <w:p>
      <w:pPr>
        <w:spacing w:after="0" w:line="4"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hand knowledge we might have gained had the investigator-sponsored trials been sponsored and conducted by us, then our ability to design and conduct any future clinical trials ourselves may be adversely affected.</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70"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Although we plan to design our Phase 1/2 clinical trial of TNG908 and intend to design the future clinical trials for our product candidates, these trials are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6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6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are subject to numerous risks, which include the following:</w:t>
      </w:r>
    </w:p>
    <w:p>
      <w:pPr>
        <w:spacing w:after="0" w:line="76" w:lineRule="exact"/>
        <w:rPr>
          <w:sz w:val="20"/>
          <w:szCs w:val="20"/>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17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16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78"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9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7" w:lineRule="exact"/>
        <w:rPr>
          <w:sz w:val="20"/>
          <w:szCs w:val="20"/>
          <w:color w:val="auto"/>
        </w:rPr>
      </w:pPr>
    </w:p>
    <w:p>
      <w:pPr>
        <w:ind w:left="120" w:right="1120"/>
        <w:spacing w:after="0" w:line="277" w:lineRule="auto"/>
        <w:rPr>
          <w:sz w:val="20"/>
          <w:szCs w:val="20"/>
          <w:color w:val="auto"/>
        </w:rPr>
      </w:pPr>
      <w:r>
        <w:rPr>
          <w:rFonts w:ascii="Arial" w:cs="Arial" w:eastAsia="Arial" w:hAnsi="Arial"/>
          <w:sz w:val="18"/>
          <w:szCs w:val="18"/>
          <w:color w:val="auto"/>
        </w:rPr>
        <w:t>We may be unable to establish any additional agreements with third-party manufacturers or do so on acceptable terms. Reliance on third-party manufacturers entails additional risks, including:</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84"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5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3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active pharmaceutical ingredients, or API, and drug product we expect to use in all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and drug product for these products in accordance with regulatory requirements and in sufficient quantities for clinical testing and commercialization.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9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Establishing additional or replacement suppliers for the API and drug product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30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2"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92" w:lineRule="exact"/>
        <w:rPr>
          <w:sz w:val="20"/>
          <w:szCs w:val="20"/>
          <w:color w:val="auto"/>
        </w:rPr>
      </w:pPr>
    </w:p>
    <w:p>
      <w:pPr>
        <w:ind w:left="120" w:right="600"/>
        <w:spacing w:after="0" w:line="311"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4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valid and enforceable patents or trade secrets that cover these activities. We also rely on trade secrets, know-how and continuing technological innovation to develop and maintain our proprietary and intellectual property position.</w:t>
      </w:r>
    </w:p>
    <w:p>
      <w:pPr>
        <w:spacing w:after="0" w:line="17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6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Even if we acquire patent protection that we expect should enable us to establish and/or maintain a competitive advantage, third parties may challenge the validity, enforceability or scope thereof, which may result in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 xml:space="preserve">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6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6"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9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7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9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2"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9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57"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8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8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76" w:lineRule="exact"/>
        <w:rPr>
          <w:sz w:val="20"/>
          <w:szCs w:val="20"/>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75" w:lineRule="exact"/>
        <w:rPr>
          <w:rFonts w:ascii="Arial" w:cs="Arial" w:eastAsia="Arial" w:hAnsi="Arial"/>
          <w:sz w:val="18"/>
          <w:szCs w:val="18"/>
          <w:color w:val="auto"/>
        </w:rPr>
      </w:pPr>
    </w:p>
    <w:p>
      <w:pPr>
        <w:jc w:val="both"/>
        <w:ind w:left="1080" w:right="14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75" w:lineRule="exact"/>
        <w:rPr>
          <w:rFonts w:ascii="Arial" w:cs="Arial" w:eastAsia="Arial" w:hAnsi="Arial"/>
          <w:sz w:val="18"/>
          <w:szCs w:val="18"/>
          <w:color w:val="auto"/>
        </w:rPr>
      </w:pPr>
    </w:p>
    <w:p>
      <w:pPr>
        <w:ind w:left="1080" w:right="200" w:hanging="424"/>
        <w:spacing w:after="0" w:line="29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92"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200"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8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93"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9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7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 grant review and equivalent proceedings in foreign jurisdictions (such as opposition proceedings). Such proceedings could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8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current or future product candidates.</w:t>
      </w:r>
    </w:p>
    <w:p>
      <w:pPr>
        <w:spacing w:after="0" w:line="6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74"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9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6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6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30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77"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6"/>
          <w:szCs w:val="16"/>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170" w:lineRule="exact"/>
        <w:rPr>
          <w:sz w:val="20"/>
          <w:szCs w:val="20"/>
          <w:color w:val="auto"/>
        </w:rPr>
      </w:pPr>
    </w:p>
    <w:p>
      <w:pPr>
        <w:ind w:left="120" w:right="200"/>
        <w:spacing w:after="0" w:line="285" w:lineRule="auto"/>
        <w:rPr>
          <w:sz w:val="20"/>
          <w:szCs w:val="20"/>
          <w:color w:val="auto"/>
        </w:rPr>
      </w:pPr>
      <w:r>
        <w:rPr>
          <w:rFonts w:ascii="Arial" w:cs="Arial" w:eastAsia="Arial" w:hAnsi="Arial"/>
          <w:sz w:val="16"/>
          <w:szCs w:val="16"/>
          <w:color w:val="auto"/>
        </w:rPr>
        <w:t>Even if we obtain orphan drug exclusivity for one of our product candidates, that exclusivity may not effectively protect our product candidate from competition because different products can be approved for the same condition.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30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89" w:lineRule="exact"/>
        <w:rPr>
          <w:sz w:val="20"/>
          <w:szCs w:val="20"/>
          <w:color w:val="auto"/>
        </w:rPr>
      </w:pPr>
    </w:p>
    <w:p>
      <w:pPr>
        <w:ind w:left="120" w:right="1280"/>
        <w:spacing w:after="0" w:line="277"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40"/>
          </w:cols>
          <w:pgMar w:left="32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4"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the FDA quality standards.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w:t>
      </w:r>
    </w:p>
    <w:p>
      <w:pPr>
        <w:spacing w:after="0" w:line="166"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22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substantially changed the way health care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spacing w:after="0" w:line="18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the Centers for Medicare &amp; Medicaid Services, or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We cannot predict what effect the healthcare reform measures of the Biden administration or other efforts, if any, to challenge, repeal or replace the ACA would have on our business.</w:t>
      </w:r>
    </w:p>
    <w:p>
      <w:pPr>
        <w:spacing w:after="0" w:line="16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Proposed legislation, if passed, would extend this suspension until the end of the pandemic.</w:t>
      </w:r>
    </w:p>
    <w:p>
      <w:pPr>
        <w:spacing w:after="0" w:line="178"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8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6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connection with the sale of any future approved product candidates due to the trend toward managed healthcare, the increasing influence of health maintenance organizations, cost containment initiatives and additional legislative changes.</w:t>
      </w:r>
    </w:p>
    <w:p>
      <w:pPr>
        <w:spacing w:after="0" w:line="2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3" w:lineRule="exact"/>
        <w:rPr>
          <w:sz w:val="20"/>
          <w:szCs w:val="20"/>
          <w:color w:val="auto"/>
        </w:rPr>
      </w:pPr>
    </w:p>
    <w:p>
      <w:pPr>
        <w:ind w:left="1080" w:right="40" w:hanging="424"/>
        <w:spacing w:after="0" w:line="270"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6" w:lineRule="exact"/>
        <w:rPr>
          <w:rFonts w:ascii="Arial" w:cs="Arial" w:eastAsia="Arial" w:hAnsi="Arial"/>
          <w:sz w:val="17"/>
          <w:szCs w:val="17"/>
          <w:color w:val="auto"/>
        </w:rPr>
      </w:pPr>
    </w:p>
    <w:p>
      <w:pPr>
        <w:ind w:left="1080" w:right="20" w:hanging="424"/>
        <w:spacing w:after="0" w:line="272"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FCA;</w:t>
      </w:r>
    </w:p>
    <w:p>
      <w:pPr>
        <w:spacing w:after="0" w:line="82" w:lineRule="exact"/>
        <w:rPr>
          <w:rFonts w:ascii="Arial" w:cs="Arial" w:eastAsia="Arial" w:hAnsi="Arial"/>
          <w:sz w:val="17"/>
          <w:szCs w:val="17"/>
          <w:color w:val="auto"/>
        </w:rPr>
      </w:pPr>
    </w:p>
    <w:p>
      <w:pPr>
        <w:ind w:left="1080" w:right="8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3"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(currently defined to include doctors,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89" w:lineRule="exact"/>
        <w:rPr>
          <w:sz w:val="20"/>
          <w:szCs w:val="20"/>
          <w:color w:val="auto"/>
        </w:rPr>
      </w:pPr>
    </w:p>
    <w:p>
      <w:pPr>
        <w:ind w:left="1080" w:hanging="424"/>
        <w:spacing w:after="0" w:line="25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7"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 and</w:t>
      </w:r>
    </w:p>
    <w:p>
      <w:pPr>
        <w:spacing w:after="0" w:line="51"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17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could be held liable for any resulting damages, and any liability could exceed our resources. We also could incur significant costs associated with civil or criminal fines and penalties.</w:t>
      </w:r>
    </w:p>
    <w:p>
      <w:pPr>
        <w:spacing w:after="0" w:line="17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5" w:lineRule="exact"/>
        <w:rPr>
          <w:sz w:val="20"/>
          <w:szCs w:val="20"/>
          <w:color w:val="auto"/>
        </w:rPr>
      </w:pPr>
    </w:p>
    <w:p>
      <w:pPr>
        <w:ind w:left="120" w:right="180"/>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3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80" w:right="4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manufacturing delays and supply disruptions where regulatory inspections identify observations of noncompliance requiring remediation;</w:t>
      </w:r>
    </w:p>
    <w:p>
      <w:pPr>
        <w:spacing w:after="0" w:line="153"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8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5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9" w:lineRule="exact"/>
        <w:rPr>
          <w:sz w:val="20"/>
          <w:szCs w:val="20"/>
          <w:color w:val="auto"/>
        </w:rPr>
      </w:pPr>
    </w:p>
    <w:p>
      <w:pPr>
        <w:ind w:left="120" w:right="800"/>
        <w:spacing w:after="0" w:line="375" w:lineRule="auto"/>
        <w:rPr>
          <w:sz w:val="20"/>
          <w:szCs w:val="20"/>
          <w:color w:val="auto"/>
        </w:rPr>
      </w:pPr>
      <w:r>
        <w:rPr>
          <w:rFonts w:ascii="Arial" w:cs="Arial" w:eastAsia="Arial" w:hAnsi="Arial"/>
          <w:sz w:val="15"/>
          <w:szCs w:val="15"/>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7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w:t>
      </w:r>
    </w:p>
    <w:p>
      <w:pPr>
        <w:spacing w:after="0" w:line="191" w:lineRule="exact"/>
        <w:rPr>
          <w:sz w:val="20"/>
          <w:szCs w:val="20"/>
          <w:color w:val="auto"/>
        </w:rPr>
      </w:pPr>
    </w:p>
    <w:p>
      <w:pPr>
        <w:jc w:val="both"/>
        <w:ind w:left="120" w:right="100"/>
        <w:spacing w:after="0" w:line="293" w:lineRule="auto"/>
        <w:rPr>
          <w:sz w:val="20"/>
          <w:szCs w:val="20"/>
          <w:color w:val="auto"/>
        </w:rPr>
      </w:pPr>
      <w:r>
        <w:rPr>
          <w:rFonts w:ascii="Arial" w:cs="Arial" w:eastAsia="Arial" w:hAnsi="Arial"/>
          <w:sz w:val="16"/>
          <w:szCs w:val="16"/>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7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August 31, 2021, we had 86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2"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Based on our common stock outstanding as of August 31, 2021,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 See “</w:t>
      </w:r>
      <w:r>
        <w:rPr>
          <w:rFonts w:ascii="Arial" w:cs="Arial" w:eastAsia="Arial" w:hAnsi="Arial"/>
          <w:sz w:val="16"/>
          <w:szCs w:val="16"/>
          <w:i w:val="1"/>
          <w:iCs w:val="1"/>
          <w:color w:val="auto"/>
        </w:rPr>
        <w:t>Security Ownership Of Certain Beneficial Owners and Management</w:t>
      </w:r>
      <w:r>
        <w:rPr>
          <w:rFonts w:ascii="Arial" w:cs="Arial" w:eastAsia="Arial" w:hAnsi="Arial"/>
          <w:sz w:val="16"/>
          <w:szCs w:val="16"/>
          <w:color w:val="auto"/>
        </w:rPr>
        <w:t>” for more information regarding the ownership of our outstanding common stock by our executive officers, directors, principal stockholders and their affiliates.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As of December 31, 2020, we had federal net operating loss carryforwards of approximately $41.0 million, and our ability to utilize those net operating loss carryforwards could be limited by an “ownership change” as described above, which could result in increased tax liability to us. We have not yet conducted a study to assess whether a change of control has occurred as a result of the Business Combination. A study will be conducted in the near term. If we experience a change of control, as defined by Section 382 of the Code, as a result of the Business Combination or otherwise, utilization of net operating loss carryforwards or research and development tax credit carryforwards could be subject to an annual limitation under Sections 382 and 383 of the Code, as applicable. Any limitation may result in expiration of a portion of the net operating loss carryforwards or research and development tax credit carryforwards before utilization. Moreover, our ability to utilize our net operating loss carryforwards or credits is conditioned upon our attaining profitability and generating U.S. federal and state taxable income. As a result, the amount of the net operating loss and tax credit carryforwards presented in our financial statements could be limited and may expire unutilized.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generated after December 31, 2017. For these reasons, we may not be able to utilize some portion of our net operating loss carryforwards, none of which are currently reflected on our balance sheet, even if we attain profitability.</w:t>
      </w:r>
    </w:p>
    <w:p>
      <w:pPr>
        <w:spacing w:after="0" w:line="296"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76" w:lineRule="exact"/>
        <w:rPr>
          <w:sz w:val="20"/>
          <w:szCs w:val="20"/>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6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2"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in this prospectus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in this prospectus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0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7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the Business Combination,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7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2"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7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advancement of our preclinical programs, such as our targeted oncology programs, into clinical testing;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0" w:lineRule="exact"/>
        <w:rPr>
          <w:rFonts w:ascii="Arial" w:cs="Arial" w:eastAsia="Arial" w:hAnsi="Arial"/>
          <w:sz w:val="18"/>
          <w:szCs w:val="18"/>
          <w:color w:val="auto"/>
        </w:rPr>
      </w:pPr>
    </w:p>
    <w:p>
      <w:pPr>
        <w:jc w:val="center"/>
        <w:ind w:left="5540" w:right="620" w:hanging="4884"/>
        <w:spacing w:after="0" w:line="449" w:lineRule="auto"/>
        <w:tabs>
          <w:tab w:leader="none" w:pos="10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67</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33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Stock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 and you may not be able to resell your shares at the price you paid.</w:t>
      </w:r>
    </w:p>
    <w:p>
      <w:pPr>
        <w:spacing w:after="0" w:line="14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Although our common stock is listed on the Nasdaq Capital Market, an active trading market for our shares may not be sustained. In the absence of an active trading market for our common stock, investors may be unable to sell their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on our common stock in the foreseeable future. Investors should not purchase our common stock with the expectation of receiving cash dividends.</w:t>
      </w:r>
    </w:p>
    <w:p>
      <w:pPr>
        <w:spacing w:after="0" w:line="18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We cannot currently determine the price or prices at which the shares of Common Stock may be sold by the Selling Securityholders under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following unaudited pro forma condensed combined balance sheet of New Tango as of June 30, 2021 and the unaudited pro forma condensed combined statements of operations of New Tango for six months ended June 30, 2021 and for the year ended December 31, 2020 present the combination of the financial information of BCTG and Tango, after giving effect to the Business Combination, PIPE Financing and related adjustments described in the accompanying notes. BCTG and Tango are collectively referred to herein as the “Companies,” and the Companies, subsequent to the Business Combination and the PIPE Financing, are referred to herein as New Tango.</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unaudited pro forma condensed combined statements of operations for the six months ended June 30, 2021 and the year ended December 31, 2020 give pro forma effect to the Business Combination and PIPE Financing as if they had occurred on January 1, 2021. The unaudited pro forma condensed combined balance sheet as of June 30, 2021 gives pro forma effect to the Business Combination and PIPE Financing as if they were completed on June 30, 2021.</w:t>
      </w:r>
    </w:p>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unaudited pro forma condensed combined financial information is based on and should be read in conjunction with the accompanying notes to the unaudited pro forma condensed combined financial information, the audited and unaudited historical financial statements of each of BCTG and Tango and the notes thereto, and the disclosures contained in this prospectus in the section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18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unaudited pro forma condensed combined financial statements have been presented for illustrative purposes only and do not necessarily reflect what New Tango’s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New Tango.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 We believe that our assumptions and methodologies provide a reasonable basis for presenting all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6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unaudited pro forma condensed combined information contained herein incorporates the results of BCTG’s public stockholders having elected to redeem their shares of BCTG common stock for cash upon the approval of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PIPE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Tango</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BCTG</w:t>
            </w:r>
          </w:p>
        </w:tc>
        <w:tc>
          <w:tcPr>
            <w:tcW w:w="8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Historical</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3(a)</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378,525</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147,452</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147,452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202,061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529,835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4,397</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 held in trust account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166,815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(166,815)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3(b)</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217,240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167,549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543,525</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Arial" w:cs="Arial" w:eastAsia="Arial" w:hAnsi="Arial"/>
                <w:sz w:val="18"/>
                <w:szCs w:val="18"/>
                <w:b w:val="1"/>
                <w:bCs w:val="1"/>
                <w:color w:val="auto"/>
              </w:rPr>
              <w:t>Liabilities, Redeemable Convertible Preferred Stock and</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Stockholders’ Deficit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37,223</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(5,836)</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118,742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118,742</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162,349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(Series A, B, and B-1)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166,534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(166,534)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Common stock subject to redemption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(156,358)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3(a)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307,891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179,075</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501,132</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(119,700)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(119,700)</w:t>
            </w:r>
          </w:p>
        </w:tc>
        <w:tc>
          <w:tcPr>
            <w:tcW w:w="0" w:type="dxa"/>
            <w:vAlign w:val="bottom"/>
          </w:tcPr>
          <w:p>
            <w:pPr>
              <w:spacing w:after="0"/>
              <w:rPr>
                <w:sz w:val="1"/>
                <w:szCs w:val="1"/>
                <w:color w:val="auto"/>
              </w:rPr>
            </w:pPr>
          </w:p>
        </w:tc>
      </w:tr>
      <w:tr>
        <w:trPr>
          <w:trHeight w:val="230"/>
        </w:trPr>
        <w:tc>
          <w:tcPr>
            <w:tcW w:w="514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(111,643)</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309,010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179,077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381,444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3"/>
              </w:rPr>
              <w:t>Total liabilities, redeemable convertible preferred stock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stockholders’ equity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217,240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167,549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543,525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23"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Tango as of June 30, 2021.</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BCTG as of June 30, 2021.</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(B)</w:t>
            </w: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Transaction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Pro Forma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Tango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BCTG</w:t>
            </w: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Accounting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Historical</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Combined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34,079</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925</w:t>
            </w:r>
          </w:p>
        </w:tc>
        <w:tc>
          <w:tcPr>
            <w:tcW w:w="3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4(a)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8,073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 — related party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Franchise tax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4(a)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1,036</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42,212</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4(b)</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4(d)</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Net loss attributable to common stockholders — basic and</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(16,599)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(1,004)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(17,635)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14,214,543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16,675,000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or Founder Shares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4,702,250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Basic and diluted net loss per share, Founder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86,435,024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common shares outstanding — basic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23" w:lineRule="exact"/>
        <w:rPr>
          <w:sz w:val="20"/>
          <w:szCs w:val="20"/>
          <w:color w:val="auto"/>
        </w:rPr>
      </w:pPr>
    </w:p>
    <w:p>
      <w:pPr>
        <w:ind w:left="1080" w:right="300" w:hanging="532"/>
        <w:spacing w:after="0" w:line="250"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statement of operations and comprehensive loss of Tango for the six months ended June 30, 2021.</w:t>
      </w: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Derived from the unaudited condensed consolidated statement of operations of BCTG for the six months ended June 30, 2021.</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w:t>
            </w:r>
          </w:p>
        </w:tc>
        <w:tc>
          <w:tcPr>
            <w:tcW w:w="1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Transaction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Pro Forma</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Tango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BCTG</w:t>
            </w:r>
          </w:p>
        </w:tc>
        <w:tc>
          <w:tcPr>
            <w:tcW w:w="16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Accounting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Combined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49,991</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9,865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367"/>
              <w:spacing w:after="0"/>
              <w:rPr>
                <w:sz w:val="20"/>
                <w:szCs w:val="20"/>
                <w:color w:val="auto"/>
              </w:rPr>
            </w:pPr>
            <w:r>
              <w:rPr>
                <w:rFonts w:ascii="Arial" w:cs="Arial" w:eastAsia="Arial" w:hAnsi="Arial"/>
                <w:sz w:val="18"/>
                <w:szCs w:val="18"/>
                <w:b w:val="1"/>
                <w:bCs w:val="1"/>
                <w:color w:val="auto"/>
              </w:rPr>
              <w:t>4(a)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10,006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 — related party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Franchise tax expense</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367"/>
              <w:spacing w:after="0"/>
              <w:rPr>
                <w:sz w:val="20"/>
                <w:szCs w:val="20"/>
                <w:color w:val="auto"/>
              </w:rPr>
            </w:pPr>
            <w:r>
              <w:rPr>
                <w:rFonts w:ascii="Arial" w:cs="Arial" w:eastAsia="Arial" w:hAnsi="Arial"/>
                <w:sz w:val="18"/>
                <w:szCs w:val="18"/>
                <w:b w:val="1"/>
                <w:bCs w:val="1"/>
                <w:color w:val="auto"/>
              </w:rPr>
              <w:t>4(a)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60,037</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(52,381)</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840" w:type="dxa"/>
            <w:vAlign w:val="bottom"/>
            <w:gridSpan w:val="2"/>
          </w:tcPr>
          <w:p>
            <w:pPr>
              <w:jc w:val="right"/>
              <w:ind w:right="347"/>
              <w:spacing w:after="0"/>
              <w:rPr>
                <w:sz w:val="20"/>
                <w:szCs w:val="20"/>
                <w:color w:val="auto"/>
              </w:rPr>
            </w:pPr>
            <w:r>
              <w:rPr>
                <w:rFonts w:ascii="Arial" w:cs="Arial" w:eastAsia="Arial" w:hAnsi="Arial"/>
                <w:sz w:val="18"/>
                <w:szCs w:val="18"/>
                <w:b w:val="1"/>
                <w:bCs w:val="1"/>
                <w:color w:val="auto"/>
              </w:rPr>
              <w:t>4(b)</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b w:val="1"/>
                <w:bCs w:val="1"/>
                <w:color w:val="auto"/>
              </w:rPr>
              <w:t>4(b)</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 — basic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(52,153)</w:t>
            </w: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11,461,011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16,675,000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 or Founder Shares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4,212,127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Founder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86,435,024</w:t>
            </w:r>
          </w:p>
        </w:tc>
        <w:tc>
          <w:tcPr>
            <w:tcW w:w="540" w:type="dxa"/>
            <w:vAlign w:val="bottom"/>
          </w:tcPr>
          <w:p>
            <w:pPr>
              <w:ind w:left="180"/>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 basic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(0.60)</w:t>
            </w:r>
          </w:p>
        </w:tc>
        <w:tc>
          <w:tcPr>
            <w:tcW w:w="5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23"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Derived from the audited consolidated statement of operations and comprehensive loss of Tango for the year ended December 31, 2020.</w:t>
      </w:r>
    </w:p>
    <w:p>
      <w:pPr>
        <w:spacing w:after="0" w:line="32"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BCTG for the period from inception through December 31, 2020.</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the Merger</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August 10, 2021, Tango consummated the Business Combination pursuant to the Merger Agreement. Upon the closing of the Business Combination, Merger Sub merged with and into Tango, with Tango as the surviving company in the Merger. Upon the closing of the Business Combination, BCTG changed its name to “Tango Therapeutics, Inc.”</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Pursuant to the terms and conditions of the Merger Agreement, the aggregate consideration paid to Tango equity holders upon the closing of the Merger was 55,000,000 shares of New Tango common stock. Subsequent to the closing of the Business Combination, BCTG consummated the private placement of 18,610,000 shares of New Tango common stock at $10.00 per share, for aggregate gross proceeds of $186.1 million, under the PIPE Financing.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represents the aggregate merger consideration paid to Tango equity holders upon the consummation of the Business Combination:</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Purchase</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r>
      <w:tr>
        <w:trPr>
          <w:trHeight w:val="171"/>
        </w:trPr>
        <w:tc>
          <w:tcPr>
            <w:tcW w:w="6180" w:type="dxa"/>
            <w:vAlign w:val="bottom"/>
          </w:tcPr>
          <w:p>
            <w:pPr>
              <w:ind w:left="144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040" w:type="dxa"/>
            <w:vAlign w:val="bottom"/>
            <w:gridSpan w:val="2"/>
          </w:tcPr>
          <w:p>
            <w:pPr>
              <w:ind w:left="300"/>
              <w:spacing w:after="0"/>
              <w:rPr>
                <w:sz w:val="20"/>
                <w:szCs w:val="20"/>
                <w:color w:val="auto"/>
              </w:rPr>
            </w:pPr>
            <w:r>
              <w:rPr>
                <w:rFonts w:ascii="Arial" w:cs="Arial" w:eastAsia="Arial" w:hAnsi="Arial"/>
                <w:sz w:val="14"/>
                <w:szCs w:val="14"/>
                <w:b w:val="1"/>
                <w:bCs w:val="1"/>
                <w:color w:val="auto"/>
              </w:rPr>
              <w:t>Issued</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consideration to Tango(a)(b)</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$ 550,000</w:t>
            </w: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07" w:lineRule="exact"/>
        <w:rPr>
          <w:sz w:val="20"/>
          <w:szCs w:val="20"/>
          <w:color w:val="auto"/>
        </w:rPr>
      </w:pPr>
    </w:p>
    <w:p>
      <w:pPr>
        <w:ind w:left="1080" w:right="680" w:hanging="532"/>
        <w:spacing w:after="0" w:line="25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of common stock issued to Tango included in the consideration is reflected at $10.00 per share as defined in the Merger Agreement.</w:t>
      </w:r>
    </w:p>
    <w:p>
      <w:pPr>
        <w:spacing w:after="0" w:line="1"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total 55,000,0000 consideration shares to be issued for all outstanding Tango common and preferred stock includes underlying unvested and/or unexercised stock options of 6,406,197 and excludes unissued options of 1,191,103. These amounts are based on Tango’s outstanding shares as of June 30, 2021 and the exchange ratio of 0.340 at the effective time of the Business Combination.</w:t>
      </w:r>
    </w:p>
    <w:p>
      <w:pPr>
        <w:spacing w:after="0" w:line="17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the effective time of the Business Combination, the conversion ratio was 0.340. The closing conversion ratio was calculated in accordance with the methodology and procedures set forth in the Merger Agreement, and was announced by BCTG through a Current Report on Form 8-K filing with the SEC four business days prior to the special meeting of BCTG’s stockholders.</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summarizes the unaudited pro forma common stock outstanding immediately after giving effect to the consummation of the Business Combination and PIPE Financing transactions: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15,635,785</w:t>
            </w:r>
          </w:p>
        </w:tc>
        <w:tc>
          <w:tcPr>
            <w:tcW w:w="52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redemption of BCTG redeemable shares</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(1,106,814)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4,702,250</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Total BCTG</w:t>
            </w: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19,231,221</w:t>
            </w:r>
          </w:p>
        </w:tc>
        <w:tc>
          <w:tcPr>
            <w:tcW w:w="52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Tango(A)</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48,593,803</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PIPE Shares</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18,610,000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Shares Outstanding (excluding certain Tango shares)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86,435,024</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Tango-Remaining Consideration Shares(A)</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6,406,197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Shares (including certain Tango shares)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92,841,221</w:t>
            </w:r>
          </w:p>
        </w:tc>
        <w:tc>
          <w:tcPr>
            <w:tcW w:w="4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280" w:type="dxa"/>
            <w:vAlign w:val="bottom"/>
          </w:tcPr>
          <w:p>
            <w:pPr>
              <w:ind w:left="4100"/>
              <w:spacing w:after="0"/>
              <w:rPr>
                <w:sz w:val="20"/>
                <w:szCs w:val="20"/>
                <w:color w:val="auto"/>
              </w:rPr>
            </w:pPr>
            <w:r>
              <w:rPr>
                <w:rFonts w:ascii="Arial" w:cs="Arial" w:eastAsia="Arial" w:hAnsi="Arial"/>
                <w:sz w:val="18"/>
                <w:szCs w:val="18"/>
                <w:color w:val="auto"/>
              </w:rPr>
              <w:t>75</w:t>
            </w:r>
          </w:p>
        </w:tc>
        <w:tc>
          <w:tcPr>
            <w:tcW w:w="8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consideration issued to Tango was $550.0 million or 55,000,000 shares ($10 per share price). The total shares issued included Tango common and preferred stock plus shares underlying unvested stock options. Accordingly, the consideration shares outstanding at the closing of the Business Combination was adjusted to exclude the portion of consideration shares that remained unvested and/or unexercised at the closing of the Business Combination. The Tango-Remaining Consideration Shares reflect a conversion ratio of 0.340. Tango shares are presented as of June 30,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Basis of Presentation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unaudited pro forma condensed combined financial information was prepared in accordance with Article 11 of SEC Regulation S-X as amended by the final rule, Release No. 33-10786 “Amendments to Financial Disclosures about Acquired and Disposed Businesses.” The historical financial information of BCTG and Tango has been adjusted to give effect to the transaction accounting adjustments of the Business Combination and the PIPE Financing and certain other adjustments to provide relevant information necessary for an understanding of the combined company upon consummation of the transactions described herein.</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The Business Combination is being accounted for as a reverse recapitalization because Tango has been determined to be the accounting acquirer under Financial Accounting Standards Board’s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determination is primarily based on the evaluation of the following facts and circumstances:</w:t>
      </w:r>
    </w:p>
    <w:p>
      <w:pPr>
        <w:spacing w:after="0" w:line="8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pre-combination equity holders of Tango holding the majority of voting rights in New Tango;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pre-combination equity holders of Tango having the right to appoint the majority of the directors on New Tango’s board of directors;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management of Tango comprising the senior management of New Tango;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Operations of Tango comprising the ongoing operations of New Tango.</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Under the reverse recapitalization accounting model, the Business Combination is being treated as Tango issuing stock for the net assets of BCTG, with no goodwill or intangible assets recorded.</w:t>
      </w:r>
    </w:p>
    <w:p>
      <w:pPr>
        <w:spacing w:after="0" w:line="170"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unaudited pro forma condensed combined financial information reflects all BCTG’s public stockholders that exercised redemption rights with respect to their public shares. A total of 1,106,814 shares were redeemed for an aggregate redemption value of approximately $11.1 million. The resulting redemption scenario still provided BCTG with cash at closing of the Business Combination of greater than the minimum requirement of $300.0 million pursuant to the Merger Agreement.</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New Tango expects to enter into new equity awards with its employees after the consummation of the Business Combination. The terms of these new equity awards have not been finalized and remain subject to change. Accordingly, no effect has been given in the unaudited pro forma condensed combined financial information for the new awards.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transaction accounting adjustments as any change in the deferred tax balance would be offset by an increase in the valuation allowance given Tango incurred significant losses during the historical period presented.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Note 3 — Transaction Accounting Adjustments to the Unaudited Pro Forma Condensed Combined Balance Sheet as of June 30, 2021</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 accounting adjustments included in the unaudited pro forma condensed combined balance sheet as of June 30, 2021 are as follows: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1080" w:right="2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impact of the Business Combination on the cash balance of the Combined Entity. The table below represents the sources and uses of funds as it relates to the Business Combination:</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Note</w:t>
            </w:r>
          </w:p>
        </w:tc>
        <w:tc>
          <w:tcPr>
            <w:tcW w:w="6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BCTG cash held in Trust Account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$166,815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Payment to redeeming BCTG Stockholders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Excess cash to balance sheet from Business Combination</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$147,963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PIPE—BCTG Sponsor</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PIPE—Tango Stockholders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PIPE Investors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118,598</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Payment of PIPE Financing transaction costs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Excess cash to balance sheet from PIPE transaction</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80" w:type="dxa"/>
            <w:vAlign w:val="bottom"/>
          </w:tcPr>
          <w:p>
            <w:pPr>
              <w:spacing w:after="0" w:line="205" w:lineRule="exact"/>
              <w:rPr>
                <w:sz w:val="20"/>
                <w:szCs w:val="20"/>
                <w:color w:val="auto"/>
              </w:rPr>
            </w:pPr>
            <w:r>
              <w:rPr>
                <w:rFonts w:ascii="Arial" w:cs="Arial" w:eastAsia="Arial" w:hAnsi="Arial"/>
                <w:sz w:val="18"/>
                <w:szCs w:val="18"/>
                <w:b w:val="1"/>
                <w:bCs w:val="1"/>
                <w:color w:val="auto"/>
              </w:rPr>
              <w:t>Total excess cash to balance sheet from Business Combination and PIPE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180"/>
              <w:spacing w:after="0"/>
              <w:rPr>
                <w:sz w:val="20"/>
                <w:szCs w:val="20"/>
                <w:color w:val="auto"/>
              </w:rPr>
            </w:pPr>
            <w:r>
              <w:rPr>
                <w:rFonts w:ascii="Arial" w:cs="Arial" w:eastAsia="Arial" w:hAnsi="Arial"/>
                <w:sz w:val="18"/>
                <w:szCs w:val="18"/>
                <w:b w:val="1"/>
                <w:bCs w:val="1"/>
                <w:color w:val="auto"/>
              </w:rPr>
              <w:t>Financing</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40" w:hanging="532"/>
        <w:spacing w:after="0" w:line="25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amount of the restricted investments and cash held in the trust account upon consummation of the Business Combination at closing of the Business Combination.</w:t>
      </w:r>
    </w:p>
    <w:p>
      <w:pPr>
        <w:spacing w:after="0" w:line="1" w:lineRule="exact"/>
        <w:rPr>
          <w:rFonts w:ascii="Arial" w:cs="Arial" w:eastAsia="Arial" w:hAnsi="Arial"/>
          <w:sz w:val="18"/>
          <w:szCs w:val="18"/>
          <w:color w:val="auto"/>
        </w:rPr>
      </w:pPr>
    </w:p>
    <w:p>
      <w:pPr>
        <w:ind w:left="1080" w:right="40" w:hanging="532"/>
        <w:spacing w:after="0" w:line="250"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payment of the redemption value for the 1,106,814 shares of restricted investments that were redeemed by BCTG stockholders from the trust account prior to the consummation of the Business Combination.</w:t>
      </w:r>
    </w:p>
    <w:p>
      <w:pPr>
        <w:ind w:left="1080" w:right="500" w:hanging="532"/>
        <w:spacing w:after="0" w:line="265"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payment of the estimated Business Combination transaction costs of $9.2 million. The unaudited pro forma condensed combined balance sheet reflects these costs as a reduction of cash, with a corresponding decrease in additional paid-in capital. As of June 30, 2021, $2.0 million in transaction costs have been incurred, of which $0.6 million remains unpaid.</w:t>
      </w:r>
    </w:p>
    <w:p>
      <w:pPr>
        <w:ind w:left="1080" w:right="340" w:hanging="532"/>
        <w:spacing w:after="0" w:line="250"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issuance, from the PIPE Financing, to certain investors of 18,610,000 shares of New Tango common stock at a price of $10.00 per share.</w:t>
      </w:r>
    </w:p>
    <w:p>
      <w:pPr>
        <w:ind w:left="1080" w:hanging="532"/>
        <w:spacing w:after="0" w:line="250"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payment of the estimated PIPE Financing transaction costs of $7.0 million. As of June 30, 2021, no PIPE Financing transaction costs had been incurred or paid.</w:t>
      </w:r>
    </w:p>
    <w:p>
      <w:pPr>
        <w:ind w:left="1540" w:right="540" w:hanging="439"/>
        <w:spacing w:after="0" w:line="250"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Represents release of the restricted investments and cash held in the BCTG trust account upon consummation of the Business Combination (See Note 3(a)(1)).</w:t>
      </w:r>
    </w:p>
    <w:p>
      <w:pPr>
        <w:ind w:left="1540" w:right="20" w:hanging="439"/>
        <w:spacing w:after="0" w:line="255"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reclass less than $0.1 million of historical BCTG franchise tax payable and accrued income tax to the accrued expenses and other current liabilities account of New Tango. Also reflective of the $0.6 million decrease of accrued transaction expenses with a corresponding decrease to additional paid in capital.</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20" w:hanging="439"/>
        <w:spacing w:after="0" w:line="342" w:lineRule="auto"/>
        <w:tabs>
          <w:tab w:leader="none" w:pos="1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table represents the impact of the Business Combination and PIPE Financing on the number of shares of BCTG common stock and represents the total stockholders’ deficit after giving effect to all redemptions by BCTG stockholders: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Note</w:t>
            </w:r>
          </w:p>
        </w:tc>
        <w:tc>
          <w:tcPr>
            <w:tcW w:w="6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Adjustment</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historical redeemable stock of BCTG to common stock</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$ 156,356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Payment to redeeming BCTG Stockholders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 value of consideration shares issued for all outstanding Tango common and</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Elimination of historical redeemable convertible preferred stock of Tango</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166,549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accumulated deficit of BCTG</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Elimination of historical deferred IPO costs of BCTG</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Pro Forma additional paid-in capital adjustment</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$ 307,891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532"/>
        <w:spacing w:after="0" w:line="25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recapitalization of BCTG through the contribution of all historically outstanding common stock subject to redemption of BCTG to Tango and the issuance of 15,712,245 shares of Tango common stock to BCTG stockholders. The unaudited pro forma condensed combined balance sheet reflects the adjustment as a reclassification to additional paid in capital and the difference to common stock.</w:t>
      </w:r>
    </w:p>
    <w:p>
      <w:pPr>
        <w:spacing w:after="0" w:line="2" w:lineRule="exact"/>
        <w:rPr>
          <w:rFonts w:ascii="Arial" w:cs="Arial" w:eastAsia="Arial" w:hAnsi="Arial"/>
          <w:sz w:val="18"/>
          <w:szCs w:val="18"/>
          <w:color w:val="auto"/>
        </w:rPr>
      </w:pPr>
    </w:p>
    <w:p>
      <w:pPr>
        <w:ind w:left="1080" w:right="680" w:hanging="532"/>
        <w:spacing w:after="0" w:line="265"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payment of the redemption value for the 1,106,814 shares of restricted investments that were redeemed by preferred shareholders from the trust account prior to the consummation of the Business Combination.</w:t>
      </w:r>
    </w:p>
    <w:p>
      <w:pPr>
        <w:ind w:left="1080" w:right="200" w:hanging="532"/>
        <w:spacing w:after="0" w:line="250"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$0.001 par value impact on additional paid in capital pursuant to the 55,000,0000 consideration shares issued for all outstanding Tango common and preferred stock and includes underlying unvested and/or unexercised stock options of 6,406,197 and excludes unissued options of 1,191,103. These amounts are based on Tango’s outstanding shares as of June 30, 2021 and the exchange ratio of 0.340 at the effective time of the Business Combination.</w:t>
      </w:r>
    </w:p>
    <w:p>
      <w:pPr>
        <w:spacing w:after="0" w:line="1" w:lineRule="exact"/>
        <w:rPr>
          <w:rFonts w:ascii="Arial" w:cs="Arial" w:eastAsia="Arial" w:hAnsi="Arial"/>
          <w:sz w:val="18"/>
          <w:szCs w:val="18"/>
          <w:color w:val="auto"/>
        </w:rPr>
      </w:pPr>
    </w:p>
    <w:p>
      <w:pPr>
        <w:ind w:left="1080" w:right="180" w:hanging="532"/>
        <w:spacing w:after="0" w:line="265"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reflect the automatic conversion of all outstanding shares of Tango redeemable convertible preferred stock immediately prior to the effective time of the Business Combination. The adjustment reflects the derecognition of the carrying value of the Tango redeemable convertible preferred stock of $166.5 million. The unaudited pro forma condensed combined balance sheet reflects the adjustment as a reclassification to additional paid in capital and the difference to common stock.</w:t>
      </w: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elimination of the accumulated deficit of BCTG.</w:t>
      </w:r>
    </w:p>
    <w:p>
      <w:pPr>
        <w:spacing w:after="0" w:line="9" w:lineRule="exact"/>
        <w:rPr>
          <w:rFonts w:ascii="Arial" w:cs="Arial" w:eastAsia="Arial" w:hAnsi="Arial"/>
          <w:sz w:val="18"/>
          <w:szCs w:val="18"/>
          <w:color w:val="auto"/>
        </w:rPr>
      </w:pPr>
    </w:p>
    <w:p>
      <w:pPr>
        <w:jc w:val="both"/>
        <w:ind w:left="1080" w:right="20" w:hanging="532"/>
        <w:spacing w:after="0" w:line="28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settlement of $5.8 million of deferred underwriting commissions incurred during BCTG’s initial public offering that were contractually due upon completion of the Business Combination as Business Combination transaction costs are shown gross within note</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(7) below.</w:t>
      </w:r>
    </w:p>
    <w:p>
      <w:pPr>
        <w:spacing w:after="0" w:line="9"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payment of the estimated Business Combination transaction costs of $9.2 million. The unaudited pro forma condensed combined balance sheet reflects these costs as a reduction of cash, with a corresponding decrease in additional paid-in capital. As of June 30, 2021, $0.6 million in transaction costs had been incurred and remained unpaid.</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320" w:top="459" w:right="6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Note 4 — Transaction Accounting Adjustments to the Unaudited Pro Forma Condensed Combined Statement of Operations for the Six Months Ended June 30, 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 accounting adjustments included in the unaudited pro forma condensed combined statement of operations for the six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are as follows: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reclass historical BCTG franchise tax expense to general and administrative expenses of New Tango.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eliminate interest earned on the Trust Account which was released upon closing of the Business Combination.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Presentation of the pro forma basic and diluted net loss per share amounts. See Note 6 — Net Loss Per Share for additional details.</w:t>
      </w:r>
    </w:p>
    <w:p>
      <w:pPr>
        <w:spacing w:after="0" w:line="142" w:lineRule="exact"/>
        <w:rPr>
          <w:rFonts w:ascii="Arial" w:cs="Arial" w:eastAsia="Arial" w:hAnsi="Arial"/>
          <w:sz w:val="17"/>
          <w:szCs w:val="17"/>
          <w:color w:val="auto"/>
        </w:rPr>
      </w:pPr>
    </w:p>
    <w:p>
      <w:pPr>
        <w:ind w:left="1080" w:right="220" w:hanging="532"/>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Tango is expected to be a tax-paying entity in 2021 due to taxable deferred revenue from the Gilead collaboration that is partially offset by the utilization of federal and state net operating losses and federal and state tax credits. However, the Company has historically been loss-making.</w:t>
      </w:r>
    </w:p>
    <w:p>
      <w:pPr>
        <w:spacing w:after="0" w:line="288"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b w:val="1"/>
          <w:bCs w:val="1"/>
          <w:color w:val="auto"/>
        </w:rPr>
        <w:t>Note 5 — Transaction Accounting Adjustments to the Unaudited Pro Forma Condensed Combined Statement of Operations for the Year Ended December 31, 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transaction accounting adjustments included in the unaudited pro forma condensed combined statement of operations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are as follows: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reclass historical BCTG franchise tax expense to general and administrative expenses of New Tango.</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eliminate interest income, and the related income tax expense from interest income, earned on the Trust Account which were released upon closing of the Business Combination.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Presentation of the pro forma basic and diluted net loss per share amounts. See Note 6 — Net Loss Per Share for additional details.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Net Loss Per Share</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loss per share was calculated using the historical weighted average shares outstanding, and the issuance of additional shares in connection with the Business Combination and PIPE Financing,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Financing have been outstanding for the entire period presented.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information has been prepared for the six months ended June 30, 2021:</w:t>
      </w:r>
    </w:p>
    <w:p>
      <w:pPr>
        <w:spacing w:after="0" w:line="24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Six Months Ended June 30, 2021</w:t>
      </w:r>
    </w:p>
    <w:p>
      <w:pPr>
        <w:spacing w:after="0" w:line="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8" w:lineRule="exact"/>
        <w:rPr>
          <w:sz w:val="20"/>
          <w:szCs w:val="20"/>
          <w:color w:val="auto"/>
        </w:rPr>
      </w:pPr>
    </w:p>
    <w:tbl>
      <w:tblPr>
        <w:tblLayout w:type="fixed"/>
        <w:tblInd w:w="18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Pro Forma weighted average shares calculation — basic and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15,635,785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Less BCTG Stockholder redemptions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(1,106,814)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4,702,250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48,593,803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PIPE Shares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18,610,000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 basic and diluted(2)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60" w:hanging="532"/>
        <w:spacing w:after="0" w:line="267"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Excludes 6,406,197 Tango consideration shares that will be issued upon the occurrence of future events (i.e., exercise of stock options). Includes 93,107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of the Business Combination has been adjusted to exclude the portion of consideration shares that will be unvested and/or unexercised at the closing of the Business Combination and are therefore not included in the calculation of weighted average shares outstanding as the impact is anti-dilutive.</w:t>
      </w:r>
    </w:p>
    <w:p>
      <w:pPr>
        <w:spacing w:after="0" w:line="4" w:lineRule="exact"/>
        <w:rPr>
          <w:rFonts w:ascii="Arial" w:cs="Arial" w:eastAsia="Arial" w:hAnsi="Arial"/>
          <w:sz w:val="17"/>
          <w:szCs w:val="17"/>
          <w:color w:val="auto"/>
        </w:rPr>
      </w:pPr>
    </w:p>
    <w:p>
      <w:pPr>
        <w:ind w:left="1080" w:hanging="532"/>
        <w:spacing w:after="0" w:line="25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6,406,197 Tango consideration shares for unvested and/or unexercised stock options.</w:t>
      </w:r>
    </w:p>
    <w:p>
      <w:pPr>
        <w:spacing w:after="0" w:line="19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loss per share was calculated using the historical weighted average shares outstanding, and the issuance of additional shares in connection with the Business Combination and PIPE Financing,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Financing have been outstanding for the entire period presented.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information has been prepared for the year ended December 31, 2020:</w:t>
      </w:r>
    </w:p>
    <w:p>
      <w:pPr>
        <w:spacing w:after="0" w:line="24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Year Ended December 31, 2020</w:t>
      </w:r>
    </w:p>
    <w:p>
      <w:pPr>
        <w:spacing w:after="0" w:line="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8" w:lineRule="exact"/>
        <w:rPr>
          <w:sz w:val="20"/>
          <w:szCs w:val="20"/>
          <w:color w:val="auto"/>
        </w:rPr>
      </w:pPr>
    </w:p>
    <w:tbl>
      <w:tblPr>
        <w:tblLayout w:type="fixed"/>
        <w:tblInd w:w="18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Pro Forma weighted average shares calculation — basic and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15,635,785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Less BCTG Stockholder redemptions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(1,106,814)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4,702,250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48,593,803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PIPE Shares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18,610,000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 basic and diluted(2)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60" w:hanging="532"/>
        <w:spacing w:after="0" w:line="284"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Excludes 6,405,747 Tango consideration shares that will be issued upon the occurrence of future events (i.e., exercise of stock options). Includes 256,793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the closing of the Business Combination has been adjusted to exclude the portion of consideration shares that will be unvested and/or unexercised at the closing of the Business Combination and are therefore not included in the calculation of weighted average shares outstanding as the impact is anti-dilutive.</w:t>
      </w:r>
    </w:p>
    <w:p>
      <w:pPr>
        <w:spacing w:after="0" w:line="2"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6,405,747 Tango consideration shares for unvested and/or unexercised stock options.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6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target discovery and drug development process, which is clinically oriented and guided by patient-focused cancer genetics to produce innovative therapies, can be summarized by the following fundamental elements:</w:t>
      </w:r>
    </w:p>
    <w:p>
      <w:pPr>
        <w:spacing w:after="0" w:line="72" w:lineRule="exact"/>
        <w:rPr>
          <w:sz w:val="20"/>
          <w:szCs w:val="20"/>
          <w:color w:val="auto"/>
        </w:rPr>
      </w:pPr>
    </w:p>
    <w:p>
      <w:pPr>
        <w:ind w:left="1080" w:hanging="424"/>
        <w:spacing w:after="0" w:line="26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 singular focus on precision oncology from target discovery through clinical development. </w:t>
      </w:r>
      <w:r>
        <w:rPr>
          <w:rFonts w:ascii="Arial" w:cs="Arial" w:eastAsia="Arial" w:hAnsi="Arial"/>
          <w:sz w:val="18"/>
          <w:szCs w:val="18"/>
          <w:color w:val="auto"/>
        </w:rPr>
        <w:t>By identifying a target patient population,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defining the tumor suppressor gene loss that characterizes those patients’ cancers and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that mimic the genetics of those cancer cells in our discovery platform, we concentrate discovery and clinical development paths on treatments for those patients most likely to derive meaningful clinical benefit from each new molecule.</w:t>
      </w:r>
    </w:p>
    <w:p>
      <w:pPr>
        <w:spacing w:after="0" w:line="85" w:lineRule="exact"/>
        <w:rPr>
          <w:rFonts w:ascii="Arial" w:cs="Arial" w:eastAsia="Arial" w:hAnsi="Arial"/>
          <w:sz w:val="18"/>
          <w:szCs w:val="18"/>
          <w:color w:val="auto"/>
        </w:rPr>
      </w:pPr>
    </w:p>
    <w:p>
      <w:pPr>
        <w:ind w:left="1080" w:right="60" w:hanging="424"/>
        <w:spacing w:after="0" w:line="26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Deep expertise linking cancer genetics to novel target discovery. </w:t>
      </w:r>
      <w:r>
        <w:rPr>
          <w:rFonts w:ascii="Arial" w:cs="Arial" w:eastAsia="Arial" w:hAnsi="Arial"/>
          <w:sz w:val="18"/>
          <w:szCs w:val="18"/>
          <w:color w:val="auto"/>
        </w:rPr>
        <w:t>We have built a state-of-the-art discovery engine, based on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optimized CRISPR systems, advanced functional genomics and a proprietary cloud-based computational biology platform, which we refer to as TANDEM, for sophisticated analysis of our genetic and functional data, enabling integration of target biology with specific genetic alterations in cancer cells.</w:t>
      </w:r>
    </w:p>
    <w:p>
      <w:pPr>
        <w:spacing w:after="0" w:line="85" w:lineRule="exact"/>
        <w:rPr>
          <w:rFonts w:ascii="Arial" w:cs="Arial" w:eastAsia="Arial" w:hAnsi="Arial"/>
          <w:sz w:val="18"/>
          <w:szCs w:val="18"/>
          <w:color w:val="auto"/>
        </w:rPr>
      </w:pPr>
    </w:p>
    <w:p>
      <w:pPr>
        <w:ind w:left="1080" w:right="80" w:hanging="424"/>
        <w:spacing w:after="0" w:line="26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 versatile drug discovery approach. </w:t>
      </w:r>
      <w:r>
        <w:rPr>
          <w:rFonts w:ascii="Arial" w:cs="Arial" w:eastAsia="Arial" w:hAnsi="Arial"/>
          <w:sz w:val="18"/>
          <w:szCs w:val="18"/>
          <w:color w:val="auto"/>
        </w:rPr>
        <w:t>We employ our hit-finding and medicinal chemistry expertise to identify tractable chemical matter</w:t>
      </w:r>
      <w:r>
        <w:rPr>
          <w:rFonts w:ascii="Arial" w:cs="Arial" w:eastAsia="Arial" w:hAnsi="Arial"/>
          <w:sz w:val="18"/>
          <w:szCs w:val="18"/>
          <w:b w:val="1"/>
          <w:bCs w:val="1"/>
          <w:color w:val="auto"/>
        </w:rPr>
        <w:t xml:space="preserve"> </w:t>
      </w:r>
      <w:r>
        <w:rPr>
          <w:rFonts w:ascii="Arial" w:cs="Arial" w:eastAsia="Arial" w:hAnsi="Arial"/>
          <w:sz w:val="18"/>
          <w:szCs w:val="18"/>
          <w:color w:val="auto"/>
        </w:rPr>
        <w:t>and solve high resolution crystal structures for our novel targets as the basis for designing potent, selective molecules with the precise mechanism of action required by the target biology.</w:t>
      </w:r>
    </w:p>
    <w:p>
      <w:pPr>
        <w:spacing w:after="0" w:line="81" w:lineRule="exact"/>
        <w:rPr>
          <w:rFonts w:ascii="Arial" w:cs="Arial" w:eastAsia="Arial" w:hAnsi="Arial"/>
          <w:sz w:val="18"/>
          <w:szCs w:val="18"/>
          <w:color w:val="auto"/>
        </w:rPr>
      </w:pPr>
    </w:p>
    <w:p>
      <w:pPr>
        <w:ind w:left="1080" w:right="180" w:hanging="424"/>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 unique ability to bring precision medicine to immuno-oncology. </w:t>
      </w:r>
      <w:r>
        <w:rPr>
          <w:rFonts w:ascii="Arial" w:cs="Arial" w:eastAsia="Arial" w:hAnsi="Arial"/>
          <w:sz w:val="18"/>
          <w:szCs w:val="18"/>
          <w:color w:val="auto"/>
        </w:rPr>
        <w:t>Through our rigorous focus on cancer genetics, we have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critical links between tumor suppressor gene loss and the ability of tumor cells to evade killing by the immune system causing immune evasion. That knowledge powers our approach to reverse the tumor-intrinsic immune evasion mechanisms driven by specific tumor suppressor gene loss in cancer cells. We plan to design clinical trials that combine the efficiency and success of genetic patient selection with a novel approach to reversing tumor-intrinsic immune evasion, which we believe could mitigate the known drawbacks of clinical trials lacking a patient selection strategy.</w:t>
      </w:r>
    </w:p>
    <w:p>
      <w:pPr>
        <w:spacing w:after="0" w:line="19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first product candidate, TNG908, is a potent, selective, synthetic lethal, small molecule inhibitor of protein arginine methyltransferase 5, or PRMT5, designed to work selectively in cancer cells with an-methylthioadenosine phosphorylase, or MTAP, deletion. MTAP-deletion occurs in approximately 10% to 15% of all human tumors, including many common cancers with high unmet need such as squamous cell lung, esophageal and bladder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 xml:space="preserve">cancer, creating a significant therapeutic opportunity for patients. The challenge of non-synthetic lethal 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degrades 5’-deoxy-5’-methylthioadenosine, or MTA,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non-selective PRMT5 inhibitor kills cancer cells and normal cells at approximately the same exposure, markedly limiting potential efficacy. This difference in mechanism of inhibition occurs because TNG908 binds much more efficiently to the PRMT5-MTA complex, so the increased MTA levels in MTAP-deleted cancer cells make TNG908 more potent in MTAP-deleted cancer cells than in normal cells. In our preclinical studies, TNG908 has demonstrated 15-fold greater potency in MTAP-deleted cancer cells versus normal cells. This unique selectivity of TNG908 for MTAP-deleted cancer cells allows for the near-complete and sustained inhibition of PRMT5 needed to induce tumor cell death while sparing normal cells, including bone marrow cells which is likely responsible for the dose-limiting toxicity of non-synthetic lethal PRMT5 inhibitors currently in clinical development. In our preclinical studies, TNG908 demonstrated selectivity for MTAP-deleted tumors, anti-tumor effects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and pharmacokinetics that, if approved, support its potential to be a highly differentiated synthetic lethal PRMT5 inhibitor. We plan to file an IND application for TNG908 in the fourth quarter of 2021 and initiate a Phase 1/2 clinical trial in the first half of 2022.</w:t>
      </w:r>
    </w:p>
    <w:p>
      <w:pPr>
        <w:spacing w:after="0" w:line="190"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 xml:space="preserve">Our second product candidate has the potential to be a highly differentiated small molecule inhibitor of ubiquitin-specific protease 1, or USP1, a synthetic lethal target for BRCA1-mutant breast, ovarian and prostate cancer. USP1 has the potential to treat a patient population that is comparable in size to approximately half of the patient population for poly (ADP-ribose) polymerase, or PARP, inhibitors that are effective against cancers with BRCA1 and BRCA2 mutations. BRCA1 mutations are present in approximately 15% of ovarian cancer, 5% of breast cancer, and 1% of prostate cancer.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preclinical data demonstrate potent anti-tumor activity with a lead series compound used as a single agent. Preclinical data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We anticipate advancing a clinical candidate and filing an IND for this program in 2022.</w:t>
      </w:r>
    </w:p>
    <w:p>
      <w:pPr>
        <w:spacing w:after="0" w:line="16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Our third program, an undisclosed target (Target 3), exploits our platform developed to find synthetic lethal targets that reverse the immune evasion effects of tumor suppressor gene loss, in this case serine-threonine kinase 11, or STK11, loss-of-function mutations. STK11 loss-of-function mutations are present in approximately 20% of non-small cell 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into IND-enabling studies in the second half of 2022 and filing an IND in 2023.</w:t>
      </w:r>
    </w:p>
    <w:p>
      <w:pPr>
        <w:spacing w:after="0" w:line="17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two programs.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 </w:t>
      </w:r>
      <w:r>
        <w:rPr>
          <w:rFonts w:ascii="Arial" w:cs="Arial" w:eastAsia="Arial" w:hAnsi="Arial"/>
          <w:sz w:val="16"/>
          <w:szCs w:val="16"/>
          <w:i w:val="1"/>
          <w:iCs w:val="1"/>
          <w:color w:val="auto"/>
        </w:rPr>
        <w:t>Collaboration and License Agreements — Collaboration and License Agreement with Gilead Sciences</w:t>
      </w:r>
      <w:r>
        <w:rPr>
          <w:rFonts w:ascii="Arial" w:cs="Arial" w:eastAsia="Arial" w:hAnsi="Arial"/>
          <w:sz w:val="16"/>
          <w:szCs w:val="16"/>
          <w:color w:val="auto"/>
        </w:rPr>
        <w:t>” for additional information.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86045" cy="1200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8604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72" w:lineRule="exact"/>
        <w:rPr>
          <w:sz w:val="20"/>
          <w:szCs w:val="20"/>
          <w:color w:val="auto"/>
        </w:rPr>
      </w:pPr>
    </w:p>
    <w:p>
      <w:pPr>
        <w:ind w:left="1080" w:right="220" w:hanging="424"/>
        <w:spacing w:after="0" w:line="289"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Advance TNG908, the first PRMT5 inhibitor scheduled to enter the clinic that is synthetic lethal with MTAP deletion, into the clinic in multiple indications with high unmet need. </w:t>
      </w:r>
      <w:r>
        <w:rPr>
          <w:rFonts w:ascii="Arial" w:cs="Arial" w:eastAsia="Arial" w:hAnsi="Arial"/>
          <w:sz w:val="17"/>
          <w:szCs w:val="17"/>
          <w:color w:val="auto"/>
        </w:rPr>
        <w:t>TNG908, our PRMT5 inhibitor, is currently in IND-enabling studies. We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file an IND in the fourth quarter of 2021 and initiate a Phase 1/2 clinical trial in the first half of 2022.</w:t>
      </w:r>
    </w:p>
    <w:p>
      <w:pPr>
        <w:spacing w:after="0" w:line="63" w:lineRule="exact"/>
        <w:rPr>
          <w:rFonts w:ascii="Arial" w:cs="Arial" w:eastAsia="Arial" w:hAnsi="Arial"/>
          <w:sz w:val="17"/>
          <w:szCs w:val="17"/>
          <w:color w:val="auto"/>
        </w:rPr>
      </w:pPr>
    </w:p>
    <w:p>
      <w:pPr>
        <w:ind w:left="1080" w:right="40" w:hanging="424"/>
        <w:spacing w:after="0" w:line="29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Advance our USP1 inhibitor program into clinical development in multiple BRCA1-mutant cancer types. </w:t>
      </w:r>
      <w:r>
        <w:rPr>
          <w:rFonts w:ascii="Arial" w:cs="Arial" w:eastAsia="Arial" w:hAnsi="Arial"/>
          <w:sz w:val="16"/>
          <w:szCs w:val="16"/>
          <w:color w:val="auto"/>
        </w:rPr>
        <w:t>We discovered USP1 as a</w:t>
      </w:r>
      <w:r>
        <w:rPr>
          <w:rFonts w:ascii="Arial" w:cs="Arial" w:eastAsia="Arial" w:hAnsi="Arial"/>
          <w:sz w:val="16"/>
          <w:szCs w:val="16"/>
          <w:b w:val="1"/>
          <w:bCs w:val="1"/>
          <w:color w:val="auto"/>
        </w:rPr>
        <w:t xml:space="preserve"> </w:t>
      </w:r>
      <w:r>
        <w:rPr>
          <w:rFonts w:ascii="Arial" w:cs="Arial" w:eastAsia="Arial" w:hAnsi="Arial"/>
          <w:sz w:val="16"/>
          <w:szCs w:val="16"/>
          <w:color w:val="auto"/>
        </w:rPr>
        <w:t>strong synthetic lethal target for BRCA1 loss of function. We are developing a potent, potentially differentiated molecule for the treatment of BRCA1-mutant breast, ovarian and prostate cancer. We plan to file an IND in 2022 and expect this molecule to have both single agent activity in PARPi-naïve and PARPi-resistant BRCA1 mutant cancers and to synergize with PARP inhibitors. As with PARP inhibitors, it may be possible to define additional sensitive patient populations based on the mechanism of action of USP1 inhibition.</w:t>
      </w:r>
    </w:p>
    <w:p>
      <w:pPr>
        <w:spacing w:after="0" w:line="59" w:lineRule="exact"/>
        <w:rPr>
          <w:rFonts w:ascii="Arial" w:cs="Arial" w:eastAsia="Arial" w:hAnsi="Arial"/>
          <w:sz w:val="16"/>
          <w:szCs w:val="16"/>
          <w:color w:val="auto"/>
        </w:rPr>
      </w:pPr>
    </w:p>
    <w:p>
      <w:pPr>
        <w:ind w:left="1080" w:right="20" w:hanging="424"/>
        <w:spacing w:after="0" w:line="25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Bring the first immunotherapy program within genetically-defined patients into the clinic in STK11-mutant lung cancer.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discovery platform, we identified and validated STK11 as a tumor suppressor gene that, when inactivated causes immune evasion, manifested clinically as checkpoint inhibitor resistance. We are pioneering the development of treatments that reverse STK11-loss mediated immune evasion. We anticipate advancing a clinical candidate for our first immune evasion target into IND-enabling studies in the second half of 2022 and filing an IND in 2023.</w:t>
      </w:r>
    </w:p>
    <w:p>
      <w:pPr>
        <w:spacing w:after="0" w:line="88" w:lineRule="exact"/>
        <w:rPr>
          <w:rFonts w:ascii="Arial" w:cs="Arial" w:eastAsia="Arial" w:hAnsi="Arial"/>
          <w:sz w:val="18"/>
          <w:szCs w:val="18"/>
          <w:color w:val="auto"/>
        </w:rPr>
      </w:pPr>
    </w:p>
    <w:p>
      <w:pPr>
        <w:jc w:val="both"/>
        <w:ind w:left="1080" w:right="380" w:hanging="424"/>
        <w:spacing w:after="0" w:line="314"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Discover and drug the next generation of precision oncology targets</w:t>
      </w:r>
      <w:r>
        <w:rPr>
          <w:rFonts w:ascii="Arial" w:cs="Arial" w:eastAsia="Arial" w:hAnsi="Arial"/>
          <w:sz w:val="16"/>
          <w:szCs w:val="16"/>
          <w:color w:val="auto"/>
        </w:rPr>
        <w:t>. We are growing our drug discovery pipeline with potentially</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and differentiated discovery programs for multiple common genetically defined cancers. Based on evidence from multiple datasets that hundreds of synthetic lethal pairs remain to be discovered, we believe that our target discovery engine will continue</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to fuel our drug discovery pipeline for the foreseeable future. Based on the productivity of our discovery platform, we plan to file one new IND every 12 to 18 months and have multiple targets in discovery stage.</w:t>
      </w:r>
    </w:p>
    <w:p>
      <w:pPr>
        <w:spacing w:after="0" w:line="72" w:lineRule="exact"/>
        <w:rPr>
          <w:sz w:val="20"/>
          <w:szCs w:val="20"/>
          <w:color w:val="auto"/>
        </w:rPr>
      </w:pPr>
    </w:p>
    <w:p>
      <w:pPr>
        <w:ind w:left="1080" w:right="220" w:hanging="424"/>
        <w:spacing w:after="0" w:line="29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Opportunistically evaluate and maximize the value of our strategic collaboration to bring more medicines to patients, accelerate development timelines and explore combination therapy approaches for our product candidates. </w:t>
      </w:r>
      <w:r>
        <w:rPr>
          <w:rFonts w:ascii="Arial" w:cs="Arial" w:eastAsia="Arial" w:hAnsi="Arial"/>
          <w:sz w:val="16"/>
          <w:szCs w:val="16"/>
          <w:color w:val="auto"/>
        </w:rPr>
        <w:t>Through our collaboration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Gilead, we can validate and develop multiple immune evasion targets, producing more potential drug targets than we can independently develop by accessing the expanded capabilities and global development reach of a large company. We will consider additional collaborations that could maximize the value of our pipeline through the evaluation of our product candidates in combination with compounds owned by third parties and/or through collaborations that allow us to leverage the existing infrastructure of other companies.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We have assembled an experienced team of experts in genetics, drug discovery and precision oncology to leverage synthetic lethality as a key principle of our strategy. Our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we were founded. Moving to industry in 2005, she led early oncology clinical development at GlaxoSmithKline and then Novartis, where she oversaw the filing of more than 80 INDs. She also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Therapeutics, Inc. and launched the Company in 2017. Alan Huang Ph.D., our Chief Scientific Officer, also played a leading role in the creation of our company, specifically developing the ground-breaking concept of immune evasion driven by tumor suppressor gene loss. He brings 14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w:t>
      </w:r>
    </w:p>
    <w:p>
      <w:pPr>
        <w:spacing w:after="0" w:line="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scale functional genomics screen platform, as well as the Cancer Cell Line Encyclopedia project, a large external genomic collaboration with The Broad Institute.</w:t>
      </w:r>
    </w:p>
    <w:p>
      <w:pPr>
        <w:spacing w:after="0" w:line="18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have world-class founders now acting as our scientific advisors, a skilled and experienced management team, and a knowledgeable board of directors with deep expertise in oncology, drug development, clinical operations, and company creation. Alan Ashworth, Ph.D., a scientific founder of our company, was a leader in the discovery of the BRCA2 gene and discovered that PARP inhibitors are synthetic lethal with BRCA1 and BRCA2 mutations. Nobel prize-winner William Kaelin, MD, also a scientific founder, was among the first to describe synthetic lethality in human cancers and has utilized high throughput screens to identify synthetic lethal gene pairs to known, cancer-associated mutations. Scientific founders Antoni Ribas, MD, Ph.D. professor of medicine, professor of surgery, and professor of molecular and medical pharmacology at the University of California Los Angeles is an internationally recognized translational oncology researcher as was Jose Baselga, MD, Ph.D., former head of oncology R&amp;D at AstraZeneca, at the time of his passing in March 2021. Of note, Dr. Ribas was the first to discover inactivating mutations in cancer genes that result in checkpoint inhibitor resistance.</w:t>
      </w:r>
    </w:p>
    <w:p>
      <w:pPr>
        <w:spacing w:after="0" w:line="196"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We received gross proceeds of $352.9 million upon the closing of the Business Combination and PIPE Financing in August 2021. Prior to the Business Combination, our operations were funded primarily with gross proceeds of $166.9 million received through the sale and issuance of preferred stock to a strong syndicate of investors, including Third Rock Ventures, Boxer Capital, Casdin Capital, Cormorant Asset Management and Gilead.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Cancer Treatment Landscape</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Cancer is a disease of the genome, and almost all cancers have multiple genetic lesions that must be addressed to develop curative combination therapies. One view of the hallmarks of cancer suggests that targeting oncogenic drivers, tumor suppressor gene loss and the underlying mechanisms by which cancer cells evade immune destruction are the minimum that will be required for cures. The first wave of precision therapies for cancer focused on drugging gene products that are activated by genetic alterations (oncogenes) in specific cancer types and has resulted in many important drugs for a wide range of cancer types. Precision medicines targeting activated oncogenes are available to an increasing number of cancer patients, but despite these very significant advances most patients still receive treatment that includes various chemotherapy regimens and/or radiation. Although chemotherapy provides significant clinical benefit to many patients, cytotoxic mechanisms that affect normal and cancer cells equally limit the dose of treatments that can be safely given to patients and therefore limit the efficacy of many drugs. There is an urgent need to develop precise, effective, and well-tolerated drugs that selectively target unique cancer genetic dependencies without damaging or killing normal cells.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Precision Medicine and Synthetic Lethality</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As hundreds of thousands of human cancers have now been characterized by deep genome sequencing, it is believed that sequence-based discovery of oncogenes druggable with conventional approaches has been largely exhausted, and any remaining undiscovered activating mutations occur at very low frequency (less than 1%). Many other genetic drivers of cancer have been well-characterized but have not been directly targeted due to their molecular structure (undruggable oncogenes) or functional loss (tumor suppressor genes). Tumor suppressor gene loss remains a largely untouched target space specifically because these genetic events cannot be directly targeted. Functional genomic screening provides an avenue to overcome these challenges and identify novel drug targets that may lead to the next wave of drugs needed for the large majority of cancer patients with advanced disease who do not currently survive their diagnoses.</w:t>
      </w:r>
    </w:p>
    <w:p>
      <w:pPr>
        <w:spacing w:after="0" w:line="17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numerous cancer genome projects that resulted from the advances of the Human Genome Project, as well as systems biology studies using functional genomics technologies (such as RNA interference and CRISPR-Cas9 gene editing), have enabled us to better understand and study cancer based on genetic alterations, rather than by histology and tumor type or tissue of origin. The genetic alterations cataloged by these large-scale cancer genome sequencing efforts include deletions and/or inactivating mutations in almost all human cancer types. Activating mutations in oncogenes have been successfully drugged with multiple inhibitors for HER2 amplification,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BCR-ABL translocation, and EGFR and BRAF mutations as well as many others. However, as shown in Figure 1 below, druggable oncogenes represent only a portion of the many genetic alterations that drive the formation of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133985</wp:posOffset>
            </wp:positionV>
            <wp:extent cx="3120390" cy="2357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203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i w:val="1"/>
          <w:iCs w:val="1"/>
          <w:color w:val="auto"/>
        </w:rPr>
        <w:t>Figure 1: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16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Activated oncogenes are the “gas pedals” in cancer development and tumor suppressor genes are the “brakes”. Tumor suppressor gene loss is a central mechanism by which normal cells lose the ability to regulate key protective cellular functions as they undergo malignant transformation. Many tumor suppressor genes have been well-characterized, such as TP53, RB1, and BRCA1, but tumor suppressor gene loss is undruggable, as the function or presence of the genes themselves are lost.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Identification of druggable synthetic lethal partners is currently the only way of targeting the functional loss of tumor suppressor genes in cancer.</w:t>
      </w:r>
    </w:p>
    <w:p>
      <w:pPr>
        <w:spacing w:after="0" w:line="237" w:lineRule="exact"/>
        <w:rPr>
          <w:sz w:val="20"/>
          <w:szCs w:val="20"/>
          <w:color w:val="auto"/>
        </w:rPr>
      </w:pPr>
    </w:p>
    <w:p>
      <w:pPr>
        <w:jc w:val="both"/>
        <w:ind w:left="120" w:right="200"/>
        <w:spacing w:after="0" w:line="287" w:lineRule="auto"/>
        <w:rPr>
          <w:sz w:val="20"/>
          <w:szCs w:val="20"/>
          <w:color w:val="auto"/>
        </w:rPr>
      </w:pPr>
      <w:r>
        <w:rPr>
          <w:rFonts w:ascii="Arial" w:cs="Arial" w:eastAsia="Arial" w:hAnsi="Arial"/>
          <w:sz w:val="16"/>
          <w:szCs w:val="16"/>
          <w:color w:val="auto"/>
        </w:rPr>
        <w:t xml:space="preserve">Synthetic lethality, initially described in </w:t>
      </w:r>
      <w:r>
        <w:rPr>
          <w:rFonts w:ascii="Arial" w:cs="Arial" w:eastAsia="Arial" w:hAnsi="Arial"/>
          <w:sz w:val="16"/>
          <w:szCs w:val="16"/>
          <w:i w:val="1"/>
          <w:iCs w:val="1"/>
          <w:color w:val="auto"/>
        </w:rPr>
        <w:t>Drosophila</w:t>
      </w:r>
      <w:r>
        <w:rPr>
          <w:rFonts w:ascii="Arial" w:cs="Arial" w:eastAsia="Arial" w:hAnsi="Arial"/>
          <w:sz w:val="16"/>
          <w:szCs w:val="16"/>
          <w:color w:val="auto"/>
        </w:rPr>
        <w:t xml:space="preserve"> (fruit flies) in the 1930s, is classically defined as the setting in which inactivation of either of two genes individually has little effect on cell viability, but the loss of function of both genes simultaneously leads to cell death. In cancer, the concept of synthetic lethality has been extended to pairs of genes where one is inactivated by a genetic alteration and the other is inhibited pharmacologically.</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relevant cancer cells are selectively killed. The recent success of PARP inhibitors in BRCA-mutant breast, ovarian and prostate cancers is the first clinical example of using synthetic lethality to target tumor suppressor gene loss.</w:t>
      </w:r>
    </w:p>
    <w:p>
      <w:pPr>
        <w:spacing w:after="0" w:line="19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Given the potentially large number of synthetic lethal interactions in the human genome, discovery of synthetic lethal pairs amenable to drug discovery requires a functional genomic approach. We exploit multiple CRISPR technologies to identify synthetic lethal “hits” in cell line panels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models with loss of a specific tumor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suppressor gene and matched as closely as possible to models that retain wild-type, or WT, function of the tumor suppressor gene. “Hits” from these screens are potential synthetic lethal drug targets, and the patient population expected to benefit from inhibiting these targets is defined by the genetic alteration of the tumor suppressor gene being interrogated.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Synthetic Lethality and Novel Target Discovery</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Tumor suppressor gene loss of function is a feature of virtually all human cancers — it is a driver of tumorigenesis of equal importance to oncogene activation — and synthetic lethality provides a powerful framework for developing precision therapeutics that are functionally linked to the loss of specific tumor suppressor genes.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Hundreds of tumor suppressor genes have been described and well-studied. Our internal analyses, supported by published data from the Sanger Institute and other institutions, suggests that there are hundreds of synthetic lethal partner genes for tumor suppressor genes that remain to be discovered which are potential cancer drug targets. As noted above, the first clinically validated example is the PARP-BRCA1/2 synthetic lethal interaction. PARP inhibitors are effective in patients with inactivated tumor suppressor genes BRCA1 and BRCA2, as first described by one of our founders, Alan Ashworth, and summarized in Figure 2 below. Notably, the first PARP inhibitor received FDA approval in 2016 and this class of molecules is now a multi-billion-dollar market benefiting thousands of patients annually that is projected to become an $8.0 billion market by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130810</wp:posOffset>
            </wp:positionV>
            <wp:extent cx="2606040" cy="20999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604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Figure 2. PARP inhibitors selectively kill these BRCA1/2 mutant cancer cells while largely sparing the normal cells. Therefore, these synthetic lethality targets inherently can offer a wide therapeutic index.</w:t>
      </w:r>
    </w:p>
    <w:p>
      <w:pPr>
        <w:spacing w:after="0" w:line="170"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color w:val="auto"/>
        </w:rPr>
        <w:t>By exploiting the genetic principle of synthetic lethality, our novel molecules lead to selective killing of cancer cells, while being relatively inert in normal cells. We believe that this approach will deliver on the promise of precision medicine to bring more new treatments to the right patients with effective, tolerable drugs for key drivers of cancer, that have heretofore of necessity been ignored in precision oncology.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Tumor Suppressor Gene Loss and Immune Evasion</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classic definition of synthetic lethality applies to events in cancer cells themselves that result in cell death (“cell autonomous” events), but a synthetic lethal target discovery approach can be adapted to identify druggable targets that do not kill cancer cells directly, but rather attract immune cells to destroy them. While a wide variety of mechanisms have been postulated by which cancer cells attain the ability to “hide” from the immune system</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(immune evasion), including immune editing, T cell exhaustion and an inhibitory microenvironment, important drivers of immune evasion likely come at least in part from the cancer cell itself. However, the genetics of tumor-intrinsic immune evasion have only recently begun to be described, and no drug targets with the potential to reverse this hallmark of cancer have yet been publicly disclosed.</w:t>
      </w:r>
    </w:p>
    <w:p>
      <w:pPr>
        <w:spacing w:after="0" w:line="18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remarkable clinical activity of immunotherapies, specifically checkpoint inhibitors that help the immune system kill cancer cells, underscores the value of identifying tumor suppressor gene loss that is linked to immune evasion, whereby tumor cells escape destruction by the immune system. We are using the concept of synthetic lethality to address the unmet medical need of this large group of patients by identifying novel immune evasion genes that</w:t>
      </w:r>
    </w:p>
    <w:p>
      <w:pPr>
        <w:spacing w:after="0" w:line="2" w:lineRule="exact"/>
        <w:rPr>
          <w:sz w:val="20"/>
          <w:szCs w:val="20"/>
          <w:color w:val="auto"/>
        </w:rPr>
      </w:pPr>
    </w:p>
    <w:p>
      <w:pPr>
        <w:ind w:left="120" w:right="280" w:hanging="4"/>
        <w:spacing w:after="0" w:line="295"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are activated by tumor suppressor gene loss and (ii) the effects of which can be reversed through inhibition with a small molecule as illustrated in Figure 3 below. In the first step, we perform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 using immune cell-mediated cell killing as the readout. This first step allows us to identify tumor suppressor genes linked to immune evasion. For the second step, we repeat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screen in animals with an intact immune system looking for potential drug targets that reverse the immune evasion effects of the tumor suppressor gene deletion.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128270</wp:posOffset>
            </wp:positionV>
            <wp:extent cx="5186045" cy="2202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8604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Figure 3. Discovery of novel drug targets that reverse the immune evasion effects of tumor suppressor gene loss requires two sequential in vivo CRISPR-based screens. In the first screen, a CRISPR library of several hundred known tumor suppressor genes is transfected into a syngeneic mouse tumor model, and tumor growth is measured under conditions of increasing immune pressure. “Hits” from this context discovery screen are tumor suppressor genes that are enriched in tumors that grow well even when exposed to anti-PD1 treatment. In the second screen, a CRISPR library of potential drug targets is introduced in a syngeneic mouse tumor model with and without a deletion of the tumor suppressor gene of interest and genes that when knocked out reverse the immune evasion effect of the known tumor suppressor gene are potential drug targets.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Unmasking Vulnerabilities in Cancer to Deliver the Next Generation of Targeted Therapies</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were founded on the tenet that tumor suppressor gene loss is a largely unmet target discovery and drug development opportunity. Our target discovery engine, leveraging synthetic lethality with state-of-the-art CRISPR screening, is designed to identify novel drug targets for cancer types with specific tumor suppressor gene loss. We are using this approach to discover synthetic lethal drug targets that pair with specific tumor suppressor gene loss in multiple cancer types that have limited treatment options. 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believe our expertise, capabilities, and experience differentiate us from others and will enable the rapid development of impactful new cancer treatments by:</w:t>
      </w:r>
    </w:p>
    <w:p>
      <w:pPr>
        <w:spacing w:after="0" w:line="76"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Defining the genetic context of patient subgroups with specific tumor suppressor gene loss;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Identifying synthetic lethal targets that are selectively active in specific genetic contexts by using cell line and animal models that reflect the patient genomics in our CRISPR-based target discovery platform;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Discovering and optimizing molecules with superior biological and innovative chemical properties;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Selecting patients for clinical trials using the cancer genetic context employed during target discovery as patient selection biomarkers to maximize enrollment of the patients most likely to respond.</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are disciplined about adhering to this four-step approach to discovering novel synthetic lethal targets, rigorously validating them, discovering molecules optimized for potency and selectivity for cancer cells and designing genetically driven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133985</wp:posOffset>
            </wp:positionV>
            <wp:extent cx="3025775" cy="1757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2577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i w:val="1"/>
          <w:iCs w:val="1"/>
          <w:color w:val="auto"/>
        </w:rPr>
        <w:t>Figure 4. By anchoring our target discovery in the cancer genomic profile of patients with high unmet need, we are using our functional genomics platform to systematically identify the optimal synthetic lethal target that addresses the unique genetic weaknesses inherent to the cancer cells. Once the synthetic lethal interaction for the genetic alteration/target pair has been validated using multiple model systems, we then develop innovative and/or differentiated small molecule inhibitors and match the treatment to the right patient using the genetic alteration as the patient-selection biomarker inherent to that cancer type.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 and Drug Discovery</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u w:val="single" w:color="auto"/>
          <w:color w:val="auto"/>
        </w:rPr>
        <w:t>Step 1: Patient genomics.</w:t>
      </w:r>
      <w:r>
        <w:rPr>
          <w:rFonts w:ascii="Arial" w:cs="Arial" w:eastAsia="Arial" w:hAnsi="Arial"/>
          <w:sz w:val="16"/>
          <w:szCs w:val="16"/>
          <w:color w:val="auto"/>
        </w:rPr>
        <w:t xml:space="preserve"> The first step in each target discovery effort is to define the genetic background of the cancer type of interest, which ultimately becomes the patient selection strategy. For this, we prioritize genetic alterations and tumor types with high unmet medical need. We concentrate on target classes that are druggable with small molecules (or antibodies for cell surface targets if they arise), minimizing drug discovery risk present in emerging areas, for example protein degradation or protein:protein interaction disruption, and accelerating preclinical development timelines.</w:t>
      </w:r>
    </w:p>
    <w:p>
      <w:pPr>
        <w:spacing w:after="0" w:line="15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u w:val="single" w:color="auto"/>
          <w:color w:val="auto"/>
        </w:rPr>
        <w:t>Step 2: Synthetic lethal targets.</w:t>
      </w:r>
      <w:r>
        <w:rPr>
          <w:rFonts w:ascii="Arial" w:cs="Arial" w:eastAsia="Arial" w:hAnsi="Arial"/>
          <w:sz w:val="17"/>
          <w:szCs w:val="17"/>
          <w:color w:val="auto"/>
        </w:rPr>
        <w:t xml:space="preserve"> CRISPR is a powerful tool that we use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target discovery and validation. We continue to refine and enhance our capabilities for CRISPR — Cas for gene-editing. In our target discovery screens, we begin with a clinically relevant genetic alteration (tumor suppressor gene loss) that confers defined characteristics, for example, enhanced growth or the ability to avoid immune cell killing causing immune evasion. We then use CRISPR-based gene editing to systematically knock out every gene in a CRISPR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library and, using cell viability as a functional readout, to determine which genes may be a synthetic lethal partner with the original mutation or deletion. Our CRISPR libraries vary in size from 200-300 genes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screening to 5,000 genes for our druggable genome library and 20,000 genes for our whole exome library. Choice of library varies by model system being used and the specific experimental design. Our state-of-the-art CRISPR “toolbox” extends beyond optimized CRISPR-cutting and-mediated knockdown (CRISPRi) systems into sophisticated, optimized combinatorial systems.</w:t>
      </w:r>
    </w:p>
    <w:p>
      <w:pPr>
        <w:spacing w:after="0" w:line="15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 xml:space="preserve">A unique feature of our toolbox is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 screening capability, essential for discovery of immune evasion targets, and a T cell and cancer cell co-culture system that markedly increases the speed and productivity of immune-oncology target discovery and validation. Exploiting our immune evasion platform, we have evaluated approximately 200 tumor suppressor genes for their ability to induce resistance to checkpoint inhibitors when deleted 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syngeneic mouse tumor models with an intact immune system. Once a tumor suppressor gene has been linked to an immune evasion effect, we use CRISPR gene editing tools to generate multiple relevant isogenic tumor models for target discovery. These isogenic models are engineered pairs of cancer cell lines that differ from each other only by the presence or absence of the tumor suppressor gene loss being evaluated. This approach allows us to systematically interrogate potential drug targets for their ability to reverse immune evasion. Our novel undisclosed target (Target 3), a chemically tractable enzyme for reversing immune evasion in STK11-mutant cancers, is an example. This program has the potential to be the first immuno-oncology program for a genetically defined patient population that currently derives minimal benefit from immune checkpoint inhibitor therapy.</w:t>
      </w:r>
    </w:p>
    <w:p>
      <w:pPr>
        <w:spacing w:after="0" w:line="18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We also have identified synthetic lethal targets using our proprietary computational biology platform, Tango Cancer Dependency Map, or TANDEM, which brings deep computing, machine-learning, and statistical power to our target discovery capabilities. TANDEM enables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analyses of public data for both discovery efforts and target validation and allows for strong clinical hypothesis validation. In addition to analyzing our internally derived data, TANDEM integrates carefully curated genetic and genomic data from the massive external databases generated by the Broad Institute, the Sanger Institute, and the U.S. National Cancer Institute (The Cancer Genome Atlas).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Sophisticated Drug Discovery</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u w:val="single" w:color="auto"/>
          <w:color w:val="auto"/>
        </w:rPr>
        <w:t>Step 3: Right molecule.</w:t>
      </w:r>
      <w:r>
        <w:rPr>
          <w:rFonts w:ascii="Arial" w:cs="Arial" w:eastAsia="Arial" w:hAnsi="Arial"/>
          <w:sz w:val="16"/>
          <w:szCs w:val="16"/>
          <w:color w:val="auto"/>
        </w:rPr>
        <w:t xml:space="preserve"> Our genetics and cancer biology expertise is complemented by deep drug discovery expertise incorporating chemistry hit finding, biochemistry, structural biology, chemical biology, computational and medicinal chemistry to identify novel chemical space from large diversity libraries and/or with rational design. We utilize multiple hit-finding approaches for each target to maximize our probability of success and identify the best possible chemical space, including high-throughput biochemical screening of our proprietary 500,000 compound diversity library, as well as other approaches including fragment-based, DNA-encoded library technology, and state-of-the art virtual screenings to identify unique chemical starting points. Of note, our drug discovery accomplishments to date include being the first, we believe, to discover an MTA-cooperative PRMT5 inhibitor, inhibitors for a novel exonuclease, sub-nanomolar inhibitors to a second methyltransferase with a previously unknown role in immune evasion and selective inhibitors for a kinase with a very close structural paralog, any one of which would be a substantive achievement on its own.</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Our novel target discovery engine and drug discovery expertise are rooted in the fundamental knowledge of cancer genetics and driven by the vision of a leadership team with decades of experience and accomplishments in precision oncology. Our team has deep expertise in the necessary scientific disciplines of cell biology, functional genomics, CRISPR technology, computational biology,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using both conventional (CDX) and patient-derived (PDX) xenograft models. Our senior scientists lead the design and execution of experiments in close collaboration with our external partners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modeling, absorption, distribution, metabolism and excretion (ADME), pharmacokinetics and pharmacodynamic analysis (PK/PD), process chemistry, scale-up and toxicology.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target discovery platform generates multiple targets of interest, which we validate and prioritize for drug discovery based on the strength of the synthetic lethal interaction, tractability of the target, unmet medical need and the ability to select patients with a fixed genetic alteration. With this powerful platform, we are growing our drug discovery pipeline with a balance of potential innovative and differentiated discovery programs for multiple common genetically defined cancer subtypes. Based on the evidence that hundreds of context-specific synthetic lethal pairs remain to be discovered, we expect our highly productive target discovery engine to feed our novel drug discovery pipeline for the foreseeable future and underlies our goal of generating one new IND every 12 to 18 months.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u w:val="single" w:color="auto"/>
          <w:color w:val="auto"/>
        </w:rPr>
        <w:t>Step 4: Right patient.</w:t>
      </w:r>
      <w:r>
        <w:rPr>
          <w:rFonts w:ascii="Arial" w:cs="Arial" w:eastAsia="Arial" w:hAnsi="Arial"/>
          <w:sz w:val="17"/>
          <w:szCs w:val="17"/>
          <w:color w:val="auto"/>
        </w:rPr>
        <w:t xml:space="preserve"> All of our clinical trials will focus on selected patient populations that have the genetic alteration (usually tumor suppressor gene loss) that drove target discovery to increase the probability of maximum therapeutic impact. For example, as our lead program PRMT5 inhibitor is synthetic lethal with MTAP deletion, we will select patients with MTAP-deleted tumors using next-generation sequencing, or NGS, or immunohistochemistry, or IHC. As there is the potential to see significant responses across multiple tumor types, we will investigate both histology-specific and histology-agnostic study cohorts, the latter providing a path to tumor agnostic approval if supported by the data. We also will evaluate rare cancer-types where there are no current approved treatments, for example malignant peripheral nerve sheath tumors, or MPNST, that may allow for an expedited orphan drug registration path. Lastly, for immune evasion targets, we will select patients with resistance to checkpoint inhibitors as well as the genetic alteration of interest, for example STK11 mutations for our undisclosed immune evasion target (Target 3), which would bring genetic patient selection to immuno-oncology for the first time.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TNG908</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lead development candidate, TNG908, is a potent and selective oral small molecule inhibitor of PRMT5 that is synthetic lethal with MTAP deletion. We believe this interaction is one of the strongest and most prevalent synthetic lethal interactions in human cancers and represents a subset of synthetic lethality termed collateral lethality. Collateral lethality occurs when a “passenger” gene adjacent to a tumor suppressor gene is lost along with the “driver” gene. In this case, MTAP is the “passenger” and is frequently co-deleted with the “driver” CDKN2A gene (p16). The interaction occurs because MTAP-deleted cells accumulate high levels of the PRMT5 inhibitory co-factor MTA. As a result, PRMT5 is partially inhibited in MTAP-deleted cells, making those cells more sensitive than normal cells to further pharmacological inhibition of PRMT5 activity. We believe this dependency provides the potential for a large therapeutic window for PRMT5 inhibitors in patients with MTAP-deleted tumors, given that normal cells (without MTAP deletion) are largely spared, potentially limiting toxicity and allowing for deep and sustained target inhibition in normal cells.</w:t>
      </w:r>
    </w:p>
    <w:p>
      <w:pPr>
        <w:spacing w:after="0" w:line="16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Taking advantage of this unique interaction between PRMT5 inhibition and MTAP deletion requires a specific mechanism of inhibition called MTA cooperativity. Our lead molecule, TNG908, binds cooperatively with MTA to inhibit PRMT5 function by blocking access to the PRMT5 active site for both protein substrates and the activating PRMT5 co-factor S-adenosyl-L-methionine, or SAM. This MTA-cooperative mechanism of inhibition selectively inhibits PRMT5 in tumor cells that have lost MTAP (MTAP-null) while being relatively inert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normal cells without MTAP deletion (MTAP WT). We believe TNG908 is currently the most advanced MTA-cooperative PRMT5 inhibitor in development and is differentiated from all clinical PRMT5 inhibitors based on this mechanism as illustrated in Figure 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119380</wp:posOffset>
            </wp:positionV>
            <wp:extent cx="4723130" cy="1397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2313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i w:val="1"/>
          <w:iCs w:val="1"/>
          <w:color w:val="auto"/>
        </w:rPr>
        <w:t>Figure 5. MTA-cooperative PRMT5 inhibition is required for synthetic lethality with MTAP. PRMT5 catalyzes the transfer of a methyl group from SAM to protein substrates. All clinical PRMT5 inhibitors function by competing with SAM or protein substrates and are not synthetic lethal with MTAP. TNG908 inhibition of PRMT5 is enhanced by the presence of MTA which is present in marked excess in MTAP-null cells.</w:t>
      </w:r>
    </w:p>
    <w:p>
      <w:pPr>
        <w:spacing w:after="0" w:line="16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We are developing TNG908 for the treatment of patients with solid tumors with MTAP deletion, which occurs in 10% to 15% of all human tumors, including many commonly occurring cancers with high unmet need such as squamous cell lung, esophageal and bladder cancer. In pre-clinical studies, TNG908 has demonstrated 15-fold selectivity for MTAP-null cancer cells over MTAP WT normal cells,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 pharmacokinetics that support its potential to be a leading PRMT5 inhibitor if approved. We anticipate filing an IND application for this program in the fourth quarter of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PRMT5 mechanism of action</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PRMT5 is a protein arginine methyltransferase that modifies multiple proteins involved in essential cellular processes such as RNA splicing, cell cycling, cell death, and metabolic signaling, by adding a methyl group to substrate proteins. The function of many of these proteins is critical for growth and viability of both normal and cancer cells. In preclinical models, PRMT5 inhibition has been shown to cause cancer cell death and suppress tumor growth. PRMT5 inhibitors in clinical development have been shown to cause tumor regressions in some patients, and a complete response in one instance; however, none are selective for MTAP deletion, and all have a narrow therapeutic window that limits the amount of drug that can be administered without cytotoxic effects on bone marrow cells and therefore limits therapeutic efficacy.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MTA-cooperative PRMT5 inhibition as a novel mechanism with synthetic lethality in cancers with MTAP-deletion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PRMT5 methylates target proteins by removing a methyl group from SAM and transferring that methyl group to a specific residue on target proteins.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methyl modification, or “mark”, alters the function of the target protein, thereby regulating the cell processes for which the protein is important.</w:t>
      </w:r>
    </w:p>
    <w:p>
      <w:pPr>
        <w:spacing w:after="0" w:line="23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function of PRMT5 is regulated in several ways, including by the endogenous inhibitor MTA. MTA directly competes with SAM for binding to the active site in PRMT5 but does not have a methyl donor, thus when present inhibits PRMT5 function.</w:t>
      </w:r>
    </w:p>
    <w:p>
      <w:pPr>
        <w:spacing w:after="0" w:line="17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normal, non-cancerous cells, MTA is degraded by the enzyme MTAP. When MTAP is lost in cancer cells intracellular MTA is elevated, but, importantly, MTA is not elevated in adjacent normal cells. TNG908 is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PRMT5 inhibitor that requires a cooperative interaction with MTA to bind to and inhibit PRMT5. As a result, TNG908 selectively kills MTAP-null tumor cells with high MTA levels while sparing normal cells (MTAP-WT).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6.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168910</wp:posOffset>
            </wp:positionV>
            <wp:extent cx="4766310" cy="2040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631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MTAP-deletion frequency in multiple solid tumors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 partial deletion of chromosome 9p21, driven by loss of the tumor suppressor gene CDKN2A, is the most common homozygous deletion in human cancer. MTAP is immediately adjacent to CDKN2A and is lost along with it in 80-90% of tumors, thus MTAP is one of the most commonly deleted genes across all cancer types. Based on The Cancer Genome Atlas, or TCGA, data, there are at least 15 cancer types where MTAP loss occurs in more than 10% of patients, including 10% of non-squamous non-small cell lung cancer, or NSCLC, 20% of squamous NSCLC, 25% of bladder cancer and 30% to 50% of MPNSTs. Given that we believe this is a large and important opportunity for patients with cancer, we have multiple preclinical efforts ongoing to support the development of TNG908, our lead product candidate, clinical combinations therapies, resistance mechanisms and next generation inhibitors that we are designing to be more potent and selective for MTAP deletion.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7. The frequency of MTAP deletion across tumor types as determined from analysis of TCGA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168910</wp:posOffset>
            </wp:positionV>
            <wp:extent cx="4705985" cy="4389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05985" cy="438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Existing PRMT5 Inhibitors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PRMT5 has long been a therapeutic target of interest for cancer given its role in regulating multiple essential cellular functions. Initial efforts to target PRMT5 focused on making inhibitors that compete with or cooperate with SAM, the co-factor and methyl donor which is necessary for PRMT5 to modify its various substrates. Clinical trials of these existing PRMT5 inhibitors have demonstrated some clinical efficacy, supporting the potential for PRMT5 inhibition to have meaningful clinical benefits for patients. However, all existing inhibitors equally suppress PRMT5 in both tumor and normal cells, resulting in a very narrow therapeutic index with similar cytotoxic effects on cancer and normal cells. PRMT5 and SAM are required in every tissue and cell type, and we believe PRMT5 inhibition with a SAM cooperative or competitive approach is likely to have substantial on-target, dose limiting toxicity in normal cells, which limits therapeutic efficacy. Furthermore, a strategy to select patients likely to benefit from these non-selective PRMT5 inhibitors has yet to be elucidated.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459" w:right="5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8. TNG908 has a unique mechanism of action that is distinct from existing PRMT5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168910</wp:posOffset>
            </wp:positionV>
            <wp:extent cx="4560570" cy="1894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6057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differentiated approach with TNG908</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TNG908 is distinct from existing PRMT5 inhibitors because of its mechanism of binding cooperatively with MTA. This mechanism allows TNG908 to inhibit PRMT5 selectively in MTAP-deleted tumor cells with high intracellular MTA levels while preserving normal cells. We believe this mechanism of action should give TNG908 a large therapeutic index when used in patients selected for MTAP-null tumors. While several PRMT5 inhibitors are in clinical development, they are not selective for MTAP-null cancer cells and their ability to inhibit PRMT5 to the level needed to kill cancer cells is reduced by on-target, dose-limiting bone marrow toxicity.</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MTA-cooperative PRMT5 inhibitor discovery effort began with a high-throughput screen of a large chemical diversity library designed to identify small molecules that preferentially inhibit PRMT5 in the presence of MTA. We subsequently solved the crystal structure of PRMT5 with inhibitor bound using novel compounds we designed, enabling routine use of structure-based drug design to facilitate efficient design of novel, increasingly potent and selective MTA-cooperative PRMT5 inhibitors.</w:t>
      </w:r>
    </w:p>
    <w:p>
      <w:pPr>
        <w:spacing w:after="0" w:line="18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We compared the potency and selectivity of our development candidate TNG908 and the clinical PRMT5 inhibitor, GSK3326595, in a panel of 162 cancer cell lines representing non-small cell lung cancer, bladder cancer, pancreatic cancer, cancers of the central nervous system, leukemia and lymphoma. TNG908 demonstrated significant MTAP-selective inhibition of viability, while GSK3326595 showed no selectivity for MTAP-null cell lines over MTAP-WT.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Figure 9. TNG908 inhibits viability selectively in MTAP-null cancer cell lines. Cellular viability was determined in a panel of 162 cancer cell lines treated for seven days with either TNG908 or GSK3326595. Cell lines are color-coded by MTAP-status as indicated, and the maximal viability effect (% Amax) is plotted on the y-axis.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142875</wp:posOffset>
            </wp:positionV>
            <wp:extent cx="5160645" cy="19030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606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Further validation of our approach to selectively target MTAP-null cancer cells was achieved </w:t>
      </w:r>
      <w:r>
        <w:rPr>
          <w:rFonts w:ascii="Arial" w:cs="Arial" w:eastAsia="Arial" w:hAnsi="Arial"/>
          <w:sz w:val="18"/>
          <w:szCs w:val="18"/>
          <w:i w:val="1"/>
          <w:iCs w:val="1"/>
          <w:color w:val="auto"/>
        </w:rPr>
        <w:t>in vivo</w:t>
      </w:r>
      <w:r>
        <w:rPr>
          <w:rFonts w:ascii="Arial" w:cs="Arial" w:eastAsia="Arial" w:hAnsi="Arial"/>
          <w:sz w:val="18"/>
          <w:szCs w:val="18"/>
          <w:color w:val="auto"/>
        </w:rPr>
        <w:t>. Xenograft models differing only in MTAP status (MTAP-WT or MTAP-null) were treated TNG908. PRMT5 symmetrically di-methylates specific arginine residues, or SDMA, of its substrate proteins, a modification that can be detected by specific antibodies and a direct measurement of PRMT5 activity that can be quantified by intracellular SDMA-modified protein levels.</w:t>
      </w:r>
    </w:p>
    <w:p>
      <w:pPr>
        <w:spacing w:after="0" w:line="18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Consistent with the inhibitory effects of MTA accumulation caused by MTAP-deletion, PRMT5 activity was reduced in MTAP-null tumors at baseline relative to MTAP-WT tumors. When tumor-bearing mice were dosed with TNG908, &gt;90% PRMT5 inhibition was observed in the MTAP-null tumors while PRMT5 inhibition in MTAP-WT tumors remained above the threshold for lethality.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i w:val="1"/>
          <w:iCs w:val="1"/>
          <w:color w:val="auto"/>
        </w:rPr>
        <w:t>Figure 10. TNG908 selectively inhibits PRMT5 in MTAP-null cancer in vivo. HCT116 MTAP-isogenic xenograft models were generated by deleting endogenous MTAP to create an MTAP-null cell line. Tumor-bearing mice were dosed with TNG908 or vehicle at the indicated dose levels. SDMA-modified protein levels were determined by immunoblot analysis on tumors harvested eight hours after the 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130810</wp:posOffset>
            </wp:positionV>
            <wp:extent cx="3763010" cy="2905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6301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TNG908 was discovered with high-throughput screening of over 500,000 compounds using a biochemical assay designed to identify MTA-cooperative inhibitors. The discovery of TNG908, an MTA-cooperative inhibitor, was achieved through a structure-guided optimization, with over 150 x-ray crystal structures generated and good physicochemical properties prioritized during this effort.</w:t>
      </w:r>
    </w:p>
    <w:p>
      <w:pPr>
        <w:spacing w:after="0" w:line="184"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TNG908 is highly selective for PRMT5 against a panel of 38 methyltransferases at 10 µM, showing that TNG908 does not affect other biological processes regulated by this family of enzymes at concentrations well above the predicted clinical efficacious dose. TNG908 has excellent drug-</w:t>
      </w:r>
    </w:p>
    <w:p>
      <w:pPr>
        <w:ind w:left="120" w:right="100"/>
        <w:spacing w:after="0" w:line="277" w:lineRule="auto"/>
        <w:rPr>
          <w:sz w:val="20"/>
          <w:szCs w:val="20"/>
          <w:color w:val="auto"/>
        </w:rPr>
      </w:pPr>
      <w:r>
        <w:rPr>
          <w:rFonts w:ascii="Arial" w:cs="Arial" w:eastAsia="Arial" w:hAnsi="Arial"/>
          <w:sz w:val="17"/>
          <w:szCs w:val="17"/>
          <w:color w:val="auto"/>
        </w:rPr>
        <w:t>like properties and is easily formulated in standard conditions for oral dosing in preclinical and clinical studies. Pharmacokinetic properties of TNG908 indicate high passive permeability with moderate clearance and bioavailability in preclinical species. Allometric scaling was performed to predict human pharmacokinetics and resulted in an estimated effective human dose of 500 mg twice-daily (BID).</w:t>
      </w:r>
    </w:p>
    <w:p>
      <w:pPr>
        <w:spacing w:after="0" w:line="173"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determine the cellular potency and selectivity of TNG908 in MTAP-null tumors, we developed assays using engineered isogenic cancer cell lines that differ only by the presence or absence of MTAP. To determine pharmacodynamic potency and selectivity, a HAP1 MTAP-isogenic cell line pair was treated with TNG908 for 24 hours and PRMT5 activity was measured by SDMA quantification. TNG908 inhibits PRMT5 in the MTAP-null HAP1 cell line with an IC50 of 5 nM, with marked selectivity over the MTAP-WT cell line. See representative data in Figure 11 below.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11. PRMT5 inhibition by TNG908 is dose-dependent and MTAP-selective</w:t>
      </w:r>
      <w:r>
        <w:rPr>
          <w:rFonts w:ascii="Arial" w:cs="Arial" w:eastAsia="Arial" w:hAnsi="Arial"/>
          <w:sz w:val="18"/>
          <w:szCs w:val="18"/>
          <w:color w:val="auto"/>
        </w:rPr>
        <w:t>.</w:t>
      </w:r>
    </w:p>
    <w:p>
      <w:pPr>
        <w:spacing w:after="0" w:line="23"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i w:val="1"/>
          <w:iCs w:val="1"/>
          <w:color w:val="auto"/>
        </w:rPr>
        <w:t>In vitro in-cell western data demonstrating dose-dependent reduction of SDMA levels after 24 hours of TNG908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143510</wp:posOffset>
            </wp:positionV>
            <wp:extent cx="3874770" cy="26657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477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For comparison, PRMT5 inhibitors that are currently in clinical development, and are not MTA-cooperative, have not demonstrated MTAP-selective PRMT5 inhibition, as summarized in the table below. These data show that TNG908 is MTAP-selective, and that its activity is on-target.</w:t>
      </w:r>
    </w:p>
    <w:p>
      <w:pPr>
        <w:spacing w:after="0" w:line="12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i w:val="1"/>
          <w:iCs w:val="1"/>
          <w:color w:val="auto"/>
        </w:rPr>
        <w:t>Figure 12. TNG908 is differentiated from clinical PRMT5 inhibitors in its ability to inhibit PRMT5 selectively in MTAP-null cells. Average IC50s from in vitro SDMA in-cell western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134620</wp:posOffset>
            </wp:positionV>
            <wp:extent cx="2863215" cy="1825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6321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PRMT5 activity is required for cellular viability, likely due to its role as a regulator of transcriptional activity, cell cycle control, spliceosome assembly and other essential cellular processes. As TNG908 potently inhibited PRMT5 in an MTAP-selective manner, we investigated whether TNG908 also inhibits viability in an MTAP-selective manner. In MTAP-isogenic cell lines representing three different cancer lineages (HAP1 (chronic myelogenous leukemia), LN18 (glioblastoma) and SW1573 (lung carcinoma)), TNG908 potently inhibits cellular viability in MTAP-null cell lines with approximately 15X selectivity over MTAP-WT cell lines.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i w:val="1"/>
          <w:iCs w:val="1"/>
          <w:color w:val="auto"/>
        </w:rPr>
        <w:t>Figure 13. Inhibition of cellular viability by TNG908 is dose-dependent and MTAP-selective In vitro assay demonstrating dose-dependent cellular viability effects following seven days of compound treatment in HAP1 (CML), LN18 (GBM) and SW1573 (NSCLC)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104775</wp:posOffset>
            </wp:positionV>
            <wp:extent cx="5186045" cy="1208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860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Though the GSK3326595, JNJ-64619178 and Prelude compounds inhibit cellular viability consistent with their inhibition of PRMT5, none have been shown to selectively target MTAP-null cells.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Table 14. TNG908 is differentiated from clinical PRMT5 inhibitors in ability to selectively inhibit viability in MTAP-null cells. Average IC50s from in vitro cellular viability assay with HAP1 MTAP-isogenic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134620</wp:posOffset>
            </wp:positionV>
            <wp:extent cx="4526280" cy="2280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262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TNG908 also demonstrates dose-dependent PRMT5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 MTAP-null xenograft model. LN18 tumor-bearing mice were treated with TNG908 at 3, 10, 30 or 60 mg/kg BID for ten days. Plasma concentrations of TNG908 increased with dose, and tumoral SDMA-modified protein levels decreased in a dose-dependent manner.</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9"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i w:val="1"/>
          <w:iCs w:val="1"/>
          <w:color w:val="auto"/>
        </w:rPr>
        <w:t xml:space="preserve">Figure 15. PRMT5 inhibition with TNG908 is dose-dependent </w:t>
      </w:r>
      <w:r>
        <w:rPr>
          <w:rFonts w:ascii="Arial" w:cs="Arial" w:eastAsia="Arial" w:hAnsi="Arial"/>
          <w:sz w:val="18"/>
          <w:szCs w:val="18"/>
          <w:color w:val="auto"/>
        </w:rPr>
        <w:t>in vivo</w:t>
      </w:r>
      <w:r>
        <w:rPr>
          <w:rFonts w:ascii="Arial" w:cs="Arial" w:eastAsia="Arial" w:hAnsi="Arial"/>
          <w:sz w:val="18"/>
          <w:szCs w:val="18"/>
          <w:i w:val="1"/>
          <w:iCs w:val="1"/>
          <w:color w:val="auto"/>
        </w:rPr>
        <w:t>. LN18 (MTAP-null) tumor-bearing mice were dosed with TNG908 at 3, 10, 30, or 60 mg/kg BID for ten days. Tumors were harvested at the time points indicated, and the levels of a single SDMA-modified protein were determined by immunoblot. Tumors from the 3 mg/kg group were not harvested at 16 hours post-last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142875</wp:posOffset>
            </wp:positionV>
            <wp:extent cx="3591560" cy="1945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9156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 xml:space="preserve">Consistent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findings, TNG908 demonstrated significant and dose-dependent antitumor activity in the LN18 MTAP-null xenograft model (data not shown). Regressions of -65%, -55% and -56% were demonstrated in additional MTAP-null xenografts including models representing a diffuse large B-cell lymphoma cell line (OCI-Ly19), a glioblastoma cell line (U87MG), and a patient-derived cholangiocarcinoma xenograft,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16. TNG908 demonstrates strong antitumor activity with regressions in MTAP-null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920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17. TNG908 demonstrates strong, MTAP-selective antitumor activity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525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8604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TNG908 was evaluated in an engineered MTAP-null xenograft model, HCT116, a colon cancer cell line. Marked activity was observed at 90 mg/kg BID (Figure 16 above). In comparison, TNG908 had minimal effect on the HCT116 MTAP WT xenografts. Together with PK/PD data, these data demonstrate that TNG908 inhibition of PRMT5 suppresses tumor growth in an on-target and MTAP-selective manner.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Planned clinical trials</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Upon completion of our ongoing preclinical studies and formulation work to optimize pharmacokinetics and the therapeutic index, we have designed our Phase 1/2 first-in-human trial to evaluate the oral administration of TNG908 monotherapy in patients with MTAP-null tumors (See Figure 17 below). Our planned indications reflect the unmet medical need for new therapies in prevalent histologies, including both squamous and non-squamous non-small cell lung cancer and bladder cancer as well as indications where there are limited treatment options with no standard of care, including cholangiocarcinoma and MPNST. As TNG908 is designed to selectively work in cancers with MTAP loss, we intend to limit enrollment to patients with MTAP-deleted tumors using either NGS or IHC.</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dose escalation phase will evaluate safety and dosing regimen in patients with locally advanced or metastatic cancer of any histology with an MTAP deletion. Following determination of the recommended dose, we will evaluate the efficacy of TNG908 in multiple separate expansion arms including NSCLC (squamous and non-squamous), bladder cancer, cholangiocarcinoma and MPNST. In parallel, we will enroll an MTAP-null, histology agnostic “bucket arm” to provide optionality for a registration strategy in all tumors regardless of histology if broad-based activity is observed. Given that MTAP deletion occurs in 10% to 15% of human tumors, we plan to expand into other indications based on activity observed in the histology-agnostic cohort. We anticipate filing an IND in the fourth quarter of 2021 and initiating the Phase 1/2 clinical trial of TNG908 in the first half of 2022. We expect to report preliminary safety and efficacy data for TNG908 monotherapy in the first half of 2023. This program is excluded from the Gilead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18. 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168910</wp:posOffset>
            </wp:positionV>
            <wp:extent cx="3943350" cy="23914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4335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Next-generation PRMT5 Inhibitors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have next-generation PRMT5 inhibitor compounds in preclinical development that use the same mechanism of action as TNG908 but may be more potent and appear to be at least as selective and more efficacious in our xenograft models to date. We believe additional potency may allow stronger target inhibition and thus clinical efficacy and additional selectivity for MTAP-null cells may provide a wider therapeutic index. Development timelines for these compounds are approximately 12 months behind TNG908.</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have a set of these next-generation compounds in various stages of development with increased potency, selectivity and therapeutic index. We intend to continue to advance and evaluate these compounds through preclinical testing. An exemplar of these next-generation compound potently inhibits PRMT5 in an MTAP-selective manner (data not shown) and leads to stronger tumor regression in a LN18 (glioblastoma) MTAP-null xenograft model.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19. Next-generation PRMT5 inhibitor exemplar data demonstrates strong tumor regression in the LN18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168910</wp:posOffset>
            </wp:positionV>
            <wp:extent cx="4637405" cy="2057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3740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We believe our next-generation compounds have the potential to be more effective than our lead PRMT5 inhibitor, TNG908. If additional preclinical evaluation of our next-generation compounds supports this hypothesis, we may elect to promote a next-generation compound as our lead PRMT5 inhibitor, which would result in a delay to our development timeline of approximately 12 months.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early development programs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USP1</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Using our CRISPR-based target discovery platform, we discovered USP1 as a strong synthetic lethal target for BRCA1, but not BRCA2, loss reflected in Figure 20 below. This discovery has since been independently reported and published by several other groups. We are developing a potent, potentially differentiated molecule targeting BRCA1-mutant breast, ovarian, and prostate cancer with plans to file an IND in 2022. USP1 inhibitor has the potential to treat a patient population that is comparable in size to approximately half of the PARP inhibitor market (BRCA1 and BRCA2). BRCA1 mutation is present in approximately 15% of ovarian cancer, 5% of breast cancer, and 1% of prostate cancer.</w:t>
      </w:r>
    </w:p>
    <w:p>
      <w:pPr>
        <w:spacing w:after="0" w:line="2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Figure 20. Volcano plot shows analysis of CRISPR screens performed in a panel of BRCA1 WT vs. mut cell lines where knockout of USP1 using multiple independent single strand guide RNAs (sgRNAs) leads to selective killing of BRCA1 mutant tumor cells. The clinically proven PARP-BRCA interaction was also identified in this screen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142875</wp:posOffset>
            </wp:positionV>
            <wp:extent cx="2477135" cy="2280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771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USP1 is a deubiquitinating enzyme that facilitates DNA damage response, or DDR, repair. Our preclinical pharmacology studies show that USP1 tool inhibitor halt the proliferation of cancer cell lines with BRCA1 mutations, as well as a subset of non-small cell lung cancer cell lines that do not have BRCA1 mutations. We are currently conducting experiments to define patient selection markers for these BRCA1 WT cell lines.</w:t>
      </w:r>
    </w:p>
    <w:p>
      <w:pPr>
        <w:spacing w:after="0" w:line="14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Our lead series demonstrate nanomolar potency against USP1, as measured by cytotoxicity in BRCA1 mutant cells, and upregulation of mono-ubiquitinated PCNA. 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our USP1 inhibitors exhibit potent anti-tumor activity in MDA-MB-436 xenograft model (BRCA1 mutant breast cancer cell line).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21. Tango lead series USP1 inhibitor demonstrates selective viability effect and target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168910</wp:posOffset>
            </wp:positionV>
            <wp:extent cx="5023485" cy="20148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2348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(Left) In vitro assay demonstrating cellular viability effects in exemplar BRCA1 mutant but not WT cell line following ten days of compound treatment. (Right) In vitro assay demonstrating dose dependent increase in monoubiquitinated PCNA, a USP1 substrate, in BRCA1 mutant cell line following 24 hours of treatment.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22. Lead series USP1 inhibitor demonstrates anti-tumor activity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168910</wp:posOffset>
            </wp:positionV>
            <wp:extent cx="3223260" cy="2117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2326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DDR pathways regulated by USP1 are not currently targeted by any clinical stage compounds. Moreover, we performed genome-wide CRISPR-Cas9 screens in the presence and absence of our USP1 inhibitor tool compounds and confirmed that USP1 inhibition has a differentiated and novel mechanism of action relative to other DDR-based inhibitors, including PARP inhibitors. We expect this molecule to have both single agent activity in PARPi-naïve and most PARPi-resistant BRCA1 mutant cancers and to synergize with PARP inhibitors. Additional patient selection markers are being evaluated in BRCA1 WT populations with or without homologous recombination deficiency, particularly in a subset of non-small cell lung cancer cell lines sensitive to USP1 inhibition. This program is excluded from the Gilead Agreement.</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320" w:top="459" w:right="5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23. USP1 inhibition sensitizes PARP inhibitor in BRCA1 mutant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186045" cy="17487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604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i w:val="1"/>
          <w:iCs w:val="1"/>
          <w:color w:val="auto"/>
        </w:rPr>
        <w:t>In vitro assay demonstrating cellular viability effects in SUM149PT BRCA1-isogenic cell lines following seven days of olaparib treatment, in the presence and absence of USP1 inhibitor.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Reversing Immune Evasion in lung cancer with STK11 loss-of-function</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screens in mouse syngeneic tumor models, we identified serine-threonine kinase 11 (STK11) loss-of-function mutations, a genetic alteration in approximately 20% of non-small cell lung cancer, as a tumor suppressor gene that when inactivated confers resistance to the efficacy of PD-1 immune checkpoint inhibitors. STK11 loss-of-function mutations trigger complex changes in both cancer cell signaling and in the broader tumor microenvironment. Retrospective analysis of human clinical data by Dr. Ferdinandos Skoulidis, Dr. John Heymach and others (MD Anderson Cancer Center) subsequently identified STK11 as a marker for the lack of durable clinical benefit to pembrolizumab + chemotherapy in non-small cell lung cancer patients, demonstrating that STK11 loss-of-function in lung cancer correlates with primary resistance to anti-PD-1 therapy.</w:t>
      </w:r>
    </w:p>
    <w:p>
      <w:pPr>
        <w:spacing w:after="0" w:line="16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have generated genetically engineered mouse tumor models that consistently recapitulate the immunosuppressive microenvironment caused by genetic STK11 loss-of-function mutations and have conducted several target discovery screens using these same models. We now have strong genetic and pharmacologic validation showing reprogramming of the tumor microenvironment and strong sensitization to anti-PD1 therapy in a STK11-mutant dependent manner.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24: Pharmacologic target validation in STK11 mutant MC38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168910</wp:posOffset>
            </wp:positionV>
            <wp:extent cx="3463290" cy="1928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6329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i w:val="1"/>
          <w:iCs w:val="1"/>
          <w:color w:val="auto"/>
        </w:rPr>
        <w:t>A Target 3 inhibitor tool compound validates the genetic interaction with STK11 in vivo. Mice were treated with the Target 3 inhibitor for 18 days after tumor implantation either alone or in combination with anti-PD1 therapy. Treatment was stopped at day 18, and all surviving animals on study were sacrificed at day 24. Nine out of ten mice in the Target 3i + PD1 combination arm had no detectable tumor at endpoint.</w:t>
      </w:r>
    </w:p>
    <w:p>
      <w:pPr>
        <w:spacing w:after="0" w:line="165"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Clinically, loss-of-function mutations in the tumor suppressor gene STK11 are strongly associated with immune checkpoint inhibitor resistance. We have generated clinically relevant mouse models of STK11-mutant cancers and used these models to discover novel targets to reverse the immune evasion effect of this genetic alteration, summarized in Figure 24 above. In these models, treatment with tool compounds against this target are highly synergistic combined with anti-PD1 therapy. In this experiment, mice were treated for 18 days after tumor implantation, treatment was stopped at day 18, animals were sacrificed at day 24, and nine out of ten mice were found to have no detectable tumor at that time.</w:t>
      </w:r>
    </w:p>
    <w:p>
      <w:pPr>
        <w:spacing w:after="0" w:line="16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anticipate advancing a clinical candidate targeting this undisclosed immune evasion target (Target 3) into IND-enabling studies in the second half of 2022. The clinical development plan for this program in STK11-mutant lung cancer will combine the power of genetic patient selection for immunotherapy with a novel approach to reversing tumor-intrinsic immune evasion. This program is excluded from the Gilead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Agreement with Gilead Sciences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August 2020, we entered into an amended and restated research collaboration and license agreement, which we refer to as the Gilead Agreement, with Gilead. The Gilead Agreement expanded our 2018 collaboration with Gilead, or the 2018 Gilead Agreement. Pursuant to the Gilead Agreement we will use our proprietary functional genomics-based discovery platform to identify and develop novel immune evasion targets during a seven-year period,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Gilead’s patents, in each case covering such product in such country or (ii) ten years after the first commercial sale of such product in such country. For those products that we opt to co-develop and co-promote in the United States, we and Gilead will equally split profits and losses from the sales of such products in the United States, as well as development costs for such products attributable to the United States. For such products, we will remain eligible to receive certain of the $410.0 million per program milestone payments related to clinical and regulatory milestones as well as commercial milestones and royalties in the first decile on net sales outside the United States.</w:t>
      </w:r>
    </w:p>
    <w:p>
      <w:pPr>
        <w:spacing w:after="0" w:line="18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Either party may terminate the Gilead Agreement if the other party materially breaches the terms of such agreement, subject to specified notice and cure provisions, or enters into bankruptcy or insolvency proceedings.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date, Gilead has licensed two of our programs and has research-extended two programs under the Gilead agreements.</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collaboration with Gilead excludes our lead programs, PRMT5, USP1 and the undisclosed target for development in STK11-mutant lung cancer.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 with Medivir AB</w:t>
      </w:r>
    </w:p>
    <w:p>
      <w:pPr>
        <w:spacing w:after="0" w:line="121" w:lineRule="exact"/>
        <w:rPr>
          <w:sz w:val="20"/>
          <w:szCs w:val="20"/>
          <w:color w:val="auto"/>
        </w:rPr>
      </w:pPr>
    </w:p>
    <w:p>
      <w:pPr>
        <w:ind w:left="120" w:right="680"/>
        <w:spacing w:after="0" w:line="263" w:lineRule="auto"/>
        <w:rPr>
          <w:sz w:val="20"/>
          <w:szCs w:val="20"/>
          <w:color w:val="auto"/>
        </w:rPr>
      </w:pPr>
      <w:r>
        <w:rPr>
          <w:rFonts w:ascii="Arial" w:cs="Arial" w:eastAsia="Arial" w:hAnsi="Arial"/>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Under the terms of the Medivir Agreement, we are obligated to pay Medivir in connection with development, regulatory and commercial activities. We have agreed to make certain milestone payments of (i)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(ii) $0.7 million in the aggregate if that first licensed product achieves specified clinical milestones plus</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19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Payments in respect of net sales or sublicense in a country shall remain in force on a product-by-product, country-by-country basis, with respect to products that are not covered by a licensed patent or certain of our patents, for ten years from the date of first commercial sale in such country, and products that are covered by a licensed patent or certain of our patents, until the expiration date of the last to expire of the licensed patents covering such product or its manufacture or use in the applicable country. No milestones have been achieved to date.</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Medivir Agreement expires on the date of expiration of all royalty obligations. Either party may terminate the Medivir Agreement earlier upon an uncured material breach of the other party.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 party Contract Development and Manufacturing Organizations, or CDMOs for the manufacturing, packaging, labeling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2" w:lineRule="auto"/>
        <w:rPr>
          <w:sz w:val="20"/>
          <w:szCs w:val="20"/>
          <w:color w:val="auto"/>
        </w:rPr>
      </w:pPr>
      <w:r>
        <w:rPr>
          <w:rFonts w:ascii="Arial" w:cs="Arial" w:eastAsia="Arial" w:hAnsi="Arial"/>
          <w:sz w:val="17"/>
          <w:szCs w:val="17"/>
          <w:color w:val="auto"/>
        </w:rPr>
        <w:t>distribution of our investigational products for preclinical and clinical testing, as well as for commercial manufacturing if any of our investigational products obtain marketing approval. A team of internal experts and consultants oversees activities at contracted CDMOs ensuring our investigational products are being manufactured under current good manufacturing practices, or cGMP. At present, we have signed manufacturing and supply agreements for drug substance and drug product to support the first-in-human study of our PRMT5 development candidate TNG908. The contracted CDMOs have the capacity to support registrational studies and commercial supplies, in addition to the first-in-human study. We plan to continue to expand and diversify our supply chain by identifying and contracting other CDMOs with the capacity and expertise to support TNG908 and other investigational products in our pipeline.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target discovery technology platform and on know-how, continuing technological innovation and</w:t>
      </w:r>
    </w:p>
    <w:p>
      <w:pPr>
        <w:jc w:val="both"/>
        <w:ind w:left="120" w:right="160"/>
        <w:spacing w:after="0" w:line="255" w:lineRule="auto"/>
        <w:rPr>
          <w:sz w:val="20"/>
          <w:szCs w:val="20"/>
          <w:color w:val="auto"/>
        </w:rPr>
      </w:pPr>
      <w:r>
        <w:rPr>
          <w:rFonts w:ascii="Arial" w:cs="Arial" w:eastAsia="Arial" w:hAnsi="Arial"/>
          <w:sz w:val="18"/>
          <w:szCs w:val="18"/>
          <w:color w:val="auto"/>
        </w:rPr>
        <w:t>in-licensing opportunities to develop, strengthen and maintain our proprietary position in the field of precision oncology that may be important for the development of our business. We additionally may rely on regulatory protection afforded through data exclusivity, market exclusivity and patent term extensions, where available.</w:t>
      </w:r>
    </w:p>
    <w:p>
      <w:pPr>
        <w:spacing w:after="0" w:line="190"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6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Patent expiration dates noted in the following paragraphs refer to statutory expiration dates and do not take into account any potential patent term adjustment or extension that may be available.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PRMT5 inhibitors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exclusively own three patent families directed to selective, synthetic lethal, small molecule inhibitors of PRMT5 and methods for using the inhibitors in the treatment of MTAP-deleted cancers. One family discloses and claims first generation small molecule PRMT5 inhibitors and methods of treating MTAP-deleted cancers using the compounds. One U.S. patent application has been allowed in this family and will expire in 2039. A second family is directed to second-generation small molecule PRMT5 inhibitors and methods of treating MTAP-deleted cancers using the compounds. A Patent Cooperation Treaty application is pending in this family, with a national phase entry date in April 2022. If granted, patents in this family would have an expiration date in 2040. A third family covers third-generation selective, synthetic lethal, small molecule inhibitors of PRMT5 and methods of treating MTAP-deleted cancers using the compounds. This family discloses the first product candidate in the PRMT5 program, TNG908. A U.S. provisional patent application is pending. Any future patents granted in this family would have an expiration date in 2041.</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USP1 inhibitors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own four patent families directed to several chemical classes of small molecule inhibitors of USP1 and to methods for treating cancers, including BRCA1-mutant breast, ovarian and prostate cancers using said inhibitors. U.S. provisional patent applications are pending in each of the four families. If granted, patents in each of the four families would expire in 2042. Two of the families are exclusively owned by us, and the remaining two are jointly owned by us and Medivir AB and exclusively licensed to us under a license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United States, the FDA regulates drug products under the Federal Food, Drug, and Cosmetic Act, or FD&amp;C Act, its implementing regulations, and other federal, state and local statutes and regulations. Drugs are also subject to other federal, state and local statutes and regulations.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65"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29" w:lineRule="exact"/>
        <w:rPr>
          <w:sz w:val="20"/>
          <w:szCs w:val="20"/>
          <w:color w:val="auto"/>
        </w:rPr>
      </w:pPr>
    </w:p>
    <w:p>
      <w:pPr>
        <w:ind w:left="1080" w:right="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and when certain changes are made;</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0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satisfactory completion of FDA audit of the clinical trial sites that generated the data in support of the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 and clinical trials for drugs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Before testing any drug in humans, the product candidate must undergo rigorous preclinical testing. Preclinical studies include laboratory evaluations of product chemistry, formulation and stability,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An IND is a request for authorization from the FDA to administer an investigational product to humans and must be granted and become effective before clinical trials may begin. The central focus of an IND submission is on the general investigational plan and the protocol(s) for clinical studies. The IND also includes the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any safety concerns or deficiencies articulated by FDA are corrected.</w:t>
      </w:r>
    </w:p>
    <w:p>
      <w:pPr>
        <w:spacing w:after="0" w:line="18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t>
      </w:r>
      <w:r>
        <w:rPr>
          <w:rFonts w:ascii="Arial" w:cs="Arial" w:eastAsia="Arial" w:hAnsi="Arial"/>
          <w:sz w:val="17"/>
          <w:szCs w:val="17"/>
          <w:i w:val="1"/>
          <w:iCs w:val="1"/>
          <w:color w:val="auto"/>
        </w:rPr>
        <w:t>www.ClinicalTrials.gov</w:t>
      </w:r>
      <w:r>
        <w:rPr>
          <w:rFonts w:ascii="Arial" w:cs="Arial" w:eastAsia="Arial" w:hAnsi="Arial"/>
          <w:sz w:val="17"/>
          <w:szCs w:val="17"/>
          <w:color w:val="auto"/>
        </w:rPr>
        <w:t>, a clinical trials database maintained by the National Institutes of Health.</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GCP/ICH requirements, and the FDA is able to validate the data through independent analysis and an onsite inspection if deemed necessary.</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Clinical trials to evaluate therapeutic indications to support NDAs for marketing approval are typically conducted in three sequential phases, which may overlap.</w:t>
      </w:r>
    </w:p>
    <w:p>
      <w:pPr>
        <w:spacing w:after="0" w:line="76" w:lineRule="exact"/>
        <w:rPr>
          <w:sz w:val="20"/>
          <w:szCs w:val="20"/>
          <w:color w:val="auto"/>
        </w:rPr>
      </w:pPr>
    </w:p>
    <w:p>
      <w:pPr>
        <w:ind w:left="1080" w:right="340" w:hanging="424"/>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 a limited population of healthy human</w:t>
      </w:r>
      <w:r>
        <w:rPr>
          <w:rFonts w:ascii="Arial" w:cs="Arial" w:eastAsia="Arial" w:hAnsi="Arial"/>
          <w:sz w:val="18"/>
          <w:szCs w:val="18"/>
          <w:i w:val="1"/>
          <w:iCs w:val="1"/>
          <w:color w:val="auto"/>
        </w:rPr>
        <w:t xml:space="preserve"> </w:t>
      </w:r>
      <w:r>
        <w:rPr>
          <w:rFonts w:ascii="Arial" w:cs="Arial" w:eastAsia="Arial" w:hAnsi="Arial"/>
          <w:sz w:val="18"/>
          <w:szCs w:val="18"/>
          <w:color w:val="auto"/>
        </w:rPr>
        <w:t>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92"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disease or condition to evaluate the drug’s potential efficacy, to determine the optimal dosages and dosing schedule and to identify possible adverse side effects and safety risks.</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August 2018, the FDA released a draft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7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 xml:space="preserve">Progress reports detailing the results of the clinical trials, among other information, must be submitted at least annually to the FDA. Written IND safety reports must be submitted to the FDA and the investigators 15 days after the trial sponsor determines the information qualifies for reporting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and finalize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marketing approval for drugs</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6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w:t>
      </w:r>
    </w:p>
    <w:p>
      <w:pPr>
        <w:ind w:left="120"/>
        <w:spacing w:after="0" w:line="252" w:lineRule="auto"/>
        <w:rPr>
          <w:sz w:val="20"/>
          <w:szCs w:val="20"/>
          <w:color w:val="auto"/>
        </w:rPr>
      </w:pPr>
      <w:r>
        <w:rPr>
          <w:rFonts w:ascii="Arial" w:cs="Arial" w:eastAsia="Arial" w:hAnsi="Arial"/>
          <w:sz w:val="18"/>
          <w:szCs w:val="18"/>
          <w:color w:val="auto"/>
        </w:rPr>
        <w:t>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initial review of a new molecular entity NDA and respond to the applicant, and 6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7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6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 for drugs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w:t>
      </w:r>
    </w:p>
    <w:p>
      <w:pPr>
        <w:spacing w:after="0" w:line="176"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Accelerated Approval is usually contingent on a sponsor’s agreement to conduct, in a diligent manner, adequate and well-controlled additional post-approval confirmatory studies to verify and describe the product’s clinical benefit. The FDA may withdraw approval of a drug or an indication approved under Accelerated Approval if,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example, the confirmatory trial fails to verify the predicted clinical benefit of the product. In addition, the FDA generally requires, as a condition for Accelerated Approval,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82"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post-approval requirements for drugs</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obtain reimbursement under federal health care programs. Promotional materials for approved drugs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 party manufacturers that a sponsor may use.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17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3"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or other communications containing warnings or other safety information about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product approvals;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PMA.</w:t>
      </w:r>
    </w:p>
    <w:p>
      <w:pPr>
        <w:spacing w:after="0" w:line="19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12 months from the date the application is completed, but can take significantly longer.</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200"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 xml:space="preserve">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98" w:lineRule="exact"/>
        <w:rPr>
          <w:sz w:val="20"/>
          <w:szCs w:val="20"/>
          <w:color w:val="auto"/>
        </w:rPr>
      </w:pPr>
    </w:p>
    <w:p>
      <w:pPr>
        <w:ind w:left="1080" w:right="60" w:hanging="424"/>
        <w:spacing w:after="0" w:line="288"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73" w:lineRule="exact"/>
        <w:rPr>
          <w:rFonts w:ascii="Arial" w:cs="Arial" w:eastAsia="Arial" w:hAnsi="Arial"/>
          <w:sz w:val="16"/>
          <w:szCs w:val="16"/>
          <w:color w:val="auto"/>
        </w:rPr>
      </w:pPr>
    </w:p>
    <w:p>
      <w:pPr>
        <w:ind w:left="1080" w:right="120" w:hanging="424"/>
        <w:spacing w:after="0" w:line="255"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w:t>
      </w:r>
    </w:p>
    <w:p>
      <w:pPr>
        <w:spacing w:after="0" w:line="97"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97" w:lineRule="exact"/>
        <w:rPr>
          <w:rFonts w:ascii="Arial" w:cs="Arial" w:eastAsia="Arial" w:hAnsi="Arial"/>
          <w:sz w:val="18"/>
          <w:szCs w:val="18"/>
          <w:color w:val="auto"/>
        </w:rPr>
      </w:pPr>
    </w:p>
    <w:p>
      <w:pPr>
        <w:ind w:left="1080" w:right="40" w:hanging="424"/>
        <w:spacing w:after="0" w:line="272"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82" w:lineRule="exact"/>
        <w:rPr>
          <w:rFonts w:ascii="Arial" w:cs="Arial" w:eastAsia="Arial" w:hAnsi="Arial"/>
          <w:sz w:val="17"/>
          <w:szCs w:val="17"/>
          <w:color w:val="auto"/>
        </w:rPr>
      </w:pPr>
    </w:p>
    <w:p>
      <w:pPr>
        <w:ind w:left="1080" w:right="40" w:hanging="424"/>
        <w:spacing w:after="0" w:line="29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71" w:lineRule="exact"/>
        <w:rPr>
          <w:rFonts w:ascii="Arial" w:cs="Arial" w:eastAsia="Arial" w:hAnsi="Arial"/>
          <w:sz w:val="16"/>
          <w:szCs w:val="16"/>
          <w:color w:val="auto"/>
        </w:rPr>
      </w:pPr>
    </w:p>
    <w:p>
      <w:pPr>
        <w:ind w:left="1080" w:right="5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66"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 Coverage and Reimbursement</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6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93" w:lineRule="exact"/>
        <w:rPr>
          <w:sz w:val="20"/>
          <w:szCs w:val="20"/>
          <w:color w:val="auto"/>
        </w:rPr>
      </w:pPr>
    </w:p>
    <w:p>
      <w:pPr>
        <w:ind w:left="1080" w:right="68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29" w:lineRule="exact"/>
        <w:rPr>
          <w:rFonts w:ascii="Arial" w:cs="Arial" w:eastAsia="Arial" w:hAnsi="Arial"/>
          <w:sz w:val="16"/>
          <w:szCs w:val="16"/>
          <w:color w:val="auto"/>
        </w:rPr>
      </w:pPr>
    </w:p>
    <w:p>
      <w:pPr>
        <w:ind w:left="1080" w:right="2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89"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The implementation of the ACA is ongoing, the law appears likely to continue the downward pressure on pharmaceutical pricing, especially under the Medicare program, and may also increase our regulatory burdens and operating costs. Litigation and legislation related to the ACA may continue, with unpredictable and uncertain results.</w:t>
      </w:r>
    </w:p>
    <w:p>
      <w:pPr>
        <w:spacing w:after="0" w:line="18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For example, in August 2011, the Budget Control Act of 2011, among other things, included aggregate reductions of Medicare payments to providers of 2% per fiscal year, which went into effect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April 2013 and, due to subsequent legislative amendments to the statute, will remain in effect through 2030 unless additional Congressional action is taken. The CARES Act, which was signed into law in March 2020 and is designed to provide financial support and resources to individuals and businesses affected by the COVID-19 pandemic, suspended these reductions from May 1, 2020 through December 31, 2020.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including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former Trump administration’s budget proposal for fiscal year 2021 included a $135 billion allowance to support legislative proposals seeking to reduce drug prices, increase competition, lower out-of-pocket drug costs for patients, and increase patient access to lower-</w:t>
      </w:r>
    </w:p>
    <w:p>
      <w:pPr>
        <w:spacing w:after="0" w:line="2"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implemented certain measures.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7"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Compliance with other federal and state laws or requirements; changing legal requirements</w:t>
      </w:r>
    </w:p>
    <w:p>
      <w:pPr>
        <w:spacing w:after="0" w:line="11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left="120" w:right="60" w:hanging="4"/>
        <w:spacing w:after="0" w:line="255"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United States environmental, health and safety laws and regulations</w:t>
      </w:r>
    </w:p>
    <w:p>
      <w:pPr>
        <w:spacing w:after="0" w:line="11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 of drugs outside of the United States</w:t>
      </w:r>
    </w:p>
    <w:p>
      <w:pPr>
        <w:spacing w:after="0" w:line="11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For instance, in the United Kingdom and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93" w:lineRule="exact"/>
        <w:rPr>
          <w:sz w:val="20"/>
          <w:szCs w:val="20"/>
          <w:color w:val="auto"/>
        </w:rPr>
      </w:pPr>
    </w:p>
    <w:p>
      <w:pPr>
        <w:ind w:left="1080" w:hanging="424"/>
        <w:spacing w:after="0" w:line="284"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 The centralized procedure provides for the grant of a single marketing authorization by the European</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National authorization procedures </w:t>
      </w:r>
      <w:r>
        <w:rPr>
          <w:rFonts w:ascii="Arial" w:cs="Arial" w:eastAsia="Arial" w:hAnsi="Arial"/>
          <w:sz w:val="18"/>
          <w:szCs w:val="18"/>
          <w:color w:val="auto"/>
        </w:rPr>
        <w:t>— There are also two other possible routes to authorize products for therapeutic indications in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which are available for products that fall outside the scope of the centralized procedure:</w:t>
      </w:r>
    </w:p>
    <w:p>
      <w:pPr>
        <w:spacing w:after="0" w:line="75"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 Using the decentralized procedure, an applicant may apply for simultaneous authorization in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one EEA Member State for a medicinal product that has not yet been authorized in any EEA Member State and that does not fall within the mandatory scope of the centralized procedure.</w:t>
      </w:r>
    </w:p>
    <w:p>
      <w:pPr>
        <w:spacing w:after="0" w:line="89" w:lineRule="exact"/>
        <w:rPr>
          <w:rFonts w:ascii="Arial" w:cs="Arial" w:eastAsia="Arial" w:hAnsi="Arial"/>
          <w:sz w:val="18"/>
          <w:szCs w:val="18"/>
          <w:color w:val="auto"/>
        </w:rPr>
      </w:pPr>
    </w:p>
    <w:p>
      <w:pPr>
        <w:ind w:left="1540" w:right="80" w:hanging="331"/>
        <w:spacing w:after="0" w:line="259"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 In the mutual recognition procedure, a medicine is first authorized in one EEA Member State,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70" w:lineRule="exact"/>
        <w:rPr>
          <w:sz w:val="20"/>
          <w:szCs w:val="20"/>
          <w:color w:val="auto"/>
        </w:rPr>
      </w:pPr>
    </w:p>
    <w:p>
      <w:pPr>
        <w:ind w:left="120" w:right="200"/>
        <w:spacing w:after="0" w:line="284" w:lineRule="auto"/>
        <w:rPr>
          <w:sz w:val="20"/>
          <w:szCs w:val="20"/>
          <w:color w:val="auto"/>
        </w:rPr>
      </w:pPr>
      <w:r>
        <w:rPr>
          <w:rFonts w:ascii="Arial" w:cs="Arial" w:eastAsia="Arial" w:hAnsi="Arial"/>
          <w:sz w:val="16"/>
          <w:szCs w:val="16"/>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 prevents a successful generic or biosimilar applicant from commercializing its product in the EEA until ten years have elapsed from the initial authorization of the reference product in the European Union. The overall</w:t>
      </w:r>
    </w:p>
    <w:p>
      <w:pPr>
        <w:spacing w:after="0" w:line="4"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(i) the second applicant can establish that its product, although similar, is safer, more effective or otherwise clinically superior than the authorized product; (ii) the marketing authorization holder of the authorized product consents to a second orphan medicinal product application; or (iii) the marketing authorization holder of the authorized product cannot supply enough orphan medicinal product. An orphan product can also obtain an additional two years of market exclusivity in the European Union for pediatric studies. The ten-year market exclusivity may be reduced to six years if, at the end of the fifth year, it is established that the product no longer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meets the criteria for orphan designation, for example, if the product is sufficiently profitable not to justify maintenance of market exclusivity. The application for orphan drug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Similar to the United States, the various phases of non-clinical and clinical research in the European Union are subject to significant regulatory controls.</w:t>
      </w:r>
    </w:p>
    <w:p>
      <w:pPr>
        <w:spacing w:after="0" w:line="24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Directive 2001/20/EC, Directive 2005/28/EC, and the provisions of the individual EU Member States’ legislation implementing the Clinical Trials Directive. Under the current regime (the EU Clinical Trials Directive 2001/20/EC and corresponding national laws) all suspected unexpected serious adverse reactions to the investigated drug that occur during the clinical trial have to be reported to the NCA and ECs of the Member State where they occurred.</w:t>
      </w:r>
    </w:p>
    <w:p>
      <w:pPr>
        <w:spacing w:after="0" w:line="18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April 2014, the new Clinical Trials Regulation, (EU) No 536/2014 (Clinical Trials Regulation) was adopted. It is expected that the new Clinical Trials Regulation (EU) No 536/2014 will apply following confirmation of full functionality of the Clinical Trials Information System (CTIS), the centralized European Union portal and database for clinical trials foreseen by the regulation, through an independent audit. The regulation becomes applicable</w:t>
      </w:r>
    </w:p>
    <w:p>
      <w:pPr>
        <w:spacing w:after="0" w:line="2"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six months after the European Commission publishes notice of this confirmation. The Clinical Trials Regulation will be directly applicable in all the EU Member States, repealing the current Clinical Trials Directive 2001/20/EC. Conduct of all clinical trials performed in the European Union will continue to be bound by the Clinical Trials Directive and the Member States’ national implementing legislation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 The new Clinical Trials Regulation aims to simplify and streamline the approval of clinical trials in the European Union.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 of data collection outside of the United States</w:t>
      </w:r>
    </w:p>
    <w:p>
      <w:pPr>
        <w:spacing w:after="0" w:line="117"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Further, the United Kingdom’s decision to leave the European Union, means that it has in force its own legislation which is aligned with the GDPR, known as the Data Protection Act 2018. The requirements are similar except that the United Kingdom is now regarded as a “third country” for the purposes of transfers of personal data from the EEA. Transfers continue to flow freely from the United Kingdom to the EEA; however, as part of the agreement between the United Kingdom and the European Union, the United Kingdom intends to obtain an adequacy decision from the European Commission to ensure personal data can continue to flow freely from the European Union to the United Kingdom.</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Data protection authority activity differs across the European Union,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8"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Should we utilize third party distributors, compliance with such foreign governmental regulations would generally be the responsibility of such distributors, who may be independent contractors over whom we have limited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face direct competition from pharmaceutical and biotechnology companies leveraging the principle of synthetic lethality as well as companies developing therapies for the same target pathway. Well- established companies that are developing or may develop therapies based on synthetic lethality include AstraZeneca, GlaxoSmithKline, Bristol Myers Squibb, Merck KGaA and Pfizer. Smaller and earlier-stage companies focused on synthetic lethality include Artios Pharma, Cyteir Therapeutics, KSQ Therapeutics, Ideaya Biosciences, MetaboMed, Mirati Therapeutics and Repare Therapeutics.</w:t>
      </w:r>
    </w:p>
    <w:p>
      <w:pPr>
        <w:spacing w:after="0" w:line="188" w:lineRule="exact"/>
        <w:rPr>
          <w:sz w:val="20"/>
          <w:szCs w:val="20"/>
          <w:color w:val="auto"/>
        </w:rPr>
      </w:pPr>
    </w:p>
    <w:p>
      <w:pPr>
        <w:ind w:left="120" w:right="740"/>
        <w:spacing w:after="0" w:line="263" w:lineRule="auto"/>
        <w:rPr>
          <w:sz w:val="20"/>
          <w:szCs w:val="20"/>
          <w:color w:val="auto"/>
        </w:rPr>
      </w:pPr>
      <w:r>
        <w:rPr>
          <w:rFonts w:ascii="Arial" w:cs="Arial" w:eastAsia="Arial" w:hAnsi="Arial"/>
          <w:sz w:val="18"/>
          <w:szCs w:val="18"/>
          <w:color w:val="auto"/>
        </w:rPr>
        <w:t>Related to our PRMT5 inhibitor program, TNG908, we face direct competition from companies that have advanced preclinical-stage, MTA-cooperative PRMT5 inhibitors that are selective for MTAP-deleted cancers. We are aware that Mirati Therapeutics, Inc. has a preclinical MTA-cooperative PRMT5 inhibitor program, using the same mechanism of action as TNG908.</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Indirect competition may come from non-MTAP deletion selective PRMT5 programs or MAT2A inhibitor programs that are uniquely different than the TNG908 mechanism of action. Several non-MTAP deletion selective PRMT5 inhibitors are in clinical development, including GlaxoSmithKline (GSK3326595), Prelude Therapeutics (PRT543 and PRT811), Johnson &amp; Johnson (JNJ 64619178) and Pfizer (PF 06939999). These PRMT5 inhibitors are not selective for MTAP deletions, do not have a patient selection strategy based on MTAP deletion and we believe TNG908 may have a wider therapeutic window than these non-selective competitor candidates. MAT2A is an enzyme upstream of PRMT5 essential for the metabolism of the PRMT5 co-factor SAM that acts on the same pathway as TNG908. Agios Pharmaceuticals (AG-0270) and Ideaya Biosciences (IDE397) are the two companies we are aware of competing in the MAT2A space. Agios announced the divestment of their oncology portfolio to Servier Pharmaceuticals, including the MAT2A program in December 2020.</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Competition for our preclinical USP1 inhibitor program comes from KSQ Therapeutics, which has a USP1 program in preclinical development.</w:t>
      </w:r>
    </w:p>
    <w:p>
      <w:pPr>
        <w:spacing w:after="0" w:line="23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of August 31, 2021, we had 86 full-time employees, of which 42 have M.D. or Ph.D. degrees. Within our workforce, 69 employees are engaged in research and development and 17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4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Our corporate headquarters is located in Cambridge, Massachusetts, where we lease and occupy approximately 22,383 square feet of office and laboratory space. The term of our lease expires on June 30, 2026, with an option to extend for one additional three-year period.</w:t>
      </w:r>
    </w:p>
    <w:p>
      <w:pPr>
        <w:spacing w:after="0" w:line="124"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40"/>
          </w:cols>
          <w:pgMar w:left="320" w:top="459" w:right="6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entitled “Unaudited Pro Forma Condensed Combined Financial Information” and our financial statements and notes thereto included elsewhere in this prospectus. Certain of the information contained in this discussion and analysis or set forth elsewhere in this prospectus, including information with respect to plans and strategy for our business, includes forward-looking statements that involve risks and uncertainties. As a result of many factors, including those factors set forth in the section entitled “Risk Factors,” our actual results could differ materially from the results described in or implied by the forward-looking statements contained in the following discussion and analysis. You should carefully read the section entitled “Risk Factors” to gain an understanding of the material and other risks that could cause actual results to differ materially from our forward-looking statements. Please also see the section entitled “Cautionary Note Regarding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6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Our lead program, TNG908, a protein arginine methyl transferase 5, or PRMT5, inhibitor that is synthetic lethal with MTAP deletion, is being developed as a treatment for cancers with MTAP deletions, which occur in 10% to 15% of all human cancers. In preclinical studies, TNG908 demonstrated 15-fold greater potency in cells with MTAP deletions than those without. We plan to file an IND application for TNG908 in the fourth quarter of 2021 and initiate a Phase 1/2 clinical trial in the first half of 2022. We are also developing a ubiquitin-specific protease 1 (USP1) inhibitor that is synthetic lethal with BRCA1 mutations, which are present in approximately 15% of ovarian cancer, 5% of breast cancers, and 1% of prostate cancers.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preclinical data demonstrated potent anti-tumor activity. We plan to file an IND in 2022 and expect this molecule to have both single</w:t>
      </w:r>
      <w:r>
        <w:rPr>
          <w:rFonts w:ascii="Arial" w:cs="Arial" w:eastAsia="Arial" w:hAnsi="Arial"/>
          <w:sz w:val="17"/>
          <w:szCs w:val="17"/>
          <w:i w:val="1"/>
          <w:iCs w:val="1"/>
          <w:color w:val="auto"/>
        </w:rPr>
        <w:t xml:space="preserve"> </w:t>
      </w:r>
      <w:r>
        <w:rPr>
          <w:rFonts w:ascii="Arial" w:cs="Arial" w:eastAsia="Arial" w:hAnsi="Arial"/>
          <w:sz w:val="17"/>
          <w:szCs w:val="17"/>
          <w:color w:val="auto"/>
        </w:rPr>
        <w:t>agent activity in PARPi-naïve and PARPi-resistant BRCA1 mutant cancers and to synergize with PARP inhibitors. Our third program, an undisclosed synthetic lethal target (Target 3), reverses the immune evasion effect of serine-threonine kinase 11 (STK11) loss-of-function mutations, which are present in approximately 20% of non-small cell lung cancers. We plan to file an IND for this program in 2023.</w:t>
      </w:r>
    </w:p>
    <w:p>
      <w:pPr>
        <w:spacing w:after="0" w:line="18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August 10, 2021, we completed a business combination transaction with BCTG Acquisition Corp., or BCTG, in which BCTG acquired 100% of our issued and outstanding equity securities in exchange for $550.0 million worth of consideration in the form of BCTG common stock, or the Business Combination. See “</w:t>
      </w:r>
      <w:r>
        <w:rPr>
          <w:rFonts w:ascii="Arial" w:cs="Arial" w:eastAsia="Arial" w:hAnsi="Arial"/>
          <w:sz w:val="18"/>
          <w:szCs w:val="18"/>
          <w:i w:val="1"/>
          <w:iCs w:val="1"/>
          <w:color w:val="auto"/>
        </w:rPr>
        <w:t>— Business Combination</w:t>
      </w:r>
      <w:r>
        <w:rPr>
          <w:rFonts w:ascii="Arial" w:cs="Arial" w:eastAsia="Arial" w:hAnsi="Arial"/>
          <w:sz w:val="18"/>
          <w:szCs w:val="18"/>
          <w:color w:val="auto"/>
        </w:rPr>
        <w:t>” below for additional information.</w:t>
      </w:r>
    </w:p>
    <w:p>
      <w:pPr>
        <w:spacing w:after="0" w:line="1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Since our inception, we have focused primarily on organizing and staffing our company, business planning, raising capital, discovering product candidates, securing related intellectual property, and conducting research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and development activities for our programs. Since our inception, we have funded our operations primarily through equity financings and from the proceeds received from our collaboration agreement with Gilead Sciences, Inc., or Gilead. Since inception we have raised an aggregate of approximately $166.9 million of gross proceeds from the sale of preferred shares, approximately $352.9 million in gross proceeds through the closing of the Business Combination and PIPE Financing transactions and another $202.1 million through our collaboration with Gilead.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inception, we have incurred significant operating losses. For the years ended December 31, 2020 and 2019, and the six months ended June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our net losses were $52.0 million, $14.1 million and $16.6 million, respectively. We had an accumulated deficit of $119.7 million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$103.1 million as of June 30, 2021 and December 31, 2020, respectively. We expect to continue to incur significant and increasing expenses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losses for the foreseeable future, as we advance our product candidates through preclinical and clinical development and seek regulatory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approvals, manufacture drug product and drug supply, maintain and expand our intellectual property portfolio, as well as hire additional personnel, pay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accounting, audit, legal, regulatory and consulting services, and pay costs associated with maintaining compliance with Nasdaq listing rules and the</w:t>
      </w:r>
    </w:p>
    <w:p>
      <w:pPr>
        <w:spacing w:after="0" w:line="3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requirements of the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Response to COVID-19</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In response to the ongoing global COVID-19 pandemic, including any novel variants such as the “Delta variant,” we established a cross-functional task force and have implemented business continuity plans designed to address and mitigate the impact of the COVID-19 pandemic on our employees and our business. Our operations are considered an essential business and we have been allowed to continue operating under current governmental restrictions during this period. We have taken measures to secure our research and development activities, while work in laboratories and facilities has been organized to reduce risk of COVID-19 transmission.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CMOs and other third parties with whom we do business, as well as its impact on regulatory authorities and our key scientific and management personnel. While we are experiencing limited financial and operational impacts at this time, given the global economic slowdown, the overall disruption of global healthcare systems and the other risks and uncertainties associated with the pandemic, our business, financial condition and results of operations ultimately could be materially adversely affected. We continue to closely monitor the COVID-19 pandemic as we evolve our business continuity plans, clinical development plans and response strategy.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On April 13, 2021, we executed a definitive merger agreement with BCTG and BCTG Merger Sub memorializing the terms of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accounting principles generally accepted in the United States, or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our stockholders have a majority of the voting power of the combined company, we comprise all of the ongoing operations of the combined entity, we comprise a majority of the governing body of the combined company, and our senior management comprise all of the senior management of the combined company. In connection with the Business Combination, BCTG was renamed Tango Therapeutics, Inc.</w:t>
      </w:r>
    </w:p>
    <w:p>
      <w:pPr>
        <w:spacing w:after="0" w:line="16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received gross proceeds of $166.8 million upon the closing of the Business Combination. Upon the closing of the Business Combination, the PIPE Investors purchased an aggregate of 18,610,000 shares of our common stock at a price of $10.00 per share, which resulted in gross proceeds of an additional $186.1 million upon the closing of the PIPE Financing. Total transaction costs and redemptions approximated $27.3 million, resulting in total net proceeds of $325.6 million.</w:t>
      </w:r>
    </w:p>
    <w:p>
      <w:pPr>
        <w:spacing w:after="0" w:line="187"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effective time of the Business Combination, each option to purchase Old Tango common stock became an option to purchase shares of New Tango common stock, subject to adjustment in accordance with the exchange ratio. Completion of the PIPE Financing and merger transaction were subject to approval of BCTG stockholders and the satisfaction or waiver of certain other customary closing conditions, all of which were satisfied or waived prior to closing on August 10,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17"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December 2020, Gilead elected to extend a program for an additional $12.0 million fee which was added to our estimate of the transaction price to total $187.0 million. Certain portions of the payment related to this research extension remained outstanding at June 30, 2021, however, we determined that achievement of the entire research extension fee was probable and that a significant reversal in the amount of cumulative revenue recognized would not occur.</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April 2021, Gilead licensed a program for an $11.0 million fee. The $11.0 million license fee was received in May 2021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As of June 30, 2021, $37.8 million has been recognized as collaboration revenue related to the upfront and research extension payments from the agreement with Gilead.</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During the six months ended June 30, 2021 and 2020, we recognized $20.7 million and $13.8 million, respectively, of revenue associated with the Gilead Agreements based on performance completed during each period.</w:t>
      </w:r>
    </w:p>
    <w:p>
      <w:pPr>
        <w:spacing w:after="0" w:line="17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Refer to Note 2 and Note 3 to our unaudited condensed consolidated financial statements and related notes and our audited consolidated financial statements and related notes appearing in elsewhere in this prospectus for additional information regarding our revenue recognition accounting policy and our collaboration agreement with Gilead.</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September 2021, Gilead elected to extend a program for a research extension fee of $12.0 million. Consideration pertaining to the research extension is paid to us in equal quarterly installment payments over an agreed upon payment schedule.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80" w:right="5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as well as consultants that conduct our preclinical studies and development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TNG908 direct program expenses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USP1 direct program 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3,489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4,594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Discovery direct program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11,368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13,365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12,937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Facilities and other related 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34,079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21,951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49,991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91" w:lineRule="exact"/>
        <w:rPr>
          <w:sz w:val="20"/>
          <w:szCs w:val="20"/>
          <w:color w:val="auto"/>
        </w:rPr>
      </w:pPr>
    </w:p>
    <w:p>
      <w:pPr>
        <w:ind w:left="1080" w:right="4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8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Interest income consists of income earned in connection with our investments in money market funds, U.S. Treasury bills and U.S. government agency bonds.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net consists of miscellaneous income and expense unrelated to our core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benefit from (provision for) income tax consists of an estimate for U.S. federal and state income taxes based on enacted rates, as adjusted for allowable credits, deductions, uncertain tax positions, changes in deferred tax</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assets and liabilities and changes in tax law. We have recorded an insignificant amount of income tax provision or benefit for the six months ended June 30, 2021. There is no provision for income taxes for the six months ended June 30, 2020 and for the years ended December 31, 2020 and 2019 because we have historically incurred net operating losses and maintain a full valuation allowance against our deferred tax assets.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w w:val="94"/>
              </w:rPr>
              <w:t>Six Months Ended June 30,</w:t>
            </w:r>
          </w:p>
        </w:tc>
        <w:tc>
          <w:tcPr>
            <w:tcW w:w="260" w:type="dxa"/>
            <w:vAlign w:val="bottom"/>
          </w:tcPr>
          <w:p>
            <w:pPr>
              <w:spacing w:after="0"/>
              <w:rPr>
                <w:sz w:val="14"/>
                <w:szCs w:val="14"/>
                <w:color w:val="auto"/>
              </w:rPr>
            </w:pPr>
          </w:p>
        </w:tc>
        <w:tc>
          <w:tcPr>
            <w:tcW w:w="78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261"/>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License revenue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10,331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14,764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(16,637)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w w:val="98"/>
              </w:rPr>
              <w:t>(16,507)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5"/>
              </w:rPr>
              <w:t>(16,546)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(16,306)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5"/>
              </w:rPr>
              <w:t>(16,599)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(16,306)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(16,614</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(16,305</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Collaboration revenue was $13.5 million and $9.1 million for the six months ended June 30, 2021 and 2020, respectively, which was derived from the Gilead collaboration. The increase of $4.4 million is primarily due to incremental costs incurred under the Gilead Agreement during the six months ended June 30, 2021 as compared to the six months ended June 30, 2020 as well as an increase in the total transaction price allocated to the combined performance obligation under the Gilead Agreement during the second half of 2020, which resulted in greater revenue recognized during the first half of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Collaboration revenue was $11.0 million and $0.7 million for the six months ended June 30, 2021 and 2020, respectively, which was derived from the Gilead collaboration. The increase of $10.3 million is primarily due to the incremental revenue recognized during the six months ended June 30, 2021 from Gilead licensing a program for an $11.0 million fee as compared to residual 2019 Gilead Letter Agreement revenue of $0.7 million recognized during the six months ended June 30, 2020.</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Research and development expense was $34.1 million for the six months ended June 30, 2021 compared to $22.0 million for the six months ended June 30, 2020. The increase of $12.1 million was primarily due to a $9.1 million increase in external CRO expenses and lab supplies primarily relating to our lead product candidate, TNG908, and the advancement of our other drug discovery programs. Additionally, personnel-related costs increased $2.3 million primarily due to additional headcount to support our research and development activities as well as a $0.8 million increase in IT spend, consulting and professional fees.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General and administrative expense was $7.1 million for the six months ended June 30, 2021 compared to $4.3 million for the six months ended June 30, 2020. The increase of $2.8 million was primarily due to a $1.6 million increase in personnel-related costs due to additional headcount and a $0.9 million increase in consulting and professional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Interest income was $0.2 million for the six months ended June 30, 2021 compared to $0.1 million for the six months ended June 30, 2020. Interest income was not significant for the six month periods primarily due to low interest rates in each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Other expense, net was $0.1 million for the six months ended June 30, 2021 compared to other income, net of $0.1 million for the six months ended June 30, 2020. Other (expense) income was not significant for both the six months ended June 30, 2021 and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Provision for income taxes was less than $0.1 million for the six months ended June 30, 2021 compared to $0 for the six months ended June 30, 2020. The increase of less than $0.1 million is primarily attributable to taxable deferred revenue partially offset by the utilization of federal and state net operating losses and federal and state tax credits.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Pr>
          <w:p>
            <w:pPr>
              <w:spacing w:after="0"/>
              <w:rPr>
                <w:sz w:val="14"/>
                <w:szCs w:val="14"/>
                <w:color w:val="auto"/>
              </w:rPr>
            </w:pPr>
          </w:p>
        </w:tc>
        <w:tc>
          <w:tcPr>
            <w:tcW w:w="78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ind w:right="161"/>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(16,993)</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Loss from operations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(52,200)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w w:val="92"/>
              </w:rPr>
              <w:t>(15,162)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2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(51,972)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(14,095)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(37,877)</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(51,965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(14,078</w:t>
            </w:r>
          </w:p>
        </w:tc>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(37,887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20" w:type="dxa"/>
            <w:vAlign w:val="bottom"/>
          </w:tcPr>
          <w:p>
            <w:pPr>
              <w:jc w:val="right"/>
              <w:ind w:right="129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9" w:right="5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Collaboration revenue was $7.7 million and $24.7 million for the years ended December 31, 2020 and 2019, respectively, which was derived from the Gilead collaboration. The decrease of $17.0 million was due to the majority of the obligations under the license and letter agreement being substantially completed in 2019, which resulted in greater revenue recognized in 2019. Additionally, a cumulative catch-up adjustment was recorded during 2020 due to executing the Gilead Agreement resulting in a reduction of $11.3 million of revenue.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expense was $50.0 million for the year ended December 31, 2020 compared to $32.3 million for the year ended</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December 31, 2019. The increase of $17.7 million was primarily due to a $13.7 million increase in external CRO expenses primarily relating to our lead product candidate, TNG908, and the advancement of our other drug discovery programs. Additionally, personnel-related costs increased $3.6 million primarily due to additional headcount to support our research and development activities as well as a $0.5 million increase in consulting and professional fees.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General and administrative expense was $9.9 million for the year ended December 31, 2020 compared to $7.5 million for the year ended December 31, 2019. The increase of $2.3 million was primarily due to a $1.0 million increase in personnel-related costs due to additional headcount and a $1.2 million increase in consulting and professional service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Interest income was $0.1 million for the year ended December 31, 2020 compared to $0.7 million for the year ended December 31, 2019. The decrease of $0.6 million was primarily due to a decline in interest rates in 2020 as compared to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Other income, net was $0.1 million for the year ended December 31, 2020 compared to $0.4 million for the year ended December 31, 2019. Other income was not significant for both the years ended December 31, 2020 and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preferred stock and from the proceeds received from our collaboration with Gilead. We received gross proceeds of $352.9 million upon the closing of the Business Combination and PIPE Financing in August 2021. Prior to the Business Combination we raised an aggregate of approximately</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$166.9 million of gross proceeds from the sale of our preferred stock and another $202.1 million through our collaboration. As of June 30, 2021, we had cash, cash equivalents and marketable securities of $198.4 million, not inclusive of the $325.6 million in net proceeds received upon the closing of the Business Combination and PIPE Financing.</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believe that the gross proceeds of approximately $352.9 million from the Business Combination and the PIPE Financing, together with our existing cash, cash equivalents and marketable securities on hand as of June 30, 2021 of $198.4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we expect to incur additional costs associated with operating as a public company. 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98"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TNG908;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and future earlier-stage programs;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and license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EMA and other regulatory authorities;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collaborations;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TNG908 and any future product candidates for which we receive marketing approval;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a combination of equity offerings, debt financings, collaborations and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each of the six month periods presented: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221"/>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(21,131)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(23,123)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w w:val="87"/>
              </w:rPr>
              <w:t>13,987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(16,507)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30,494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29,665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29,859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22,521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cash used in operating activities was $21.1 million for the six months ended June 30, 2021 compared to net cash used in operating activities of $23.1 million for the six months ended June 30, 2020. Our net loss drove our net cash used in operating activities. The largest non-cash items reconciling included in our net loss were stock based compensation expense of $2.1 million for the six months ended June 30, 2021 and $0.8 million for the six months ended June 30, 2020. The decrease in net cash used in operations was primarily due to higher non-cash expenses, including stock-based compensation and depreciation.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Net cash provided by investing activities was $14.0 million for the six months ended June 30, 2021 compared to net cash used in investing activities of $16.5 million for the six months ended June 30, 2020. The increase in cash provided by investing activities was primarily due to increased sales and maturities of marketable securities partially offset by purchases of marketable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Net cash provided by financing activities was $29.7 million for the six months ended June 30, 2021 compared to net cash provided by financing activities of $29.9 million for the six months ended June 30, 2020. The net cash provided by financing activities in both periods related to net proceeds from the issuance of shares of redeemable convertible Series B preferred stock, which occurred in April 2020 and March 2021, respectively. The decrease in net proceeds provided by financing activities was primarily due to merger related transaction expenses incurred in 2021, partially offset by greater proceeds from the exercising of stock options.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721"/>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47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70,074</w:t>
            </w: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1"/>
              <w:spacing w:after="0"/>
              <w:rPr>
                <w:sz w:val="20"/>
                <w:szCs w:val="20"/>
                <w:color w:val="auto"/>
              </w:rPr>
            </w:pPr>
            <w:r>
              <w:rPr>
                <w:rFonts w:ascii="Arial" w:cs="Arial" w:eastAsia="Arial" w:hAnsi="Arial"/>
                <w:sz w:val="18"/>
                <w:szCs w:val="18"/>
                <w:color w:val="auto"/>
              </w:rPr>
              <w:t>$(24,803)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88"/>
              </w:rPr>
              <w:t>(145,466)</w:t>
            </w:r>
          </w:p>
        </w:tc>
        <w:tc>
          <w:tcPr>
            <w:tcW w:w="1520" w:type="dxa"/>
            <w:vAlign w:val="bottom"/>
            <w:gridSpan w:val="3"/>
          </w:tcPr>
          <w:p>
            <w:pPr>
              <w:jc w:val="right"/>
              <w:ind w:right="521"/>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(146,314)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80,884</w:t>
            </w: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1"/>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69,884</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(12,955</w:t>
            </w:r>
          </w:p>
        </w:tc>
        <w:tc>
          <w:tcPr>
            <w:tcW w:w="600" w:type="dxa"/>
            <w:vAlign w:val="bottom"/>
          </w:tcPr>
          <w:p>
            <w:pPr>
              <w:jc w:val="right"/>
              <w:ind w:right="46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Net cash provided by operating activities was $70.1 million for the year ended December 31, 2020 compared to net cash used in operating activities of $24.8 million for the year ended December 31, 2019. The increase in net cash provided by operations was primarily due to a net increase in operating liabilities driven by a $125.0 million non-refundable upfront payment received from Gilead that was recorded as deferred revenue in 2020. It was also due to higher non-cash expenses, including stock-based compensation and depreciation, partially offset by our net loss as a result of higher operating expenses, primarily related to TNG908 and our other discovery programs.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Net cash used in investing activities was $145.5 million for the year ended December 31, 2020 compared to net cash provided by investing activities of $0.8 million for the year ended December 31, 2019. The increase in cash used in investing activities was primarily due to increased purchases of marketable securities and was partially offset by an increase in sales and maturities of marketable securities, as well as a reduction in purchases of property and equipment.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Net cash provided by financing activities was $80.9 million for the year ended December 31, 2020, consisting of net proceeds from the issuance of shares of redeemable convertible Series B preferred stock in April 2020 and net proceeds from the issuance of shares of redeemable convertible Series B-1 preferred stock in August 2020. Net cash provided by financing activities was $11.0 million for the year ended December 31, 2019, consisting of net proceeds from the issuance of shares of redeemable convertible Series A preferred stock in January 2019 upon the achievement of specified development milestones in connection with the third tranche of the Series A stock purchase agreement.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2020 and the effects that such obligations are expected to have on our liquidity and cash flows in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0"/>
                <w:szCs w:val="10"/>
                <w:color w:val="auto"/>
              </w:rPr>
            </w:pPr>
          </w:p>
        </w:tc>
        <w:tc>
          <w:tcPr>
            <w:tcW w:w="7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280" w:type="dxa"/>
            <w:vAlign w:val="bottom"/>
          </w:tcPr>
          <w:p>
            <w:pPr>
              <w:spacing w:after="0"/>
              <w:rPr>
                <w:sz w:val="10"/>
                <w:szCs w:val="10"/>
                <w:color w:val="auto"/>
              </w:rPr>
            </w:pPr>
          </w:p>
        </w:tc>
        <w:tc>
          <w:tcPr>
            <w:tcW w:w="8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1 –</w:t>
            </w:r>
          </w:p>
        </w:tc>
        <w:tc>
          <w:tcPr>
            <w:tcW w:w="6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3 –</w:t>
            </w:r>
          </w:p>
        </w:tc>
        <w:tc>
          <w:tcPr>
            <w:tcW w:w="20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1 Year</w:t>
            </w:r>
          </w:p>
        </w:tc>
        <w:tc>
          <w:tcPr>
            <w:tcW w:w="2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10,795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11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3,839</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4,074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10,795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3,839</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4,074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December 31, 2020. The table does not include the minimum payments due under our new operating lease for office and laboratory space at the 201 Brookline Avenue, Cambridge, Massachusetts location, as this lease is yet to commence as of December 31, 2020. Commitments pertaining to the 201 Brookline Avenue lease will be added to the table above, and also recognized as operating lease liabilities on our balance sheet once the new lease commences. The fixed annual rent payable under the lease is $5.1 million, increasing by 3% annually from the rent commencement date. We will also be required to pay the remaining security deposit balance of $1.7 million for the 201 Brookline Avenue lease on the delivery date notice, which is expected to occur in the second half of 2021.</w:t>
      </w:r>
    </w:p>
    <w:p>
      <w:pPr>
        <w:spacing w:after="0" w:line="1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June 30, 2021, our remaining obligations associated with the operating lease for office and laboratory space at our 100 Binney Street, Cambridge, Massachusetts location totaled $9.9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2020.</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material changes in our contractual obligations since December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Agreement Obligations</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June 30, 2021 and December 31, 2020, we were unable to estimate the timing or likelihood of achieving these milestones or generating future product sales. See Note 8 to our audited consolidated financial statements and notes included in this prospectus and Note 7 to our unaudited condensed consolidated financial statements and related notes appearing elsewhere in this prospectus for a description of our license agreements.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appearing elsewhere in this prospectus, we believe that the following accounting policies are those most critical to the judgments and estimates used in the preparation of our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new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6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9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66"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8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optional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7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Subsequent to the consummation of the Business Combination, 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Our board of directors determines the fair value of each share of common stock underlying stock-based awards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6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Prior to the consummation of the Business Combination, 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 As there was not a public market for our common stock prior to becoming publicly traded,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Our common stock valuations were prepared using either an option pricing method, or OPM, or a</w:t>
      </w:r>
      <w:r>
        <w:rPr>
          <w:rFonts w:ascii="Arial" w:cs="Arial" w:eastAsia="Arial" w:hAnsi="Arial"/>
          <w:sz w:val="17"/>
          <w:szCs w:val="17"/>
          <w:i w:val="1"/>
          <w:iCs w:val="1"/>
          <w:color w:val="auto"/>
        </w:rPr>
        <w:t xml:space="preserve"> </w:t>
      </w:r>
      <w:r>
        <w:rPr>
          <w:rFonts w:ascii="Arial" w:cs="Arial" w:eastAsia="Arial" w:hAnsi="Arial"/>
          <w:sz w:val="17"/>
          <w:szCs w:val="17"/>
          <w:color w:val="auto"/>
        </w:rPr>
        <w:t>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was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8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believe our methodologies are reasonable based upon our internal peer company analyses and further supported by transactions involving our preferred stock. If different assumptions had been made, equity-based compensation expense, consolidated net loss and consolidated net loss per share could have been significantly different.</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options granted from October 18, 2019 through June 30, 2021, the exercise price per share of the options, the fair value per share on each grant date and the estimated per share fair value of the options: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Share</w:t>
            </w:r>
          </w:p>
        </w:tc>
        <w:tc>
          <w:tcPr>
            <w:tcW w:w="30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1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per Common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at Grant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Granted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Date(1)</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8"/>
              </w:rPr>
              <w:t>of Options(2)</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18, 2019</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5"/>
              </w:rPr>
              <w:t>0.52</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October 22, 2019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0.52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0.52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2,171,868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0.56</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0.56</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June 2, 2020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1,251,000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0.62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1,697,500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December 9, 2020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596,000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2021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6,805,312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1.81(3)</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March 18, 2021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1,010,000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2.57</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19, 2021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3.42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60" w:hanging="424"/>
        <w:spacing w:after="0" w:line="31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exercise price per share of common stock and fair value of our common stock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58"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spacing w:after="0" w:line="1" w:lineRule="exact"/>
        <w:rPr>
          <w:rFonts w:ascii="Arial" w:cs="Arial" w:eastAsia="Arial" w:hAnsi="Arial"/>
          <w:sz w:val="18"/>
          <w:szCs w:val="18"/>
          <w:color w:val="auto"/>
        </w:rPr>
      </w:pPr>
    </w:p>
    <w:p>
      <w:pPr>
        <w:ind w:left="540" w:right="40" w:hanging="424"/>
        <w:spacing w:after="0" w:line="273"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At the time of the option grants on January 28, 2021, our board of directors determined that the fair value of our common stock of $1.19 per share calculated in the third-party valuation as of December 14, 2020 described above reasonably reflected the per share fair value of our common stock as of the respective grant dates in that period. However, as described below, the fair value of common stock at the date of these grants was adjusted in connection with retrospective fair value assessments for accounting purposes.</w:t>
      </w:r>
    </w:p>
    <w:p>
      <w:pPr>
        <w:spacing w:after="0" w:line="176"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In preparing for the issuance of our financial statements for the year ended December 31, 2020, in March 2021, we performed a retrospective fair value assessment and concluded that the fair value of our common shares underlying stock options that we granted on January 28, 2021 was $1.81 per share for accounting purposes. We applied the fair value of our common shares from our retrospective fair value assessment to determine the fair value of these awards and calculate stock-based compensation expense for accounting purposes. This reassessed value was based, in part, upon a third-party valuation of our common shares prepared as of December 14, 2020, inclusive of a retrospective valuation prepared as of January 2021 reflecting the initial BCTG merger offer. The third-party valuation was prepared using an OPM, which used a market approach to determine our enterprise value.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or cash flows is disclosed within the unaudited condensed consolidated financial statements and related notes appearing elsewhere in this prospectus and also in Note 2 to our audited consolidated financial statements and related notes appearing elsewhere in this prospectus.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had cash, cash equivalents and marketable securities of $198.4 million and $190.3 million as of June 30,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70" w:lineRule="exact"/>
        <w:rPr>
          <w:sz w:val="20"/>
          <w:szCs w:val="20"/>
          <w:color w:val="auto"/>
        </w:rPr>
      </w:pPr>
    </w:p>
    <w:p>
      <w:pPr>
        <w:ind w:left="1080" w:right="300" w:hanging="424"/>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may present only two years of audited financial statements and only two years of related Management’s Discussion and Analysis of Financial Condition and Results of Operations in our periodic reports and registration statements, including this prospectus;</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may not require nonbinding advisory votes on executive compensation or stockholder approval of any golden parachute payments.</w:t>
      </w:r>
    </w:p>
    <w:p>
      <w:pPr>
        <w:spacing w:after="0" w:line="24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Registration and Shareholder Rights Agreement</w:t>
      </w:r>
    </w:p>
    <w:p>
      <w:pPr>
        <w:spacing w:after="0" w:line="121"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On the Closing Date, we entered into an Amended and Restated Registration and Stockholder Rights Agreement, or the Amended and Restated Registration and Stockholder Rights Agreement with BCTG Holdings, LLC, or the Sponsor, certain persons and entities holding securities of New Tango, and entities receiving Common Stock pursuant to the Merger Agreement (the foregoing persons and entities, together with other persons or entities who become party to the Amended and Restated Registration and Stockholder Rights Agreement collectively referred to as the Holders), pursuant to which we (i) agreed to register for resale (1) certain shares of Common Stock held by, or issuable upon exercise of options held by, the Holders and (2) any warrants, shares of capital stock or other securities of our company issued as a dividend or other distribution with respect to, or in exchange for or in replacement of the shares specified in clause (1) (the securities in clauses (1) and (2) collectively referred to as the Registrable Securities) and (ii) granted certain other registration rights to the Holders.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31" w:lineRule="exact"/>
        <w:rPr>
          <w:sz w:val="20"/>
          <w:szCs w:val="20"/>
          <w:color w:val="auto"/>
        </w:rPr>
      </w:pPr>
    </w:p>
    <w:p>
      <w:pPr>
        <w:ind w:left="1080" w:right="60" w:hanging="424"/>
        <w:spacing w:after="0" w:line="290"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Shelf registration/demand registration rights</w:t>
      </w:r>
      <w:r>
        <w:rPr>
          <w:rFonts w:ascii="Arial" w:cs="Arial" w:eastAsia="Arial" w:hAnsi="Arial"/>
          <w:sz w:val="16"/>
          <w:szCs w:val="16"/>
          <w:color w:val="auto"/>
        </w:rPr>
        <w:t>. No later than 30 calendar days following the Closing Date, we are required to file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 a shelf registration statement registering the resale of the Registrable Securities, and use our commercially reasonable efforts to have such registration statement declared effective by the SEC within a specified period.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70"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Subject to exceptions for certain offerings and registration statements, if at any time, we propose to file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our stockholders, the Holders are entitled to include their Registrable Securities in such registration statement.</w:t>
      </w:r>
    </w:p>
    <w:p>
      <w:pPr>
        <w:spacing w:after="0" w:line="92"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Holders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Amended and Restated Registration and Stockholder Rights Agreement will be borne by us,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95"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Our securities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foregoing description of the Amended and Restated Registration and Stockholder Rights Agreement does not purport to be complete and is qualified in its entirety by the full text of the Amended and Restated Registration and Stockholder Rights Agreement, a copy of which is attached hereto as Exhibit 10.3 and is incorporated herein by reference.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connection with the Merger, on the Closing Date, we entered into lock-up agreements with our directors, officers and certain of our stockholders, or collectively, the Lockup Holders. The terms of the lock-up agreements provide for the Common Stock held by the Lockup Holders as of immediately after the effective time of the Business Combination to be subject to transfer restrictions for a period of 180 days after the Closing Date, subject to certain exceptions.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foregoing description of the lock-up agreements does not purport to be complete and is qualified in its entirety by the full text of the form of lock-up agreement, which is attached hereto as Exhibit 10.2 and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 — BCTG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Founders Shares</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On June 4, 2020, BCTG issued 3,593,750 shares of common stock to the Sponsor in exchange for a payment of $25,000. We refer to such issued shares in this prospectus as the Founder Shares. On September 2, 2020, BCTG declared a dividend of 0.16 shares for each outstanding share of common stock (an aggregate of 575,000 shares), resulting in an aggregate of 4,168,750 Founder Shares outstanding. The Sponsor had agreed to forfeit up to an aggregate of 543,750 Founders Shares, so that the Founders Shares would represent 20% of BCTG’s issued and outstanding shares after BCTG’s initial public offering, to the extent the underwriters’ over-allotment option was not exercised in full or in part. On September 8, 2020, the underwriters exercised their 15% over-allotment option in full; thus, the Founders Shares were no longer subject to forfeiture. The Sponsor currently owns an aggregate of 4,493,450 shares of our common stock, and its independent directors and advisors collectively own 208,800 shares of our common stock.</w:t>
      </w:r>
    </w:p>
    <w:p>
      <w:pPr>
        <w:spacing w:after="0" w:line="16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initial stockholders have agreed not to transfer, assign or sell any of their Founders Shares (except to certain permitted transferees) until the earlier of (i) one year after the date of the consummation of the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Business Combination, or earlier if, subsequent to the Business Combination, we consummate a subsequent liquidation, merger, stock exchange or other similar transaction which results in all of our stockholders having the right to exchange their shares of common stock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Private Shares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Concurrently with the closing of BCTG’s initial public offering, the Sponsor purchased 533,500 Private Shares, at a price of $10.00 per share, in a private placement for an aggregate purchase price of approximately $5.3 million. The Private Shares are identical to the shares of common stock sold in BCTG’s initial public offering, subject to certain limited exceptions.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May 21, 2020 and June 10, 2020, the Sponsor agreed to loan BCTG up to $25,025 and $274,975, respectively, for an aggregate amount of $300,000 to be used for the payment of costs related to BCTG’s initial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public offering pursuant to a promissory note, or each, a Note, and collectively, the Notes. The Notes were non-interest bearing, unsecured and due upon the date BCTG consummated its initial public offering. BCTG borrowed approximately $127,000 under the Notes and repaid the Notes in full on September 10, 2020.</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order to fund working capital deficiencies or finance transaction costs in connection with the Business Combination, the initial stockholders, officers and directors and their affiliates could have, but were not obligated to, loan BCTG funds as may be required, or the Working Capital Loans. Each loan would be evidenced by a promissory note. The notes would either be paid upon consummation of the Business Combination, without interest, or, at the lender’s discretion, up to $1.5 million of the notes may be converted upon consummation of the Business Combination into additional private placement shares at a conversion price of $10.00 per share. If BCTG did not complete a business combination, the loans would not be repaid. Such private placement shares would be identical to the Private Shares. BCTG did not have any borrowings under the Working Capital Loans.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Commencing on September 2, 2020, BCTG’s prospectus, BCTG agreed to pay an affiliate of the Sponsor a total of $10,000 per month for office space and certain office and secretarial services. Upon completion of the Business Combination, BCTG ceased paying these monthly fees. For the period from May 21, 2020 (inception) through the completion of the Business Combination, BCTG incurred approximately $110,000 related to these services. As of the date hereof, no amounts are payable related to this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Sponsor entered into an agreement to purchase an aggregate of at least 2,500,000 shares of BCTG’s common stock for an aggregate purchase price of $25.0 million, or $10.00 per share, prior to, concurrently with, or following the closing of the Business Combination in a private placement. The funds from such private placement could be used as part of the consideration to the sellers in the Business Combination, and any excess funds from such private placement may be used for working capital in the post-transaction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At Closing, PIPE Investors subscribed for and purchased an aggregate of 18,610,000 shares of Common Stock at a price of $10.00 per share for aggregate gross proceeds of $186,100,000.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 — Old Tango</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is a summary of transactions since January 1, 2018 or any currently proposed transactions to which have been or will be a participant, in which:</w:t>
      </w:r>
    </w:p>
    <w:p>
      <w:pPr>
        <w:spacing w:after="0" w:line="7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the foregoing persons, had or will have a direct or indirect material interest, other than compensation and other arrangements that are described in the section 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or that were approved by its compensation committee.</w:t>
      </w:r>
    </w:p>
    <w:p>
      <w:pPr>
        <w:spacing w:after="0" w:line="165"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 Preferred Stock Financing</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On April 7, 2020, Old Tango entered into a Series B Preferred Stock Purchase Agreement, or the Series B Purchase Agreement, pursuant to which Old Tango issued 45,372,050 shares of its Series B Preferred Stock for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Old Tango’s capital stock participated in the Series B Preferred Stock financing.</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Series 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5% Tango Stockholder</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Purchased –</w:t>
            </w:r>
          </w:p>
        </w:tc>
        <w:tc>
          <w:tcPr>
            <w:tcW w:w="10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Purchase Price –</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Purchased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Purchase Price –</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First Closing</w:t>
            </w:r>
          </w:p>
        </w:tc>
        <w:tc>
          <w:tcPr>
            <w:tcW w:w="1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First Closing</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Second Closing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Second Closing</w:t>
            </w:r>
          </w:p>
        </w:tc>
        <w:tc>
          <w:tcPr>
            <w:tcW w:w="0" w:type="dxa"/>
            <w:vAlign w:val="bottom"/>
          </w:tcPr>
          <w:p>
            <w:pPr>
              <w:spacing w:after="0"/>
              <w:rPr>
                <w:sz w:val="1"/>
                <w:szCs w:val="1"/>
                <w:color w:val="auto"/>
              </w:rPr>
            </w:pPr>
          </w:p>
        </w:tc>
      </w:tr>
      <w:tr>
        <w:trPr>
          <w:trHeight w:val="209"/>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Boxer Capital, LLC and affiliated entities(1)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8,507,260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11,250,000.63</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8,507,260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11,250,000.63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Casdin Capital</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1,890,502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2,499,999.85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1,890,502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2,499,999.85</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Asset Management and affiliated entities(2)</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3,781,004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4,999,999.70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3,781,004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4,999,999.70</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Hillhouse Capital</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4,726,255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6,249,999.62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4,726,255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6,249,999.62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0" w:hanging="424"/>
        <w:spacing w:after="0" w:line="287"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Boxer Capital LLC, which purchased 8,417,650 shares at the first closing and 8,417,650 shares at the second closing; and MVA Investors, LLC, which purchased 89,610 shares at the first closing and 89,610 shares at the second closing. Aaron Davis, a member of our board of directors, is Chief Executive Officer of Boxer Capital, LLC. Boxer Capital, LLC and Mr. Davis are each affiliated with BCTG and the Sponsor.</w:t>
      </w:r>
    </w:p>
    <w:p>
      <w:pPr>
        <w:spacing w:after="0" w:line="2" w:lineRule="exact"/>
        <w:rPr>
          <w:rFonts w:ascii="Arial" w:cs="Arial" w:eastAsia="Arial" w:hAnsi="Arial"/>
          <w:sz w:val="16"/>
          <w:szCs w:val="16"/>
          <w:color w:val="auto"/>
        </w:rPr>
      </w:pPr>
    </w:p>
    <w:p>
      <w:pPr>
        <w:jc w:val="both"/>
        <w:ind w:left="540" w:right="420" w:hanging="424"/>
        <w:spacing w:after="0" w:line="302"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B-1 Preferred Stock Financing</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On August 17, 2020, Old Tango held the closing of its Series B-1 Preferred Stock financing, pursuant to its Series B-1 Preferred Stock Purchase Agreement, or the Series B-1 Purchase Agreement, at which Old Tango issued 27,152,255 shares of its Series B-1 Preferred Stock for a per share price of $1.885, for aggregate gross proceeds in the amount of $51.2 million. The following holders of more than 5% of Old Tango’s capital stock participated in the Series B-1 Preferred Stock financing.</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5% Tango Stockholder</w:t>
            </w:r>
          </w:p>
        </w:tc>
        <w:tc>
          <w:tcPr>
            <w:tcW w:w="5200" w:type="dxa"/>
            <w:vAlign w:val="bottom"/>
            <w:vMerge w:val="restart"/>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Series B-1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03"/>
        </w:trPr>
        <w:tc>
          <w:tcPr>
            <w:tcW w:w="7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Boxer Capital, LLC and affiliated entities(1)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3,511,769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6,519,684.57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Casdin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7,957,852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15,000,551.02</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Asset Management and affiliated entities(2)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1,560,786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2,942,081.61</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Hillhouse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1,950,983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3,677,602.96</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Gilead Sciences, Inc.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10,610,079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19,999,998.92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80" w:hanging="424"/>
        <w:spacing w:after="0" w:line="255"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Boxer Capital LLC, which purchased 3,392,141 shares; and MVA Investors, LLC, which purchased 119,628 shares. Aaron Davis, a member of our Board of Directors, is Chief Executive Officer of Boxer Capital, LLC. Boxer Capital, LLC and Mr. Davis are each affiliated with BCTG and the Sponsor.</w:t>
      </w:r>
    </w:p>
    <w:p>
      <w:pPr>
        <w:spacing w:after="0" w:line="2"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Cormorant Private Healthcare Fund II, LP, which purchased 1,235,518 shares; and Cormorant Global Healthcare Master Fund, LP, which purchased 325,268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Gilead Collaboration Agreement</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October 2018, we entered into a Collaboration and License Agreement with Gilead Sciences, Inc. which collaboration was amended and restated on August 17, 2020, concurrently with the closing of the Series B-1 Preferred Stock financing in which Gilead Sciences, Inc. participated. Gilead Sciences, Inc. holds 5% or more of our capital stock. See the section titled “</w:t>
      </w:r>
      <w:r>
        <w:rPr>
          <w:rFonts w:ascii="Arial" w:cs="Arial" w:eastAsia="Arial" w:hAnsi="Arial"/>
          <w:sz w:val="18"/>
          <w:szCs w:val="18"/>
          <w:i w:val="1"/>
          <w:iCs w:val="1"/>
          <w:color w:val="auto"/>
        </w:rPr>
        <w:t>Business — Collaboration and License Agreements — Collaboration and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with Gilead Sciences</w:t>
      </w:r>
      <w:r>
        <w:rPr>
          <w:rFonts w:ascii="Arial" w:cs="Arial" w:eastAsia="Arial" w:hAnsi="Arial"/>
          <w:sz w:val="18"/>
          <w:szCs w:val="18"/>
          <w:color w:val="auto"/>
        </w:rPr>
        <w:t>” for more information.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Investors Rights Agreement, or the Investors Rights Agreement with certain of its investors, including its 5% stockholders. Pursuant to the Investors Agreement, the investors were granted certain demand and registration rights as well as certain information rights. In connection with the Merger, the Investors Rights Agreement was terminated at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Voting Agreement, or the Voting Agreement with certain of its investors, including its 5% stockholders. Pursuant to the Investors Agreement, certain investors were given the right to designate certain members of Old Tango’s board of directors. In connection with the Merger, the Voting Agreement was terminated at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5% or more our capital stock and their affiliates, or each, related party. Prior to the transaction,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Policies and Procedures for Related Party Transactions</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7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spacing w:after="0" w:line="8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voting stock;</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5% of our voting stock; and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our charter, the audit committee has the responsibility to review related party transactions.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sets forth certain information, as of the date of this prospectus, concerning our directors and executive officers.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47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gridSpan w:val="3"/>
          </w:tcPr>
          <w:p>
            <w:pPr>
              <w:ind w:left="220"/>
              <w:spacing w:after="0"/>
              <w:rPr>
                <w:sz w:val="20"/>
                <w:szCs w:val="20"/>
                <w:color w:val="auto"/>
              </w:rPr>
            </w:pPr>
            <w:r>
              <w:rPr>
                <w:rFonts w:ascii="Arial" w:cs="Arial" w:eastAsia="Arial" w:hAnsi="Arial"/>
                <w:sz w:val="16"/>
                <w:szCs w:val="16"/>
                <w:b w:val="1"/>
                <w:bCs w:val="1"/>
                <w:color w:val="auto"/>
              </w:rPr>
              <w:t>Age</w:t>
            </w:r>
          </w:p>
        </w:tc>
        <w:tc>
          <w:tcPr>
            <w:tcW w:w="140" w:type="dxa"/>
            <w:vAlign w:val="bottom"/>
          </w:tcPr>
          <w:p>
            <w:pPr>
              <w:spacing w:after="0"/>
              <w:rPr>
                <w:sz w:val="19"/>
                <w:szCs w:val="19"/>
                <w:color w:val="auto"/>
              </w:rPr>
            </w:pPr>
          </w:p>
        </w:tc>
        <w:tc>
          <w:tcPr>
            <w:tcW w:w="5500" w:type="dxa"/>
            <w:vAlign w:val="bottom"/>
          </w:tcPr>
          <w:p>
            <w:pPr>
              <w:ind w:left="2460"/>
              <w:spacing w:after="0"/>
              <w:rPr>
                <w:sz w:val="20"/>
                <w:szCs w:val="20"/>
                <w:color w:val="auto"/>
              </w:rPr>
            </w:pPr>
            <w:r>
              <w:rPr>
                <w:rFonts w:ascii="Arial" w:cs="Arial" w:eastAsia="Arial" w:hAnsi="Arial"/>
                <w:sz w:val="16"/>
                <w:szCs w:val="16"/>
                <w:b w:val="1"/>
                <w:bCs w:val="1"/>
                <w:color w:val="auto"/>
              </w:rPr>
              <w:t>Position</w:t>
            </w:r>
          </w:p>
        </w:tc>
      </w:tr>
      <w:tr>
        <w:trPr>
          <w:trHeight w:val="201"/>
        </w:trPr>
        <w:tc>
          <w:tcPr>
            <w:tcW w:w="4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Barbara Weber, M.D.</w:t>
            </w:r>
          </w:p>
        </w:tc>
        <w:tc>
          <w:tcPr>
            <w:tcW w:w="2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65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Class III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Daniella Beckman</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43</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Alan Huang, Ph.D.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48</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Chief Scientific Officer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Alexis Borisy</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49</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III Director and Chair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Lesley Calhoun</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55</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Aaron Davis</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43</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Reid Huber Ph.D.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49</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Malte Peters, M.D.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59</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 Director</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Mace Rothenberg, M.D.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64</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 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b w:val="1"/>
          <w:bCs w:val="1"/>
          <w:color w:val="auto"/>
        </w:rPr>
        <w:t xml:space="preserve">Barbara Weber, M.D. </w:t>
      </w:r>
      <w:r>
        <w:rPr>
          <w:rFonts w:ascii="Arial" w:cs="Arial" w:eastAsia="Arial" w:hAnsi="Arial"/>
          <w:sz w:val="17"/>
          <w:szCs w:val="17"/>
          <w:color w:val="auto"/>
        </w:rPr>
        <w:t>has served as our President and Chief Executive Officer since March 2017. Dr. Weber has been a Venture Partner at Third Rock</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received a B.S. in Chemistry and an M.D. from the University of Washington, was a resident in internal medicine at Yale University and fellow in Medical Oncology at the Dana Farber Cancer Institute. We believe Dr. Weber qualifies to serve on our board based on her position as our President and Chief Executive Officer, her leadership experience and her extensive experience in the biopharmaceutical industry.</w:t>
      </w:r>
    </w:p>
    <w:p>
      <w:pPr>
        <w:spacing w:after="0" w:line="17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b w:val="1"/>
          <w:bCs w:val="1"/>
          <w:color w:val="auto"/>
        </w:rPr>
        <w:t xml:space="preserve">Daniella Beckman </w:t>
      </w:r>
      <w:r>
        <w:rPr>
          <w:rFonts w:ascii="Arial" w:cs="Arial" w:eastAsia="Arial" w:hAnsi="Arial"/>
          <w:sz w:val="16"/>
          <w:szCs w:val="16"/>
          <w:color w:val="auto"/>
        </w:rPr>
        <w:t>has served as our Chief Financial Officer since September 2019 and served as our interim Chief Financial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2016 to August 2019. Prior to joining us,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has served on the board of directors of Translate Bio, Inc., a clinical-stage mRNA therapeutics company, since October 2017, on the board of directors of 5:01 Acquisition Corp, a special purpose acquisition company, since October 2020 and on the board of directors of Vor Biopharma Inc., a cell therapies company, since</w:t>
      </w:r>
    </w:p>
    <w:p>
      <w:pPr>
        <w:spacing w:after="0" w:line="3"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July 2020. Ms. Beckman holds a B.S. in business administration-accounting from Boston University. She is also a certified public accountant in Massachusetts.</w:t>
      </w:r>
    </w:p>
    <w:p>
      <w:pPr>
        <w:spacing w:after="0" w:line="18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Alan Huang, Ph.D.</w:t>
      </w:r>
      <w:r>
        <w:rPr>
          <w:rFonts w:ascii="Arial" w:cs="Arial" w:eastAsia="Arial" w:hAnsi="Arial"/>
          <w:sz w:val="16"/>
          <w:szCs w:val="16"/>
          <w:color w:val="auto"/>
        </w:rPr>
        <w:t>, has served as our Chief Scientific Officer since April 2018. Before being appointed as Chief Scientific officer, Dr. Huang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Head of Biology. From 2016 to 2017, he served as a consultant at Third Rock Ventures. Previously, Dr. Huang was Senior Director and interim Global Head of Oncology Translational Research at Novartis Institute for Biomedical Research. Prior to joining Novartis,</w:t>
      </w:r>
    </w:p>
    <w:p>
      <w:pPr>
        <w:spacing w:after="0" w:line="2" w:lineRule="exact"/>
        <w:rPr>
          <w:sz w:val="20"/>
          <w:szCs w:val="20"/>
          <w:color w:val="auto"/>
        </w:rPr>
      </w:pPr>
    </w:p>
    <w:p>
      <w:pPr>
        <w:jc w:val="both"/>
        <w:ind w:left="120" w:right="560"/>
        <w:spacing w:after="0" w:line="255" w:lineRule="auto"/>
        <w:rPr>
          <w:sz w:val="20"/>
          <w:szCs w:val="20"/>
          <w:color w:val="auto"/>
        </w:rPr>
      </w:pPr>
      <w:r>
        <w:rPr>
          <w:rFonts w:ascii="Arial" w:cs="Arial" w:eastAsia="Arial" w:hAnsi="Arial"/>
          <w:sz w:val="18"/>
          <w:szCs w:val="18"/>
          <w:color w:val="auto"/>
        </w:rPr>
        <w:t>Dr. Huang was a senior scientist at Millennium Pharmaceuticals, Inc. Dr. Huang obtained his B.S. in biochemistry from Fudan University and his doctorate in biochemistry &amp; molecular biology from the University of South Alabama. He completed a postdoctoral fellowship at Schepen’s Eye Research Institute of Harvard Medical School.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17"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Alexis Borisy </w:t>
      </w:r>
      <w:r>
        <w:rPr>
          <w:rFonts w:ascii="Arial" w:cs="Arial" w:eastAsia="Arial" w:hAnsi="Arial"/>
          <w:sz w:val="18"/>
          <w:szCs w:val="18"/>
          <w:color w:val="auto"/>
        </w:rPr>
        <w:t>has served as a member of our board of directors since our founding in 2017. Since June 2019, Mr. Borisy has served as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chairman of EQRx, Inc., a biotechnology company. From</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(NASDAQ: RLAY), Revolution Medicines, Inc. (NASDAQ: RVMD),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6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b w:val="1"/>
          <w:bCs w:val="1"/>
          <w:color w:val="auto"/>
        </w:rPr>
        <w:t xml:space="preserve">Lesley Ann Calhoun </w:t>
      </w:r>
      <w:r>
        <w:rPr>
          <w:rFonts w:ascii="Arial" w:cs="Arial" w:eastAsia="Arial" w:hAnsi="Arial"/>
          <w:sz w:val="16"/>
          <w:szCs w:val="16"/>
          <w:color w:val="auto"/>
        </w:rPr>
        <w:t>has served as a member of our board of directors since March 2021. Since June 2020, Ms. Calhoun has served as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Financial Officer at Aligos Therapeutics, Inc., a clinical stage biopharmaceutical company. From August 2016 to June 2020,</w:t>
      </w:r>
    </w:p>
    <w:p>
      <w:pPr>
        <w:spacing w:after="0" w:line="1" w:lineRule="exact"/>
        <w:rPr>
          <w:sz w:val="20"/>
          <w:szCs w:val="20"/>
          <w:color w:val="auto"/>
        </w:rPr>
      </w:pPr>
    </w:p>
    <w:p>
      <w:pPr>
        <w:ind w:left="120" w:right="160"/>
        <w:spacing w:after="0" w:line="268" w:lineRule="auto"/>
        <w:rPr>
          <w:sz w:val="20"/>
          <w:szCs w:val="20"/>
          <w:color w:val="auto"/>
        </w:rPr>
      </w:pPr>
      <w:r>
        <w:rPr>
          <w:rFonts w:ascii="Arial" w:cs="Arial" w:eastAsia="Arial" w:hAnsi="Arial"/>
          <w:sz w:val="17"/>
          <w:szCs w:val="17"/>
          <w:color w:val="auto"/>
        </w:rPr>
        <w:t>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7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b w:val="1"/>
          <w:bCs w:val="1"/>
          <w:color w:val="auto"/>
        </w:rPr>
        <w:t xml:space="preserve">Aaron Davis </w:t>
      </w:r>
      <w:r>
        <w:rPr>
          <w:rFonts w:ascii="Arial" w:cs="Arial" w:eastAsia="Arial" w:hAnsi="Arial"/>
          <w:sz w:val="17"/>
          <w:szCs w:val="17"/>
          <w:color w:val="auto"/>
        </w:rPr>
        <w:t>has served as a member of our board of directors since April 2020. Mr. Davis has been the Chief Executive Officer of Boxer Capital, the</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arm of Tavistock Group, since 2012. He co-founded Boxer Capital in 2005 and, prior to being appointed Chief Executive Officer in 2012, served as Portfolio Manager. Prior to the Business Combination, Mr. Davis was the Chairman and Chief Executive Officer of BCTG Acquisition Corp., our predecessor company. He has also served as Executive Chairman of CiVi Biopharma Holdings, Inc. since 2016, as a member of the board of directors of Odonate Therapeutics, Inc. (NASDAQ: ODT) since December 2016; as a member of the board of directors of Mirati Therapeutics, Inc. (NASDAQ: MRTX) since December 2018 and as a member of the board of directors of iTeos Therapeutics, Inc. (NASDAQ: ITOS) since 2020. From 2000 to 2004, Mr. Davis worked in the Global Healthcare Investment Banking and Private Equity Groups at UBS Warburg, LLC. Mr. Davis holds an M.A. in biotechnology from Columbia University and a B.B.A. degree in finance from Emory University. We believe that Mr. Davis’s experience serving as a director of multiple biotechnology companies and his knowledge of funds specializing in the area of life sciences makes him qualified to serve as a member of our board of directors.</w:t>
      </w:r>
    </w:p>
    <w:p>
      <w:pPr>
        <w:spacing w:after="0" w:line="177"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auto"/>
        </w:rPr>
        <w:t xml:space="preserve">Reid M. Huber, Ph.D., </w:t>
      </w:r>
      <w:r>
        <w:rPr>
          <w:rFonts w:ascii="Arial" w:cs="Arial" w:eastAsia="Arial" w:hAnsi="Arial"/>
          <w:sz w:val="18"/>
          <w:szCs w:val="18"/>
          <w:color w:val="auto"/>
        </w:rPr>
        <w:t>has served as a member of our board of directors since July 2019. Dr. Huber has served as a Partner at Third Rock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2018. From April 2014 to December 2018, 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(NASDAQ: BLCM) since October 2014 and also currently serves on the board of MOMA Therapeutics, Asher Bio, Insitro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The American Cancer Society Dr. Huber received his Ph.D. in molecular genetics from the Washington University School of Medicine and held pre-and post-doctoral fellowships at the National Institutes of Health. We believe that Dr. Huber’s extensive background in the pharmaceutical industry and senior management experience qualify him to serve on our board of directors.</w:t>
      </w:r>
    </w:p>
    <w:p>
      <w:pPr>
        <w:spacing w:after="0" w:line="18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color w:val="auto"/>
        </w:rPr>
        <w:t xml:space="preserve">Malte Peters, M.D., </w:t>
      </w:r>
      <w:r>
        <w:rPr>
          <w:rFonts w:ascii="Arial" w:cs="Arial" w:eastAsia="Arial" w:hAnsi="Arial"/>
          <w:sz w:val="17"/>
          <w:szCs w:val="17"/>
          <w:color w:val="auto"/>
        </w:rPr>
        <w:t>has served on our board of directors since September 2018. Since March 2020, Dr. Peters has served as Chief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Mace Rothenberg, M.D.</w:t>
      </w:r>
      <w:r>
        <w:rPr>
          <w:rFonts w:ascii="Arial" w:cs="Arial" w:eastAsia="Arial" w:hAnsi="Arial"/>
          <w:sz w:val="18"/>
          <w:szCs w:val="18"/>
          <w:color w:val="auto"/>
        </w:rPr>
        <w:t>, has served on our board of directors since March 2021. Dr. Rothenberg was previously at Pfizer, Inc., a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board of directors is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Lesley Calhoun and Reid Huber currently serve as our Class I directors, Malte Peters and Mace Rothenberg currently serve as our Class II directors and Alexis Borisy, Aaron Davis and Barbara Weber currently serve as our Class III directors.</w:t>
      </w:r>
    </w:p>
    <w:p>
      <w:pPr>
        <w:spacing w:after="0" w:line="1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certificate of incorporation and bylaws provide that the number of directors shall be fixed solely and exclusively by a resolution adopted from time to time by our board of directors.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division of our board of directors into staggered classes may delay or prevent stockholder efforts to effect a change of our management or a change in our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Our board of directors has established three standing committees: an audit committee, a compensation committee and a nominating and corporate governance committee, each of which operates pursuant to a written charter adopted by our board of directors. The current members of our audit committee are Lesley Calhoun, Mace Rothenberg and Alexis Borisy, and Lesley Calhoun serves as the chairperson of the audit committee. The current members of our compensation committee are Malte Peters, Mace Rothenberg and Alexis Borisy, and Malte Peters is the chairperson of the compensation committee. The current members of our nominating and corporate governance committee are Reid Huber, Aaron Davis, and</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Lesley Calhoun, and Reid Huber is the chairperson of the nominating and corporate governance committee. The composition and functioning of all of our standing committees comply with all applicable requirements of the Sarbanes-Oxley Act, Nasdaq and SEC rules and regulations. Each of our standing committees’ charter is available on our website at https://www.tangotx.com. Information contained on or accessible through such website is not a part of this prospectus, and the inclusion of the website address in this prospectus is an inactive textual reference only.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audit committee currently consists of Lesley Calhoun, Mace Rothenberg and Alexis Borisy. Our board has determined that each member of our audit committee is independent under Nasdaq listing standards and Rule 10A-3(b)(1) under the Exchange Act. The chairperson of the audit committee is Lesley Calhoun. Our board has determined that Lesley Calhoun is an “audit committee financial expert” within the meaning of SEC regulations. Our board has also determined that each member of the audit committee has the requisite financial expertise required under the applicable requirements of Nasdaq. In arriving at this determination, our board has examined each audit committee member’s scope of experience and the nature of their employment in the corporate finance sector.</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primary purpose of our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89"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helping our board of directors oversee corporate accounting and financial reporting processes;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managing the selection, engagement and qualifications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policies on financial risk assessment and financial risk management;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Our compensation committee currently consists of Malte Peters, Mace Rothenberg and Alexis Borisy. Our board has determined each member of our compensation committee is a “non-employee director” as defined in Rule 16b-3 promulgated under the Exchange Act and an “outside director” as that term is defined in Section 162(m) of the Code.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3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the compensation of our executive officers and senior management;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the terms of compensatory arrangements with our executive officers;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approving, amending and terminating, or recommending that our board approve, amend or terminate, incentive compensation and equity plans, severance agreements, change-of-control protections and any other compensatory arrangements for our executive officers and other senior management, as appropriate;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Our nominating and corporate governance committee currently consists of Reid Huber, Aaron Davis, and Lesley Calhoun. Our board has determined each member is independent under Nasdaq listing standards. The chairperson of the nominating and corporate governance committee is Reid Huber.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adopted a Code of Conduct that applies to all of our employees, officers and directors, including those officers responsible for financial reporting. The Code of Conduct is available on our website at https://www.tangotx.com. Information contained on or accessible through such website is not a part of this prospectus, and the inclusion of the website address in this prospectus is an inactive textual reference only. We intend to disclose any amendments to the Code of Conduct, or any waivers of its requirements, on our website to the extent required by the applicable rules and exchange requirements.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40"/>
          </w:cols>
          <w:pgMar w:left="320" w:top="459"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our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our board of directors and our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6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2020 to (i) our principal executive officer and (ii) our two next most highly compensated executive officers who were serving as executive officers at the end of the fiscal year ended December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for fiscal year 2020 are:</w:t>
      </w:r>
    </w:p>
    <w:p>
      <w:pPr>
        <w:spacing w:after="0" w:line="13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Barbara Weber, M.D., our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Daniella Beckman, our Chief Financial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Alan Huang, Ph.D., our Chief Scientific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Nonqualified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Non-Equity</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1"/>
                <w:szCs w:val="11"/>
                <w:color w:val="auto"/>
              </w:rPr>
            </w:pPr>
          </w:p>
        </w:tc>
        <w:tc>
          <w:tcPr>
            <w:tcW w:w="90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0"/>
              </w:rPr>
              <w:t>All Other</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90"/>
              </w:rPr>
              <w:t>Salary(1)</w:t>
            </w:r>
          </w:p>
        </w:tc>
        <w:tc>
          <w:tcPr>
            <w:tcW w:w="5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3"/>
              </w:rPr>
              <w:t>Bonus</w:t>
            </w:r>
          </w:p>
        </w:tc>
        <w:tc>
          <w:tcPr>
            <w:tcW w:w="6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9"/>
              </w:rPr>
              <w:t>Awards</w:t>
            </w:r>
          </w:p>
        </w:tc>
        <w:tc>
          <w:tcPr>
            <w:tcW w:w="980" w:type="dxa"/>
            <w:vAlign w:val="bottom"/>
            <w:gridSpan w:val="3"/>
          </w:tcPr>
          <w:p>
            <w:pPr>
              <w:jc w:val="right"/>
              <w:ind w:right="420"/>
              <w:spacing w:after="0" w:line="126" w:lineRule="exact"/>
              <w:rPr>
                <w:sz w:val="20"/>
                <w:szCs w:val="20"/>
                <w:color w:val="auto"/>
              </w:rPr>
            </w:pPr>
            <w:r>
              <w:rPr>
                <w:rFonts w:ascii="Arial" w:cs="Arial" w:eastAsia="Arial" w:hAnsi="Arial"/>
                <w:sz w:val="13"/>
                <w:szCs w:val="13"/>
                <w:b w:val="1"/>
                <w:bCs w:val="1"/>
                <w:color w:val="auto"/>
                <w:w w:val="85"/>
              </w:rPr>
              <w:t>Awards(3)</w:t>
            </w:r>
          </w:p>
        </w:tc>
        <w:tc>
          <w:tcPr>
            <w:tcW w:w="1180" w:type="dxa"/>
            <w:vAlign w:val="bottom"/>
            <w:gridSpan w:val="3"/>
          </w:tcPr>
          <w:p>
            <w:pPr>
              <w:jc w:val="right"/>
              <w:ind w:right="260"/>
              <w:spacing w:after="0" w:line="126" w:lineRule="exact"/>
              <w:rPr>
                <w:sz w:val="20"/>
                <w:szCs w:val="20"/>
                <w:color w:val="auto"/>
              </w:rPr>
            </w:pPr>
            <w:r>
              <w:rPr>
                <w:rFonts w:ascii="Arial" w:cs="Arial" w:eastAsia="Arial" w:hAnsi="Arial"/>
                <w:sz w:val="13"/>
                <w:szCs w:val="13"/>
                <w:b w:val="1"/>
                <w:bCs w:val="1"/>
                <w:color w:val="auto"/>
                <w:w w:val="84"/>
              </w:rPr>
              <w:t>Compensation(6)</w:t>
            </w: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Earnings</w:t>
            </w:r>
          </w:p>
        </w:tc>
        <w:tc>
          <w:tcPr>
            <w:tcW w:w="240" w:type="dxa"/>
            <w:vAlign w:val="bottom"/>
          </w:tcPr>
          <w:p>
            <w:pPr>
              <w:spacing w:after="0"/>
              <w:rPr>
                <w:sz w:val="10"/>
                <w:szCs w:val="10"/>
                <w:color w:val="auto"/>
              </w:rPr>
            </w:pPr>
          </w:p>
        </w:tc>
        <w:tc>
          <w:tcPr>
            <w:tcW w:w="12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Compensation</w:t>
            </w:r>
          </w:p>
        </w:tc>
        <w:tc>
          <w:tcPr>
            <w:tcW w:w="600" w:type="dxa"/>
            <w:vAlign w:val="bottom"/>
            <w:gridSpan w:val="2"/>
          </w:tcPr>
          <w:p>
            <w:pPr>
              <w:ind w:left="140"/>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c>
          <w:tcPr>
            <w:tcW w:w="216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4"/>
                <w:szCs w:val="14"/>
                <w:color w:val="auto"/>
              </w:rPr>
            </w:pPr>
          </w:p>
        </w:tc>
        <w:tc>
          <w:tcPr>
            <w:tcW w:w="640" w:type="dxa"/>
            <w:vAlign w:val="bottom"/>
          </w:tcPr>
          <w:p>
            <w:pPr>
              <w:jc w:val="right"/>
              <w:ind w:right="23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340" w:type="dxa"/>
            <w:vAlign w:val="bottom"/>
          </w:tcPr>
          <w:p>
            <w:pPr>
              <w:jc w:val="right"/>
              <w:ind w:right="3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240" w:type="dxa"/>
            <w:vAlign w:val="bottom"/>
            <w:tcBorders>
              <w:top w:val="single" w:sz="8" w:color="CCEEFF"/>
            </w:tcBorders>
            <w:gridSpan w:val="2"/>
            <w:shd w:val="clear" w:color="auto" w:fill="CCEEFF"/>
          </w:tcPr>
          <w:p>
            <w:pPr>
              <w:spacing w:after="0" w:line="103" w:lineRule="exact"/>
              <w:rPr>
                <w:sz w:val="20"/>
                <w:szCs w:val="20"/>
                <w:color w:val="auto"/>
              </w:rPr>
            </w:pPr>
            <w:r>
              <w:rPr>
                <w:rFonts w:ascii="Arial" w:cs="Arial" w:eastAsia="Arial" w:hAnsi="Arial"/>
                <w:sz w:val="11"/>
                <w:szCs w:val="11"/>
                <w:color w:val="auto"/>
              </w:rPr>
              <w:t xml:space="preserve">Barbara Weber, M.D.(5) </w:t>
            </w:r>
            <w:r>
              <w:rPr>
                <w:rFonts w:ascii="Arial" w:cs="Arial" w:eastAsia="Arial" w:hAnsi="Arial"/>
                <w:sz w:val="11"/>
                <w:szCs w:val="11"/>
                <w:i w:val="1"/>
                <w:iCs w:val="1"/>
                <w:color w:val="auto"/>
              </w:rPr>
              <w:t>President and Chief</w:t>
            </w: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Officer</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491,617</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4"/>
              </w:rPr>
              <w:t>227,622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226,194</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12,788(7)</w:t>
            </w:r>
          </w:p>
        </w:tc>
        <w:tc>
          <w:tcPr>
            <w:tcW w:w="6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5"/>
              </w:rPr>
              <w:t>$958,221</w:t>
            </w:r>
          </w:p>
        </w:tc>
        <w:tc>
          <w:tcPr>
            <w:tcW w:w="0" w:type="dxa"/>
            <w:vAlign w:val="bottom"/>
          </w:tcPr>
          <w:p>
            <w:pPr>
              <w:spacing w:after="0"/>
              <w:rPr>
                <w:sz w:val="1"/>
                <w:szCs w:val="1"/>
                <w:color w:val="auto"/>
              </w:rPr>
            </w:pPr>
          </w:p>
        </w:tc>
      </w:tr>
      <w:tr>
        <w:trPr>
          <w:trHeight w:val="130"/>
        </w:trPr>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Daniella Beckman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323,447(2)</w:t>
            </w: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368,323(4)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131,828</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10,776(8)</w:t>
            </w:r>
          </w:p>
        </w:tc>
        <w:tc>
          <w:tcPr>
            <w:tcW w:w="6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$834,374</w:t>
            </w:r>
          </w:p>
        </w:tc>
        <w:tc>
          <w:tcPr>
            <w:tcW w:w="0" w:type="dxa"/>
            <w:vAlign w:val="bottom"/>
          </w:tcPr>
          <w:p>
            <w:pPr>
              <w:spacing w:after="0"/>
              <w:rPr>
                <w:sz w:val="1"/>
                <w:szCs w:val="1"/>
                <w:color w:val="auto"/>
              </w:rPr>
            </w:pPr>
          </w:p>
        </w:tc>
      </w:tr>
      <w:tr>
        <w:trPr>
          <w:trHeight w:val="130"/>
        </w:trPr>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Alan Huang, Ph.D.</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Scientific Officer</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373,806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70,566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135,769</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9,376(9)</w:t>
            </w:r>
          </w:p>
        </w:tc>
        <w:tc>
          <w:tcPr>
            <w:tcW w:w="6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5"/>
              </w:rPr>
              <w:t>$589,517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58"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Salary amount represents actual amounts paid during 2020. See “— </w:t>
      </w:r>
      <w:r>
        <w:rPr>
          <w:rFonts w:ascii="Arial" w:cs="Arial" w:eastAsia="Arial" w:hAnsi="Arial"/>
          <w:sz w:val="18"/>
          <w:szCs w:val="18"/>
          <w:i w:val="1"/>
          <w:iCs w:val="1"/>
          <w:color w:val="auto"/>
        </w:rPr>
        <w:t>Narrative Disclosures to the Summary Compensation Table</w:t>
      </w:r>
      <w:r>
        <w:rPr>
          <w:rFonts w:ascii="Arial" w:cs="Arial" w:eastAsia="Arial" w:hAnsi="Arial"/>
          <w:sz w:val="18"/>
          <w:szCs w:val="18"/>
          <w:color w:val="auto"/>
        </w:rPr>
        <w:t xml:space="preserve"> — </w:t>
      </w:r>
      <w:r>
        <w:rPr>
          <w:rFonts w:ascii="Arial" w:cs="Arial" w:eastAsia="Arial" w:hAnsi="Arial"/>
          <w:sz w:val="18"/>
          <w:szCs w:val="18"/>
          <w:i w:val="1"/>
          <w:iCs w:val="1"/>
          <w:color w:val="auto"/>
        </w:rPr>
        <w:t>Base Salaries</w:t>
      </w:r>
      <w:r>
        <w:rPr>
          <w:rFonts w:ascii="Arial" w:cs="Arial" w:eastAsia="Arial" w:hAnsi="Arial"/>
          <w:sz w:val="18"/>
          <w:szCs w:val="18"/>
          <w:color w:val="auto"/>
        </w:rPr>
        <w:t>” below.</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w:t>
      </w:r>
    </w:p>
    <w:p>
      <w:pPr>
        <w:spacing w:after="0" w:line="1" w:lineRule="exact"/>
        <w:rPr>
          <w:rFonts w:ascii="Arial" w:cs="Arial" w:eastAsia="Arial" w:hAnsi="Arial"/>
          <w:sz w:val="18"/>
          <w:szCs w:val="18"/>
          <w:color w:val="auto"/>
        </w:rPr>
      </w:pPr>
    </w:p>
    <w:p>
      <w:pPr>
        <w:ind w:left="540" w:right="180" w:hanging="424"/>
        <w:spacing w:after="0" w:line="273"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accordance with SEC rules, this column reflects the aggregate grant date fair value of the option awards granted during fiscal year 2020 computed in accordance with ASC 718 for share-based compensation transactions. These amounts do not reflect the actual economic value that will be realized by the named executive officer upon the vesting of the stock options, the exercise of the stock options or the sale of the shares of common stock underlying such stock options. We provide information regarding the assumptions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20"/>
        <w:spacing w:after="0" w:line="258" w:lineRule="auto"/>
        <w:rPr>
          <w:sz w:val="20"/>
          <w:szCs w:val="20"/>
          <w:color w:val="auto"/>
        </w:rPr>
      </w:pPr>
      <w:r>
        <w:rPr>
          <w:rFonts w:ascii="Arial" w:cs="Arial" w:eastAsia="Arial" w:hAnsi="Arial"/>
          <w:sz w:val="18"/>
          <w:szCs w:val="18"/>
          <w:color w:val="auto"/>
        </w:rPr>
        <w:t>used to calculate the value of all stock options made to our named executive officers in Note 11 to our audited financial statements included elsewhere in this prospectus.</w:t>
      </w:r>
    </w:p>
    <w:p>
      <w:pPr>
        <w:spacing w:after="0" w:line="1"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reflected include an increase to Ms. Beckman’s stock options to reflect her appointment to full-time status, effective on July 1, 2020.</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Dr. Weber also serves as a member of our board of directors but does not receive any additional compensation for her service as a director.</w:t>
      </w:r>
    </w:p>
    <w:p>
      <w:pPr>
        <w:spacing w:after="0" w:line="20"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Reflects performance-based cash bonuses awarded to our named executive officers. See </w:t>
      </w:r>
      <w:r>
        <w:rPr>
          <w:rFonts w:ascii="Arial" w:cs="Arial" w:eastAsia="Arial" w:hAnsi="Arial"/>
          <w:sz w:val="18"/>
          <w:szCs w:val="18"/>
          <w:i w:val="1"/>
          <w:iCs w:val="1"/>
          <w:color w:val="auto"/>
        </w:rPr>
        <w:t>“— Non-equity incentive plan compensation</w:t>
      </w:r>
      <w:r>
        <w:rPr>
          <w:rFonts w:ascii="Arial" w:cs="Arial" w:eastAsia="Arial" w:hAnsi="Arial"/>
          <w:sz w:val="18"/>
          <w:szCs w:val="18"/>
          <w:color w:val="auto"/>
        </w:rPr>
        <w:t>” below for a description of the material terms of the program pursuant to which this compensation was awarded.</w:t>
      </w:r>
    </w:p>
    <w:p>
      <w:pPr>
        <w:ind w:left="540" w:right="28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$2,865 of health benefits and life &amp; disability insurance and $5,603 of expenses for phone services and home office expenses that we paid for on behalf of Dr. Weber.</w:t>
      </w:r>
    </w:p>
    <w:p>
      <w:pPr>
        <w:ind w:left="540" w:right="18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$4,772 of expenses for phone services and home office expenses that we paid for on behalf of Ms. Beckman.</w:t>
      </w:r>
    </w:p>
    <w:p>
      <w:pPr>
        <w:ind w:left="540" w:right="180" w:hanging="424"/>
        <w:spacing w:after="0" w:line="26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$3,372 of expenses for phone services and home office expenses that we paid for on behalf of Dr. Huang.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Disclosures to the Summary Compensation Table</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executives. In setting executive base salaries and bonuses and granting equity incentive awards, we consider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2020 Base</w:t>
            </w:r>
          </w:p>
        </w:tc>
        <w:tc>
          <w:tcPr>
            <w:tcW w:w="52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2021 Base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4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w:t>
            </w:r>
          </w:p>
        </w:tc>
        <w:tc>
          <w:tcPr>
            <w:tcW w:w="5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3560" w:type="dxa"/>
            <w:vAlign w:val="bottom"/>
            <w:gridSpan w:val="2"/>
          </w:tcPr>
          <w:p>
            <w:pPr>
              <w:jc w:val="center"/>
              <w:ind w:left="2796"/>
              <w:spacing w:after="0" w:line="158"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436"/>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Barbara Weber, M.D.</w:t>
            </w:r>
          </w:p>
        </w:tc>
        <w:tc>
          <w:tcPr>
            <w:tcW w:w="28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$491,617</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$526,000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Daniella Beckman(1)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$373,806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80" w:hanging="424"/>
        <w:spacing w:after="0" w:line="258"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Ms. Beckman transitioned to full-time employment on July 1, 2020 and her salary was adjusted to reflect her employment status with our company.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2021 Base Salary is effective as of August 10, 2021.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bonus program is intended to recognize and reward associates for achieving established objectives that are linked to our growth and success, thereby allowing them to share in our performance based on corporate and individual accomplishments. Early in 2020, our board of directors determined a number of company performance goals for fiscal 2020 pertaining to (i) Early-stage target discovery efforts of 30% (ii) Drug discovery efforts,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 the development efforts for our TNG908 program of 55% and (iii) Corporate Strategy and organizational objectives of 15%.</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4"/>
                <w:szCs w:val="14"/>
                <w:color w:val="auto"/>
              </w:rPr>
            </w:pPr>
          </w:p>
        </w:tc>
        <w:tc>
          <w:tcPr>
            <w:tcW w:w="118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Bonus</w:t>
            </w:r>
          </w:p>
        </w:tc>
        <w:tc>
          <w:tcPr>
            <w:tcW w:w="4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Bonus</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3820" w:type="dxa"/>
            <w:vAlign w:val="bottom"/>
            <w:gridSpan w:val="3"/>
          </w:tcPr>
          <w:p>
            <w:pPr>
              <w:jc w:val="center"/>
              <w:ind w:left="1779"/>
              <w:spacing w:after="0" w:line="158" w:lineRule="exact"/>
              <w:rPr>
                <w:sz w:val="20"/>
                <w:szCs w:val="20"/>
                <w:color w:val="auto"/>
              </w:rPr>
            </w:pPr>
            <w:r>
              <w:rPr>
                <w:rFonts w:ascii="Arial" w:cs="Arial" w:eastAsia="Arial" w:hAnsi="Arial"/>
                <w:sz w:val="14"/>
                <w:szCs w:val="14"/>
                <w:b w:val="1"/>
                <w:bCs w:val="1"/>
                <w:color w:val="auto"/>
                <w:w w:val="99"/>
              </w:rPr>
              <w:t>Target (%)</w:t>
            </w:r>
          </w:p>
        </w:tc>
        <w:tc>
          <w:tcPr>
            <w:tcW w:w="1380" w:type="dxa"/>
            <w:vAlign w:val="bottom"/>
            <w:gridSpan w:val="3"/>
          </w:tcPr>
          <w:p>
            <w:pPr>
              <w:jc w:val="center"/>
              <w:ind w:left="179"/>
              <w:spacing w:after="0" w:line="158" w:lineRule="exact"/>
              <w:rPr>
                <w:sz w:val="20"/>
                <w:szCs w:val="20"/>
                <w:color w:val="auto"/>
              </w:rPr>
            </w:pPr>
            <w:r>
              <w:rPr>
                <w:rFonts w:ascii="Arial" w:cs="Arial" w:eastAsia="Arial" w:hAnsi="Arial"/>
                <w:sz w:val="14"/>
                <w:szCs w:val="14"/>
                <w:b w:val="1"/>
                <w:bCs w:val="1"/>
                <w:color w:val="auto"/>
                <w:w w:val="99"/>
              </w:rPr>
              <w:t>Target (%)</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2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250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40%</w:t>
            </w:r>
          </w:p>
        </w:tc>
        <w:tc>
          <w:tcPr>
            <w:tcW w:w="4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3820" w:type="dxa"/>
            <w:vAlign w:val="bottom"/>
            <w:gridSpan w:val="3"/>
          </w:tcPr>
          <w:p>
            <w:pPr>
              <w:jc w:val="right"/>
              <w:ind w:right="480"/>
              <w:spacing w:after="0"/>
              <w:rPr>
                <w:sz w:val="20"/>
                <w:szCs w:val="20"/>
                <w:color w:val="auto"/>
              </w:rPr>
            </w:pPr>
            <w:r>
              <w:rPr>
                <w:rFonts w:ascii="Arial" w:cs="Arial" w:eastAsia="Arial" w:hAnsi="Arial"/>
                <w:sz w:val="18"/>
                <w:szCs w:val="18"/>
                <w:color w:val="auto"/>
              </w:rPr>
              <w:t>35%</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3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2021 Bonus Target is effective as of August 10, 2021.</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Dr. Weber, Ms. Beckman and Dr. Huang all earned bonuses as set forth in the 2020 Summary Compensation Table. Theses bonuses were based on specified company and individual performance metrics which were approved by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stockholders with those of our employees and consultants, including our executive officers.</w:t>
      </w:r>
    </w:p>
    <w:p>
      <w:pPr>
        <w:spacing w:after="0" w:line="170"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We have historically used stock options as an incentive for long-term compensation to our executive officers because the stock options allow our executive officers to profit from this form of equity compensation only if our stock price increases relative to the stock option’s exercise price, which exercise price is set at the fair market value of our common stock on the date of grant. We may grant equity awards at such times as our board of directors or compensation committee determines appropriate. Our executives generally are awarded an initial grant in the form of stock options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may also construct alternative vesting schedules as it determines are appropriate to motivate particular employees. All options are granted with an exercise price that is no less than the fair market value of our common stock on the date of such grant of such award.</w:t>
      </w:r>
    </w:p>
    <w:p>
      <w:pPr>
        <w:spacing w:after="0" w:line="18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Prior to the Business Combination, we granted all stock options pursuant to our 2017 Plan (as defined herein). The terms of our equity plans are described below under “</w:t>
      </w:r>
      <w:r>
        <w:rPr>
          <w:rFonts w:ascii="Arial" w:cs="Arial" w:eastAsia="Arial" w:hAnsi="Arial"/>
          <w:sz w:val="18"/>
          <w:szCs w:val="18"/>
          <w:i w:val="1"/>
          <w:iCs w:val="1"/>
          <w:color w:val="auto"/>
        </w:rPr>
        <w:t>Equity Plans.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initially entered into an offer letter with each of our named executive officers in connection with such officer’s employment with us, which set forth the terms and conditions of such officer’s employment, including base salary, target annual bonus opportunity, initial equity awards and standard employee benefit plan participation. Effective upon the closing of the Business Combination, we entered into an employment agreements with each of Dr. Weber, Ms. Beckman and Dr. Huang that replaced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40"/>
          </w:cols>
          <w:pgMar w:left="320" w:top="459"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named executive officers to stay focused on the business in those circumstances, rather than focusing on the potential implications for them personally. The employment agreements with our named executive officers will require the named executive officers to execute a separation agreement containing a general release of claims in our favor to receive any severance payments and benefits. The material terms of the employment agreements with Dr. Weber, Ms. Beckman and Dr. Huang are summarized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Barbara Weber, M.D.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Effective upon the closing of the Business Combination, we entered into a new employment agreement with Dr. Weber. Under Dr. Weber’s employment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or the Weber Employment Agreement, Dr. Weber will serve as our Chief Executive Officer on an at-will basis. Dr. Weber’s base salary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$526,000, which is subject to periodic review and adjustment, and she will be eligible to earn an annual bonus with a target amount equal to 50% of 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base salary. Dr. Weber is eligible to participate in the employee benefit plans available to our employees, subject to the terms of those plans.</w:t>
      </w:r>
    </w:p>
    <w:p>
      <w:pPr>
        <w:spacing w:after="0" w:line="22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(iv) acceleration by 12 months of the unvested portion of all stock options and other stock-based awards subject solely to time-based vesting held by Dr. Weber.</w:t>
      </w:r>
    </w:p>
    <w:p>
      <w:pPr>
        <w:spacing w:after="0" w:line="166"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the execution and effectiveness of a separation agreement, including a general release of claims in our favor, (i) she will be entitled to receive a lump sum in cash equal to 1.5 times Dr. Weber’s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(iv) 100% of all stock options and other stock-based awards subject solely to time-based vesting held by Dr. Weber shall be accelerated.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Daniella Beckman</w:t>
      </w:r>
    </w:p>
    <w:p>
      <w:pPr>
        <w:spacing w:after="0" w:line="121"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Ms. Beckman. Under Ms. Beckman’s employment agreement, or the Beckman Employment Agreement, Ms. Beckman will serve as our Chief Financial Officer on an at-will basis.</w:t>
      </w:r>
    </w:p>
    <w:p>
      <w:pPr>
        <w:ind w:left="120" w:right="160"/>
        <w:spacing w:after="0" w:line="255" w:lineRule="auto"/>
        <w:rPr>
          <w:sz w:val="20"/>
          <w:szCs w:val="20"/>
          <w:color w:val="auto"/>
        </w:rPr>
      </w:pPr>
      <w:r>
        <w:rPr>
          <w:rFonts w:ascii="Arial" w:cs="Arial" w:eastAsia="Arial" w:hAnsi="Arial"/>
          <w:sz w:val="18"/>
          <w:szCs w:val="18"/>
          <w:color w:val="auto"/>
        </w:rPr>
        <w:t>Ms. Beckman’s base salary is $390,000, which is subject to periodic review and adjustment, and she will be eligible to earn an annual bonus with a target amount equal to 40% of her base salary. Ms. Beckman is eligible to participate in the employee benefit plans available to our employees, subject to the terms of those plans.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12 months following termination, and</w:t>
      </w:r>
    </w:p>
    <w:p>
      <w:pPr>
        <w:spacing w:after="0" w:line="2" w:lineRule="exact"/>
        <w:rPr>
          <w:sz w:val="20"/>
          <w:szCs w:val="20"/>
          <w:color w:val="auto"/>
        </w:rPr>
      </w:pPr>
    </w:p>
    <w:p>
      <w:pPr>
        <w:jc w:val="both"/>
        <w:ind w:left="120" w:right="180" w:hanging="4"/>
        <w:spacing w:after="0" w:line="295" w:lineRule="auto"/>
        <w:tabs>
          <w:tab w:leader="none" w:pos="3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w:t>
      </w:r>
    </w:p>
    <w:p>
      <w:pPr>
        <w:spacing w:after="0" w:line="161"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the execution and effectiveness of a separation agreement, including a general release of claims in our favor, (i) she will be entitled to receive a lump sum in cash equal to 1.0 times Ms. Beckman’s then-current annual base salary (or Ms. Beckman’s annual base salary in effect immediately prior to the change in control, if higher), (ii) she will be entitled to receive a lump sum in cash equal to Ms. Beckman’s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w:t>
      </w:r>
    </w:p>
    <w:p>
      <w:pPr>
        <w:spacing w:after="0" w:line="1" w:lineRule="exact"/>
        <w:rPr>
          <w:sz w:val="20"/>
          <w:szCs w:val="20"/>
          <w:color w:val="auto"/>
        </w:rPr>
      </w:pPr>
    </w:p>
    <w:p>
      <w:pPr>
        <w:ind w:left="120" w:right="20" w:hanging="4"/>
        <w:spacing w:after="0" w:line="255" w:lineRule="auto"/>
        <w:tabs>
          <w:tab w:leader="none" w:pos="4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Ms. Beckman’s eligibility for group medical plan benefits under any other employer’s group medical plan or (C) the end of Ms. Beckman’s COBRA health continuation period, and (iv) 100% of all stock options and other stock-based awards subject solely to time-based vesting held by Ms. Beckman shall be accelerated.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Alan Huang, Ph.D.</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Dr. Huang. Under Dr. Huang’s employment agreement, or the Huang Employment Agreement, Dr. Huang will serve as our Chief Scientific Officer on an at-will basis. Dr. Huang’s base salary is $411,000, which is subject to periodic review and adjustment, and he will be eligible to earn an annual bonus with a target amount equal to 40% of his base salary. Dr. Huang is eligible to participate in the employee benefit plans available to our employees, subject to the terms of those plans.</w:t>
      </w:r>
    </w:p>
    <w:p>
      <w:pPr>
        <w:spacing w:after="0" w:line="15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 for 12 months following termination, and (ii)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lieu of the payments and benefits described in the preceding sentence, in the event that Dr. Huang’s employment is terminated by us without cause or Dr. Huang resigns for good reason on or within 12 months following a “change in control” (as defined in the Huang Employment Agreement), subject to the execution and effectiveness of a separation agreement, including a general release of claims in our favor, (i) he will be entitled to receive a lump sum in cash equal to 1.0 times Dr. Huang’s then-current annual base salary (or Dr. Huang’s annual base salary in effect immediately prior to the change in control, if higher), (ii) he will be entitled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receive a lump sum in cash equal to Dr. Huang’s target annual cash incentive compensation for the year of termination, (iii)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 and (iv) 100% of all stock options and other stock-based awards subject solely to time-based vesting held by Dr. Huang shall be accelerated.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b w:val="1"/>
                <w:bCs w:val="1"/>
                <w:color w:val="auto"/>
                <w:w w:val="86"/>
              </w:rPr>
              <w:t>Option Awards</w:t>
            </w: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Stock Awards</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Incentive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Equity</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Plan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Incentive</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Awards: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6"/>
              </w:rPr>
              <w:t>Plan</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Market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Awards:</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Equity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Number of</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Payout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Incentive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Unearned</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Value Of</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Plan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8"/>
              </w:rPr>
              <w:t>Market</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2"/>
              </w:rPr>
              <w:t>Shares,</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Unearned</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Awards: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Number</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7"/>
              </w:rPr>
              <w:t>Value</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8"/>
              </w:rPr>
              <w:t>Units or</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2"/>
              </w:rPr>
              <w:t>Shares,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of</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Units 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Number of</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3"/>
              </w:rPr>
              <w:t>Number of</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4"/>
              </w:rPr>
              <w:t>Securities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Shares or</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6"/>
              </w:rPr>
              <w:t>Shares or</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5"/>
              </w:rPr>
              <w:t>Rights</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Other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3"/>
              </w:rPr>
              <w:t>Securities</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3"/>
              </w:rPr>
              <w:t>Securities</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Underlying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4"/>
              </w:rPr>
              <w:t>Units of</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Units of</w:t>
            </w: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That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Rights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2"/>
              </w:rPr>
              <w:t>Vesting</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Underlying</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9"/>
              </w:rPr>
              <w:t>Underlying</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Unexercised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Stock That</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Have</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That</w:t>
            </w:r>
          </w:p>
        </w:tc>
        <w:tc>
          <w:tcPr>
            <w:tcW w:w="0" w:type="dxa"/>
            <w:vAlign w:val="bottom"/>
          </w:tcPr>
          <w:p>
            <w:pPr>
              <w:spacing w:after="0"/>
              <w:rPr>
                <w:sz w:val="1"/>
                <w:szCs w:val="1"/>
                <w:color w:val="auto"/>
              </w:rPr>
            </w:pPr>
          </w:p>
        </w:tc>
      </w:tr>
      <w:tr>
        <w:trPr>
          <w:trHeight w:val="135"/>
        </w:trPr>
        <w:tc>
          <w:tcPr>
            <w:tcW w:w="2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6"/>
              </w:rPr>
              <w:t>Commence</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4"/>
              </w:rPr>
              <w:t>Unexercised</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4"/>
              </w:rPr>
              <w:t>Unexercised</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7"/>
              </w:rPr>
              <w:t>Unearned</w:t>
            </w:r>
          </w:p>
        </w:tc>
        <w:tc>
          <w:tcPr>
            <w:tcW w:w="18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Option</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2"/>
                <w:szCs w:val="12"/>
                <w:b w:val="1"/>
                <w:bCs w:val="1"/>
                <w:color w:val="auto"/>
              </w:rPr>
              <w:t>Option</w:t>
            </w: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4"/>
              </w:rPr>
              <w:t>That</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Have Not</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Not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Have Not</w:t>
            </w:r>
          </w:p>
        </w:tc>
        <w:tc>
          <w:tcPr>
            <w:tcW w:w="0" w:type="dxa"/>
            <w:vAlign w:val="bottom"/>
          </w:tcPr>
          <w:p>
            <w:pPr>
              <w:spacing w:after="0"/>
              <w:rPr>
                <w:sz w:val="1"/>
                <w:szCs w:val="1"/>
                <w:color w:val="auto"/>
              </w:rPr>
            </w:pPr>
          </w:p>
        </w:tc>
      </w:tr>
      <w:tr>
        <w:trPr>
          <w:trHeight w:val="121"/>
        </w:trPr>
        <w:tc>
          <w:tcPr>
            <w:tcW w:w="2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155"/>
              <w:spacing w:after="0" w:line="122" w:lineRule="exact"/>
              <w:rPr>
                <w:sz w:val="20"/>
                <w:szCs w:val="20"/>
                <w:color w:val="auto"/>
              </w:rPr>
            </w:pPr>
            <w:r>
              <w:rPr>
                <w:rFonts w:ascii="Arial" w:cs="Arial" w:eastAsia="Arial" w:hAnsi="Arial"/>
                <w:sz w:val="12"/>
                <w:szCs w:val="12"/>
                <w:b w:val="1"/>
                <w:bCs w:val="1"/>
                <w:color w:val="auto"/>
              </w:rPr>
              <w:t>Grant</w:t>
            </w: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3"/>
              </w:rPr>
              <w:t>ment</w:t>
            </w: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8"/>
              </w:rPr>
              <w:t>Options (#)</w:t>
            </w:r>
          </w:p>
        </w:tc>
        <w:tc>
          <w:tcPr>
            <w:tcW w:w="1160" w:type="dxa"/>
            <w:vAlign w:val="bottom"/>
            <w:gridSpan w:val="2"/>
          </w:tcPr>
          <w:p>
            <w:pPr>
              <w:jc w:val="center"/>
              <w:ind w:right="360"/>
              <w:spacing w:after="0" w:line="122" w:lineRule="exact"/>
              <w:rPr>
                <w:sz w:val="20"/>
                <w:szCs w:val="20"/>
                <w:color w:val="auto"/>
              </w:rPr>
            </w:pPr>
            <w:r>
              <w:rPr>
                <w:rFonts w:ascii="Arial" w:cs="Arial" w:eastAsia="Arial" w:hAnsi="Arial"/>
                <w:sz w:val="12"/>
                <w:szCs w:val="12"/>
                <w:b w:val="1"/>
                <w:bCs w:val="1"/>
                <w:color w:val="auto"/>
                <w:w w:val="88"/>
              </w:rPr>
              <w:t>Options (#)</w:t>
            </w:r>
          </w:p>
        </w:tc>
        <w:tc>
          <w:tcPr>
            <w:tcW w:w="6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Options</w:t>
            </w:r>
          </w:p>
        </w:tc>
        <w:tc>
          <w:tcPr>
            <w:tcW w:w="180" w:type="dxa"/>
            <w:vAlign w:val="bottom"/>
          </w:tcPr>
          <w:p>
            <w:pPr>
              <w:spacing w:after="0"/>
              <w:rPr>
                <w:sz w:val="10"/>
                <w:szCs w:val="10"/>
                <w:color w:val="auto"/>
              </w:rPr>
            </w:pPr>
          </w:p>
        </w:tc>
        <w:tc>
          <w:tcPr>
            <w:tcW w:w="620" w:type="dxa"/>
            <w:vAlign w:val="bottom"/>
            <w:gridSpan w:val="3"/>
          </w:tcPr>
          <w:p>
            <w:pPr>
              <w:ind w:left="20"/>
              <w:spacing w:after="0" w:line="122" w:lineRule="exact"/>
              <w:rPr>
                <w:sz w:val="20"/>
                <w:szCs w:val="20"/>
                <w:color w:val="auto"/>
              </w:rPr>
            </w:pPr>
            <w:r>
              <w:rPr>
                <w:rFonts w:ascii="Arial" w:cs="Arial" w:eastAsia="Arial" w:hAnsi="Arial"/>
                <w:sz w:val="12"/>
                <w:szCs w:val="12"/>
                <w:b w:val="1"/>
                <w:bCs w:val="1"/>
                <w:color w:val="auto"/>
              </w:rPr>
              <w:t>Exercise</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2"/>
                <w:szCs w:val="12"/>
                <w:b w:val="1"/>
                <w:bCs w:val="1"/>
                <w:color w:val="auto"/>
                <w:w w:val="98"/>
              </w:rPr>
              <w:t>Expiration</w:t>
            </w: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8"/>
              </w:rPr>
              <w:t>Have Not</w:t>
            </w: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1"/>
              </w:rPr>
              <w:t>Vested</w:t>
            </w: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86"/>
              </w:rPr>
              <w:t>Vested</w:t>
            </w:r>
          </w:p>
        </w:tc>
        <w:tc>
          <w:tcPr>
            <w:tcW w:w="5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1"/>
              </w:rPr>
              <w:t>Vested</w:t>
            </w:r>
          </w:p>
        </w:tc>
        <w:tc>
          <w:tcPr>
            <w:tcW w:w="0" w:type="dxa"/>
            <w:vAlign w:val="bottom"/>
          </w:tcPr>
          <w:p>
            <w:pPr>
              <w:spacing w:after="0"/>
              <w:rPr>
                <w:sz w:val="1"/>
                <w:szCs w:val="1"/>
                <w:color w:val="auto"/>
              </w:rPr>
            </w:pPr>
          </w:p>
        </w:tc>
      </w:tr>
      <w:tr>
        <w:trPr>
          <w:trHeight w:val="143"/>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35"/>
              <w:spacing w:after="0"/>
              <w:rPr>
                <w:sz w:val="20"/>
                <w:szCs w:val="20"/>
                <w:color w:val="auto"/>
              </w:rPr>
            </w:pPr>
            <w:r>
              <w:rPr>
                <w:rFonts w:ascii="Arial" w:cs="Arial" w:eastAsia="Arial" w:hAnsi="Arial"/>
                <w:sz w:val="12"/>
                <w:szCs w:val="12"/>
                <w:b w:val="1"/>
                <w:bCs w:val="1"/>
                <w:color w:val="auto"/>
              </w:rPr>
              <w:t>Date(1)</w:t>
            </w:r>
          </w:p>
        </w:tc>
        <w:tc>
          <w:tcPr>
            <w:tcW w:w="14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Date</w:t>
            </w: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(Exercisable)</w:t>
            </w: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(UnExercisable)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2"/>
                <w:szCs w:val="12"/>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Price(2)</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Vested</w:t>
            </w:r>
          </w:p>
        </w:tc>
        <w:tc>
          <w:tcPr>
            <w:tcW w:w="660" w:type="dxa"/>
            <w:vAlign w:val="bottom"/>
            <w:gridSpan w:val="2"/>
          </w:tcPr>
          <w:p>
            <w:pPr>
              <w:jc w:val="center"/>
              <w:ind w:left="37"/>
              <w:spacing w:after="0"/>
              <w:rPr>
                <w:sz w:val="20"/>
                <w:szCs w:val="20"/>
                <w:color w:val="auto"/>
              </w:rPr>
            </w:pPr>
            <w:r>
              <w:rPr>
                <w:rFonts w:ascii="Arial" w:cs="Arial" w:eastAsia="Arial" w:hAnsi="Arial"/>
                <w:sz w:val="12"/>
                <w:szCs w:val="12"/>
                <w:b w:val="1"/>
                <w:bCs w:val="1"/>
                <w:color w:val="auto"/>
                <w:w w:val="95"/>
              </w:rPr>
              <w:t>($)(5)</w:t>
            </w:r>
          </w:p>
        </w:tc>
        <w:tc>
          <w:tcPr>
            <w:tcW w:w="1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1"/>
              </w:rPr>
              <w:t>($)</w:t>
            </w:r>
          </w:p>
        </w:tc>
        <w:tc>
          <w:tcPr>
            <w:tcW w:w="0" w:type="dxa"/>
            <w:vAlign w:val="bottom"/>
          </w:tcPr>
          <w:p>
            <w:pPr>
              <w:spacing w:after="0"/>
              <w:rPr>
                <w:sz w:val="1"/>
                <w:szCs w:val="1"/>
                <w:color w:val="auto"/>
              </w:rPr>
            </w:pPr>
          </w:p>
        </w:tc>
      </w:tr>
      <w:tr>
        <w:trPr>
          <w:trHeight w:val="20"/>
        </w:trPr>
        <w:tc>
          <w:tcPr>
            <w:tcW w:w="2180" w:type="dxa"/>
            <w:vAlign w:val="bottom"/>
            <w:gridSpan w:val="2"/>
            <w:vMerge w:val="restart"/>
            <w:shd w:val="clear" w:color="auto" w:fill="CCEEFF"/>
          </w:tcPr>
          <w:p>
            <w:pPr>
              <w:spacing w:after="0" w:line="131" w:lineRule="exact"/>
              <w:rPr>
                <w:sz w:val="20"/>
                <w:szCs w:val="20"/>
                <w:color w:val="auto"/>
              </w:rPr>
            </w:pPr>
            <w:r>
              <w:rPr>
                <w:rFonts w:ascii="Arial" w:cs="Arial" w:eastAsia="Arial" w:hAnsi="Arial"/>
                <w:sz w:val="13"/>
                <w:szCs w:val="13"/>
                <w:color w:val="auto"/>
              </w:rPr>
              <w:t xml:space="preserve">Barbara Weber, M.D. </w:t>
            </w:r>
            <w:r>
              <w:rPr>
                <w:rFonts w:ascii="Arial" w:cs="Arial" w:eastAsia="Arial" w:hAnsi="Arial"/>
                <w:sz w:val="13"/>
                <w:szCs w:val="13"/>
                <w:i w:val="1"/>
                <w:iCs w:val="1"/>
                <w:color w:val="auto"/>
              </w:rPr>
              <w:t>President and</w:t>
            </w: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7/30/2017</w:t>
            </w:r>
          </w:p>
        </w:tc>
        <w:tc>
          <w:tcPr>
            <w:tcW w:w="140" w:type="dxa"/>
            <w:vAlign w:val="bottom"/>
            <w:vMerge w:val="continue"/>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6/13/2017</w:t>
            </w:r>
          </w:p>
        </w:tc>
        <w:tc>
          <w:tcPr>
            <w:tcW w:w="18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200" w:type="dxa"/>
            <w:vAlign w:val="bottom"/>
            <w:vMerge w:val="continue"/>
            <w:shd w:val="clear" w:color="auto" w:fill="CCEEFF"/>
          </w:tcPr>
          <w:p>
            <w:pPr>
              <w:spacing w:after="0"/>
              <w:rPr>
                <w:sz w:val="9"/>
                <w:szCs w:val="9"/>
                <w:color w:val="auto"/>
              </w:rPr>
            </w:pPr>
          </w:p>
        </w:tc>
        <w:tc>
          <w:tcPr>
            <w:tcW w:w="800" w:type="dxa"/>
            <w:vAlign w:val="bottom"/>
            <w:shd w:val="clear" w:color="auto" w:fill="CCEEFF"/>
          </w:tcPr>
          <w:p>
            <w:pPr>
              <w:jc w:val="center"/>
              <w:ind w:left="476"/>
              <w:spacing w:after="0" w:line="111" w:lineRule="exact"/>
              <w:rPr>
                <w:sz w:val="20"/>
                <w:szCs w:val="20"/>
                <w:color w:val="auto"/>
              </w:rPr>
            </w:pPr>
            <w:r>
              <w:rPr>
                <w:rFonts w:ascii="Arial" w:cs="Arial" w:eastAsia="Arial" w:hAnsi="Arial"/>
                <w:sz w:val="12"/>
                <w:szCs w:val="12"/>
                <w:color w:val="auto"/>
              </w:rPr>
              <w:t>—</w:t>
            </w:r>
          </w:p>
        </w:tc>
        <w:tc>
          <w:tcPr>
            <w:tcW w:w="3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8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8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2"/>
                <w:szCs w:val="12"/>
                <w:color w:val="auto"/>
              </w:rPr>
              <w:t>403,208(3)</w:t>
            </w:r>
          </w:p>
        </w:tc>
        <w:tc>
          <w:tcPr>
            <w:tcW w:w="100" w:type="dxa"/>
            <w:vAlign w:val="bottom"/>
            <w:vMerge w:val="continue"/>
            <w:shd w:val="clear" w:color="auto" w:fill="CCEEFF"/>
          </w:tcPr>
          <w:p>
            <w:pPr>
              <w:spacing w:after="0"/>
              <w:rPr>
                <w:sz w:val="9"/>
                <w:szCs w:val="9"/>
                <w:color w:val="auto"/>
              </w:rPr>
            </w:pPr>
          </w:p>
        </w:tc>
        <w:tc>
          <w:tcPr>
            <w:tcW w:w="56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rPr>
              <w:t>$ 479,818</w:t>
            </w:r>
          </w:p>
        </w:tc>
        <w:tc>
          <w:tcPr>
            <w:tcW w:w="18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ind w:left="340"/>
              <w:spacing w:after="0" w:line="111" w:lineRule="exact"/>
              <w:rPr>
                <w:sz w:val="20"/>
                <w:szCs w:val="20"/>
                <w:color w:val="auto"/>
              </w:rPr>
            </w:pPr>
            <w:r>
              <w:rPr>
                <w:rFonts w:ascii="Arial" w:cs="Arial" w:eastAsia="Arial" w:hAnsi="Arial"/>
                <w:sz w:val="12"/>
                <w:szCs w:val="12"/>
                <w:color w:val="auto"/>
              </w:rPr>
              <w:t>—</w:t>
            </w:r>
          </w:p>
        </w:tc>
        <w:tc>
          <w:tcPr>
            <w:tcW w:w="200" w:type="dxa"/>
            <w:vAlign w:val="bottom"/>
            <w:vMerge w:val="continue"/>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ind w:left="280"/>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1/24/2019</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1/1/2019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309,125</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336,007(6)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0.52</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1/24/2029</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1/30/2020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1/1/2020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645,132(6)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1/30/2030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180" w:type="dxa"/>
            <w:vAlign w:val="bottom"/>
            <w:gridSpan w:val="2"/>
          </w:tcPr>
          <w:p>
            <w:pPr>
              <w:spacing w:after="0" w:line="138" w:lineRule="exact"/>
              <w:rPr>
                <w:sz w:val="20"/>
                <w:szCs w:val="20"/>
                <w:color w:val="auto"/>
              </w:rPr>
            </w:pPr>
            <w:r>
              <w:rPr>
                <w:rFonts w:ascii="Arial" w:cs="Arial" w:eastAsia="Arial" w:hAnsi="Arial"/>
                <w:sz w:val="13"/>
                <w:szCs w:val="13"/>
                <w:color w:val="auto"/>
              </w:rPr>
              <w:t xml:space="preserve">Daniella Beckman </w:t>
            </w:r>
            <w:r>
              <w:rPr>
                <w:rFonts w:ascii="Arial" w:cs="Arial" w:eastAsia="Arial" w:hAnsi="Arial"/>
                <w:sz w:val="13"/>
                <w:szCs w:val="13"/>
                <w:i w:val="1"/>
                <w:iCs w:val="1"/>
                <w:color w:val="auto"/>
              </w:rPr>
              <w:t>Chief Financial</w:t>
            </w:r>
          </w:p>
        </w:tc>
        <w:tc>
          <w:tcPr>
            <w:tcW w:w="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w w:val="98"/>
              </w:rPr>
              <w:t>10/18/2019</w:t>
            </w:r>
          </w:p>
        </w:tc>
        <w:tc>
          <w:tcPr>
            <w:tcW w:w="920" w:type="dxa"/>
            <w:vAlign w:val="bottom"/>
            <w:gridSpan w:val="3"/>
          </w:tcPr>
          <w:p>
            <w:pPr>
              <w:jc w:val="right"/>
              <w:ind w:right="180"/>
              <w:spacing w:after="0" w:line="138" w:lineRule="exact"/>
              <w:rPr>
                <w:sz w:val="20"/>
                <w:szCs w:val="20"/>
                <w:color w:val="auto"/>
              </w:rPr>
            </w:pPr>
            <w:r>
              <w:rPr>
                <w:rFonts w:ascii="Arial" w:cs="Arial" w:eastAsia="Arial" w:hAnsi="Arial"/>
                <w:sz w:val="13"/>
                <w:szCs w:val="13"/>
                <w:color w:val="auto"/>
              </w:rPr>
              <w:t>9/10/2019</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152,187</w:t>
            </w:r>
          </w:p>
        </w:tc>
        <w:tc>
          <w:tcPr>
            <w:tcW w:w="200" w:type="dxa"/>
            <w:vAlign w:val="bottom"/>
          </w:tcPr>
          <w:p>
            <w:pPr>
              <w:spacing w:after="0"/>
              <w:rPr>
                <w:sz w:val="11"/>
                <w:szCs w:val="11"/>
                <w:color w:val="auto"/>
              </w:rPr>
            </w:pPr>
          </w:p>
        </w:tc>
        <w:tc>
          <w:tcPr>
            <w:tcW w:w="1160" w:type="dxa"/>
            <w:vAlign w:val="bottom"/>
            <w:gridSpan w:val="2"/>
          </w:tcPr>
          <w:p>
            <w:pPr>
              <w:jc w:val="center"/>
              <w:ind w:left="96"/>
              <w:spacing w:after="0" w:line="138" w:lineRule="exact"/>
              <w:rPr>
                <w:sz w:val="20"/>
                <w:szCs w:val="20"/>
                <w:color w:val="auto"/>
              </w:rPr>
            </w:pPr>
            <w:r>
              <w:rPr>
                <w:rFonts w:ascii="Arial" w:cs="Arial" w:eastAsia="Arial" w:hAnsi="Arial"/>
                <w:sz w:val="13"/>
                <w:szCs w:val="13"/>
                <w:color w:val="auto"/>
                <w:w w:val="95"/>
              </w:rPr>
              <w:t>334,813(7)</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20" w:type="dxa"/>
            <w:vAlign w:val="bottom"/>
            <w:gridSpan w:val="2"/>
          </w:tcPr>
          <w:p>
            <w:pPr>
              <w:ind w:left="1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0.52</w:t>
            </w:r>
          </w:p>
        </w:tc>
        <w:tc>
          <w:tcPr>
            <w:tcW w:w="18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8"/>
              </w:rPr>
              <w:t>10/18/2029</w:t>
            </w:r>
          </w:p>
        </w:tc>
        <w:tc>
          <w:tcPr>
            <w:tcW w:w="760" w:type="dxa"/>
            <w:vAlign w:val="bottom"/>
            <w:gridSpan w:val="2"/>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ind w:left="36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340"/>
              <w:spacing w:after="0" w:line="138" w:lineRule="exact"/>
              <w:rPr>
                <w:sz w:val="20"/>
                <w:szCs w:val="20"/>
                <w:color w:val="auto"/>
              </w:rPr>
            </w:pPr>
            <w:r>
              <w:rPr>
                <w:rFonts w:ascii="Arial" w:cs="Arial" w:eastAsia="Arial" w:hAnsi="Arial"/>
                <w:sz w:val="13"/>
                <w:szCs w:val="13"/>
                <w:color w:val="auto"/>
              </w:rPr>
              <w:t>—</w:t>
            </w:r>
          </w:p>
        </w:tc>
        <w:tc>
          <w:tcPr>
            <w:tcW w:w="54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gridSpan w:val="2"/>
          </w:tcPr>
          <w:p>
            <w:pPr>
              <w:ind w:left="140"/>
              <w:spacing w:after="0"/>
              <w:rPr>
                <w:sz w:val="20"/>
                <w:szCs w:val="20"/>
                <w:color w:val="auto"/>
              </w:rPr>
            </w:pPr>
            <w:r>
              <w:rPr>
                <w:rFonts w:ascii="Arial" w:cs="Arial" w:eastAsia="Arial" w:hAnsi="Arial"/>
                <w:sz w:val="13"/>
                <w:szCs w:val="13"/>
                <w:i w:val="1"/>
                <w:iCs w:val="1"/>
                <w:color w:val="auto"/>
              </w:rPr>
              <w:t>Officer</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1/30/2020</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11/1/2019</w:t>
            </w:r>
          </w:p>
        </w:tc>
        <w:tc>
          <w:tcPr>
            <w:tcW w:w="660" w:type="dxa"/>
            <w:vAlign w:val="bottom"/>
          </w:tcPr>
          <w:p>
            <w:pPr>
              <w:jc w:val="right"/>
              <w:spacing w:after="0"/>
              <w:rPr>
                <w:sz w:val="20"/>
                <w:szCs w:val="20"/>
                <w:color w:val="auto"/>
              </w:rPr>
            </w:pPr>
            <w:r>
              <w:rPr>
                <w:rFonts w:ascii="Arial" w:cs="Arial" w:eastAsia="Arial" w:hAnsi="Arial"/>
                <w:sz w:val="13"/>
                <w:szCs w:val="13"/>
                <w:color w:val="auto"/>
              </w:rPr>
              <w:t>44,010</w:t>
            </w:r>
          </w:p>
        </w:tc>
        <w:tc>
          <w:tcPr>
            <w:tcW w:w="200" w:type="dxa"/>
            <w:vAlign w:val="bottom"/>
          </w:tcPr>
          <w:p>
            <w:pPr>
              <w:spacing w:after="0"/>
              <w:rPr>
                <w:sz w:val="12"/>
                <w:szCs w:val="12"/>
                <w:color w:val="auto"/>
              </w:rPr>
            </w:pPr>
          </w:p>
        </w:tc>
        <w:tc>
          <w:tcPr>
            <w:tcW w:w="1160" w:type="dxa"/>
            <w:vAlign w:val="bottom"/>
            <w:gridSpan w:val="2"/>
          </w:tcPr>
          <w:p>
            <w:pPr>
              <w:jc w:val="center"/>
              <w:ind w:left="116"/>
              <w:spacing w:after="0"/>
              <w:rPr>
                <w:sz w:val="20"/>
                <w:szCs w:val="20"/>
                <w:color w:val="auto"/>
              </w:rPr>
            </w:pPr>
            <w:r>
              <w:rPr>
                <w:rFonts w:ascii="Arial" w:cs="Arial" w:eastAsia="Arial" w:hAnsi="Arial"/>
                <w:sz w:val="13"/>
                <w:szCs w:val="13"/>
                <w:color w:val="auto"/>
                <w:w w:val="92"/>
              </w:rPr>
              <w:t>118,490(7)</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0.56</w:t>
            </w:r>
          </w:p>
        </w:tc>
        <w:tc>
          <w:tcPr>
            <w:tcW w:w="1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1/30/2020</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540" w:type="dxa"/>
            <w:vAlign w:val="bottom"/>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10/1/2020</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7/1/2020</w:t>
            </w:r>
          </w:p>
        </w:tc>
        <w:tc>
          <w:tcPr>
            <w:tcW w:w="660" w:type="dxa"/>
            <w:vAlign w:val="bottom"/>
          </w:tcPr>
          <w:p>
            <w:pPr>
              <w:jc w:val="right"/>
              <w:spacing w:after="0"/>
              <w:rPr>
                <w:sz w:val="20"/>
                <w:szCs w:val="20"/>
                <w:color w:val="auto"/>
              </w:rPr>
            </w:pPr>
            <w:r>
              <w:rPr>
                <w:rFonts w:ascii="Arial" w:cs="Arial" w:eastAsia="Arial" w:hAnsi="Arial"/>
                <w:sz w:val="13"/>
                <w:szCs w:val="13"/>
                <w:color w:val="auto"/>
              </w:rPr>
              <w:t>20,885</w:t>
            </w:r>
          </w:p>
        </w:tc>
        <w:tc>
          <w:tcPr>
            <w:tcW w:w="200" w:type="dxa"/>
            <w:vAlign w:val="bottom"/>
          </w:tcPr>
          <w:p>
            <w:pPr>
              <w:spacing w:after="0"/>
              <w:rPr>
                <w:sz w:val="13"/>
                <w:szCs w:val="13"/>
                <w:color w:val="auto"/>
              </w:rPr>
            </w:pPr>
          </w:p>
        </w:tc>
        <w:tc>
          <w:tcPr>
            <w:tcW w:w="1160" w:type="dxa"/>
            <w:vAlign w:val="bottom"/>
            <w:gridSpan w:val="2"/>
          </w:tcPr>
          <w:p>
            <w:pPr>
              <w:jc w:val="center"/>
              <w:ind w:left="96"/>
              <w:spacing w:after="0"/>
              <w:rPr>
                <w:sz w:val="20"/>
                <w:szCs w:val="20"/>
                <w:color w:val="auto"/>
              </w:rPr>
            </w:pPr>
            <w:r>
              <w:rPr>
                <w:rFonts w:ascii="Arial" w:cs="Arial" w:eastAsia="Arial" w:hAnsi="Arial"/>
                <w:sz w:val="13"/>
                <w:szCs w:val="13"/>
                <w:color w:val="auto"/>
                <w:w w:val="95"/>
              </w:rPr>
              <w:t>179,615(8)</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1.09</w:t>
            </w: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10/1/2030</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540" w:type="dxa"/>
            <w:vAlign w:val="bottom"/>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xml:space="preserve">Alan Huang, Ph.D. </w:t>
            </w:r>
            <w:r>
              <w:rPr>
                <w:rFonts w:ascii="Arial" w:cs="Arial" w:eastAsia="Arial" w:hAnsi="Arial"/>
                <w:sz w:val="13"/>
                <w:szCs w:val="13"/>
                <w:i w:val="1"/>
                <w:iCs w:val="1"/>
                <w:color w:val="auto"/>
              </w:rPr>
              <w:t>Chief Scientific</w:t>
            </w: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3/16/2017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3/16/2017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11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18,750(4)</w:t>
            </w:r>
          </w:p>
        </w:tc>
        <w:tc>
          <w:tcPr>
            <w:tcW w:w="84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color w:val="auto"/>
              </w:rPr>
              <w:t>$  22,313</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Officer</w:t>
            </w: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4/12/2018</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1/1/2018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182,291</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67,709(7)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4/11/2028</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4/12/2018</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4/1/2018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216,666</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108,334(7)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4/11/2028</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1/24/2019</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1/1/2019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95,833</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104,167(6)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1/24/2029</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1/30/2020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1/1/2020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200,000(6)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1/30/2030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the awards in this table were granted under our 2017 Plan.</w:t>
      </w:r>
    </w:p>
    <w:p>
      <w:pPr>
        <w:spacing w:after="0" w:line="23"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an exercise price per share that is no less than the fair market value of our common stock on the date of grant of such award. The fair market value has been determined by independent valuation experts and determined in good faith by our board of directors.</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These shares represent the unvested amount of restricted stock awards granted in July 2017. The total award grant was 3,225,660 and vested 25% after the first anniversary and monthly over the next 36 months. These shares are subject to Dr. Weber’s continued employment in our company and the unvested amount is subject to repurchase by us if no longer employed.</w:t>
      </w:r>
    </w:p>
    <w:p>
      <w:pPr>
        <w:spacing w:after="0" w:line="1" w:lineRule="exact"/>
        <w:rPr>
          <w:rFonts w:ascii="Arial" w:cs="Arial" w:eastAsia="Arial" w:hAnsi="Arial"/>
          <w:sz w:val="18"/>
          <w:szCs w:val="18"/>
          <w:color w:val="auto"/>
        </w:rPr>
      </w:pPr>
    </w:p>
    <w:p>
      <w:pPr>
        <w:ind w:left="540" w:right="40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was no public market value for our common stock as of December 31, 2020. Market value as of December 31, 2020 was determined as $1.19/share, as determined by an independent valuation.</w:t>
      </w: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25% vesting after first anniversary and monthly vesting thereafter for 36 months assuming continuing employment with our company.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Monthly vesting for 48 months assuming continued employment with our company.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Shares represent Ms. Beckman’s transition to full-time status and are vested over 48 months assuming continued employment with our company.</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 Perquisites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and Welfare Plans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Plan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2017 Stock Option and Grant Plan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Tango Therapeutics Inc. 2017 Stock Option and Grant Plan, or our 2017 Plan, was initially adopted by our board of directors and approved by our stockholders in March 2017. The 2017 Plan was amended from time to time, and was amended and restated in December 2020 to increase the number of shares of common stock reserved for issuance under the plan. The 2017 Plan provided for the grant of options to purchase shares of our common stock, as well as for the award of restricted stock and restricted stock units. Our 2017 Plan is administered by our compensation committee. Subject to the terms of the 2017 Plan, our committee has the power and authority to, among other things, prescribe, amend, expand, modify and rescind rules and regulations relating to the 2017 Plan.</w:t>
      </w:r>
    </w:p>
    <w:p>
      <w:pPr>
        <w:spacing w:after="0" w:line="192" w:lineRule="exact"/>
        <w:rPr>
          <w:sz w:val="20"/>
          <w:szCs w:val="20"/>
          <w:color w:val="auto"/>
        </w:rPr>
      </w:pPr>
    </w:p>
    <w:p>
      <w:pPr>
        <w:ind w:left="120" w:right="340"/>
        <w:spacing w:after="0" w:line="296" w:lineRule="auto"/>
        <w:rPr>
          <w:sz w:val="20"/>
          <w:szCs w:val="20"/>
          <w:color w:val="auto"/>
        </w:rPr>
      </w:pPr>
      <w:r>
        <w:rPr>
          <w:rFonts w:ascii="Arial" w:cs="Arial" w:eastAsia="Arial" w:hAnsi="Arial"/>
          <w:sz w:val="16"/>
          <w:szCs w:val="16"/>
          <w:color w:val="auto"/>
        </w:rPr>
        <w:t>Pursuant to the 2017 Plan, we were permitted to grant incentive stock options, which are intended to qualify for tax treatment as set forth under Section 422 of the Code, only to our full-time or part-time employees (including officers and directors who are also employees). We could grant non-statutory stock options and all other types of awards to our employees (including officers and directors who are also employees), non-employee directors and consultants. The maximum permitted term of options granted under our 2017 Plan is ten years from the date of grant. In the case of an incentive stock option that is granted to a ten percent stockholder, the term of such stock option cannot exceed five years from the grant date.</w:t>
      </w:r>
    </w:p>
    <w:p>
      <w:pPr>
        <w:spacing w:after="0" w:line="16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2017 Plan also provided for the issuance of restricted stock awards pursuant to which the holder may purchase restricted shares of our common stock. Among other terms and conditions, we may retain an option to repurchase the unvested restricted stock for defined periods of time following the holder’s termination of service.</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Unless otherwise determined by our compensation committee, awards granted under our 2017 Plan generally may not be transferred or assigned in any manner other than by will or the laws of descent and distribution.</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Upon the coming into effect of our 2021 Plan (discussed below), our 2017 Plan was terminated and we will not grant any further awards under such plan, but our 2017 Plan will continue to govern outstanding awards granted thereunder.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2021 Stock Option and Incentive Plan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Tango Therapeutics, Inc. 2021 Stock Option and Incentive Plan, or the 2021 Plan, became effective upon the closing of the Business Combination and replaced our 2017 Plan. The 2021 Plan allows us to make equity and equity- based incentive awards to officers, employees, non-employee directors and consultants. Our board anticipates that providing such persons with a direct stake in our company will assure a closer alignment of the interests of such individuals with those of our company and our stockholders, thereby stimulating their efforts on our behalf and strengthening their desire to remain with us.</w:t>
      </w:r>
    </w:p>
    <w:p>
      <w:pPr>
        <w:spacing w:after="0" w:line="18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have initially reserved 9,498,725 shares of common stock for the issuance of awards under the 2021 Plan, or the Initial Limit. The 2021 Plan provides that the number of shares reserved and available for issuance under the 2021 Plan will automatically increase each January 1, beginning on January 1, 2022, by 5.0% of the outstanding number of shares of common stock on the immediately preceding December 31, or such lesser amount as determined by our board, or the Annual Increase. . This limit is subject to adjustment in the event of a reorganization, recapitalization, reclassification, stock split, stock dividend, reverse stock split or other similar change in our capitalization. The maximum aggregate number of shares of common stock that may be issued upon exercise of incentive stock options under the 2021 Plan shall not exceed the Initial Limit cumulatively increased on January 1, 2022 and on each January 1 thereafter by the lesser of the Annual Increase or 4,749,362 shares of common stock.</w:t>
      </w:r>
    </w:p>
    <w:p>
      <w:pPr>
        <w:spacing w:after="0" w:line="16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foregoing description of the 2021 Plan does not purport to be complete and is qualified in its entirety by reference to the text of the 2021 Plan, which is attached as Exhibit 10.6 hereto and incorporated herein by reference.</w:t>
      </w:r>
    </w:p>
    <w:p>
      <w:pPr>
        <w:spacing w:after="0" w:line="170"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shares we issue under the 2021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the 2021 Plan will be added back to the shares of common stock available for issuance under the 2021 Plan. The maximum aggregate number of shares of common stock that may be issued in the form of incentive stock options under the 2021 Plan shall not exceed the Initial Limit. The grant date fair value of all awards made under the 2021 Plan and all other cash compensation paid by us to any non-employee director for services as a non-employee director in any calendar year shall not exceed $750,000; provided, however, that such amount shall be $1,000,000 for the calendar year in which the applicable non-employee director is initially elected or appointed to our board.</w:t>
      </w:r>
    </w:p>
    <w:p>
      <w:pPr>
        <w:spacing w:after="0" w:line="17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2021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2021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7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Persons eligible to participate in the 2021 Plan will be those full or part-time officers, employees, non-employee directors, and consultants of our company as selected from time to time by our compensation committee in its discretion. As of August 31, 2021, approximately 122 individuals will be eligible to participate in the 2021 Plan, which includes approximately 3 officers, 83 employees who are not officers, 6 non-employee directors, and 30 consultants.</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2021 Plan permits the granting of both options to purchase common stock intended to qualify as incentive stock options under Section 422 of the Code and options that do not so qualify. Options granted under the 2021</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Plan will be non-qualified options if they do not qualify as incentive stock options or exceed the annual limit on incentive stock options. Incentive stock options may only be granted to employees of our company and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subsidiaries. Non-qualified options may be granted to any persons eligible to awards under the 2021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or, in the case of an incentive stock option granted to a ten percent stockholder, may not exceed five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7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61"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The administrator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the administrator and may not exceed ten years from the date of grant. The administrator will determine at what time or times each stock appreciation right may be exercised.</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administrator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The administrator may also grant shares of common stock that are free from any restrictions under the 2021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administrator may grant cash-based awards under the 2021 Plan to participants, subject to the achievement of certain performance goals.</w:t>
      </w:r>
    </w:p>
    <w:p>
      <w:pPr>
        <w:spacing w:after="0" w:line="23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2021 Plan provides that upon the effectiveness of a “sale event,” as defined in the 2021 Plan, an acquirer or successor entity may assume, continue or substitute outstanding awards under the 2021 Plan. To the extent that awards granted under the 2021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we may make or provide for payment, in cash or in kind, to participants holding options and stock appreciation rights equal to the difference between the per share consideration payable in the sale event and the exercise price of the all such outstanding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We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board of directors may amend or discontinue the 2021 Plan and our compensation committee may amend or cancel outstanding awards for purposes of satisfying changes in law or any other lawful purpose, but no such action may materially and adversely affect rights under an award without the holder’s consent. Certain amendments to the 2021 Plan require the approval of our stockholders.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awards may be granted under the 2021 Plan after the date that is ten years from the effective date of the 2021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Employee Stock Purchase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a special meeting of the stockholders of BCTG held on August 9, 2021, BCTG’s stockholders considered and approved the Tango Therapeutics, Inc.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Employee Stock Purchase Plan, or the ESPP. An aggregate of 949,873 shares is reserved and available for issuance under the ESPP. The ESPP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provides that the number of shares reserved and available for issuance under the plan will automatically increase each January 1, beginning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1, 2022, by (i) 1.0% of the outstanding number of shares of common stock on the immediately preceding December 31, or (ii) 949,873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or (iii) such number of shares of common stock as determined by the administrator. If our capital structure changes because of a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 stock split or similar event, the number of shares that can be issued under the ESPP will be appropriately adjusted.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connection with the Merger, on August 10, 2021, we entered into indemnification agreements with each of our directors and executive officers. Each indemnification agreement provides for indemnification and advancements by us of certain expenses and costs relating to claims, suits or proceedings arising from each individual’s service to us as an officer or director, as applicable, to the maximum extent permitted by applicable law.</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foregoing description of the indemnification agreements is qualified in its entirety by the full text of the forms of indemnification agreement, which are attached hereto as Exhibits 10.11 and 10.12 and incorporated herein by reference.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Effective upon the closing of the Business Combination, we adopted a compensation program for our non-employee directors under which each non-employee director will receive the following amounts for their services on our board of directors.</w:t>
      </w:r>
    </w:p>
    <w:p>
      <w:pPr>
        <w:spacing w:after="0" w:line="7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option to purchase 80,000 shares of our common stock upon the director’s initial election or appointment to our board of directors.</w:t>
      </w:r>
    </w:p>
    <w:p>
      <w:pPr>
        <w:spacing w:after="0" w:line="142" w:lineRule="exact"/>
        <w:rPr>
          <w:rFonts w:ascii="Arial" w:cs="Arial" w:eastAsia="Arial" w:hAnsi="Arial"/>
          <w:sz w:val="17"/>
          <w:szCs w:val="17"/>
          <w:color w:val="auto"/>
        </w:rPr>
      </w:pPr>
    </w:p>
    <w:p>
      <w:pPr>
        <w:ind w:left="1080" w:right="400" w:hanging="424"/>
        <w:spacing w:after="0" w:line="308"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annual option to purchase 40,000 shares of our common stock on the date of the annual meeting for such year. Directors who were elected in the 12 months preceding the annual grant are pro-rated on a monthly basis for time in service.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annual director fee of $40,000.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director serves on a committee of our board of directors or in the other capacities stated below, an additional annual fee as follows:</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Non-executive chairperson, $30,000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Lead independent director, $15,000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Audit committee chairperson, $15,000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Audit committee member, $7,500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Compensation committee chairperson, $10,000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Compensation committee member, $5,000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Nomination and governance committee chairperson, $8,000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Nomination and governance committee member, $4,000</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Options granted to our non-employee directors under the program will have an exercise price equal to the fair market value of our common stock on the date of grant and will expire not later than ten years after the date of grant. The options granted upon a director’s initial election or appointment will vest in 48 substantially equal monthly installments following the date of grant. In addition, all unvested options will vest in full upon the occurrence of a change in control.</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do not, and do not expect to, provide separate compensation to our directors who are also our employees, such as Dr. Weber, our President and Chief Executive Officer. Dr. Weber’s compensation as our principal executive officer in 2020 is reported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Director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Fees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Non-Equity</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Nonqualified</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Earned or</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Deferred</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Paid-in</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6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Cash</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60" w:type="dxa"/>
            <w:vAlign w:val="bottom"/>
            <w:gridSpan w:val="2"/>
          </w:tcPr>
          <w:p>
            <w:pPr>
              <w:jc w:val="center"/>
              <w:ind w:left="135"/>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48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00" w:type="dxa"/>
            <w:vAlign w:val="bottom"/>
            <w:gridSpan w:val="2"/>
          </w:tcPr>
          <w:p>
            <w:pPr>
              <w:jc w:val="right"/>
              <w:ind w:right="75"/>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88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88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Aaron Davis</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$ 25,000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Cary Pfeffer</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Malte Peters</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$ 25,000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Mike Pellini</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$ 25,000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35"/>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19"/>
        <w:spacing w:after="0" w:line="277" w:lineRule="auto"/>
        <w:rPr>
          <w:sz w:val="20"/>
          <w:szCs w:val="20"/>
          <w:color w:val="auto"/>
        </w:rPr>
      </w:pPr>
      <w:r>
        <w:rPr>
          <w:rFonts w:ascii="Arial" w:cs="Arial" w:eastAsia="Arial" w:hAnsi="Arial"/>
          <w:sz w:val="18"/>
          <w:szCs w:val="18"/>
          <w:color w:val="auto"/>
        </w:rPr>
        <w:t>The table below shows the aggregate numbers of option awards (exercisable and unexercisable) held as of December 31, 2020 by each non-employee director who was serving as of December 31, 2020.</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3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at 2020 fiscal</w:t>
            </w:r>
          </w:p>
        </w:tc>
        <w:tc>
          <w:tcPr>
            <w:tcW w:w="0" w:type="dxa"/>
            <w:vAlign w:val="bottom"/>
          </w:tcPr>
          <w:p>
            <w:pPr>
              <w:spacing w:after="0"/>
              <w:rPr>
                <w:sz w:val="1"/>
                <w:szCs w:val="1"/>
                <w:color w:val="auto"/>
              </w:rPr>
            </w:pPr>
          </w:p>
        </w:tc>
      </w:tr>
      <w:tr>
        <w:trPr>
          <w:trHeight w:val="158"/>
        </w:trPr>
        <w:tc>
          <w:tcPr>
            <w:tcW w:w="2300" w:type="dxa"/>
            <w:vAlign w:val="bottom"/>
            <w:gridSpan w:val="2"/>
            <w:vMerge w:val="continue"/>
          </w:tcPr>
          <w:p>
            <w:pPr>
              <w:spacing w:after="0"/>
              <w:rPr>
                <w:sz w:val="13"/>
                <w:szCs w:val="13"/>
                <w:color w:val="auto"/>
              </w:rPr>
            </w:pPr>
          </w:p>
        </w:tc>
        <w:tc>
          <w:tcPr>
            <w:tcW w:w="4320" w:type="dxa"/>
            <w:vAlign w:val="bottom"/>
          </w:tcPr>
          <w:p>
            <w:pPr>
              <w:spacing w:after="0"/>
              <w:rPr>
                <w:sz w:val="13"/>
                <w:szCs w:val="13"/>
                <w:color w:val="auto"/>
              </w:rPr>
            </w:pPr>
          </w:p>
        </w:tc>
        <w:tc>
          <w:tcPr>
            <w:tcW w:w="8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year end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Aaron Davis</w:t>
            </w:r>
          </w:p>
        </w:tc>
        <w:tc>
          <w:tcPr>
            <w:tcW w:w="4320" w:type="dxa"/>
            <w:vAlign w:val="bottom"/>
            <w:shd w:val="clear" w:color="auto" w:fill="CCEEFF"/>
          </w:tcPr>
          <w:p>
            <w:pPr>
              <w:spacing w:after="0"/>
              <w:rPr>
                <w:sz w:val="17"/>
                <w:szCs w:val="17"/>
                <w:color w:val="auto"/>
              </w:rPr>
            </w:pPr>
          </w:p>
        </w:tc>
        <w:tc>
          <w:tcPr>
            <w:tcW w:w="80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5180" w:type="dxa"/>
            <w:vAlign w:val="bottom"/>
            <w:gridSpan w:val="3"/>
          </w:tcPr>
          <w:p>
            <w:pPr>
              <w:jc w:val="right"/>
              <w:ind w:right="60"/>
              <w:spacing w:after="0"/>
              <w:rPr>
                <w:sz w:val="20"/>
                <w:szCs w:val="20"/>
                <w:color w:val="auto"/>
              </w:rPr>
            </w:pPr>
            <w:r>
              <w:rPr>
                <w:rFonts w:ascii="Arial" w:cs="Arial" w:eastAsia="Arial" w:hAnsi="Arial"/>
                <w:sz w:val="18"/>
                <w:szCs w:val="18"/>
                <w:color w:val="auto"/>
              </w:rPr>
              <w:t>387,000</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Cary Pfeffer</w:t>
            </w:r>
          </w:p>
        </w:tc>
        <w:tc>
          <w:tcPr>
            <w:tcW w:w="4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4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Malte Peters</w:t>
            </w:r>
          </w:p>
        </w:tc>
        <w:tc>
          <w:tcPr>
            <w:tcW w:w="5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Mike Pellini</w:t>
            </w:r>
          </w:p>
        </w:tc>
        <w:tc>
          <w:tcPr>
            <w:tcW w:w="5180" w:type="dxa"/>
            <w:vAlign w:val="bottom"/>
            <w:gridSpan w:val="3"/>
          </w:tcPr>
          <w:p>
            <w:pPr>
              <w:jc w:val="right"/>
              <w:ind w:right="6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20" w:type="dxa"/>
            <w:vAlign w:val="bottom"/>
          </w:tcPr>
          <w:p>
            <w:pPr>
              <w:jc w:val="right"/>
              <w:ind w:right="2650"/>
              <w:spacing w:after="0"/>
              <w:rPr>
                <w:sz w:val="20"/>
                <w:szCs w:val="20"/>
                <w:color w:val="auto"/>
              </w:rPr>
            </w:pPr>
            <w:r>
              <w:rPr>
                <w:rFonts w:ascii="Arial" w:cs="Arial" w:eastAsia="Arial" w:hAnsi="Arial"/>
                <w:sz w:val="18"/>
                <w:szCs w:val="18"/>
                <w:color w:val="auto"/>
              </w:rPr>
              <w:t>173</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following summary of certain provisions of our capital stock does not purport to be complete and is subject to our certificate of incorporation, our bylaws and the provisions of applicable law. Copies of our certificate of incorporation and our bylaws are attached to this prospectus as Exhibits 3.1 and 3.2,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certificate of incorporation authorizes the issuance of 210,000,000 shares, consisting of 200,000,000 shares of common stock, $0.001 par value per share, and 10,000,000 shares of preferred stock, $0.001 par value, all of which shares of preferred stock will be undesignated. As of September 28, 2021, there were 87,474,258 shares of Common Stock outstanding and held by approximately 132 stockholders of record, and no shares of preferred stock outstanding.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certificate of incorporation provides the following with respect to the rights, powers, preferences and privileges of our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Power</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Holders of common stock are entitled to one vote per share on matters to be voted on by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Subject to any preferential rights of holders of preferred stock then outstanding, holders of common stock will be entitled to receive such dividends, if any, as may be declared from time to time by our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event of our voluntary or involuntary liquidation, dissolution, distribution of assets or winding-up, the holders of common stock will be entitled to receive an equal amount per share of all of our assets of whatever kind available for distribution to stockholders, after the rights of the holders of then outstanding preferred stock with preferential rights have been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has no preemptive rights, conversion rights or other subscription rights or redemption or sinking fund provisions.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Certain of our stockholders, or Holders, hold registration rights pursuant to the Amended and Restated Registration and Stockholder Rights Agreement. Stockholders holding a majority-in-interest of such registrable securities are entitled to make a written demand for registration under the Securities Act of all or part of their registrable securities. Additional information regarding such registration rights is set forth in this prospectus under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 Transactions — Amended and Restated Registration and Shareholder Rights Agreement</w:t>
      </w:r>
      <w:r>
        <w:rPr>
          <w:rFonts w:ascii="Arial" w:cs="Arial" w:eastAsia="Arial" w:hAnsi="Arial"/>
          <w:sz w:val="17"/>
          <w:szCs w:val="17"/>
          <w:color w:val="auto"/>
        </w:rPr>
        <w: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Amended By-laws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Among other things, our certificate of incorporation and bylaws:</w:t>
      </w:r>
    </w:p>
    <w:p>
      <w:pPr>
        <w:spacing w:after="0" w:line="131" w:lineRule="exact"/>
        <w:rPr>
          <w:sz w:val="20"/>
          <w:szCs w:val="20"/>
          <w:color w:val="auto"/>
        </w:rPr>
      </w:pPr>
    </w:p>
    <w:p>
      <w:pPr>
        <w:ind w:left="1080" w:right="2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66 2/3% of all of our then-outstanding shares of the capital stock entitled to vote generally at an election of directors;</w:t>
      </w:r>
    </w:p>
    <w:p>
      <w:pPr>
        <w:spacing w:after="0" w:line="29" w:lineRule="exact"/>
        <w:rPr>
          <w:rFonts w:ascii="Arial" w:cs="Arial" w:eastAsia="Arial" w:hAnsi="Arial"/>
          <w:sz w:val="16"/>
          <w:szCs w:val="16"/>
          <w:color w:val="auto"/>
        </w:rPr>
      </w:pPr>
    </w:p>
    <w:p>
      <w:pPr>
        <w:ind w:left="1080" w:right="16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our board of directors pursuant to a resolution adopted by a majority of the total number of authorized directors;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our company by replacing our board of directors. Because our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our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Our certificate of incorporation limits the liability of our directors to the fullest extent permitted by the DGCL, and our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our company or any of our subsidiaries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ten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or our certificate of incorporation or bylaws (including the interpretation, validity or enforceability thereof), or</w:t>
      </w:r>
    </w:p>
    <w:p>
      <w:pPr>
        <w:spacing w:after="0" w:line="1" w:lineRule="exact"/>
        <w:rPr>
          <w:sz w:val="20"/>
          <w:szCs w:val="20"/>
          <w:color w:val="auto"/>
        </w:rPr>
      </w:pPr>
    </w:p>
    <w:p>
      <w:pPr>
        <w:ind w:left="120" w:right="60" w:hanging="4"/>
        <w:spacing w:after="0" w:line="251" w:lineRule="auto"/>
        <w:tabs>
          <w:tab w:leader="none" w:pos="4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We refer to the foregoing provision in this prospectus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in this prospectus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Although we believe these provisions benefit us by providing increased consistency in the application of Delaware law and federal law, as applicable, such provisions may impose additional litigation costs on stockholders in pursuing any such claims. Additionally, these provisions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stockholders holding 46,646,053 shares of our common stock are subject to restrictions on transfer until February 7, 2022.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of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common stock is listed on the Nasdaq Capital Market under the symbol “TNGX”.</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transfer agent for our common stock is Computershare Trust Company, N.A.</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139"/>
          </w:cols>
          <w:pgMar w:left="320" w:top="459" w:right="1440"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by:</w:t>
      </w:r>
    </w:p>
    <w:p>
      <w:pPr>
        <w:spacing w:after="0" w:line="131"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 the beneficial owner of more than 5% of our outstanding common stock;</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Beneficial ownership is determined in accordance with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August 31, 2021. Common stock issuable upon the exercise, conversion, vesting or settlement of options, warrants, restricted stock units, restricted stock awards or other rights to acquire common stock that are currently vested, exercisable, convertible or subject to settlement, or that will vest or become exercisable, convertible or subject to settlement within 60 days of August 31, 2021 are deemed to be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 Except as disclosed in the footnotes to the table below, and subject to community property laws where applicable, based on the information provided to us, we believe that the persons and entities named in the table below have sole voting and investment power with respect to all common stock shown as beneficially owned by them. Unless otherwise noted, the business address of each of our directors and executive officers is 100 Binney St, Suite 700, Cambridge, MA 02142. The percentage of beneficial ownership is calculated based on 87,474,258 shares of Common Stock outstanding as of August 31, 2021.</w:t>
      </w:r>
    </w:p>
    <w:p>
      <w:pPr>
        <w:spacing w:after="0" w:line="17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4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00" w:type="dxa"/>
            <w:vAlign w:val="bottom"/>
            <w:gridSpan w:val="2"/>
            <w:vMerge w:val="continue"/>
          </w:tcPr>
          <w:p>
            <w:pPr>
              <w:spacing w:after="0"/>
              <w:rPr>
                <w:sz w:val="15"/>
                <w:szCs w:val="15"/>
                <w:color w:val="auto"/>
              </w:rPr>
            </w:pPr>
          </w:p>
        </w:tc>
        <w:tc>
          <w:tcPr>
            <w:tcW w:w="130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Shares</w:t>
            </w: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Barbara Weber, M.D.(1).</w:t>
            </w:r>
          </w:p>
        </w:tc>
        <w:tc>
          <w:tcPr>
            <w:tcW w:w="40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1,614,150</w:t>
            </w: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Daniella Beckman(2)</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197,756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Alexis Borisy(3)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73,947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Lesley Calhoun(4)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12,384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Aaron Davis</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Alan Huang, Ph.D.(5)</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397,045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Reid Huber Ph.D.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Malte Peters, M.D.(6)</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89,171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Mace Rothenberg, M.D.(7)</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12,384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All Directors and Executive Officers as a group (nine individuals)</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2,396,837</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Funds affiliated with Boxer Capital, LLC(8)</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6,973,166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BCTG Holdings, LLC(9)</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6,988,450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Casdin Partners Master Fund, L.P.(10)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5,487,910</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Gilead Sciences, Inc.(11)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4,854,443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Third Rock Ventures IV, L.P.(12)</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19,363,975</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0" w:hanging="424"/>
        <w:spacing w:after="0" w:line="25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1,367,592 shares of common stock and options to purchase 246,558 shares of common stock exercisable within 60 days of August 31, 2021.</w:t>
      </w:r>
    </w:p>
    <w:p>
      <w:pPr>
        <w:ind w:left="540" w:right="240" w:hanging="424"/>
        <w:spacing w:after="0" w:line="26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63,867 shares of common stock and options to purchase 133,889 shares of common stock exercisable within 60 days of August 31, 2021.</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options to purchase 73,947 shares of common stock exercisable within 60 days of August 31,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options to purchase 12,384 shares of common stock exercisable within 60 days of August 31, 2021.</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144,380 shares of common stock and options to purchase 252,665 shares of common stock exercisable within 60 days of August 31, 2021.</w:t>
      </w: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options to purchase 89,171 shares of common stock exercisable within 60 days of August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options to purchase 12,384 shares of common stock exercisable within 60 days of August 31, 2021.</w:t>
      </w:r>
    </w:p>
    <w:p>
      <w:pPr>
        <w:spacing w:after="0" w:line="9"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Consists of (i) with respect to Boxer Capital, LLC, or Boxer Capital, 6,871,642 shares issued as Merger Consideration, and (ii) with respect to MVA Investors, LLC, or MVA, 101,524 shares issued as Merger Consideration. Boxer Capital, Boxer Asset Management Inc., or Boxer Management, and Joseph Lewis share voting and dispositive power over the shares held by Boxer Capital, and Aaron Davis has sole voting and dispositive power over the shares owned by MVA. Each of the individuals and entities listed above expressly disclaims beneficial interest of the shares listed above except to the extent of any pecuniary interest therein. The principal business address of Boxer Capital, MVA and Aaron Davis is: 12860 El Camino Real, Suite 300, San Diego, CA 92130. The principal business address of Boxer Management and Joe Lewis is: c/o Cay House P.O. Box N-7776 E.P. Taylor Drive Lyford Cay, New Providence, Bahamas.</w:t>
      </w:r>
    </w:p>
    <w:p>
      <w:pPr>
        <w:spacing w:after="0" w:line="1" w:lineRule="exact"/>
        <w:rPr>
          <w:rFonts w:ascii="Arial" w:cs="Arial" w:eastAsia="Arial" w:hAnsi="Arial"/>
          <w:sz w:val="17"/>
          <w:szCs w:val="17"/>
          <w:color w:val="auto"/>
        </w:rPr>
      </w:pPr>
    </w:p>
    <w:p>
      <w:pPr>
        <w:ind w:left="540" w:right="100" w:hanging="424"/>
        <w:spacing w:after="0" w:line="250"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board consisting of Aaron Davis, Christopher Fuglesang and Andrew Ellis makes voting and dispositive decisions with respect to securities owned by BCTG Holdings, LLC. Each of Aaron Davis, Christopher Fuglesang and Andrew Ellis disclaims any pecuniary interest in BCTG Holdings, LLC except to the extent of his beneficial interest in the securities owned by BCTG Holdings, LLC. Holdings presented includes 4,488,450 shares held prior to the Merger and 2,500,000 shares issued in the PIPE Financing. The principal business address of BCTG Holdings, LLC is: 12860 El Camino Real, Suite 300, San Diego, CA 92130.</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Represents 3,987,910 shares issued as Merger Consideration and 1,500,000 shares issued in the PIPE Financing. The general partner of Casdin Partners Master Fund, L.P. is Casdin Partners GP, LLC, or Casdin Partners GP. Casdin Capital, LLC is the investment manager of Casdin Master Fund, L.P. Eli Casdin is the managing member of Casdin Capital, LLC and makes the sole voting and investment decisions with respect to shares held by Casdin Master Fund, L.P. The address of Casdin Capital, LLC is 1350 Avenue of the Americas, Suite 2405, New York, NY 10019.</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3,604,443 shares issued as Merger Consideration and 1,250,000 shares issued in the PIPE Financing.</w:t>
      </w:r>
    </w:p>
    <w:p>
      <w:pPr>
        <w:spacing w:after="0" w:line="9"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Represents 19,363,975 shares issued as Merger Consideration. 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Huber is a partner at Third Rock Ventures, LLC, and a member of our board of directors. The address for each of Third Rock Ventures IV, L.P. is 29 Newbury Street, Suite 401, Boston, MA 02116.</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This prospectus relates to the resale by the Selling Securityholders from time to time of up to an aggregate of 68,034,602 shares of our common stock, consisting of up to an aggregate of 18,610,000 shares of our common stock that were issued to the PIPE Investors in the PIPE Financing and up 49,424,602 shares of common stock issued to certain former shareholders of Tango Therapeutics Sub, Inc. at the closing of the Business Combination.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95"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87,474,258 shares of common stock outstanding as of August 31, 2021.</w:t>
      </w:r>
    </w:p>
    <w:p>
      <w:pPr>
        <w:spacing w:after="0" w:line="188"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below have sole voting and sole investment power with respect to all securities that they beneficially own, subject to community property laws where applicable.</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common stock pursuant to this prospectus. Any prospectus supplement may add, update, substitute, or change the information contained in this prospectus, including the identity of each Selling Securityholder and the number of shares of common stock registered on its behalf. A Selling Securityholder may sell or otherwise transfer all, some or none of such shares in this offering.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for additional details. Unless otherwise noted, the business address of each of the persons and entities listed in the table below is 100 Binney St., Suite 700, Cambridge, MA 02142.</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Before the Offering</w:t>
            </w:r>
          </w:p>
        </w:tc>
        <w:tc>
          <w:tcPr>
            <w:tcW w:w="560" w:type="dxa"/>
            <w:vAlign w:val="bottom"/>
          </w:tcPr>
          <w:p>
            <w:pPr>
              <w:spacing w:after="0"/>
              <w:rPr>
                <w:sz w:val="14"/>
                <w:szCs w:val="14"/>
                <w:color w:val="auto"/>
              </w:rPr>
            </w:pPr>
          </w:p>
        </w:tc>
        <w:tc>
          <w:tcPr>
            <w:tcW w:w="2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After the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15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520" w:type="dxa"/>
            <w:vAlign w:val="bottom"/>
            <w:gridSpan w:val="2"/>
            <w:vMerge w:val="continue"/>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5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 of Selling Securityholder</w:t>
            </w:r>
          </w:p>
        </w:tc>
        <w:tc>
          <w:tcPr>
            <w:tcW w:w="500" w:type="dxa"/>
            <w:vAlign w:val="bottom"/>
            <w:vMerge w:val="restart"/>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5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Being Offered</w:t>
            </w:r>
          </w:p>
        </w:tc>
        <w:tc>
          <w:tcPr>
            <w:tcW w:w="5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5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Alan Huang(1)*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388,552</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135,887</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252,665</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Alyeska Master Fund, L.P.(2)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635,471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200,000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435,471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Avoro Life Sciences Fund LC(3)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1,550,000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750,000</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800,000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Entities affiliated with Bain Capital Life Sciences(4)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1,921,790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1,000,000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921,790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Baker Bros. Advisors LP(5)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750,000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Barbara Weber(6)*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1,614,150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1,367,592</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246,558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50"/>
        </w:trPr>
        <w:tc>
          <w:tcPr>
            <w:tcW w:w="3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180</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Before the Offering</w:t>
            </w:r>
          </w:p>
        </w:tc>
        <w:tc>
          <w:tcPr>
            <w:tcW w:w="560" w:type="dxa"/>
            <w:vAlign w:val="bottom"/>
          </w:tcPr>
          <w:p>
            <w:pPr>
              <w:spacing w:after="0"/>
              <w:rPr>
                <w:sz w:val="14"/>
                <w:szCs w:val="14"/>
                <w:color w:val="auto"/>
              </w:rPr>
            </w:pPr>
          </w:p>
        </w:tc>
        <w:tc>
          <w:tcPr>
            <w:tcW w:w="2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After the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15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520" w:type="dxa"/>
            <w:vAlign w:val="bottom"/>
            <w:gridSpan w:val="2"/>
            <w:vMerge w:val="continue"/>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4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Name of Selling Securityholder</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Owned</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Being Offered</w:t>
            </w: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Owned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BCTG Holdings, LLC(7)</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6,988,450</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6,988,450</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Benjamin Cravatt(8)</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17,400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17,400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Blackwell Partners LLC - Series A(29)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14,547</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14,547</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Boxer</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Capital(10)*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6,973,166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6,973,166</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Casdin Partners Master Fund, L.P.(11)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3,987,910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3,987,910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Baum(12)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Citadel CEMF Investments Ltd.(13)</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100,000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100,000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Cormorant(14)*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4,099,184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4,099,184</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Daniella Beckman(15)*</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194,325</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63,867</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130,458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EcoR1 Capital, LLC(16)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Entities Affiliated with Farallon Partners, L.L.C(17).</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300,000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300,000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LLC(18)</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4,000,000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Fifth Avenue Private Equity 15 LLC(19)*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708,384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708,384</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Foresite Capital Fund V, L.P.(20)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Harvard Management Private Equity</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Corporation(21)*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708,385</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708,385</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Hillhouse Capital</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Ltd.(22)*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4,373,982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4,373,982</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Gilead Sciences, Inc.(23)*</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4,854,443</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4,854,443</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G. Christensen(24)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Janus Henderson Biotech Innovation Master Fund</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Limited(25)</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600,000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600,000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 Hager(26)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27,400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27,400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Logos Global Master Fund, LP(27)</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200,000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200,000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Mike Varney Advisors(28)</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Nantahala Capital Partners II Limited Partnership (29)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16,677</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16,677</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Nantahala Capital Partners Limited Partnership(29)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6,162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6,162</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Nantahala Capital Partners SI, LP(29)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35,686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35,686</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NCP QR LP(29)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7,346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7,346</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NCP RFM LP(29)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18,376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18,376</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NexTx Insights, LLC(30)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Entities Affiliated with The Pellini Family Trust(31)*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172,872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172,872</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Olson(32)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PH Investments, LLC(33)*</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442,739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442,739</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181</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Before the Offering</w:t>
            </w:r>
          </w:p>
        </w:tc>
        <w:tc>
          <w:tcPr>
            <w:tcW w:w="500" w:type="dxa"/>
            <w:vAlign w:val="bottom"/>
          </w:tcPr>
          <w:p>
            <w:pPr>
              <w:spacing w:after="0"/>
              <w:rPr>
                <w:sz w:val="14"/>
                <w:szCs w:val="14"/>
                <w:color w:val="auto"/>
              </w:rPr>
            </w:pPr>
          </w:p>
        </w:tc>
        <w:tc>
          <w:tcPr>
            <w:tcW w:w="24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After the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Shares of</w:t>
            </w: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Name of Selling Securityholder</w:t>
            </w: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Owned</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Being Offered</w:t>
            </w: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Owned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Portland Investment(34)*</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354,192</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354,192</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RA Capital Healthcare Fund, L.P.(35)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2,250,000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1,000,000</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1,250,000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Heyman(36)</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40,600</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40,600</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Samsara BioCapital, L.P.(37)</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700,000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700,000</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SCubed Capital, LLC(38)*</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531,288</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531,288</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Sheila Gujrathi(39)</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47,400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47,400</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Creek CS SAV, L.L.C. (29)</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1,206</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1,206</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Sobrato Capital(40)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354,486</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354,486</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Southpoint Master Fund, LP(41)</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3,000,000</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1,000,000</w:t>
            </w: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2,000,000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Third Rock Ventures IV, L.P.(42)*</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19,363,975</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19,363,975</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Wilson(43)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17,400</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17,400</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Woodline Partners LP(44)</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shares are subject to a contractual lockup for 180 days following the Closing Date as described under “</w:t>
      </w:r>
      <w:r>
        <w:rPr>
          <w:rFonts w:ascii="Arial" w:cs="Arial" w:eastAsia="Arial" w:hAnsi="Arial"/>
          <w:sz w:val="16"/>
          <w:szCs w:val="16"/>
          <w:i w:val="1"/>
          <w:iCs w:val="1"/>
          <w:color w:val="auto"/>
        </w:rPr>
        <w:t>Certain Relationships and Related</w:t>
      </w:r>
    </w:p>
    <w:p>
      <w:pPr>
        <w:spacing w:after="0" w:line="248" w:lineRule="exact"/>
        <w:rPr>
          <w:sz w:val="20"/>
          <w:szCs w:val="20"/>
          <w:color w:val="auto"/>
        </w:rPr>
      </w:pPr>
    </w:p>
    <w:p>
      <w:pPr>
        <w:ind w:left="540" w:right="180" w:hanging="424"/>
        <w:spacing w:after="0" w:line="258"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144,380 shares of common stock and options to purchase 252,665 shares of common stock exercisable within 60 days of August 31, 2021. Dr. Huang is our Chief Scientific Officer.</w:t>
      </w:r>
    </w:p>
    <w:p>
      <w:pPr>
        <w:spacing w:after="0" w:line="1"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Alyeska Investment Group, L.P., the investment manager of Alyeska Master Fund, L.P. (“Alyeska”), has voting and investment control of the shares of common stock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2"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Behzad Aghazadeh serves as the portfolio manager and Managing Partner of Avoro Life Sciences Fund LLC. The address of Avoro Life Sciences Fund LLC and Behzad Aghazadeh is 110 Greene Street, Suite 800 NY, NY 10012.</w:t>
      </w:r>
    </w:p>
    <w:p>
      <w:pPr>
        <w:ind w:left="540" w:right="20" w:hanging="424"/>
        <w:spacing w:after="0" w:line="28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shares reported under “Number of Shares of Common Stock Beneficially Owned” before the offering, consist of (i) the following shares of Common Stock purchased in the PIPE Financing: (a) 1,713,138 shares of common stock and 208,652 shares of common stock purchased by Bain Capital Life Sciences Fund II, L.P., or BCLS II, and BCIP Life Sciences Associates, LP, respectively, or BCIPLS, and together with BCLS II, the Bain Capital Life Science Entities. The shares reported under “Number of Shares of Common Stock Being Offered” consist of 891,428 shares held by BCLS II and 108,572 shares held by BCIPLS. Bain Capital Life Science Investors, LLC, or BCLSI, whose managers are Jeffrey Schwartz and Adam Koppel, is the manager of the general partner of BCLS II and governs the investment strategy and decision-making process with respect to investments held by BCIPLS. As a result, each of BCLSI, Mr. Schwartz and Dr. Koppel may be deemed to share voting and dispositive power with respect to the shares of common stock held by the Bain Capital Life Sciences Entities. The address of the Bain Capital Life Sciences Entities is c/o Bain Capital Life Sciences, LP, 200 Clarendon Street, Boston, MA 02116.</w:t>
      </w:r>
    </w:p>
    <w:p>
      <w:pPr>
        <w:spacing w:after="0" w:line="5" w:lineRule="exact"/>
        <w:rPr>
          <w:rFonts w:ascii="Arial" w:cs="Arial" w:eastAsia="Arial" w:hAnsi="Arial"/>
          <w:sz w:val="16"/>
          <w:szCs w:val="16"/>
          <w:color w:val="auto"/>
        </w:rPr>
      </w:pPr>
    </w:p>
    <w:p>
      <w:pPr>
        <w:ind w:left="540" w:hanging="424"/>
        <w:spacing w:after="0" w:line="253"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55,202 shares of common stock held directly by 667, L.P. , or 667, and (ii) 694,798 shares of common stock held directly by Baker Brothers Life Sciences, L.P., or Life Sciences, and together with 667, the BBA Funds. Baker Bros. Advisors LP, or BBA, is the investment adviser to the BBA Funds and has the sole voting and investment power with respect to the securities held by the BBA Funds and thus may be deemed to beneficially own such securities. Baker Bros. Advisors (GP) LLC, or BBA GP, is the sole general partner of BBA and thus may be deemed to beneficially own the securities held by the BBA Funds. The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principals of BBA GP are Julian C. Baker and Felix J. Baker, who may be deemed to beneficially own the securities held by the BBA Funds. The business address of BBA, BBA GP, Julian C. Baker and Felix J. Baker is 860 Washington Street, 3rd Floor, New York, NY 10014. The BBA Funds’ respective general partners relinquished to BBA all discretion and authority with respect to the investment and voting power over securities held by the BBA Funds, and thus BBA has complete and unlimited discretion and authority with respect to the BBA Funds’ investments and voting power over investments. Therefore, the BBA Funds should not be deemed to be beneficial owners of the securities directly held by them.</w:t>
      </w:r>
    </w:p>
    <w:p>
      <w:pPr>
        <w:spacing w:after="0" w:line="2" w:lineRule="exact"/>
        <w:rPr>
          <w:sz w:val="20"/>
          <w:szCs w:val="20"/>
          <w:color w:val="auto"/>
        </w:rPr>
      </w:pPr>
    </w:p>
    <w:p>
      <w:pPr>
        <w:ind w:left="540" w:right="80" w:hanging="424"/>
        <w:spacing w:after="0" w:line="250"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1,367,592 shares of common stock and options to purchase 246,558 shares of common stock exercisable within 60 days of August 31, 2021. Dr. Weber is our President and Chief Executive Officer and a member of our board of directors.</w:t>
      </w:r>
    </w:p>
    <w:p>
      <w:pPr>
        <w:jc w:val="both"/>
        <w:ind w:left="540" w:right="60" w:hanging="424"/>
        <w:spacing w:after="0" w:line="28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board consisting of Aaron Davis, Christopher Fuglesang and Andrew Ellis makes voting and dispositive decisions with respect to the securities owned by BCTG Holdings, LLC. Each individual above disclaims beneficial ownership over the shares owned by BCTG Holdings LLC except to the extent of their pecuniary interest therein. The address of BCTG Holdings, LLC is 12860 El Camino Real, Ste 300 San Diego, CA 92130.</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for Benjamin Cravatt, Ph.D. is 5751 Chelsea Avenue, La Jolla, CA 92037.</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registered holder of the referenced shares to be registered is the following fund under management by a subsidiary of BlackRock, Inc.: BlackRock Health Sciences Trust II. BlackRock, Inc. is the ultimate parent holding company of such subsidiary. On behalf of such subsidiary, the applicable portfolio managers, as managing directors (or in other capacities) of such entities, and/or the applicable investment committee members of such fund, have voting and investment power over the shares held by the fund which is the registered holder of the referenced shares. Such portfolio managers and/or investment committee members expressly disclaim beneficial ownership of all shares held by such fund. The address of such fund and such portfolio managers is 60 State Street 19th/20th Floor, Boston, MA 02109. Shares shown include only the securities being registered for resale and may not incorporate all shares deemed to be beneficially held by the registered holder or BlackRock, Inc.</w:t>
      </w:r>
    </w:p>
    <w:p>
      <w:pPr>
        <w:spacing w:after="0" w:line="4" w:lineRule="exact"/>
        <w:rPr>
          <w:rFonts w:ascii="Arial" w:cs="Arial" w:eastAsia="Arial" w:hAnsi="Arial"/>
          <w:sz w:val="16"/>
          <w:szCs w:val="16"/>
          <w:color w:val="auto"/>
        </w:rPr>
      </w:pPr>
    </w:p>
    <w:p>
      <w:pPr>
        <w:ind w:left="540" w:right="180" w:hanging="424"/>
        <w:spacing w:after="0" w:line="265"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(i) 6,871,642 shares of common Stock held by Boxer Capital, LLC and (ii) 101,524 shares of common stock held by MVA Investors, LLC. Boxer Asset Management, Inc. and Joseph Lewis hold shared voting and dispositive power over the shares held by Boxer Capital, LLC. Each individual and entity above disclaims beneficial ownership over the shares owned by Boxer Capital except to the extent of its or their pecuniary interest therein. Aaron I. Davis is the Chief Executive Officer of MVA Investors, LLC. Mr. Davis disclaims beneficial ownership over the shares owned by MVA Investors, LLC except to the extent of his pecuniary interest therein. Mr. Davis is a member of our board of directors. The address is 12860 El Camino Real, Suite 300, San Diego, CA 92130.</w:t>
      </w:r>
    </w:p>
    <w:p>
      <w:pPr>
        <w:ind w:left="540" w:right="20" w:hanging="424"/>
        <w:spacing w:after="0" w:line="28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shares reflected as beneficially owned by Casdin Partners Master Fund, LP in the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address of each of Casdin Partners Master Fund, L.P., Casdin Capital, LLC, Casdin Partners GP, LLC and Eli Casdin is 1350 Avenue of the Americas, Suite 2600 New York, NY 10019.</w:t>
      </w:r>
    </w:p>
    <w:p>
      <w:pPr>
        <w:spacing w:after="0" w:line="3"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for Dr. Baum is 6960 The Preserve Way, San Diego, CA 92130. Dr. Baum was previously a director of BCTG Acquisition Corp. prior to the Business Combination.</w:t>
      </w:r>
    </w:p>
    <w:p>
      <w:pPr>
        <w:ind w:left="540" w:right="340" w:hanging="424"/>
        <w:spacing w:after="0" w:line="253"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shares are directly held by Citadel CEMF Investments Ltd., or Citadel CEMF. Citadel Advisors LLC, or Citadel Advisors, is the portfolio manager of Citadel CEMF. Citadel Advisors Holdings LP, or CAH, is the sole member of Citadel Advisors. Citadel GP LLC, or CGP, is the general partner of CAH. Kenneth Griffin owns a controlling interest in CGP. Mr. Griffin, as the owner of a controlling interest in CGP, may be deemed to have shared power to vote and/or shared power to dispose of the securities held by Citadel CEMF. This disclosure shall not be construed as an admission that Mr. Griffin or any of the Citadel related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8" w:lineRule="auto"/>
        <w:rPr>
          <w:sz w:val="20"/>
          <w:szCs w:val="20"/>
          <w:color w:val="auto"/>
        </w:rPr>
      </w:pPr>
      <w:r>
        <w:rPr>
          <w:rFonts w:ascii="Arial" w:cs="Arial" w:eastAsia="Arial" w:hAnsi="Arial"/>
          <w:sz w:val="18"/>
          <w:szCs w:val="18"/>
          <w:color w:val="auto"/>
        </w:rPr>
        <w:t>entities listed above is the beneficial owner of any securities of the Company other than the securities actually owned by such person (if any). The address of Citadel CEMF is c/o Citadel Advisors LLC, 601 Lexington Avenue, New York, NY 10022.</w:t>
      </w:r>
    </w:p>
    <w:p>
      <w:pPr>
        <w:spacing w:after="0" w:line="1" w:lineRule="exact"/>
        <w:rPr>
          <w:sz w:val="20"/>
          <w:szCs w:val="20"/>
          <w:color w:val="auto"/>
        </w:rPr>
      </w:pPr>
    </w:p>
    <w:p>
      <w:pPr>
        <w:ind w:left="540" w:right="16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(i) 31,341 shares held by CRMA SPV LP, or CRMA, (ii) 590,894 shares held by Cormorant Global Healthcare Master Fund LP, or Cormorant Master Fund, (iii) 10,000 shares purchase by Cormorant Master Fund in the PIPE Financing and (iv) 2,476,949 held by Cormorant Private Healthcare Fund II, LP, or Cormorant Private Fund. Bihua Chen serves as the portfolio manager of each of CRMA, Cormorant Master Fund and Cormorant Private Fund and is the natural person who exercises voting and dispositive power over the shares. Ms. Chen disclaims any beneficial ownership of the securities held by CRMA, Cormorant Master Fund and Cormorant Private Fund other than to the extent of any pecuniary interest she may have therein, directly or indirectly. The address is c/o Cormorant Asset Management, LP, 200 Clarendon Street, 52nd Floor, Boston, MA 02116.</w:t>
      </w:r>
    </w:p>
    <w:p>
      <w:pPr>
        <w:spacing w:after="0" w:line="2"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63,867 shares of common stock and options to purchase 133,889 shares of common stock exercisable within 60 days of August 31, 2021. Ms. Beckman is our Chief Financial Officer.</w:t>
      </w:r>
    </w:p>
    <w:p>
      <w:pPr>
        <w:ind w:left="540" w:right="6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57,743 shares held by EcoR1 Capital Fund, L.P. and 442,257 shares held by EcoR1 Capital Fund Qualified, L.P. (together with EcoR1 Capital Fund, L.P, the “EcoR1 Funds”). Oleg Nodelman directly or indirectly controls the EcoR1 Funds and as a result may be deemed to have voting and dispositive power over the securities held directly by the EcoR1 Funds. The address for the EcoR1 Funds is 357 Tehama Street, Suite 3, San Francisco, CA 94103.</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5,000 shares purchased by Farallon Capital (AM) Investors, L.P., 23,700 shares purchased by Farallon Capital F5 Master I, L.P.,</w:t>
      </w:r>
    </w:p>
    <w:p>
      <w:pPr>
        <w:spacing w:after="0" w:line="20" w:lineRule="exact"/>
        <w:rPr>
          <w:rFonts w:ascii="Arial" w:cs="Arial" w:eastAsia="Arial" w:hAnsi="Arial"/>
          <w:sz w:val="17"/>
          <w:szCs w:val="17"/>
          <w:color w:val="auto"/>
        </w:rPr>
      </w:pPr>
    </w:p>
    <w:p>
      <w:pPr>
        <w:ind w:left="540"/>
        <w:spacing w:after="0" w:line="281" w:lineRule="auto"/>
        <w:rPr>
          <w:rFonts w:ascii="Arial" w:cs="Arial" w:eastAsia="Arial" w:hAnsi="Arial"/>
          <w:sz w:val="17"/>
          <w:szCs w:val="17"/>
          <w:color w:val="auto"/>
        </w:rPr>
      </w:pPr>
      <w:r>
        <w:rPr>
          <w:rFonts w:ascii="Arial" w:cs="Arial" w:eastAsia="Arial" w:hAnsi="Arial"/>
          <w:sz w:val="16"/>
          <w:szCs w:val="16"/>
          <w:color w:val="auto"/>
        </w:rPr>
        <w:t>15,900 shares purchased by Farallon Capital Institutional Partners II, L.P., 9,500, shares purchased by Farallon Capital Institutional Partners III, L.P., 82,400 shares purchased by Farallon Capital Institutional Partners, L.P., 113,300 shares purchased by Farallon Capital Offshore Investors II, L.P., 39,000 shares purchased by Farallon Capital Partners, L.P. and 11,200 shares purchased by Four Crossings Institutional Partners V, L.P (collectively, the “FPLLC Entities”). Farallon Partners, L.L.C., or FPLLC, as the general partner of each of the FPLLC Entities and may be deemed to beneficially own such shares held by each of the FPLLC Entities. Farallon F5 (GP), L.L.C., or F5MI GP, as the general partner of Farallon Capital F5 Master I, L.P., or F5MI, may be deemed to beneficially own such shares held by F5MI. Farallon Institutional (GP) V, L.L.C., or FCIP V GP, as the general partner of Four Crossings Institutional Partners V, L.P., or FCIP V, may be deemed to beneficially own such shares held by FCIP V. Each of Philip D. Dreyfuss, Michael B. Fisch, Richard B. Fried, Nicolas Giauque, David T. Kim, Michael G. Linn, Rajiv A. Patel, Thomas G. Roberts, Jr., William Seybold, Andrew J. M. Spokes, John R. Warren and Mark C. Wehrly (collectively, the “Farallon Managing Members”), as a (i) managing member or senior managing member, as the case may be, of FPLLC or (ii) manager or senior manager, as the case may be, of F5MI GP and FCIP V GP, in each case with the power to exercise investment discretion, may be deemed to beneficially own such shares held by the FP LLC Entities, F5MI or FCIP V. Each of FPLLC, F5MI GP, FCIP V GP and the Farallon Managing Members disclaims beneficial ownership of any such shares. The address of each of the entities and individuals referenced in this footnote is c/o Farallon Capital Management, L.L.C., One Maritime Plaza, Suite 2100, San Francisco, CA 94111.</w:t>
      </w:r>
    </w:p>
    <w:p>
      <w:pPr>
        <w:spacing w:after="0" w:line="8" w:lineRule="exact"/>
        <w:rPr>
          <w:rFonts w:ascii="Arial" w:cs="Arial" w:eastAsia="Arial" w:hAnsi="Arial"/>
          <w:sz w:val="17"/>
          <w:szCs w:val="17"/>
          <w:color w:val="auto"/>
        </w:rPr>
      </w:pPr>
    </w:p>
    <w:p>
      <w:pPr>
        <w:ind w:left="540" w:right="160" w:hanging="424"/>
        <w:spacing w:after="0" w:line="286"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215,400 share purchased by Fidelity Advisor Series VII: Fidelity Advisor Biotechnology Fund, 1,200 by Fidelity Capital Trust: Fidelity Flex Small Cap Fund—Small Cap Growth Subportfolio, 1,059,748 by Fidelity Growth Company Commingled Pool, 1,006,711 by Fidelity Mt. Vernon Street Trust: Fidelity Growth Company Fund, 210,485 by Fidelity Mt. Vernon Street Trust: Fidelity Growth Company K6 Fund, 223,056 by Fidelity Mt. Vernon Street Trust: Fidelity Series Growth Company Fund, 499,400 by Fidelity Securities Fund: Fidelity Small Cap Growth Fund, 113,500 by Fidelity Securities Fund: Fidelity Small Cap Growth K6 Fund and 670,500 by Fidelity Select Portfolios: Biotechnology Portfolio.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68" w:lineRule="auto"/>
        <w:rPr>
          <w:sz w:val="20"/>
          <w:szCs w:val="20"/>
          <w:color w:val="auto"/>
        </w:rPr>
      </w:pPr>
      <w:r>
        <w:rPr>
          <w:rFonts w:ascii="Arial" w:cs="Arial" w:eastAsia="Arial" w:hAnsi="Arial"/>
          <w:sz w:val="17"/>
          <w:szCs w:val="17"/>
          <w:color w:val="auto"/>
        </w:rPr>
        <w:t>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 w:lineRule="exact"/>
        <w:rPr>
          <w:sz w:val="20"/>
          <w:szCs w:val="20"/>
          <w:color w:val="auto"/>
        </w:rPr>
      </w:pPr>
    </w:p>
    <w:p>
      <w:pPr>
        <w:ind w:left="540" w:right="14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Bessemer Trust Company, N.A., or BTNA, as the sole Advisor to Fifth Avenue Private Equity 15 LLC, or PE 15, has the power to dispose of the securities held by PE 15. BTNA’s principal office is located at 1271 Avenue of the Americas, New York, NY 10020. BTNA’s decisions regarding such securities will be made by a consensus of its five private equity team professionals, or the PE Team. PE 15’s board of managers, which consists of five individuals, has power to vote the securities reported in Item 1(a) on behalf of PE 15. The power to vote the securities cannot be exercised by less than a majority of a quorum of the board members consisting of at least three of the members.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Accordingly, neither the individuals comprising the PE Team nor the individuals comprising the board of managers have been listed here.</w:t>
      </w:r>
    </w:p>
    <w:p>
      <w:pPr>
        <w:spacing w:after="0" w:line="3"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shares are owned directly by Foresite Capital Fund V, L.P., or Fund V. Foresite Capital Management V, LLC, or FCM V, is the general partner of Fund V and may be deemed to have sole voting and dispositive power over these shares. James Tananbaum is the sole managing member of FCM V and may be deemed to have sole voting and dispositive power over these shares. Each reporting person disclaims the existence of a “group.” Each of FCM V and Mr. Tananbaum disclaims beneficial ownership of these shares except to the extent of any pecuniary interest therein, and the filing of this report is not an admission that FCM V or Mr. Tananbaum is the beneficial owner of these shares for purposes of Section 16 or any other purpose. The address for Fund V is 900 Larkspur Landing Circle, Suite 150 Larkspur, CA 94930.</w:t>
      </w:r>
    </w:p>
    <w:p>
      <w:pPr>
        <w:spacing w:after="0" w:line="3" w:lineRule="exact"/>
        <w:rPr>
          <w:rFonts w:ascii="Arial" w:cs="Arial" w:eastAsia="Arial" w:hAnsi="Arial"/>
          <w:sz w:val="16"/>
          <w:szCs w:val="16"/>
          <w:color w:val="auto"/>
        </w:rPr>
      </w:pPr>
    </w:p>
    <w:p>
      <w:pPr>
        <w:ind w:left="540" w:right="200" w:hanging="424"/>
        <w:spacing w:after="0" w:line="281"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Harvard Management Private Equity Corporation is a wholly-owned subsidiary of President and Fellows of Harvard College (Harvard), a Massachusetts corporation. Harvard has delegated investment authority over the securities being registered for resale to Harvard Management Company Inc. Narv Narvekar, Chief Executive Officer of Harvard Management Company Inc., located at 600 Atlantic Ave, Boston, MA 02210, may be deemed to have voting and investment power over the securities held by Harvard Management Private Equity Corporation.</w:t>
      </w:r>
    </w:p>
    <w:p>
      <w:pPr>
        <w:spacing w:after="0" w:line="2"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(i) 16,100 shares of common stock purchased in the PIPE Financing by YHG Investment, L.P., or YHG, (ii) 483,900 shares of common stock purchased in the PIPE Financing by HHLR Fund, L.P., or HHLR Fund, and (iii) 3,873,982 shares of common stock held by HH AUT-IV Holdings Limited, or HH AUT. Each of YHG and HHLR Fund is a Cayman Islands exempted limited partnership. HHLR Advisors, Ltd., an exempted Cayman Islands company, acts as the sole general partner of YHG and acts as the sole management company of HHLR Fund, and is deemed to be the beneficial owner of, and to control the voting power of, the shares held by YHG and HHLR Fund. HH AUT is an exempted company with limited liability registered in the Cayman Islands. HH AUT is ultimately managed and controlled by Hillhouse Investment Management, Ltd. Only shares held by HH AUT are subject to a contractual lockup for 180 days following the Closing Date. The registered address of HH AUT shall be at 89 Nexus Way, Camana Bay, P.O. Box 31106, Grand Cayman, KY1-1205, Cayman Islands.</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3,604,443 shares issued as Merger Consideration and 1,250,000 shares issued in the PIPE Investment. The address for Gilead Sciences, Inc. is 333 Lakeside Drive, Foster City, California 94404.</w:t>
      </w:r>
    </w:p>
    <w:p>
      <w:pPr>
        <w:ind w:left="540" w:right="8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address for Dr. Christensen is 12780 Via Vieve, San Diego, CA 92130. Dr. Christensen was previously a director of BCTG Acquisition Corp. prior to the Business Combination.</w:t>
      </w:r>
    </w:p>
    <w:p>
      <w:pPr>
        <w:ind w:left="540" w:right="360" w:hanging="424"/>
        <w:spacing w:after="0" w:line="302"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shares are held by Janus Henderson Biotech Innovation Master Fund Limited, or Janus. Each of Andy Acker and Dan Lyons, acting as portfolio managers as delegated by Janus Capital Management LLC, who acts as investment adviser to Janus has the ability to make decisions with respect to the voting and disposition of the shares held by Janus. The address for Janus is 151 Detroit Street, Denver, CO 80206.</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Mr. Hager is 133381 Benchley Road, San Diego, CA 92130.</w:t>
      </w:r>
    </w:p>
    <w:p>
      <w:pPr>
        <w:spacing w:after="0" w:line="23"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Arsani William is the managing partner &amp; Chief Investment Officer who exercises voting and dispositive power over the shares held by Logos Global Master Fund, LP . The address for each of Logos Global Master Fund, LP and Mr. William is 1 Letterman Dr., Ste D-700, San Francisco, CA 94129.</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Mike Varney Advisors is 709 N Granados Ave, Solana Beach, CA 92075.</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Selling Securityholder. The address for the Selling Securityholder is 130 Main St. 2nd Floor, New Canaan, CT 06840.</w:t>
      </w:r>
    </w:p>
    <w:p>
      <w:pPr>
        <w:spacing w:after="0" w:line="3" w:lineRule="exact"/>
        <w:rPr>
          <w:rFonts w:ascii="Arial" w:cs="Arial" w:eastAsia="Arial" w:hAnsi="Arial"/>
          <w:sz w:val="16"/>
          <w:szCs w:val="16"/>
          <w:color w:val="auto"/>
        </w:rPr>
      </w:pPr>
    </w:p>
    <w:p>
      <w:pPr>
        <w:ind w:left="540" w:right="52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Steven L. Bender has the power to vote or dispose of the shares held by NexTx Insights, LLC. The address of NexTx Insights, LLC is 1759 Oceanside Blvd, Ste C, #1267, Oceanside CA, 92054.</w:t>
      </w:r>
    </w:p>
    <w:p>
      <w:pPr>
        <w:ind w:left="540" w:right="30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(i) 84,929 shares of common stock held directly by Michael Pellini, (ii) 20,000 shares of common stock purchased in the PIPE Financing by Dr. Pellini, and (iii) 67,943 shares held directly by The Pellini Family Trust, of which Dr. Pellini is the trustee and has voting and investment control with respect to these shares. The address for each of Dr. Pellini and The Pellini Family Trust is 33841 Niguel Shores Drive, Dana Point, CA 92629.</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Peter Olson is 4763 Robbins St, San Diego, CA 92122.</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PH Investments LLC managed by managing members Amos B. Hostetter, Jr. and Barbara W. Hostetter and managing directors Melinda E. Barber, Benjamin A. Gomez and John W. Vander Vort, The address for PH Investments LLC is Pilot House, Lewis Wharf, Boston MA 02110.</w:t>
      </w:r>
    </w:p>
    <w:p>
      <w:pPr>
        <w:ind w:left="540" w:right="22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159,386 shares owned by Portland Investment – EP, LLC, or Portland EP, and 194,806 shares owned by Portland Investment – PIA, LLC, or Portland PIA. William Kane, the Corporate Director of each of Portland EP and Portland PIA has the power to vote or dispose of the shares held by Portland EP and Portland PIA. The address for each of Mr. Kane, Portland EP and Portland PIA is 101 Merrimac St Suite 800, Boston, MA 02114.</w:t>
      </w:r>
    </w:p>
    <w:p>
      <w:pPr>
        <w:spacing w:after="0" w:line="1" w:lineRule="exact"/>
        <w:rPr>
          <w:rFonts w:ascii="Arial" w:cs="Arial" w:eastAsia="Arial" w:hAnsi="Arial"/>
          <w:sz w:val="18"/>
          <w:szCs w:val="18"/>
          <w:color w:val="auto"/>
        </w:rPr>
      </w:pPr>
    </w:p>
    <w:p>
      <w:pPr>
        <w:ind w:left="540" w:right="320" w:hanging="424"/>
        <w:spacing w:after="0" w:line="265"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RA Capital Management, L.P. is the investment manager for RA Capital Healthcare Fund, L.P., or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 The address of the persons and entities listed above is 200 Berkeley Street, 18th Floor, Boston, Massachusetts 02116.</w:t>
      </w: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 Heyman was previously a director of BCTG Acquisition Corp. prior to the Business Combination</w:t>
      </w:r>
      <w:r>
        <w:rPr>
          <w:rFonts w:ascii="Arial" w:cs="Arial" w:eastAsia="Arial" w:hAnsi="Arial"/>
          <w:sz w:val="18"/>
          <w:szCs w:val="18"/>
          <w:b w:val="1"/>
          <w:bCs w:val="1"/>
          <w:color w:val="auto"/>
        </w:rPr>
        <w:t>.</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shares are registered and held by Samsara BioCapital, L.P. Dr. Srinivas Akkaraju, MD, PhD is the reporting person and the managing member of Samsara BioCapital GP, LLC, the general partner of Samsara BioCapital, L.P. The reporting person disclaims beneficial ownership of this securities except to the extent of the reporting person’s pecuniary interest therein. The address is 628 Middlefield Road, Palo Alto, CA 94301.</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Mark Stevens, as Managing Partner, has the power to vote or dispose of the shares held by SCubed Capital, LLC. The address for each of SCubed Capital, LLC and Mr. Stevens is Apres Ski Way #701, Steamboat Springs, CO 80487.</w:t>
      </w: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Dr. Gujrathi is 1395 Rancho Santa Fe, CA 92067.</w:t>
      </w:r>
    </w:p>
    <w:p>
      <w:pPr>
        <w:spacing w:after="0" w:line="9"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Sobrato Capital, a DBA of Sobrato Family Holdings, LLC, a California limited liability company is 599 Castro Street, Suite 400, Mountain View, CA 94041.</w:t>
      </w:r>
    </w:p>
    <w:p>
      <w:pPr>
        <w:ind w:left="540" w:hanging="424"/>
        <w:spacing w:after="0" w:line="255"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80"/>
        <w:spacing w:after="0" w:line="255" w:lineRule="auto"/>
        <w:rPr>
          <w:sz w:val="20"/>
          <w:szCs w:val="20"/>
          <w:color w:val="auto"/>
        </w:rPr>
      </w:pPr>
      <w:r>
        <w:rPr>
          <w:rFonts w:ascii="Arial" w:cs="Arial" w:eastAsia="Arial" w:hAnsi="Arial"/>
          <w:sz w:val="18"/>
          <w:szCs w:val="18"/>
          <w:color w:val="auto"/>
        </w:rPr>
        <w:t>serves as the general partner of Southpoint GP, LP. John S. Clark II serves as managing member of both Southpoint Capital Advisors LLC and Southpoint GP, LLC. Each of the Reporting Persons disclaims beneficial ownership of the shares reported herein. The address for Southpoint Master Fund, LP is 1114 Avenue of the Americas, 22nd Floor, New York, NY 10036.</w:t>
      </w:r>
    </w:p>
    <w:p>
      <w:pPr>
        <w:spacing w:after="0" w:line="3" w:lineRule="exact"/>
        <w:rPr>
          <w:sz w:val="20"/>
          <w:szCs w:val="20"/>
          <w:color w:val="auto"/>
        </w:rPr>
      </w:pPr>
    </w:p>
    <w:p>
      <w:pPr>
        <w:ind w:left="540" w:right="20" w:hanging="424"/>
        <w:spacing w:after="0" w:line="250"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Reid Huber is a partner at Third Rock Ventures, LLC, and a member of our board of directors. The address of Third Rock Ventures IV, L.P. is 29 Newbury Street, 3</w:t>
      </w:r>
      <w:r>
        <w:rPr>
          <w:rFonts w:ascii="Arial" w:cs="Arial" w:eastAsia="Arial" w:hAnsi="Arial"/>
          <w:sz w:val="15"/>
          <w:szCs w:val="15"/>
          <w:color w:val="auto"/>
        </w:rPr>
        <w:t>rd</w:t>
      </w:r>
      <w:r>
        <w:rPr>
          <w:rFonts w:ascii="Arial" w:cs="Arial" w:eastAsia="Arial" w:hAnsi="Arial"/>
          <w:sz w:val="18"/>
          <w:szCs w:val="18"/>
          <w:color w:val="auto"/>
        </w:rPr>
        <w:t xml:space="preserve"> Floor, Boston MA 02116.</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for Mr. Wilson is 5 Ponderosa Ln., Rolling Hills Estates, CA 90274.</w:t>
      </w:r>
    </w:p>
    <w:p>
      <w:pPr>
        <w:spacing w:after="0" w:line="9"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Woodline Partners LP serves as the investment manager of Woodline Master Fund LP and may be deemed to be the beneficial owner of the shares of common stock. Woodline Master Fund LP disclaims any beneficial ownership of these shares. The address of Woodline Master Fund LP is 4 Embarcadero Center, Suite 3450, San Francisco, CA 94111.</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92"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subject to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and any beneficial owners of such entities;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not sought, and will not seek, a ruling from the U.S. Internal Revenue Service, or the IRS, as to any U.S. federal income tax consequence described herein. The IRS may disagree with the discussion herein, and its determination may be upheld by a court. Moreover, there can be no assurance that future legislation, regulations,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57"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If we pay distributions in cash or other property (other than certain distributions of our stock or rights to acquire our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6"/>
          <w:szCs w:val="16"/>
          <w:i w:val="1"/>
          <w:iCs w:val="1"/>
          <w:color w:val="auto"/>
        </w:rPr>
        <w:t>U.S. Holders — Gain or Loss on Sale, Taxable Exchange or Other Taxable Disposition of common stock</w:t>
      </w:r>
      <w:r>
        <w:rPr>
          <w:rFonts w:ascii="Arial" w:cs="Arial" w:eastAsia="Arial" w:hAnsi="Arial"/>
          <w:sz w:val="16"/>
          <w:szCs w:val="16"/>
          <w:color w:val="auto"/>
        </w:rPr>
        <w:t>” below.</w:t>
      </w:r>
    </w:p>
    <w:p>
      <w:pPr>
        <w:spacing w:after="0" w:line="16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46"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i w:val="1"/>
          <w:iCs w:val="1"/>
          <w:color w:val="auto"/>
        </w:rPr>
        <w:t>Gain or Loss on Sale, Taxable Exchange or Other Taxable Disposition of common stock</w:t>
      </w:r>
      <w:r>
        <w:rPr>
          <w:rFonts w:ascii="Arial" w:cs="Arial" w:eastAsia="Arial" w:hAnsi="Arial"/>
          <w:sz w:val="16"/>
          <w:szCs w:val="16"/>
          <w:color w:val="auto"/>
        </w:rPr>
        <w:t>. Upon a sale or other taxable disposition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may apply to dividends paid to a U.S. holder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In general, any distributions we make to a Non-U.S. holder of shares of our common stock, to the extent paid out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below. If we are unable to determine, at a time reasonably close to the date of payment of a distribution on our common stock, what portion, if any, of the distribution will constitute a dividend, then we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w:t>
      </w:r>
    </w:p>
    <w:p>
      <w:pPr>
        <w:spacing w:after="0" w:line="16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7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i w:val="1"/>
          <w:iCs w:val="1"/>
          <w:color w:val="auto"/>
        </w:rPr>
        <w:t>Gain on Sale, Taxable Exchange or Other Taxable Disposition of common stock</w:t>
      </w:r>
      <w:r>
        <w:rPr>
          <w:rFonts w:ascii="Arial" w:cs="Arial" w:eastAsia="Arial" w:hAnsi="Arial"/>
          <w:sz w:val="17"/>
          <w:szCs w:val="17"/>
          <w:color w:val="auto"/>
        </w:rPr>
        <w:t>. A Non-U.S. holder generally will not be subject to U.S. federal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or withholding tax in respect of gain recognized on a sale, taxable exchange or other taxable disposition of our common stock, unless:</w:t>
      </w:r>
    </w:p>
    <w:p>
      <w:pPr>
        <w:spacing w:after="0" w:line="52" w:lineRule="exact"/>
        <w:rPr>
          <w:sz w:val="20"/>
          <w:szCs w:val="20"/>
          <w:color w:val="auto"/>
        </w:rPr>
      </w:pPr>
    </w:p>
    <w:p>
      <w:pPr>
        <w:ind w:left="1080" w:right="200" w:hanging="424"/>
        <w:spacing w:after="0" w:line="34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w:t>
      </w:r>
    </w:p>
    <w:p>
      <w:pPr>
        <w:spacing w:after="0" w:line="29" w:lineRule="exact"/>
        <w:rPr>
          <w:rFonts w:ascii="Arial" w:cs="Arial" w:eastAsia="Arial" w:hAnsi="Arial"/>
          <w:sz w:val="16"/>
          <w:szCs w:val="16"/>
          <w:color w:val="auto"/>
        </w:rPr>
      </w:pPr>
    </w:p>
    <w:p>
      <w:pPr>
        <w:ind w:left="1080" w:right="20" w:hanging="424"/>
        <w:spacing w:after="0" w:line="25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93" w:lineRule="exact"/>
        <w:rPr>
          <w:rFonts w:ascii="Arial" w:cs="Arial" w:eastAsia="Arial" w:hAnsi="Arial"/>
          <w:sz w:val="18"/>
          <w:szCs w:val="18"/>
          <w:color w:val="auto"/>
        </w:rPr>
      </w:pPr>
    </w:p>
    <w:p>
      <w:pPr>
        <w:ind w:left="1080" w:right="20" w:hanging="424"/>
        <w:spacing w:after="0" w:line="269"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 Generally, a corporation is a U.S. real property holding corporation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common stock will be subject to tax at generally applicable U.S. federal income tax rates.</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Information returns will be filed with the IRS in connection with payments of dividends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FATCA Withholding Taxes</w:t>
      </w:r>
      <w:r>
        <w:rPr>
          <w:rFonts w:ascii="Arial" w:cs="Arial" w:eastAsia="Arial" w:hAnsi="Arial"/>
          <w:sz w:val="16"/>
          <w:szCs w:val="16"/>
          <w:color w:val="auto"/>
        </w:rPr>
        <w:t>. Provisions commonly referred to as “FATCA” impose withholding of 30% on payments of dividends (including constructive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61"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The preceding discussion of material U.S. federal tax considerations is for general information only. It is not tax advice. You should consult your own tax advisors regarding the particular U.S. federal, state, local and non-U.S. tax consequences of purchasing, holding and disposing of our common stock, including the consequences of any proposed changes in applicable laws.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80"/>
          </w:cols>
          <w:pgMar w:left="32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are registering the possible offer and sale from time to time by the Selling Securityholders, or their permitted transferees, of up to an aggregate of 68,034,602 shares of our common stock, consisting of up to an aggregate of 18,610,000 shares of our common stock that were issued to the PIPE Investors in the PIPE Financing and up to an aggregate of 49,424,602 shares of our common stock issued to certain former shareholders of Tango Therapeutics Sub, Inc. at the closing of the Business Combination. We are also registering any additional securities that may become issuable by reason of share splits, share dividends or other similar transactions.</w:t>
      </w:r>
    </w:p>
    <w:p>
      <w:pPr>
        <w:spacing w:after="0" w:line="188"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accounting firm.</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securities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130" w:lineRule="exact"/>
        <w:rPr>
          <w:rFonts w:ascii="Arial" w:cs="Arial" w:eastAsia="Arial" w:hAnsi="Arial"/>
          <w:sz w:val="18"/>
          <w:szCs w:val="18"/>
          <w:color w:val="auto"/>
        </w:rPr>
      </w:pPr>
    </w:p>
    <w:p>
      <w:pPr>
        <w:ind w:left="1080" w:right="200" w:hanging="424"/>
        <w:spacing w:after="0" w:line="286"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“at the market” offerings, as defined in Rule 415(a)(4)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9"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applicable commissions, discounts, concessions and other items constituting compensation from the selling securityholders.</w:t>
      </w:r>
    </w:p>
    <w:p>
      <w:pPr>
        <w:spacing w:after="0" w:line="23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Capital Market under the symbol “TNGX”.</w:t>
      </w:r>
    </w:p>
    <w:p>
      <w:pPr>
        <w:spacing w:after="0" w:line="22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7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or Rule 5121, that offering will be conducted in accordance with the relevant provisions of Rule 5121.</w:t>
      </w:r>
    </w:p>
    <w:p>
      <w:pPr>
        <w:spacing w:after="0" w:line="14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70"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validity of the shares of our common stock offered by this prospectus will be passed upon by Goodwin Procter LLP, Boston, Massachusetts.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financial statements of BCTG Acquisition Corp. as of December 31, 2020 and for the period from May 21, 2020 (inception) through December 31, 2020 appearing in this prospectus have been audited by WithumSmith+Brown, PC, or Withum,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financial statements of Tango Therapeutics, Inc. as of December 31, 2020 and 2019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121" w:lineRule="exact"/>
        <w:rPr>
          <w:sz w:val="20"/>
          <w:szCs w:val="20"/>
          <w:color w:val="auto"/>
        </w:rPr>
      </w:pPr>
    </w:p>
    <w:p>
      <w:pPr>
        <w:ind w:left="360" w:hanging="244"/>
        <w:spacing w:after="0"/>
        <w:tabs>
          <w:tab w:leader="none" w:pos="3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Dismissal of Previous Independent Registered Public Accounting Firm.</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On August 10, 2021, the Audit Committee of Tango dismissed Withum as the Company’s independent registered public accounting firm, effective immediately.</w:t>
      </w:r>
    </w:p>
    <w:p>
      <w:pPr>
        <w:spacing w:after="0" w:line="17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report of Withum on the financial statements of BCTG Acquisition Corp. (the Company’s legal predecessor) as of December 31, 2020 and for the period from May 21, 2020 through December 31, 2020 did not contain an adverse opinion or disclaimer of opinion, nor were they qualified or modified as to uncertainty, audit scope, or accounting principles. During the period from May 21, 2020 through December 31, 2020 and the subsequent interim period through August 10, 2021, there were no (i) disagreements (as defined in Item 304(a)(1)(iv) of Regulation S-K) with Withum on any matter of accounting principles or practices, financial statement disclosure or auditing scope or procedures, which disagreements, if not resolved to the satisfaction of Withum, would have caused Withum to make reference to the subject matter of the disagreements in its reports on the financial statements of the Company, or (ii) “reportable events” (as defined in Item 304(a)(1)(v) of Regulation S-K) within the period of Withum’s engagement and the subsequent interim period through August 10, 2021.</w:t>
      </w:r>
    </w:p>
    <w:p>
      <w:pPr>
        <w:spacing w:after="0" w:line="178"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We have provided Withum with a copy of the disclosures we are making in this prospectus and requested that Withum furnish a letter addressed to the SEC stating whether it agrees with the statements above, and, if not, stating the respects in which it does not agree. Withum previously provided such a letter and has advised no changes need to be made. A copy of Withum’s letter dated August 13, 2021 is filed as Exhibit 16.1 hereto.</w:t>
      </w:r>
    </w:p>
    <w:p>
      <w:pPr>
        <w:spacing w:after="0" w:line="149" w:lineRule="exact"/>
        <w:rPr>
          <w:sz w:val="20"/>
          <w:szCs w:val="20"/>
          <w:color w:val="auto"/>
        </w:rPr>
      </w:pPr>
    </w:p>
    <w:p>
      <w:pPr>
        <w:ind w:left="380" w:hanging="264"/>
        <w:spacing w:after="0"/>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Engagement of New Independent Registered Public Accounting Firm.</w:t>
      </w:r>
    </w:p>
    <w:p>
      <w:pPr>
        <w:spacing w:after="0" w:line="225"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On August 10, 2021, our Audit Committee appointed PricewaterhouseCoopers LLP, or PwC, as the Company’s independent registered public accounting firm for the fiscal year ending December 31, 2021. That engagement was effective immediately.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PwC served as the independent registered public accounting firm of Old Tango prior to the Business Combination. During the period from May 21, 2020 through December 31, 2020 and the subsequent interim period through August 10, 2021, neither Tango nor anyone on its behalf consulted with PwC regarding either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57" w:lineRule="auto"/>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application of accounting principles to a specified transaction, either completed or proposed, or the type of audit opinion that might be rendered on the Company’s financial statements, and a written report or oral advice was provided to the Company that PwC concluded was an important factor considered by the Company in reaching a decision as to any accounting, auditing or financial reporting issue, or (ii) any matter that was either the subject of a disagreement within the meaning of Item 304(a)(1)(iv) of Regulation S-K or any reportable event within the meaning of Item 304(a)(1)(v) of Regulation S-K.</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940"/>
          </w:cols>
          <w:pgMar w:left="320" w:top="459" w:right="6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a registration statement on Form S-1, including exhibits, under the Securities Act, with respect to the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also maintain a website at http://www.tangotx.com.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BCTG ACQUISITION CORP.</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20"/>
            <w:vMerge w:val="restart"/>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Unaudited Condensed Consolidated Balance Sheets</w:t>
              </w:r>
            </w:hyperlink>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20"/>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04">
              <w:r>
                <w:rPr>
                  <w:rFonts w:ascii="Arial" w:cs="Arial" w:eastAsia="Arial" w:hAnsi="Arial"/>
                  <w:sz w:val="18"/>
                  <w:szCs w:val="18"/>
                  <w:color w:val="0000EE"/>
                  <w:w w:val="89"/>
                </w:rPr>
                <w:t>Unaudited Condensed Consolidated Statement of Operations</w:t>
              </w:r>
            </w:hyperlink>
          </w:p>
        </w:tc>
        <w:tc>
          <w:tcPr>
            <w:tcW w:w="6180" w:type="dxa"/>
            <w:vAlign w:val="bottom"/>
            <w:gridSpan w:val="12"/>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Unaudited Condensed Consolidated Statement of Changes in Stockholders’ Equity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Unaudited Condensed Consolidated Statement of Cash Flows</w:t>
              </w:r>
            </w:hyperlink>
          </w:p>
        </w:tc>
        <w:tc>
          <w:tcPr>
            <w:tcW w:w="1520" w:type="dxa"/>
            <w:vAlign w:val="bottom"/>
            <w:tcBorders>
              <w:top w:val="single" w:sz="8" w:color="0000EE"/>
            </w:tcBorders>
            <w:gridSpan w:val="4"/>
          </w:tcPr>
          <w:p>
            <w:pPr>
              <w:spacing w:after="0"/>
              <w:rPr>
                <w:sz w:val="17"/>
                <w:szCs w:val="17"/>
                <w:color w:val="auto"/>
              </w:rPr>
            </w:pPr>
          </w:p>
        </w:tc>
        <w:tc>
          <w:tcPr>
            <w:tcW w:w="460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Notes to Unaudited Condensed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19">
              <w:r>
                <w:rPr>
                  <w:rFonts w:ascii="Arial" w:cs="Arial" w:eastAsia="Arial" w:hAnsi="Arial"/>
                  <w:sz w:val="18"/>
                  <w:szCs w:val="18"/>
                  <w:color w:val="0000EE"/>
                  <w:w w:val="91"/>
                </w:rPr>
                <w:t>Report of Independent Registered Public Accounting Firm</w:t>
              </w:r>
            </w:hyperlink>
          </w:p>
        </w:tc>
        <w:tc>
          <w:tcPr>
            <w:tcW w:w="56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20">
              <w:r>
                <w:rPr>
                  <w:rFonts w:ascii="Arial" w:cs="Arial" w:eastAsia="Arial" w:hAnsi="Arial"/>
                  <w:sz w:val="18"/>
                  <w:szCs w:val="18"/>
                  <w:color w:val="0000EE"/>
                  <w:w w:val="88"/>
                </w:rPr>
                <w:t>Balance Sheet as of December 31, 2020</w:t>
              </w:r>
            </w:hyperlink>
          </w:p>
        </w:tc>
        <w:tc>
          <w:tcPr>
            <w:tcW w:w="768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71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21">
              <w:r>
                <w:rPr>
                  <w:rFonts w:ascii="Arial" w:cs="Arial" w:eastAsia="Arial" w:hAnsi="Arial"/>
                  <w:sz w:val="18"/>
                  <w:szCs w:val="18"/>
                  <w:color w:val="0000EE"/>
                  <w:w w:val="91"/>
                </w:rPr>
                <w:t>Statement of Operations for the period from May 21, 2020 (inception) through December 31, 2020</w:t>
              </w:r>
            </w:hyperlink>
          </w:p>
        </w:tc>
        <w:tc>
          <w:tcPr>
            <w:tcW w:w="34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222">
              <w:r>
                <w:rPr>
                  <w:rFonts w:ascii="Arial" w:cs="Arial" w:eastAsia="Arial" w:hAnsi="Arial"/>
                  <w:sz w:val="18"/>
                  <w:szCs w:val="18"/>
                  <w:color w:val="0000EE"/>
                  <w:w w:val="91"/>
                </w:rPr>
                <w:t>Statement of Changes in Shareholders’ Equity for the period from May 21, 2020 (inception) through December 31, 2020</w:t>
              </w:r>
            </w:hyperlink>
          </w:p>
        </w:tc>
        <w:tc>
          <w:tcPr>
            <w:tcW w:w="18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223">
              <w:r>
                <w:rPr>
                  <w:rFonts w:ascii="Arial" w:cs="Arial" w:eastAsia="Arial" w:hAnsi="Arial"/>
                  <w:sz w:val="18"/>
                  <w:szCs w:val="18"/>
                  <w:color w:val="0000EE"/>
                  <w:w w:val="91"/>
                </w:rPr>
                <w:t>Statement of Cash Flows for the period from May 21, 2020 (inception) through December 31, 2020</w:t>
              </w:r>
            </w:hyperlink>
          </w:p>
        </w:tc>
        <w:tc>
          <w:tcPr>
            <w:tcW w:w="33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Notes to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668"/>
        </w:trPr>
        <w:tc>
          <w:tcPr>
            <w:tcW w:w="2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8"/>
                <w:szCs w:val="18"/>
                <w:b w:val="1"/>
                <w:bCs w:val="1"/>
                <w:color w:val="auto"/>
              </w:rPr>
              <w:t>TANGO THERAPEUTICS, INC.</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0"/>
            <w:vMerge w:val="restart"/>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Unaudited Condensed Consolidated Balance Sheets</w:t>
              </w:r>
            </w:hyperlink>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20"/>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35">
              <w:r>
                <w:rPr>
                  <w:rFonts w:ascii="Arial" w:cs="Arial" w:eastAsia="Arial" w:hAnsi="Arial"/>
                  <w:sz w:val="18"/>
                  <w:szCs w:val="18"/>
                  <w:color w:val="0000EE"/>
                  <w:w w:val="89"/>
                </w:rPr>
                <w:t>Unaudited Condensed Consolidated Statements of Operations and Comprehensive Loss</w:t>
              </w:r>
            </w:hyperlink>
          </w:p>
        </w:tc>
        <w:tc>
          <w:tcPr>
            <w:tcW w:w="4240" w:type="dxa"/>
            <w:vAlign w:val="bottom"/>
            <w:gridSpan w:val="6"/>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Unaudited Condensed Consolidated Statements of Redeemable Convertible Preferred Stock and Stockholders’ Deficit</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196"/>
        </w:trPr>
        <w:tc>
          <w:tcPr>
            <w:tcW w:w="8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Unaudited Condensed Consolidated Statements of Cash Flows</w:t>
              </w:r>
            </w:hyperlink>
          </w:p>
        </w:tc>
        <w:tc>
          <w:tcPr>
            <w:tcW w:w="206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Notes to Unaudited Condensed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53">
              <w:r>
                <w:rPr>
                  <w:rFonts w:ascii="Arial" w:cs="Arial" w:eastAsia="Arial" w:hAnsi="Arial"/>
                  <w:sz w:val="18"/>
                  <w:szCs w:val="18"/>
                  <w:color w:val="0000EE"/>
                  <w:w w:val="91"/>
                </w:rPr>
                <w:t>Report of Independent Registered Public Accounting Firm</w:t>
              </w:r>
            </w:hyperlink>
          </w:p>
        </w:tc>
        <w:tc>
          <w:tcPr>
            <w:tcW w:w="56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Consolidated Balance Sheets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55">
              <w:r>
                <w:rPr>
                  <w:rFonts w:ascii="Arial" w:cs="Arial" w:eastAsia="Arial" w:hAnsi="Arial"/>
                  <w:sz w:val="18"/>
                  <w:szCs w:val="18"/>
                  <w:color w:val="0000EE"/>
                  <w:w w:val="89"/>
                </w:rPr>
                <w:t>Consolidated Statements of Operations and Comprehensive Loss</w:t>
              </w:r>
            </w:hyperlink>
          </w:p>
        </w:tc>
        <w:tc>
          <w:tcPr>
            <w:tcW w:w="58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56">
              <w:r>
                <w:rPr>
                  <w:rFonts w:ascii="Arial" w:cs="Arial" w:eastAsia="Arial" w:hAnsi="Arial"/>
                  <w:sz w:val="18"/>
                  <w:szCs w:val="18"/>
                  <w:color w:val="0000EE"/>
                  <w:w w:val="90"/>
                </w:rPr>
                <w:t>Consolidated Statements of Redeemable Convertible Preferred Stock and Stockholders’ Deficit</w:t>
              </w:r>
            </w:hyperlink>
          </w:p>
        </w:tc>
        <w:tc>
          <w:tcPr>
            <w:tcW w:w="37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Consolidated Statements of Cash Flows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Notes to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582,938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151,355</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734,293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1,497,581</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166,815,023</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166,815,235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167,549,316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168,312,816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26,279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292,811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355,208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5,836,250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6,191,458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5,950,604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w w:val="95"/>
              </w:rPr>
              <w:t>Common stock; 15,635,785 and 15,736,221 shares subject to possible redemption at $10.00 per share as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June 30, 2021 and December 31, 2020,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156,357,850</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157,362,210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w w:val="93"/>
              </w:rPr>
              <w:t>Preferred stock, $0.0001 par value; 1,000,000 shares authorized; none issued and outstanding as of June 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$0.0001 par value; 30,000,000 shares authorized; 5,741,465 and 5,641,029 shares issued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outstanding (excluding 15,635,785 and 15,736,221 shares subject to possible redemption) as of June 30, 2021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6,126,835</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5,122,484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(1,127,401)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5,000,008</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167,549,316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168,312,816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For The</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ind w:right="421"/>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For the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May 21,</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1"/>
              <w:spacing w:after="0" w:line="149"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1"/>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1"/>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8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27,322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(770,235)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(1,036,130)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(764,601)</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(1,003,830)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(764,601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(1,004,355)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16,675,000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16,675,000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Public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Founder shares (1)(2)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4,702,250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4,702,250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3,625,000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71" w:lineRule="auto"/>
        <w:tabs>
          <w:tab w:leader="none" w:pos="540" w:val="left"/>
        </w:tabs>
        <w:numPr>
          <w:ilvl w:val="0"/>
          <w:numId w:val="116"/>
        </w:numPr>
        <w:rPr>
          <w:rFonts w:ascii="Arial" w:cs="Arial" w:eastAsia="Arial" w:hAnsi="Arial"/>
          <w:sz w:val="17"/>
          <w:szCs w:val="17"/>
          <w:i w:val="1"/>
          <w:iCs w:val="1"/>
          <w:color w:val="auto"/>
        </w:rPr>
      </w:pPr>
      <w:r>
        <w:rPr>
          <w:rFonts w:ascii="Arial" w:cs="Arial" w:eastAsia="Arial" w:hAnsi="Arial"/>
          <w:sz w:val="17"/>
          <w:szCs w:val="17"/>
          <w:i w:val="1"/>
          <w:iCs w:val="1"/>
          <w:color w:val="auto"/>
        </w:rPr>
        <w:t>For the period from May 21, 2020 (inception) through June 30, 2020, this number excluded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ind w:left="540" w:right="100" w:hanging="424"/>
        <w:spacing w:after="0" w:line="323" w:lineRule="auto"/>
        <w:tabs>
          <w:tab w:leader="none" w:pos="540" w:val="left"/>
        </w:tabs>
        <w:numPr>
          <w:ilvl w:val="0"/>
          <w:numId w:val="116"/>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BCTG ACQUISITION CORP.</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 CONDENSED CONSOLIDATED STATEMENTS OF CHANGES IN STOCKHOLDERS’ EQUITY</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4"/>
                <w:szCs w:val="14"/>
                <w:b w:val="1"/>
                <w:bCs w:val="1"/>
                <w:color w:val="auto"/>
                <w:w w:val="95"/>
              </w:rPr>
              <w:t>For the Three and Six Months Ended June 30, 2021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30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720" w:type="dxa"/>
            <w:vAlign w:val="bottom"/>
          </w:tcPr>
          <w:p>
            <w:pPr>
              <w:spacing w:after="0"/>
              <w:rPr>
                <w:sz w:val="7"/>
                <w:szCs w:val="7"/>
                <w:color w:val="auto"/>
              </w:rPr>
            </w:pPr>
          </w:p>
        </w:tc>
        <w:tc>
          <w:tcPr>
            <w:tcW w:w="1300" w:type="dxa"/>
            <w:vAlign w:val="bottom"/>
            <w:tcBorders>
              <w:bottom w:val="single" w:sz="8" w:color="auto"/>
            </w:tcBorders>
            <w:gridSpan w:val="5"/>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7"/>
                <w:szCs w:val="7"/>
                <w:color w:val="auto"/>
              </w:rPr>
            </w:pPr>
          </w:p>
        </w:tc>
        <w:tc>
          <w:tcPr>
            <w:tcW w:w="118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3"/>
                <w:szCs w:val="3"/>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57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8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5,641,029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5,122,484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(123,046)</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900" w:type="dxa"/>
            <w:vAlign w:val="bottom"/>
            <w:gridSpan w:val="3"/>
          </w:tcPr>
          <w:p>
            <w:pPr>
              <w:ind w:left="320"/>
              <w:spacing w:after="0"/>
              <w:rPr>
                <w:sz w:val="20"/>
                <w:szCs w:val="20"/>
                <w:color w:val="auto"/>
              </w:rPr>
            </w:pPr>
            <w:r>
              <w:rPr>
                <w:rFonts w:ascii="Arial" w:cs="Arial" w:eastAsia="Arial" w:hAnsi="Arial"/>
                <w:sz w:val="18"/>
                <w:szCs w:val="18"/>
                <w:color w:val="auto"/>
              </w:rPr>
              <w:t>23,976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239,758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239,760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(239,754)</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84"/>
              </w:rPr>
              <w:t>5,665,005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79"/>
              </w:rPr>
              <w:t>566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5,362,242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(362,800)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5,000,008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76,460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764,593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764,601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(764,601)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(764,601)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 (unaudited)</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5,741,465</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574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6,126,835</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(1,127,401)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5,000,008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20" w:type="dxa"/>
            <w:vAlign w:val="bottom"/>
          </w:tcPr>
          <w:p>
            <w:pPr>
              <w:spacing w:after="0"/>
              <w:rPr>
                <w:sz w:val="24"/>
                <w:szCs w:val="24"/>
                <w:color w:val="auto"/>
              </w:rPr>
            </w:pPr>
          </w:p>
        </w:tc>
        <w:tc>
          <w:tcPr>
            <w:tcW w:w="5300" w:type="dxa"/>
            <w:vAlign w:val="bottom"/>
            <w:gridSpan w:val="19"/>
          </w:tcPr>
          <w:p>
            <w:pPr>
              <w:ind w:left="440"/>
              <w:spacing w:after="0"/>
              <w:rPr>
                <w:sz w:val="20"/>
                <w:szCs w:val="20"/>
                <w:color w:val="auto"/>
              </w:rPr>
            </w:pPr>
            <w:r>
              <w:rPr>
                <w:rFonts w:ascii="Arial" w:cs="Arial" w:eastAsia="Arial" w:hAnsi="Arial"/>
                <w:sz w:val="14"/>
                <w:szCs w:val="14"/>
                <w:b w:val="1"/>
                <w:bCs w:val="1"/>
                <w:color w:val="auto"/>
              </w:rPr>
              <w:t>For The Period From May 21, 2020 (inception) through June 30, 2020</w:t>
            </w: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300" w:type="dxa"/>
            <w:vAlign w:val="bottom"/>
            <w:tcBorders>
              <w:top w:val="single" w:sz="8" w:color="auto"/>
            </w:tcBorders>
            <w:gridSpan w:val="5"/>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720" w:type="dxa"/>
            <w:vAlign w:val="bottom"/>
          </w:tcPr>
          <w:p>
            <w:pPr>
              <w:spacing w:after="0"/>
              <w:rPr>
                <w:sz w:val="7"/>
                <w:szCs w:val="7"/>
                <w:color w:val="auto"/>
              </w:rPr>
            </w:pPr>
          </w:p>
        </w:tc>
        <w:tc>
          <w:tcPr>
            <w:tcW w:w="1300" w:type="dxa"/>
            <w:vAlign w:val="bottom"/>
            <w:tcBorders>
              <w:bottom w:val="single" w:sz="8" w:color="auto"/>
            </w:tcBorders>
            <w:gridSpan w:val="5"/>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7"/>
                <w:szCs w:val="7"/>
                <w:color w:val="auto"/>
              </w:rPr>
            </w:pPr>
          </w:p>
        </w:tc>
        <w:tc>
          <w:tcPr>
            <w:tcW w:w="118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3"/>
                <w:szCs w:val="3"/>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57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21, 2020 (inception)</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Issuance of common stock to Sponsor (1)(2)</w:t>
            </w:r>
          </w:p>
        </w:tc>
        <w:tc>
          <w:tcPr>
            <w:tcW w:w="820" w:type="dxa"/>
            <w:vAlign w:val="bottom"/>
            <w:gridSpan w:val="2"/>
          </w:tcPr>
          <w:p>
            <w:pPr>
              <w:ind w:left="100"/>
              <w:spacing w:after="0"/>
              <w:rPr>
                <w:sz w:val="20"/>
                <w:szCs w:val="20"/>
                <w:color w:val="auto"/>
              </w:rPr>
            </w:pPr>
            <w:r>
              <w:rPr>
                <w:rFonts w:ascii="Arial" w:cs="Arial" w:eastAsia="Arial" w:hAnsi="Arial"/>
                <w:sz w:val="18"/>
                <w:szCs w:val="18"/>
                <w:color w:val="auto"/>
                <w:w w:val="87"/>
              </w:rPr>
              <w:t>3,593,750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24,641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Balance — June 30, 2020 (unaudited)</w:t>
            </w: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4"/>
              </w:rPr>
              <w:t>3,593,750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359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424"/>
        <w:spacing w:after="0" w:line="255" w:lineRule="auto"/>
        <w:tabs>
          <w:tab w:leader="none" w:pos="54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spacing w:after="0" w:line="2" w:lineRule="exact"/>
        <w:rPr>
          <w:rFonts w:ascii="Arial" w:cs="Arial" w:eastAsia="Arial" w:hAnsi="Arial"/>
          <w:sz w:val="18"/>
          <w:szCs w:val="18"/>
          <w:i w:val="1"/>
          <w:iCs w:val="1"/>
          <w:color w:val="auto"/>
        </w:rPr>
      </w:pPr>
    </w:p>
    <w:p>
      <w:pPr>
        <w:ind w:left="540" w:right="100" w:hanging="424"/>
        <w:spacing w:after="0" w:line="323" w:lineRule="auto"/>
        <w:tabs>
          <w:tab w:leader="none" w:pos="54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 the Six</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May 21,</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(1,004,355)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(763,660)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Interest released from Trust Account</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Proceeds from note payable to related party</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25,025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(731,147)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1,314,085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582,938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Deferred offering costs included in note payable — related party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offering costs included in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Change in value of common stock subject to possible redemption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(1,004,361)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BCTG Acquisition Corp. (“BCTG” or the “Company”) was incorporated as a Delaware corporation on May 21, 2020. The Company was formed for the purpose of effecting a merger, capital stock exchange, asset acquisition, stock purchase, reorganization or other similar business combination (a “Business Combination”) with one or more operating businesses or entities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and the negotiation of the transactions related to the Proposed Business Combination (as defined below). The Company is an “emerging growth company,” as defined in Section 2(a) of the Securities Act of 1933, as amended (the “Securities Act”), as modified by the Jumpstart our Business Startups Act of 2012 (the “JOBS Act”).</w:t>
      </w:r>
    </w:p>
    <w:p>
      <w:pPr>
        <w:spacing w:after="0" w:line="17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The Merger Agreement provides for the merger of Merger Sub with and into Tango, with Tango continuing as the surviving entity. Tango is a biotechnology company committed to discovering and delivering the next generation of precision cancer medicines. See “The Proposed Business Combination” described below.</w:t>
      </w:r>
    </w:p>
    <w:p>
      <w:pPr>
        <w:spacing w:after="0" w:line="188"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All Company activity for the period from May 21, 2020 (inception) through June 30, 2021 has been related to the Company’s formation and initial public offering (“Initial Public Offering”) described below, and since the Initial Public Offering, the search for a prospective initial Business Combination and the negotiation of the transactions related to the Proposed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9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6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of 1940 (“Investment Company Act”) and which invest solely in U.S. Treasuries, until the earlier of: (i) the completion of a Business Combination and (ii) the distribution of the Trust Account as described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Pursuant to stock exchange listing rules, the Company’s initial Business Combination must be with one or more operating businesses or assets with a fair market value equal to at least 80% of the net assets held in the Trust Account (excluding the amount of any deferred underwriting discount held in trust and taxes payable on the income earned on the Trust Account) at the time the Company signs a definitive agreement in connection with its initial Business Combination. The terms of the Merger Agreement satisfy this requirement.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6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165"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w:t>
      </w:r>
    </w:p>
    <w:p>
      <w:pPr>
        <w:ind w:left="120" w:hanging="4"/>
        <w:spacing w:after="0" w:line="284" w:lineRule="auto"/>
        <w:tabs>
          <w:tab w:leader="none" w:pos="38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5).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the Initial Public Offering (the “Initial Stockholders”) have agreed to vote their Founder shares (as defined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6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7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5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7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8"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w:t>
      </w:r>
    </w:p>
    <w:p>
      <w:pPr>
        <w:spacing w:after="0" w:line="18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However, the Company’s insiders may not be able to satisfy their indemnification obligations. Moreover, the Company’s insiders will not be liable to the Public Stockholders and instead will only have liability to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6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84"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w:t>
      </w:r>
    </w:p>
    <w:p>
      <w:pPr>
        <w:spacing w:after="0" w:line="182" w:lineRule="exact"/>
        <w:rPr>
          <w:sz w:val="20"/>
          <w:szCs w:val="20"/>
          <w:color w:val="auto"/>
        </w:rPr>
      </w:pPr>
    </w:p>
    <w:p>
      <w:pPr>
        <w:ind w:left="120" w:right="620"/>
        <w:spacing w:after="0" w:line="291" w:lineRule="auto"/>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(i) stockholder approval; (ii) no Material Adverse Effect (as defined in the Merger Agreement) with respect to Tango since the date of the Merger Agreement;</w:t>
      </w:r>
    </w:p>
    <w:p>
      <w:pPr>
        <w:jc w:val="both"/>
        <w:ind w:left="120" w:right="160" w:hanging="4"/>
        <w:spacing w:after="0" w:line="295" w:lineRule="auto"/>
        <w:tabs>
          <w:tab w:leader="none" w:pos="43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 (viii) BCTG and certain Tango stockholders having entered into an amended and restated registration rights agreement.</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At the time of the execution of the Merger Agreement, BCTG entered into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April 20, 2021, the Company filed with the SEC a Registration Statement on Form S-4, which includes a proxy statement/prospectus, which was declared effective by the SEC on July 16, 2021. The Company filed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definitive proxy statement and final prospectus to hold a special meeting of the holders of BCTG common stock on August 9, 2021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Merger Agreement may be terminated by BCTG or Tango under certain circumstances, including (i) by mutual written consent of BCTG and Tango; (ii) 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Merger Agreement, Subscription Agreements and other support agreements have been filed as exhibits to and described in the Company’s Current Report on Form 8-K filed with the SEC on April 14,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June 30, 2021, the Company had $0.6 million of cash in its operating account and approximately $0.4 million of working capital, not taken into account tax obligations of approximately $36,000 that may be paid using investment income earned from Trust Account.</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Through June 30, 2021, the Company’s liquidity needs were satisfied through a payment of $25,000 from the Company’s Sponsor in exchange for the issuance of the Founder shares (as defined in Note 4), the loan under the certain promissory notes from the Company to the Sponsor of approximately $127,000 to the Company to cover for offering costs in connection with the Initial Public Offering, and net proceeds from the consummation of the Private Placement not held in the Trust Account. The Company fully repaid the promissory notes on September 10, 2020. In addition, in order to finance transaction costs in connection with a Business Combination, the Company’s officers, directors and initial stockholders may, but are not obligated to, provide the Company Working Capital Loans (see Note 4). However, in the Merger Agreement, the Company has covenanted not to enter into any such arrangements. Accordingly, as of June 30, 2021 and December 31, 2020, there were no amounts outstanding under any Working Capital Loans.</w:t>
      </w:r>
    </w:p>
    <w:p>
      <w:pPr>
        <w:spacing w:after="0" w:line="16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through December 31, 2021 or for any future interim periods.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significant intercompany accounts and transactions are eliminated.</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accompanying unaudited consolidated condensed financial statements should be read in conjunction with the audited financial statements and notes thereto included in the Company’s Annual Report on Form 10-K filed with the SEC on March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Corporation coverage limit of $250,000. As of June 30, 2021 and December 31, 2020, the Company has not experienced losses on these accounts and management believes the Company is not exposed to significant risks on such accounts.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held outside of the Trust account as of June 30, 2021 and December 31,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60"/>
          </w:cols>
          <w:pgMar w:left="320" w:top="459"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interest earned on investments held in the Trust Account in the accompanying unaudited condensed statement of operations. The estimated fair values of investments held in the Trust Account are determined using available market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preparation of unaudited condensed consolidated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Such estimates may be subject to change as more current information becomes available and, accordingly, the actual results could differ significantly from those estimates.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77"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and that were charged to Stockholders’ equity upon the completion of the Initial Public Offering.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June 30, 2021 and December 31, 2020, 15,635,785 and 15,736,221 shares of common stock subject to possible redemption are presented as temporary equity, outside of the stockholders’ equity section of the Company’s balance sheet,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Company’s condensed consolidated statements of operations include a presentation of net income (loss) per share for Public shares subject to possible redemption in a manner similar to the two-class method of net income (loss) per common stock. Net income (loss) per common stock, basic and diluted, for Public shares is calculated by dividing the interest income earned on the Trust Account, less interest available to be withdrawn for the payment of taxes, by the weighted average number of Public shares outstanding for the periods. Net income (loss) per common stock, basic and diluted, for Founder shares is calculated by dividing the net income (loss), adjusted for income attributable to Public shares, by the weighted average number of Founder shares outstanding for the periods. Founder shares include the Founder shares as these common stocks do not have any redemption features and do not participate in the income earned on the Trust Account.</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At June 30,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the calculation of basic and diluted net income (loss) per share of common stock:</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Three</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Public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Numerator: Income allocable to Public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investments held in Trust Account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Less: Company’s portion available to be withdrawn to pay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5,634</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Denominator: Weighted average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Public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6"/>
              </w:rPr>
              <w:t>16,675,000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16,675,000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income (loss) per share,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b w:val="1"/>
                <w:bCs w:val="1"/>
                <w:color w:val="auto"/>
                <w:w w:val="85"/>
              </w:rPr>
              <w:t>0.00</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Numerator: Net income (loss) minus net income allocable to Founder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(764,601)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(1,004,355)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Net income allocable to Public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77"/>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(764,601)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(1,004,355)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Denominator: weighted average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7"/>
              </w:rPr>
              <w:t>4,702,250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4,702,250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(0.16)</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 (Subtopic 470-20) and Derivatives and Hedging-Contracts in Entity’s Own Equity (Subtopic 815-40): Accounting for Convertible Instruments and Contracts in an Entity’s Own Equity</w:t>
      </w:r>
      <w:r>
        <w:rPr>
          <w:rFonts w:ascii="Arial" w:cs="Arial" w:eastAsia="Arial" w:hAnsi="Arial"/>
          <w:sz w:val="17"/>
          <w:szCs w:val="17"/>
          <w:color w:val="auto"/>
        </w:rPr>
        <w:t>, which simplifies accounting for convertible instruments by removing major</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financial statements and related disclosures.</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June 4, 2020, the Company issued 3,593,750 shares of common stock to the Sponsor (the “Founder shares”) for an aggregate purchase price of</w:t>
      </w:r>
    </w:p>
    <w:p>
      <w:pPr>
        <w:spacing w:after="0" w:line="4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On May 21, 2020 and June 10, 2020, the Company’s sponsor agreed to loan us up to $25,025 and $274,975, respectively, for an aggregate amount of $300,000 to be used for the payment of costs related to the Initial Public Offering pursuant to certain promissory notes. These promissory notes were non-interest bearing, unsecured and due upon the date we consummate the Initial Public Offering. We borrowed approximately $127,000 under these promissory notes and repaid them in full on September 10, 2020.</w:t>
      </w:r>
    </w:p>
    <w:p>
      <w:pPr>
        <w:spacing w:after="0" w:line="18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However, in the Merger Agreement, we have covenanted not to enter into any such arrangements. Accordingly, to date, the Company had no borrowings under the Working Capital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Commencing on September 2, 2020, the Company agreed to pay an affiliate of the Sponsor a total of $10,000 per month for office space and certain office and secretarial services. Upon completion of the initial Business Combination or the Company’s liquidation, the Company will cease paying these monthly fees. The Company incurred $30,000 and $60,000 of such expenses during the three and six months ended June 30, 2021, respectively,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included as administrative expenses—related party on the accompanying condensed statement of operations. As of June 30, 2021, no amounts were payable related to this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its efforts with respect to an initial Business Combination, the specific impact is not readily determinable as of the date of these financial statements. The financial statement does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Stockholders’ Equity</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 As of June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are no shares of preferred stock issued or outstanding.</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-The Company is authorized to issue 30,000,000 shares of common stock, par value of $0.0001 per share. On September 2, 2020,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declared a dividend of 0.16 shares for each outstanding share of common stock (an aggregate of 575,000 shares). All shares and associated amounts have been retroactively restated to reflect the share dividend. As of June 30, 2021 and December 31, 2020, there were 21,377,250 shares of common stock outstanding, including 15,635,785 shares and 15,736,221 shares of common stock, respectively, subject to possible redemption that were classified outside of permanent equity in the accompanying unaudited condensed consolidated balance sheets.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recurring basis and indicates the fair value hierarchy of the valuation techniques that the Company utilized to determine such fair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30,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Quoted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Prices in</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4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Money Market Funds</w:t>
            </w:r>
          </w:p>
        </w:tc>
        <w:tc>
          <w:tcPr>
            <w:tcW w:w="1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$166,815,023</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December 31, 2020</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Quoted</w:t>
            </w:r>
          </w:p>
        </w:tc>
        <w:tc>
          <w:tcPr>
            <w:tcW w:w="340" w:type="dxa"/>
            <w:vAlign w:val="bottom"/>
          </w:tcPr>
          <w:p>
            <w:pPr>
              <w:spacing w:after="0"/>
              <w:rPr>
                <w:sz w:val="24"/>
                <w:szCs w:val="24"/>
                <w:color w:val="auto"/>
              </w:rPr>
            </w:pPr>
          </w:p>
        </w:tc>
        <w:tc>
          <w:tcPr>
            <w:tcW w:w="14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Prices in</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Active</w:t>
            </w:r>
          </w:p>
        </w:tc>
        <w:tc>
          <w:tcPr>
            <w:tcW w:w="340" w:type="dxa"/>
            <w:vAlign w:val="bottom"/>
          </w:tcPr>
          <w:p>
            <w:pPr>
              <w:spacing w:after="0"/>
              <w:rPr>
                <w:sz w:val="12"/>
                <w:szCs w:val="12"/>
                <w:color w:val="auto"/>
              </w:rPr>
            </w:pPr>
          </w:p>
        </w:tc>
        <w:tc>
          <w:tcPr>
            <w:tcW w:w="146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4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Markets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580"/>
              <w:spacing w:after="0" w:line="158" w:lineRule="exact"/>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840"/>
              <w:spacing w:after="0" w:line="158"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 Treasury Securities maturing March 4, 2021(1)</w:t>
            </w:r>
          </w:p>
        </w:tc>
        <w:tc>
          <w:tcPr>
            <w:tcW w:w="1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$166,811,648</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approximately $4,000 of investments held in cash within the Trust Account.</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Transfers to/from Levels 1, 2, and 3 are recognized at the beginning of the reporting period. There were no transfers between levels of the hierarchy for the six months ended June 30, 2021. Level 1 instruments include investments U.S. Treasury securities with an original maturity of 185 days or less.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The Company evaluated subsequent events and transactions that occurred up to the date unaudited condensed consolidated financial statements were issued. Based upon this review, the Company determined that, except as disclosed in Note 1, there have been no events that have occurred that would require adjustments to the disclosures in the unaudited condensed consolidated financial statements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20"/>
          </w:cols>
          <w:pgMar w:left="320" w:top="459"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BCTG Acquisition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have audited the accompanying balance sheet of BCTG Acquisition Corp. (the “Company”), as of December 31, 2020, the related statements of operations, changes in stockholders’ equity and cash flows for the period from May 21,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May 21, 2020 (inception) through December 31, 2020,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BCTG ACQUISITION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166,815,235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168,312,816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Franchise tax payable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5,950,604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15,736,221 shares subject to possible redemption at $10.00 per share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157,362,210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780" w:type="dxa"/>
            <w:vAlign w:val="bottom"/>
            <w:gridSpan w:val="2"/>
          </w:tcPr>
          <w:p>
            <w:pPr>
              <w:spacing w:after="0" w:line="201" w:lineRule="exact"/>
              <w:rPr>
                <w:sz w:val="20"/>
                <w:szCs w:val="20"/>
                <w:color w:val="auto"/>
              </w:rPr>
            </w:pPr>
            <w:r>
              <w:rPr>
                <w:rFonts w:ascii="Arial" w:cs="Arial" w:eastAsia="Arial" w:hAnsi="Arial"/>
                <w:sz w:val="18"/>
                <w:szCs w:val="18"/>
                <w:color w:val="auto"/>
                <w:w w:val="93"/>
              </w:rPr>
              <w:t>Common stock, $0.0001 par value; 30,000,000 shares authorized; 5,641,029 shares issued and outstanding (excluding 15,736,221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ind w:left="180"/>
              <w:spacing w:after="0"/>
              <w:rPr>
                <w:sz w:val="20"/>
                <w:szCs w:val="20"/>
                <w:color w:val="auto"/>
              </w:rPr>
            </w:pPr>
            <w:r>
              <w:rPr>
                <w:rFonts w:ascii="Arial" w:cs="Arial" w:eastAsia="Arial" w:hAnsi="Arial"/>
                <w:sz w:val="18"/>
                <w:szCs w:val="18"/>
                <w:color w:val="auto"/>
              </w:rPr>
              <w:t>shares subject to possible redemption)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5,122,484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168,312,816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46" w:right="4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BCTG ACQUISITION CORP.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STATEMENTS OF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For the Period from May 21, 2020 (inception) through December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108,865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Administrative expenses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65,246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ind w:left="360"/>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16,675,000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4,212,127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46"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4820" w:type="dxa"/>
            <w:vAlign w:val="bottom"/>
          </w:tcPr>
          <w:p>
            <w:pPr>
              <w:spacing w:after="0"/>
              <w:rPr>
                <w:sz w:val="6"/>
                <w:szCs w:val="6"/>
                <w:color w:val="auto"/>
              </w:rPr>
            </w:pPr>
          </w:p>
        </w:tc>
        <w:tc>
          <w:tcPr>
            <w:tcW w:w="1440" w:type="dxa"/>
            <w:vAlign w:val="bottom"/>
            <w:tcBorders>
              <w:bottom w:val="single" w:sz="8" w:color="auto"/>
            </w:tcBorders>
            <w:gridSpan w:val="5"/>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4820" w:type="dxa"/>
            <w:vAlign w:val="bottom"/>
          </w:tcPr>
          <w:p>
            <w:pPr>
              <w:spacing w:after="0"/>
              <w:rPr>
                <w:sz w:val="4"/>
                <w:szCs w:val="4"/>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21, 2020 (inception)</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Issuance of common stock to Sponsor</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4,168,750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24,583</w:t>
            </w: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 in initial public offering, gross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166,748,332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166,750,000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Offering costs</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(9,624,742)</w:t>
            </w: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(9,624,742)</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 shares to Sponsor in private</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533,500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5,334,947</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shares subject to possible redemption</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(15,736,221)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(157,360,636)</w:t>
            </w: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(157,362,210)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(123,046)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 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5,641,029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5,122,484</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(123,046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4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BCTG ACQUISITION CORP.</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4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STATEMENT OF CASH FLOWS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4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For the Period from May 21, 2020 (Inception) Through December 31, 2020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(65,235)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Franchise tax payable</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(327,423)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deposited in Trust Account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(166,750,000)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(166,750,000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 to Sponsor</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 payable to related party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166,750,000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received from private placement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5,335,000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Repayment of note payable to related party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(127,232)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offering costs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(3,591,285)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7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168,391,508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Cash – beginning of the period</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1,314,085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0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included in note payable – related party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127,207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Offering costs included in accrued expenses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underwriting commissions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Initial value of common stock subject to possible redemption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157,484,340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value of common stock subject to possible redemption</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46"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BUSINESS OPERATIONS AND BASIS OF PRESENTATION</w:t>
      </w:r>
    </w:p>
    <w:p>
      <w:pPr>
        <w:spacing w:after="0" w:line="225" w:lineRule="exact"/>
        <w:rPr>
          <w:sz w:val="20"/>
          <w:szCs w:val="20"/>
          <w:color w:val="auto"/>
        </w:rPr>
      </w:pPr>
    </w:p>
    <w:p>
      <w:pPr>
        <w:ind w:left="120" w:right="100" w:firstLine="440"/>
        <w:spacing w:after="0" w:line="292" w:lineRule="auto"/>
        <w:rPr>
          <w:sz w:val="20"/>
          <w:szCs w:val="20"/>
          <w:color w:val="auto"/>
        </w:rPr>
      </w:pPr>
      <w:r>
        <w:rPr>
          <w:rFonts w:ascii="Arial" w:cs="Arial" w:eastAsia="Arial" w:hAnsi="Arial"/>
          <w:sz w:val="16"/>
          <w:szCs w:val="16"/>
          <w:color w:val="auto"/>
        </w:rPr>
        <w:t>BCTG Acquisition Corp. (the “</w:t>
      </w:r>
      <w:r>
        <w:rPr>
          <w:rFonts w:ascii="Arial" w:cs="Arial" w:eastAsia="Arial" w:hAnsi="Arial"/>
          <w:sz w:val="16"/>
          <w:szCs w:val="16"/>
          <w:b w:val="1"/>
          <w:bCs w:val="1"/>
          <w:color w:val="auto"/>
        </w:rPr>
        <w:t>Company</w:t>
      </w:r>
      <w:r>
        <w:rPr>
          <w:rFonts w:ascii="Arial" w:cs="Arial" w:eastAsia="Arial" w:hAnsi="Arial"/>
          <w:sz w:val="16"/>
          <w:szCs w:val="16"/>
          <w:color w:val="auto"/>
        </w:rPr>
        <w:t>”) was incorporated as a Delaware corporation on May 21, 2020. The Company was formed for the purpose of effecting a merger, capital stock exchange, asset acquisition, stock purchase, reorganization or other similar business combination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Business Combination</w:t>
      </w:r>
      <w:r>
        <w:rPr>
          <w:rFonts w:ascii="Arial" w:cs="Arial" w:eastAsia="Arial" w:hAnsi="Arial"/>
          <w:sz w:val="16"/>
          <w:szCs w:val="16"/>
          <w:color w:val="auto"/>
        </w:rPr>
        <w:t>”) with one or more operating businesses or entities that it has not yet selected (a “</w:t>
      </w:r>
      <w:r>
        <w:rPr>
          <w:rFonts w:ascii="Arial" w:cs="Arial" w:eastAsia="Arial" w:hAnsi="Arial"/>
          <w:sz w:val="16"/>
          <w:szCs w:val="16"/>
          <w:b w:val="1"/>
          <w:bCs w:val="1"/>
          <w:color w:val="auto"/>
        </w:rPr>
        <w:t>target business</w:t>
      </w:r>
      <w:r>
        <w:rPr>
          <w:rFonts w:ascii="Arial" w:cs="Arial" w:eastAsia="Arial" w:hAnsi="Arial"/>
          <w:sz w:val="16"/>
          <w:szCs w:val="16"/>
          <w:color w:val="auto"/>
        </w:rPr>
        <w:t>”). Although the Company is</w:t>
      </w:r>
      <w:r>
        <w:rPr>
          <w:rFonts w:ascii="Arial" w:cs="Arial" w:eastAsia="Arial" w:hAnsi="Arial"/>
          <w:sz w:val="16"/>
          <w:szCs w:val="16"/>
          <w:b w:val="1"/>
          <w:bCs w:val="1"/>
          <w:color w:val="auto"/>
        </w:rPr>
        <w:t xml:space="preserve"> </w:t>
      </w:r>
      <w:r>
        <w:rPr>
          <w:rFonts w:ascii="Arial" w:cs="Arial" w:eastAsia="Arial" w:hAnsi="Arial"/>
          <w:sz w:val="16"/>
          <w:szCs w:val="16"/>
          <w:color w:val="auto"/>
        </w:rPr>
        <w:t>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The Company is an “emerging growth company,” as defined in Section 2(a)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as modified by the Jumpstart our Business Startups Act of 2012 (the “</w:t>
      </w:r>
      <w:r>
        <w:rPr>
          <w:rFonts w:ascii="Arial" w:cs="Arial" w:eastAsia="Arial" w:hAnsi="Arial"/>
          <w:sz w:val="16"/>
          <w:szCs w:val="16"/>
          <w:b w:val="1"/>
          <w:bCs w:val="1"/>
          <w:color w:val="auto"/>
        </w:rPr>
        <w:t>JOBS Act</w:t>
      </w:r>
      <w:r>
        <w:rPr>
          <w:rFonts w:ascii="Arial" w:cs="Arial" w:eastAsia="Arial" w:hAnsi="Arial"/>
          <w:sz w:val="16"/>
          <w:szCs w:val="16"/>
          <w:color w:val="auto"/>
        </w:rPr>
        <w:t>”).</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December 31, 2020, the Company had not commenced any operations, other than searching for a target business. All activity for the period from May 21, 2020 (inception) through December 31, 2020 had been related to the Company’s formation and the initial public offering (“</w:t>
      </w:r>
      <w:r>
        <w:rPr>
          <w:rFonts w:ascii="Arial" w:cs="Arial" w:eastAsia="Arial" w:hAnsi="Arial"/>
          <w:sz w:val="18"/>
          <w:szCs w:val="18"/>
          <w:b w:val="1"/>
          <w:bCs w:val="1"/>
          <w:color w:val="auto"/>
        </w:rPr>
        <w:t>Initial 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w:t>
      </w:r>
      <w:r>
        <w:rPr>
          <w:rFonts w:ascii="Arial" w:cs="Arial" w:eastAsia="Arial" w:hAnsi="Arial"/>
          <w:sz w:val="18"/>
          <w:szCs w:val="18"/>
          <w:color w:val="auto"/>
        </w:rPr>
        <w:t>”) described below, and since offering, the search for a prospective Initial Business Combination. The Company will not generate any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88"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The Company’s sponsor is BCTG Holdings, LLC, a Delaware limited liability company (the “</w:t>
      </w:r>
      <w:r>
        <w:rPr>
          <w:rFonts w:ascii="Arial" w:cs="Arial" w:eastAsia="Arial" w:hAnsi="Arial"/>
          <w:sz w:val="16"/>
          <w:szCs w:val="16"/>
          <w:b w:val="1"/>
          <w:bCs w:val="1"/>
          <w:color w:val="auto"/>
        </w:rPr>
        <w:t>Sponsor</w:t>
      </w:r>
      <w:r>
        <w:rPr>
          <w:rFonts w:ascii="Arial" w:cs="Arial" w:eastAsia="Arial" w:hAnsi="Arial"/>
          <w:sz w:val="16"/>
          <w:szCs w:val="16"/>
          <w:color w:val="auto"/>
        </w:rPr>
        <w:t>”). The registration statement for the Company’s Initial Public Offering was declared effective on September, 2020. On September, 2020, the Company consummated its Initial Public Offering of 16,675,000 shares of common stock (the “</w:t>
      </w:r>
      <w:r>
        <w:rPr>
          <w:rFonts w:ascii="Arial" w:cs="Arial" w:eastAsia="Arial" w:hAnsi="Arial"/>
          <w:sz w:val="16"/>
          <w:szCs w:val="16"/>
          <w:b w:val="1"/>
          <w:bCs w:val="1"/>
          <w:color w:val="auto"/>
        </w:rPr>
        <w:t>Public shares</w:t>
      </w:r>
      <w:r>
        <w:rPr>
          <w:rFonts w:ascii="Arial" w:cs="Arial" w:eastAsia="Arial" w:hAnsi="Arial"/>
          <w:sz w:val="16"/>
          <w:szCs w:val="16"/>
          <w:color w:val="auto"/>
        </w:rPr>
        <w:t>”),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6).</w:t>
      </w:r>
    </w:p>
    <w:p>
      <w:pPr>
        <w:spacing w:after="0" w:line="154"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w:t>
      </w:r>
      <w:r>
        <w:rPr>
          <w:rFonts w:ascii="Arial" w:cs="Arial" w:eastAsia="Arial" w:hAnsi="Arial"/>
          <w:sz w:val="18"/>
          <w:szCs w:val="18"/>
          <w:b w:val="1"/>
          <w:bCs w:val="1"/>
          <w:color w:val="auto"/>
        </w:rPr>
        <w:t>Private Placement</w:t>
      </w:r>
      <w:r>
        <w:rPr>
          <w:rFonts w:ascii="Arial" w:cs="Arial" w:eastAsia="Arial" w:hAnsi="Arial"/>
          <w:sz w:val="18"/>
          <w:szCs w:val="18"/>
          <w:color w:val="auto"/>
        </w:rPr>
        <w:t>”) of 533,500 shares of common stock (the “</w:t>
      </w:r>
      <w:r>
        <w:rPr>
          <w:rFonts w:ascii="Arial" w:cs="Arial" w:eastAsia="Arial" w:hAnsi="Arial"/>
          <w:sz w:val="18"/>
          <w:szCs w:val="18"/>
          <w:b w:val="1"/>
          <w:bCs w:val="1"/>
          <w:color w:val="auto"/>
        </w:rPr>
        <w:t>Private Placement shares</w:t>
      </w:r>
      <w:r>
        <w:rPr>
          <w:rFonts w:ascii="Arial" w:cs="Arial" w:eastAsia="Arial" w:hAnsi="Arial"/>
          <w:sz w:val="18"/>
          <w:szCs w:val="18"/>
          <w:color w:val="auto"/>
        </w:rPr>
        <w:t>”), at a price of $10.00 per Private Placement Share to the Sponsor, generating gross proceeds of approximately $5.3 million (Note 4).</w:t>
      </w:r>
    </w:p>
    <w:p>
      <w:pPr>
        <w:spacing w:after="0" w:line="18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($10.00 per share), representing the net proceeds of the Initial Public Offering and certain of the proceeds of the Private Placement was placed in a trust account (“</w:t>
      </w:r>
      <w:r>
        <w:rPr>
          <w:rFonts w:ascii="Arial" w:cs="Arial" w:eastAsia="Arial" w:hAnsi="Arial"/>
          <w:sz w:val="18"/>
          <w:szCs w:val="18"/>
          <w:b w:val="1"/>
          <w:bCs w:val="1"/>
          <w:color w:val="auto"/>
        </w:rPr>
        <w:t>Trust Account</w:t>
      </w:r>
      <w:r>
        <w:rPr>
          <w:rFonts w:ascii="Arial" w:cs="Arial" w:eastAsia="Arial" w:hAnsi="Arial"/>
          <w:sz w:val="18"/>
          <w:szCs w:val="18"/>
          <w:color w:val="auto"/>
        </w:rPr>
        <w: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Pursuant to stock exchange listing rules,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an Initial Business Combination if the post-transaction company owns or acquires 50% or more of the outstanding voting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securities of the target or otherwise acquires a controlling interest in the target sufficient for it not to be required to register as an investment company under the Investment Company Act of 1940, as amended, or the Investment Company Act.</w:t>
      </w:r>
    </w:p>
    <w:p>
      <w:pPr>
        <w:spacing w:after="0" w:line="170"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14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Company will provide the holders of Public shares (the “</w:t>
      </w:r>
      <w:r>
        <w:rPr>
          <w:rFonts w:ascii="Arial" w:cs="Arial" w:eastAsia="Arial" w:hAnsi="Arial"/>
          <w:sz w:val="16"/>
          <w:szCs w:val="16"/>
          <w:b w:val="1"/>
          <w:bCs w:val="1"/>
          <w:color w:val="auto"/>
        </w:rPr>
        <w:t>Public Stockholders</w:t>
      </w:r>
      <w:r>
        <w:rPr>
          <w:rFonts w:ascii="Arial" w:cs="Arial" w:eastAsia="Arial" w:hAnsi="Arial"/>
          <w:sz w:val="16"/>
          <w:szCs w:val="16"/>
          <w:color w:val="auto"/>
        </w:rPr>
        <w:t>”)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w:t>
      </w:r>
      <w:r>
        <w:rPr>
          <w:rFonts w:ascii="Arial" w:cs="Arial" w:eastAsia="Arial" w:hAnsi="Arial"/>
          <w:sz w:val="16"/>
          <w:szCs w:val="16"/>
          <w:b w:val="1"/>
          <w:bCs w:val="1"/>
          <w:color w:val="auto"/>
        </w:rPr>
        <w:t>Amended</w:t>
      </w:r>
      <w:r>
        <w:rPr>
          <w:rFonts w:ascii="Arial" w:cs="Arial" w:eastAsia="Arial" w:hAnsi="Arial"/>
          <w:sz w:val="16"/>
          <w:szCs w:val="16"/>
          <w:color w:val="auto"/>
        </w:rPr>
        <w:t xml:space="preserve"> </w:t>
      </w:r>
      <w:r>
        <w:rPr>
          <w:rFonts w:ascii="Arial" w:cs="Arial" w:eastAsia="Arial" w:hAnsi="Arial"/>
          <w:sz w:val="16"/>
          <w:szCs w:val="16"/>
          <w:b w:val="1"/>
          <w:bCs w:val="1"/>
          <w:color w:val="auto"/>
        </w:rPr>
        <w:t>and Restated Certificate</w:t>
      </w:r>
      <w:r>
        <w:rPr>
          <w:rFonts w:ascii="Arial" w:cs="Arial" w:eastAsia="Arial" w:hAnsi="Arial"/>
          <w:sz w:val="16"/>
          <w:szCs w:val="16"/>
          <w:color w:val="auto"/>
        </w:rPr>
        <w:t>”), conduct the redemptions pursuant to the tender offer rules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w:t>
      </w:r>
      <w:r>
        <w:rPr>
          <w:rFonts w:ascii="Arial" w:cs="Arial" w:eastAsia="Arial" w:hAnsi="Arial"/>
          <w:sz w:val="16"/>
          <w:szCs w:val="16"/>
          <w:b w:val="1"/>
          <w:bCs w:val="1"/>
          <w:color w:val="auto"/>
        </w:rPr>
        <w:t>Initial Stockholders</w:t>
      </w:r>
      <w:r>
        <w:rPr>
          <w:rFonts w:ascii="Arial" w:cs="Arial" w:eastAsia="Arial" w:hAnsi="Arial"/>
          <w:sz w:val="16"/>
          <w:szCs w:val="16"/>
          <w:color w:val="auto"/>
        </w:rPr>
        <w:t>”)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w:t>
      </w:r>
      <w:r>
        <w:rPr>
          <w:rFonts w:ascii="Arial" w:cs="Arial" w:eastAsia="Arial" w:hAnsi="Arial"/>
          <w:sz w:val="16"/>
          <w:szCs w:val="16"/>
          <w:b w:val="1"/>
          <w:bCs w:val="1"/>
          <w:color w:val="auto"/>
        </w:rPr>
        <w:t>FASB</w:t>
      </w:r>
      <w:r>
        <w:rPr>
          <w:rFonts w:ascii="Arial" w:cs="Arial" w:eastAsia="Arial" w:hAnsi="Arial"/>
          <w:sz w:val="16"/>
          <w:szCs w:val="16"/>
          <w:color w:val="auto"/>
        </w:rPr>
        <w:t>”), Accounting Standard Codification (“</w:t>
      </w:r>
      <w:r>
        <w:rPr>
          <w:rFonts w:ascii="Arial" w:cs="Arial" w:eastAsia="Arial" w:hAnsi="Arial"/>
          <w:sz w:val="16"/>
          <w:szCs w:val="16"/>
          <w:b w:val="1"/>
          <w:bCs w:val="1"/>
          <w:color w:val="auto"/>
        </w:rPr>
        <w:t>ASC</w:t>
      </w:r>
      <w:r>
        <w:rPr>
          <w:rFonts w:ascii="Arial" w:cs="Arial" w:eastAsia="Arial" w:hAnsi="Arial"/>
          <w:sz w:val="16"/>
          <w:szCs w:val="16"/>
          <w:color w:val="auto"/>
        </w:rPr>
        <w:t>”) 480, “Distinguishing Liabilities from Equity.” The amount in the Trust Account is initially anticipated to be $10.00 per Public Share.</w:t>
      </w:r>
    </w:p>
    <w:p>
      <w:pPr>
        <w:spacing w:after="0" w:line="16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will be restricted from redeeming its shares with respect to more than an aggregate of 20% or more of the shares of common stock sold in the Initial Public Offering, without the prior consent of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2022 (the “</w:t>
      </w:r>
      <w:r>
        <w:rPr>
          <w:rFonts w:ascii="Arial" w:cs="Arial" w:eastAsia="Arial" w:hAnsi="Arial"/>
          <w:sz w:val="16"/>
          <w:szCs w:val="16"/>
          <w:b w:val="1"/>
          <w:bCs w:val="1"/>
          <w:color w:val="auto"/>
        </w:rPr>
        <w:t>Combination Period</w:t>
      </w:r>
      <w:r>
        <w:rPr>
          <w:rFonts w:ascii="Arial" w:cs="Arial" w:eastAsia="Arial" w:hAnsi="Arial"/>
          <w:sz w:val="16"/>
          <w:szCs w:val="16"/>
          <w:color w:val="auto"/>
        </w:rPr>
        <w:t>”),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accompanying financial statement is presented in U.S. dollars in conformity with accounting principles generally accepted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Emerging Growth Company</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an emerging growth company, the Company may take advantage of certain exemptions from various reporting requirements that are applicable to other public companies that are not emerging growth companies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2020, the Company had $1.3 million of cash in its operating account and approximately $1.4 million of working capital.</w:t>
      </w:r>
    </w:p>
    <w:p>
      <w:pPr>
        <w:spacing w:after="0" w:line="23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Through December 31, 2020, the Company’s liquidity needs were satisfied through a payment of $25,000 from the Company’s Sponsor in exchange for the issuance of the Founder shares (as defined below), the loan under the Note of approximately $127,000 (see Note 5) to the Company to cover for offering costs in connection with the Initial Public Offering, and net proceeds from the consummation of the Private Placement not held in the Trust Account. The Company fully repaid the Note on September 10, 2020. In addition, in order to finance transaction costs in connection with a Business Combination, the Company’s officers, directors and initial stockholders may, but are not obligated to, provide the Company Working Capital Loans (see Note 5). As of December 31, 2020, there were no amounts outstanding under any Working Capital Loans.</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at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 The Company’s investments held in the Trust Account is comprised of investments in U.S. Treasury securities with an original maturity of 185 days or less or investments in a money market funds that comprise only U.S. Treasury securities, or a combination thereof.</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Investments Held in the Trust Account</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Trust Account on the accompanying statement of operations. The estimated fair values of investments held in the Trust Account are determined using available market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of December 31, 2020, the carrying values of cash, prepaid expenses, accounts payable, accrued expenses, accrued income taxes and franchise tax payable approximate their fair values due to the short-term nature of the instruments. The Company’s investments held in Trust Account are comprised of investments in U.S. Treasury securities with an original maturity of 185 days or less or investments in money market funds that comprise only U.S. treasury securities and are recognized at fair value. The fair value of investments held in Trust Account is determined using quoted prices in active markets.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Offering Costs associated with the Initial Public Offering</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Common Stock Subject to Possible Redemption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December 31, 2020, 15,736,221 shares of common stock subject to possible redemption are presented as temporary equity, outside of the stockholders’ equity section of the Company’s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Net Loss Per Common Share</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Net loss per share of common stock is computed by dividing net loss applicable to stockholders by the weighted average number of shares of common stock outstanding during the periods. Weighted average shares were reduced for the effect of an aggregate of 543,750 shares of common stock that were subject to forfeiture if the over-allotment option was not exercised by the underwriters. The underwriters exercised their over-allotment option in full on September, 2020; thus, these Founder shares were no longer subject to forfeiture (see Note 6). At December 31,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Company’s statement of operations includes a presentation of loss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 shares is calculated by dividing the net loss of approximately $123,000, less income attributable to Public shares, by the weighted average number of shares of Founder shares outstanding for the periods.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September,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533,500 Private Placement shares, at a price of $10.00 per Private Placement Share to the Sponsor, generating gross proceeds of approximately $5.3 million.</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 portion of the proceeds from the Private Placement shares was added to the proceeds from the Initial Public Offering to be held in the Trust Account.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Founder shares</w:t>
      </w:r>
    </w:p>
    <w:p>
      <w:pPr>
        <w:spacing w:after="0" w:line="11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June 4, 2020, the Company issued 3,593,750 shares of common stock to the Sponsor (the “</w:t>
      </w:r>
      <w:r>
        <w:rPr>
          <w:rFonts w:ascii="Arial" w:cs="Arial" w:eastAsia="Arial" w:hAnsi="Arial"/>
          <w:sz w:val="18"/>
          <w:szCs w:val="18"/>
          <w:b w:val="1"/>
          <w:bCs w:val="1"/>
          <w:color w:val="auto"/>
        </w:rPr>
        <w:t>Founder shares</w:t>
      </w:r>
      <w:r>
        <w:rPr>
          <w:rFonts w:ascii="Arial" w:cs="Arial" w:eastAsia="Arial" w:hAnsi="Arial"/>
          <w:sz w:val="18"/>
          <w:szCs w:val="18"/>
          <w:color w:val="auto"/>
        </w:rPr>
        <w:t>”) for an aggregate purchase price of $25,000. On September,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Sponsor agreed to forfeit up to an aggregate of 543,750 Founder shares, so that the Founder shares would represent 20% of the Company’s issued and outstanding shares after the Initial Public Offering, to the extent the underwriters’ over-allotment option was not exercised in full or in part. The underwriters fully exercised the over-allotment option on September, 2020; thus, these Founder shares were no longer subject to forfeiture.</w:t>
      </w:r>
    </w:p>
    <w:p>
      <w:pPr>
        <w:spacing w:after="0" w:line="193"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Private Placement shares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17"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On May 21, 2020 and June 10, 2020, the Sponsor agreed to loan the Company up to $25,025 and $274,975, respectively, for an aggregate amount of $300,000 to be used for the payment of costs related to the Initial Public Offering pursuant to a promissory note (each, a “</w:t>
      </w:r>
      <w:r>
        <w:rPr>
          <w:rFonts w:ascii="Arial" w:cs="Arial" w:eastAsia="Arial" w:hAnsi="Arial"/>
          <w:sz w:val="17"/>
          <w:szCs w:val="17"/>
          <w:b w:val="1"/>
          <w:bCs w:val="1"/>
          <w:color w:val="auto"/>
        </w:rPr>
        <w:t>Note</w:t>
      </w:r>
      <w:r>
        <w:rPr>
          <w:rFonts w:ascii="Arial" w:cs="Arial" w:eastAsia="Arial" w:hAnsi="Arial"/>
          <w:sz w:val="17"/>
          <w:szCs w:val="17"/>
          <w:color w:val="auto"/>
        </w:rPr>
        <w:t>” and,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were non-interest bearing, unsecured and due upon the date the Company consummated the Initial Public Offering. The Company borrowed approximately $127,000 under the Notes. The Company repaid the Notes in full on September 10, 2020.</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t>
      </w:r>
      <w:r>
        <w:rPr>
          <w:rFonts w:ascii="Arial" w:cs="Arial" w:eastAsia="Arial" w:hAnsi="Arial"/>
          <w:sz w:val="18"/>
          <w:szCs w:val="18"/>
          <w:b w:val="1"/>
          <w:bCs w:val="1"/>
          <w:color w:val="auto"/>
        </w:rPr>
        <w:t>Working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Each loan would be evidenced by a promissory note. The notes would either be paid upon consummation of the Initial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To date, the Company had no borrowings under the Working Capital Loans.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 For the period from May 21, 2020 (inception) through December 31, 2020, the Company incurred $40,000 related to these services. As of December 31, 2020, no amounts were payable related to this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17"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 Company granted the underwriters a 45-day option from the date of the prospectus to purchase up to 2,175,000 additional shares at the Initial Public Offering price less the underwriting discounts and commissions. On September, 2020, the underwriters fully exercised the over-allotment option.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9" w:lineRule="auto"/>
        <w:rPr>
          <w:sz w:val="20"/>
          <w:szCs w:val="20"/>
          <w:color w:val="auto"/>
        </w:rPr>
      </w:pPr>
      <w:r>
        <w:rPr>
          <w:rFonts w:ascii="Arial" w:cs="Arial" w:eastAsia="Arial" w:hAnsi="Arial"/>
          <w:sz w:val="17"/>
          <w:szCs w:val="17"/>
          <w:color w:val="auto"/>
        </w:rPr>
        <w:t>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Risks and Uncertainties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are no shares of preferred stock issued or outstanding.</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30,000,000 shares of common stock, par value of $0.0001 per share. On September,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declared a dividend of 0.16 shares for each outstanding share of common stock (an aggregate of 575,000 shares). All shares and associated amounts have been retroactively restated to reflect the share dividend. As of December 31, 2020, there were 21,377,250 shares of common stock outstanding, including 15,736,221 shares of common stock subject to possible redemption that were classified outside of permanent equity in the accompanying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information about the Company’s financial assets that are measured at fair value on a recurring basis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by level within the fair value hierarchy:</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1400" w:type="dxa"/>
            <w:vAlign w:val="bottom"/>
            <w:gridSpan w:val="3"/>
          </w:tcPr>
          <w:p>
            <w:pPr>
              <w:jc w:val="center"/>
              <w:ind w:left="61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4"/>
          </w:tcPr>
          <w:p>
            <w:pPr>
              <w:jc w:val="center"/>
              <w:ind w:left="55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0"/>
        </w:trPr>
        <w:tc>
          <w:tcPr>
            <w:tcW w:w="5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 held in Trust:</w:t>
            </w:r>
          </w:p>
        </w:tc>
        <w:tc>
          <w:tcPr>
            <w:tcW w:w="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360"/>
              <w:spacing w:after="0"/>
              <w:rPr>
                <w:sz w:val="20"/>
                <w:szCs w:val="20"/>
                <w:color w:val="auto"/>
              </w:rPr>
            </w:pPr>
            <w:r>
              <w:rPr>
                <w:rFonts w:ascii="Arial" w:cs="Arial" w:eastAsia="Arial" w:hAnsi="Arial"/>
                <w:sz w:val="18"/>
                <w:szCs w:val="18"/>
                <w:color w:val="auto"/>
              </w:rPr>
              <w:t>U.S. Treasury Securities maturing March 4, 2021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8"/>
              </w:rPr>
              <w:t>$166,811,648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Money Market Fund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166,815,235</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December 31, 2020 and for the period from May 21, 2020 (inception) through December 31, 2020.</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Company generates taxable income primarily consisting of interest income earned on the Trust Account. The Company’s general and administrative costs are generally considered start-up costs and are not currently deductible.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income tax provision (benefit) for the period from May 21, 2020 (inception) through December 31, 2020 consists of the following:</w:t>
      </w:r>
    </w:p>
    <w:p>
      <w:pPr>
        <w:spacing w:after="0" w:line="27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(31,262)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31,262</w:t>
            </w:r>
          </w:p>
        </w:tc>
        <w:tc>
          <w:tcPr>
            <w:tcW w:w="0" w:type="dxa"/>
            <w:vAlign w:val="bottom"/>
          </w:tcPr>
          <w:p>
            <w:pPr>
              <w:spacing w:after="0"/>
              <w:rPr>
                <w:sz w:val="1"/>
                <w:szCs w:val="1"/>
                <w:color w:val="auto"/>
              </w:rPr>
            </w:pPr>
          </w:p>
        </w:tc>
      </w:tr>
      <w:tr>
        <w:trPr>
          <w:trHeight w:val="223"/>
        </w:trPr>
        <w:tc>
          <w:tcPr>
            <w:tcW w:w="8040" w:type="dxa"/>
            <w:vAlign w:val="bottom"/>
            <w:gridSpan w:val="2"/>
          </w:tcPr>
          <w:p>
            <w:pPr>
              <w:ind w:left="1320"/>
              <w:spacing w:after="0"/>
              <w:rPr>
                <w:sz w:val="20"/>
                <w:szCs w:val="20"/>
                <w:color w:val="auto"/>
              </w:rPr>
            </w:pPr>
            <w:r>
              <w:rPr>
                <w:rFonts w:ascii="Arial" w:cs="Arial" w:eastAsia="Arial" w:hAnsi="Arial"/>
                <w:sz w:val="18"/>
                <w:szCs w:val="18"/>
                <w:color w:val="auto"/>
              </w:rPr>
              <w:t>Income tax provision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2020, the Company’s net deferred tax assets are as follows: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Start-up/Organization costs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31,262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(31,262)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May 21, 2020 (inception) through December 31, 2020, the valuation allowance was $31,362.</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statutory federal income tax rate (benefit) to the Company’s effective tax rate for the period from May 6 (inception)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through December 31, 2020 is as follows: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 The Company’s management does not expect that the total amount of unrecognized tax benefits will materially change over the next 12 months.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through the date the financial statements were available to be issued. Based upon this review, the Company did not identify any subsequent events that would have required adjustment or disclosure in the financial statements which have not previously been disclosed within the financial statements.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50,902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147,452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1,707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202,061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4,397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6,988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2,279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vMerge w:val="restart"/>
          </w:tcPr>
          <w:p>
            <w:pPr>
              <w:ind w:left="6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217,240</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5,242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6,434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1,047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24,500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37,223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6,384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118,742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162,349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Commitments and contingencies (Note 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760" w:type="dxa"/>
            <w:vAlign w:val="bottom"/>
          </w:tcPr>
          <w:p>
            <w:pPr>
              <w:ind w:left="320"/>
              <w:spacing w:after="0"/>
              <w:rPr>
                <w:sz w:val="20"/>
                <w:szCs w:val="20"/>
                <w:color w:val="auto"/>
              </w:rPr>
            </w:pPr>
            <w:r>
              <w:rPr>
                <w:rFonts w:ascii="Arial" w:cs="Arial" w:eastAsia="Arial" w:hAnsi="Arial"/>
                <w:sz w:val="16"/>
                <w:szCs w:val="16"/>
                <w:color w:val="auto"/>
                <w:w w:val="94"/>
              </w:rPr>
              <w:t>Series A redeemable convertible preferred stock, $0.001 par value, 55,700,000 shares authorized, issued, and outstanding at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480"/>
              <w:spacing w:after="0"/>
              <w:rPr>
                <w:sz w:val="20"/>
                <w:szCs w:val="20"/>
                <w:color w:val="auto"/>
              </w:rPr>
            </w:pPr>
            <w:r>
              <w:rPr>
                <w:rFonts w:ascii="Arial" w:cs="Arial" w:eastAsia="Arial" w:hAnsi="Arial"/>
                <w:sz w:val="16"/>
                <w:szCs w:val="16"/>
                <w:color w:val="auto"/>
                <w:w w:val="93"/>
              </w:rPr>
              <w:t>June 30, 2021 and December 31, 2020, respectively; liquidation preferences of $55,700 at June 30, 2021 and 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60" w:type="dxa"/>
            <w:vAlign w:val="bottom"/>
          </w:tcPr>
          <w:p>
            <w:pPr>
              <w:ind w:left="480"/>
              <w:spacing w:after="0"/>
              <w:rPr>
                <w:sz w:val="20"/>
                <w:szCs w:val="20"/>
                <w:color w:val="auto"/>
              </w:rPr>
            </w:pPr>
            <w:r>
              <w:rPr>
                <w:rFonts w:ascii="Arial" w:cs="Arial" w:eastAsia="Arial" w:hAnsi="Arial"/>
                <w:sz w:val="16"/>
                <w:szCs w:val="16"/>
                <w:color w:val="auto"/>
              </w:rPr>
              <w:t>2020,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55,700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Series B redeemable convertible preferred stock, $0.001 par value, 45,372,050 shares authorized at June 30, 2021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December 31, 2020, respectively; 45,372,050 and 22,686,025 shares issued and outstanding at June 30, 2021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3"/>
              </w:rPr>
              <w:t>December 31, 2020, respectively; liquidation preferences of $60,000 and $30,000 at June 30, 2021 and December 31, 2020,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59,751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760" w:type="dxa"/>
            <w:vAlign w:val="bottom"/>
          </w:tcPr>
          <w:p>
            <w:pPr>
              <w:ind w:left="320"/>
              <w:spacing w:after="0"/>
              <w:rPr>
                <w:sz w:val="20"/>
                <w:szCs w:val="20"/>
                <w:color w:val="auto"/>
              </w:rPr>
            </w:pPr>
            <w:r>
              <w:rPr>
                <w:rFonts w:ascii="Arial" w:cs="Arial" w:eastAsia="Arial" w:hAnsi="Arial"/>
                <w:sz w:val="16"/>
                <w:szCs w:val="16"/>
                <w:color w:val="auto"/>
                <w:w w:val="93"/>
              </w:rPr>
              <w:t>Series B-1 redeemable convertible preferred stock, $0.001 par value, 27,152,255 shares authorized, issued, and outstanding at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480"/>
              <w:spacing w:after="0"/>
              <w:rPr>
                <w:sz w:val="20"/>
                <w:szCs w:val="20"/>
                <w:color w:val="auto"/>
              </w:rPr>
            </w:pPr>
            <w:r>
              <w:rPr>
                <w:rFonts w:ascii="Arial" w:cs="Arial" w:eastAsia="Arial" w:hAnsi="Arial"/>
                <w:sz w:val="16"/>
                <w:szCs w:val="16"/>
                <w:color w:val="auto"/>
                <w:w w:val="93"/>
              </w:rPr>
              <w:t>June 30, 2021 and December 31, 2020, respectively; liquidation preferences of $51,182 at June 30, 2021 and 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60" w:type="dxa"/>
            <w:vAlign w:val="bottom"/>
          </w:tcPr>
          <w:p>
            <w:pPr>
              <w:ind w:left="480"/>
              <w:spacing w:after="0"/>
              <w:rPr>
                <w:sz w:val="20"/>
                <w:szCs w:val="20"/>
                <w:color w:val="auto"/>
              </w:rPr>
            </w:pPr>
            <w:r>
              <w:rPr>
                <w:rFonts w:ascii="Arial" w:cs="Arial" w:eastAsia="Arial" w:hAnsi="Arial"/>
                <w:sz w:val="16"/>
                <w:szCs w:val="16"/>
                <w:color w:val="auto"/>
              </w:rPr>
              <w:t>2020,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51,083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760" w:type="dxa"/>
            <w:vAlign w:val="bottom"/>
          </w:tcPr>
          <w:p>
            <w:pPr>
              <w:spacing w:after="0"/>
              <w:rPr>
                <w:sz w:val="20"/>
                <w:szCs w:val="20"/>
                <w:color w:val="auto"/>
              </w:rPr>
            </w:pPr>
            <w:r>
              <w:rPr>
                <w:rFonts w:ascii="Arial" w:cs="Arial" w:eastAsia="Arial" w:hAnsi="Arial"/>
                <w:sz w:val="16"/>
                <w:szCs w:val="16"/>
                <w:color w:val="auto"/>
                <w:w w:val="98"/>
              </w:rPr>
              <w:t>Common stock, $0.001 par value; 166,000,000 shares authorized at June 30, 2021 and December 31, 2020; 14,817,103 and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760" w:type="dxa"/>
            <w:vAlign w:val="bottom"/>
          </w:tcPr>
          <w:p>
            <w:pPr>
              <w:ind w:left="160"/>
              <w:spacing w:after="0"/>
              <w:rPr>
                <w:sz w:val="20"/>
                <w:szCs w:val="20"/>
                <w:color w:val="auto"/>
              </w:rPr>
            </w:pPr>
            <w:r>
              <w:rPr>
                <w:rFonts w:ascii="Arial" w:cs="Arial" w:eastAsia="Arial" w:hAnsi="Arial"/>
                <w:sz w:val="16"/>
                <w:szCs w:val="16"/>
                <w:color w:val="auto"/>
              </w:rPr>
              <w:t>13,301,649 shares issued and outstanding as of June 30, 2021 and December 31, 2020,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8,040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(119,700)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(103,101)</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320"/>
              <w:spacing w:after="0"/>
              <w:rPr>
                <w:sz w:val="20"/>
                <w:szCs w:val="20"/>
                <w:color w:val="auto"/>
              </w:rPr>
            </w:pPr>
            <w:r>
              <w:rPr>
                <w:rFonts w:ascii="Arial" w:cs="Arial" w:eastAsia="Arial" w:hAnsi="Arial"/>
                <w:sz w:val="16"/>
                <w:szCs w:val="16"/>
                <w:color w:val="auto"/>
              </w:rPr>
              <w:t>Total stockholders’ deficit</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(111,643)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(97,944)</w:t>
            </w:r>
          </w:p>
        </w:tc>
        <w:tc>
          <w:tcPr>
            <w:tcW w:w="0" w:type="dxa"/>
            <w:vAlign w:val="bottom"/>
          </w:tcPr>
          <w:p>
            <w:pPr>
              <w:spacing w:after="0"/>
              <w:rPr>
                <w:sz w:val="1"/>
                <w:szCs w:val="1"/>
                <w:color w:val="auto"/>
              </w:rPr>
            </w:pPr>
          </w:p>
        </w:tc>
      </w:tr>
      <w:tr>
        <w:trPr>
          <w:trHeight w:val="30"/>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217,240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License revenue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7,097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26,282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58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common shares outstanding – basic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14,485,746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11,193,065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14,214,543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10,913,053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(4,493)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(16,599)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Unrealized (loss) gain on marketable securities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8"/>
          </w:tcPr>
          <w:p>
            <w:pPr>
              <w:ind w:left="60"/>
              <w:spacing w:after="0"/>
              <w:rPr>
                <w:sz w:val="20"/>
                <w:szCs w:val="20"/>
                <w:color w:val="auto"/>
              </w:rPr>
            </w:pPr>
            <w:r>
              <w:rPr>
                <w:rFonts w:ascii="Arial" w:cs="Arial" w:eastAsia="Arial" w:hAnsi="Arial"/>
                <w:sz w:val="13"/>
                <w:szCs w:val="13"/>
                <w:b w:val="1"/>
                <w:bCs w:val="1"/>
                <w:color w:val="auto"/>
              </w:rPr>
              <w:t>Redeemable Convertible Preferred Stock</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vMerge w:val="restart"/>
          </w:tcPr>
          <w:p>
            <w:pPr>
              <w:spacing w:after="0" w:line="136"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2"/>
                <w:szCs w:val="2"/>
                <w:color w:val="auto"/>
              </w:rPr>
            </w:pPr>
          </w:p>
        </w:tc>
        <w:tc>
          <w:tcPr>
            <w:tcW w:w="840" w:type="dxa"/>
            <w:vAlign w:val="bottom"/>
            <w:gridSpan w:val="2"/>
            <w:vMerge w:val="restart"/>
          </w:tcPr>
          <w:p>
            <w:pPr>
              <w:jc w:val="right"/>
              <w:ind w:right="400"/>
              <w:spacing w:after="0" w:line="136"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right"/>
              <w:ind w:right="319"/>
              <w:spacing w:after="0" w:line="13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380" w:type="dxa"/>
            <w:vAlign w:val="bottom"/>
            <w:gridSpan w:val="5"/>
            <w:vMerge w:val="restart"/>
          </w:tcPr>
          <w:p>
            <w:pPr>
              <w:ind w:left="400"/>
              <w:spacing w:after="0"/>
              <w:rPr>
                <w:sz w:val="20"/>
                <w:szCs w:val="20"/>
                <w:color w:val="auto"/>
              </w:rPr>
            </w:pPr>
            <w:r>
              <w:rPr>
                <w:rFonts w:ascii="Arial" w:cs="Arial" w:eastAsia="Arial" w:hAnsi="Arial"/>
                <w:sz w:val="13"/>
                <w:szCs w:val="13"/>
                <w:b w:val="1"/>
                <w:bCs w:val="1"/>
                <w:color w:val="auto"/>
              </w:rPr>
              <w:t>Series A</w:t>
            </w:r>
          </w:p>
        </w:tc>
        <w:tc>
          <w:tcPr>
            <w:tcW w:w="140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Series B</w:t>
            </w:r>
          </w:p>
        </w:tc>
        <w:tc>
          <w:tcPr>
            <w:tcW w:w="138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Series B-1</w:t>
            </w:r>
          </w:p>
        </w:tc>
        <w:tc>
          <w:tcPr>
            <w:tcW w:w="1400" w:type="dxa"/>
            <w:vAlign w:val="bottom"/>
            <w:gridSpan w:val="5"/>
            <w:vMerge w:val="restart"/>
          </w:tcPr>
          <w:p>
            <w:pPr>
              <w:ind w:left="200"/>
              <w:spacing w:after="0"/>
              <w:rPr>
                <w:sz w:val="20"/>
                <w:szCs w:val="20"/>
                <w:color w:val="auto"/>
              </w:rPr>
            </w:pPr>
            <w:r>
              <w:rPr>
                <w:rFonts w:ascii="Arial" w:cs="Arial" w:eastAsia="Arial" w:hAnsi="Arial"/>
                <w:sz w:val="13"/>
                <w:szCs w:val="13"/>
                <w:b w:val="1"/>
                <w:bCs w:val="1"/>
                <w:color w:val="auto"/>
              </w:rPr>
              <w:t>Common Stock</w:t>
            </w:r>
          </w:p>
        </w:tc>
        <w:tc>
          <w:tcPr>
            <w:tcW w:w="7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8"/>
                <w:szCs w:val="8"/>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35"/>
        </w:trPr>
        <w:tc>
          <w:tcPr>
            <w:tcW w:w="184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184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3"/>
              </w:rPr>
              <w:t>Amount</w:t>
            </w: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Income (Loss)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25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06"/>
        </w:trPr>
        <w:tc>
          <w:tcPr>
            <w:tcW w:w="18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 December 31,</w:t>
            </w: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1"/>
              </w:rPr>
              <w:t>55,700,000</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$ 55,700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22,686,025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$ 29,761</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27,152,255</w:t>
            </w: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$ 51,083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13,301,649</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5,127</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(103,101)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(97,944)</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Issuance of Series B</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redeemable convertible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net of</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issuance costs of less than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$0.1 million</w:t>
            </w: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22,686,025</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29,990</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895,093</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Vesting of restricted common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stock awards</w:t>
            </w: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based compensation</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w w:val="99"/>
              </w:rPr>
              <w:t>Other comprehensive income</w:t>
            </w:r>
          </w:p>
        </w:tc>
        <w:tc>
          <w:tcPr>
            <w:tcW w:w="7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(12,106)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(12,106)</w:t>
            </w:r>
          </w:p>
        </w:tc>
        <w:tc>
          <w:tcPr>
            <w:tcW w:w="0" w:type="dxa"/>
            <w:vAlign w:val="bottom"/>
          </w:tcPr>
          <w:p>
            <w:pPr>
              <w:spacing w:after="0"/>
              <w:rPr>
                <w:sz w:val="1"/>
                <w:szCs w:val="1"/>
                <w:color w:val="auto"/>
              </w:rPr>
            </w:pPr>
          </w:p>
        </w:tc>
      </w:tr>
      <w:tr>
        <w:trPr>
          <w:trHeight w:val="156"/>
        </w:trPr>
        <w:tc>
          <w:tcPr>
            <w:tcW w:w="1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55,700,000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55,700</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45,372,050</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59,751</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27,152,255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51,083</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14,196,742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(115,207</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(108,643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620,361</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323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Vesting of restricted common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stock awards</w:t>
            </w: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based compensation</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1,196</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(4,493)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155"/>
        </w:trPr>
        <w:tc>
          <w:tcPr>
            <w:tcW w:w="1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55,700,000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55,700</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45,372,050</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59,751</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27,152,255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51,083</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14,817,103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8,040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(119,700</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(111,643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9"/>
          </w:tcPr>
          <w:p>
            <w:pPr>
              <w:ind w:left="240"/>
              <w:spacing w:after="0"/>
              <w:rPr>
                <w:sz w:val="20"/>
                <w:szCs w:val="20"/>
                <w:color w:val="auto"/>
              </w:rPr>
            </w:pPr>
            <w:r>
              <w:rPr>
                <w:rFonts w:ascii="Arial" w:cs="Arial" w:eastAsia="Arial" w:hAnsi="Arial"/>
                <w:sz w:val="14"/>
                <w:szCs w:val="14"/>
                <w:b w:val="1"/>
                <w:bCs w:val="1"/>
                <w:color w:val="auto"/>
              </w:rPr>
              <w:t>Redeemable Convertible Preferred 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line="126"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01"/>
              <w:spacing w:after="0" w:line="12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9"/>
        </w:trPr>
        <w:tc>
          <w:tcPr>
            <w:tcW w:w="2060" w:type="dxa"/>
            <w:vAlign w:val="bottom"/>
          </w:tcPr>
          <w:p>
            <w:pPr>
              <w:spacing w:after="0"/>
              <w:rPr>
                <w:sz w:val="6"/>
                <w:szCs w:val="6"/>
                <w:color w:val="auto"/>
              </w:rPr>
            </w:pPr>
          </w:p>
        </w:tc>
        <w:tc>
          <w:tcPr>
            <w:tcW w:w="15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6"/>
                <w:szCs w:val="6"/>
                <w:color w:val="auto"/>
              </w:rPr>
            </w:pPr>
          </w:p>
        </w:tc>
        <w:tc>
          <w:tcPr>
            <w:tcW w:w="1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2"/>
              </w:rPr>
              <w:t>Series B</w:t>
            </w: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158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20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6"/>
              </w:rPr>
              <w:t>Balance at December 31,</w:t>
            </w: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55,700,000</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$55,700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13,334,856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Repurchase of restricted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common stock awards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awards</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w w:val="94"/>
              </w:rPr>
              <w:t>Stock based compensation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expense</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March 31,</w:t>
            </w: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55,700,000</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55,700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13,259,856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3,722</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(59,043)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8"/>
                <w:szCs w:val="18"/>
                <w:color w:val="auto"/>
              </w:rPr>
              <w:t>Issuance of Series B-1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w w:val="99"/>
              </w:rPr>
              <w:t>redeemable convertible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preferred stock, net of</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issuance costs of less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than $0.2 million</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9"/>
              </w:rPr>
              <w:t>22,686,025</w:t>
            </w:r>
          </w:p>
        </w:tc>
        <w:tc>
          <w:tcPr>
            <w:tcW w:w="10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29,761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8"/>
              </w:rPr>
              <w:t>Exercise of Stock Options</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19,687</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common stock awards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 based compensation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7"/>
              </w:rPr>
              <w:t>Other comprehensive loss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b w:val="1"/>
                <w:bCs w:val="1"/>
                <w:color w:val="auto"/>
                <w:w w:val="96"/>
              </w:rPr>
              <w:t>Balance at June 30, 2020</w:t>
            </w: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55,700,000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55,700</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22,686,025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29,761</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13,279,543</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8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(16,599)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(16,306)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operating lease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(9,775)</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(23,123)</w:t>
            </w: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100,471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16,327</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(32,316)</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(16,507)</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Proceeds from issuance of preferred stock, net of issuance costs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29,990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29,850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Payment of merger with BCTG and PIPE financing transaction costs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29,859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22,521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(9,771)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25,168</w:t>
            </w: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15,397</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Cash paid for 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Merger with BCTG and PIPE financing deferred offering costs included in accounts payable and accrued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the Business and Basis of Presentation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new drugs in defined patient populations with high unmet medical need.</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7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Since inception, the Company has generated recurring net losses, including net losses of $4.5 million and $16.6 million for the three and six months ended June 30, 2021, respectively, and net losses of $8.4 million and $16.3 million for the three and six months ended June 30, 2020, respectively. The Company had an accumulated deficit of $119.7 million as of June 30, 2021. Since inception and through the issuance date of these unaudited condensed consolidated financial statements, the Company has raised an aggregate of approximately $166.9 million of gross proceeds from the sale of preferred shares, approximately $352.9 million in gross proceeds through the closing of the BCTG Business Combination and PIPE Investment transactions and another $202.1 million through our collaboration with Gilead.</w:t>
      </w:r>
    </w:p>
    <w:p>
      <w:pPr>
        <w:spacing w:after="0" w:line="192"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 expects operating losses and negative cash flows from operations to continue for the foreseeable future as it continues to develop, manufacture and commercialize its products. As of June 30, 2021, and with the additional gross proceeds of approximately $352.9 million received on August 10, 2021 from the consummation of the BCTG Business Combination and PIPE Investment transactions, the Company expected that its cash, cash equivalents and marketable securities will be sufficient to fund its operating expenses and capital expenditure requirements for at least 12 months from the issuance date of the unaudited condensed consolidated financial statements. The future viability of the Company beyond that point may be dependent on its ability to raise additional capital to finance its operations.</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accounting principles generally accepted in the United States of America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w:t>
      </w:r>
    </w:p>
    <w:p>
      <w:pPr>
        <w:spacing w:after="0" w:line="18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Tango received gross proceeds of $166.8 million upon the closing of the Business Combination. Tango continues to operate under the current Tango management team. Subsequent to the closing of the Business Combination, an 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Subject to the terms of the merger agreement, upon the closing of the Business Combination (the “Effective Time”), each share of the Company’s redeemable convertible preferred stock (the “Preferred Stock”) issued and 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including any novel variants such as the “Delta variant,”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18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specific related event or circumstance that would require it to revise its estimates reflected in these condensed consolidated financial statements. The extent to which the COVID-19 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157"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2021 and 2020 are not necessarily indicative of the results for the year ending December 31, 2021, any other interim periods, or any future year or period. The unaudited condensed consolidated financial statements for the three and six months ended June 30, 2021 and 2020 have been prepared on the same basis as and should be read in conjunction with the audited consolidated financial statements and notes for the year ended December 31, 2020 included in the Company’s effective proxy statement/prospectus, on file with the SEC on July 16, 2021.</w:t>
      </w:r>
    </w:p>
    <w:p>
      <w:pPr>
        <w:spacing w:after="0" w:line="282"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21"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 xml:space="preserve">Other than policies noted below, there have been no significant changes from the significant accounting policies disclosed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the audited consolidated financial statements and notes for the year ended December 31, 2020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proxy statement/prospectus, on file with the SEC on July 16,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was permitted The Company adopted this standard as of January 1, 2021 on a prospective basis. The adoption did not have a material impact on the Company’s condensed consolidated financial statements.</w:t>
      </w:r>
    </w:p>
    <w:p>
      <w:pPr>
        <w:spacing w:after="0" w:line="19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 — 40)</w:t>
      </w:r>
      <w:r>
        <w:rPr>
          <w:rFonts w:ascii="Arial" w:cs="Arial" w:eastAsia="Arial" w:hAnsi="Arial"/>
          <w:sz w:val="18"/>
          <w:szCs w:val="18"/>
          <w:color w:val="auto"/>
        </w:rPr>
        <w:t>. The amendments in this update affect entities that issue convertible instruments and/or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settled in cash or shares impact the diluted earnings per share (“EPS”) computation. Early adoption is permitted, but no earlier than fiscal years beginning after December 15, 2020, including interim periods within those fiscal years. The Company elected to early adopt this guidance on January 1, 2021.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288"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Collaboration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89" w:lineRule="exact"/>
        <w:rPr>
          <w:sz w:val="20"/>
          <w:szCs w:val="20"/>
          <w:color w:val="auto"/>
        </w:rPr>
      </w:pPr>
    </w:p>
    <w:p>
      <w:pPr>
        <w:ind w:left="1080" w:right="20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is eligible to receive up to $410.0 million per program in license, research extension, and clinical, regulatory, and commercial milestones.</w:t>
      </w:r>
    </w:p>
    <w:p>
      <w:pPr>
        <w:spacing w:after="0" w:line="24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7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95"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April 2021, Gilead licensed a program for a $11.0 million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total transaction price allocated to the combined performance obligation under the Gilead Agreement was $187.0 million at June 30, 2021. The total transaction price was comprised of the $50.0 million upfront payment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pursuant to the 2018 Gilead Agreement, the $125.0 million upfront payment pursuant to the Gilead Agreement, and the $12.0 million pursuant to the research extension fee in December 2020. During the three and six months ended June 30, 2021, the Company recognized $7.2 million and</w:t>
      </w:r>
    </w:p>
    <w:p>
      <w:pPr>
        <w:ind w:left="120" w:right="160"/>
        <w:spacing w:after="0" w:line="281" w:lineRule="auto"/>
        <w:rPr>
          <w:sz w:val="20"/>
          <w:szCs w:val="20"/>
          <w:color w:val="auto"/>
        </w:rPr>
      </w:pPr>
      <w:r>
        <w:rPr>
          <w:rFonts w:ascii="Arial" w:cs="Arial" w:eastAsia="Arial" w:hAnsi="Arial"/>
          <w:sz w:val="16"/>
          <w:szCs w:val="16"/>
          <w:color w:val="auto"/>
        </w:rPr>
        <w:t>$13.5 million, respectively, and during the three and six months ended June 30, 2020, the Company recognized $4.7 million and $9.1 million, respectively, of revenue associated with the Gilead Agreements based on performance completed during each period. During the three and six months ended June 30, 2021, the Company recognized revenue of $11.0 million, associated with the payments received in the second quarter of 2021 pursuant to the April 2021 program license. During the three and six months ended June 30, 2020, the Company recognized revenue of $0.3 million and</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$0.7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9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2021 and December 31, 2020, the Company had short-term deferred revenue of $24.5 million and $32.0 million, respectively, and long-term deferred revenue of $118.7 million and $120.8 million, respectively, related to the Gilead collaboration. The remaining long-term revenue is expected to be recognized proportionally to the completed obligations over an expected remaining contractual term of approximately 6.1 years.</w:t>
      </w:r>
    </w:p>
    <w:p>
      <w:pPr>
        <w:spacing w:after="0" w:line="178"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 As of June 30, 2021, $4.0 million of the total research extension fee amount of $12.0 million had been received, $2.0 million had been recorded as accounts receivable and the remaining $6.0 million was determined to be conditional upon the satisfaction of additional research obligations, and thus a contract asset. The contract asset balance is presented net of the deferred revenue contract liability.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2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5"/>
              </w:rPr>
              <w:t>Fair Market Value Measurements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0"/>
              </w:rPr>
              <w:t>as of June 30, 2021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Level 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3380" w:type="dxa"/>
            <w:vAlign w:val="bottom"/>
            <w:gridSpan w:val="3"/>
          </w:tcPr>
          <w:p>
            <w:pPr>
              <w:jc w:val="center"/>
              <w:ind w:left="2450"/>
              <w:spacing w:after="0"/>
              <w:rPr>
                <w:sz w:val="20"/>
                <w:szCs w:val="20"/>
                <w:color w:val="auto"/>
              </w:rPr>
            </w:pPr>
            <w:r>
              <w:rPr>
                <w:rFonts w:ascii="Arial" w:cs="Arial" w:eastAsia="Arial" w:hAnsi="Arial"/>
                <w:sz w:val="18"/>
                <w:szCs w:val="18"/>
                <w:color w:val="auto"/>
                <w:w w:val="92"/>
              </w:rPr>
              <w:t>$30,440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2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2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126,953</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U.S. government agency bonds</w:t>
            </w:r>
          </w:p>
        </w:tc>
        <w:tc>
          <w:tcPr>
            <w:tcW w:w="26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20,499</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80" w:type="dxa"/>
            <w:vAlign w:val="bottom"/>
            <w:gridSpan w:val="3"/>
            <w:shd w:val="clear" w:color="auto" w:fill="CCEEFF"/>
          </w:tcPr>
          <w:p>
            <w:pPr>
              <w:jc w:val="center"/>
              <w:ind w:left="245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30,440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147,452</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80" w:type="dxa"/>
            <w:vAlign w:val="bottom"/>
            <w:gridSpan w:val="3"/>
          </w:tcPr>
          <w:p>
            <w:pPr>
              <w:ind w:left="1240"/>
              <w:spacing w:after="0"/>
              <w:rPr>
                <w:sz w:val="20"/>
                <w:szCs w:val="20"/>
                <w:color w:val="auto"/>
              </w:rPr>
            </w:pPr>
            <w:r>
              <w:rPr>
                <w:rFonts w:ascii="Arial" w:cs="Arial" w:eastAsia="Arial" w:hAnsi="Arial"/>
                <w:sz w:val="18"/>
                <w:szCs w:val="18"/>
                <w:color w:val="auto"/>
              </w:rPr>
              <w:t>F-43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5"/>
              </w:rPr>
              <w:t>Fair Market Value Measurements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Level 2</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$12,698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131,939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U.S. government agency bonds</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12,698</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169,114</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181,812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fair value levels during the six months ended June 30, 2021.</w:t>
      </w:r>
    </w:p>
    <w:p>
      <w:pPr>
        <w:spacing w:after="0" w:line="32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Marketable Securities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4"/>
                <w:szCs w:val="14"/>
                <w:b w:val="1"/>
                <w:bCs w:val="1"/>
                <w:color w:val="auto"/>
                <w:w w:val="92"/>
              </w:rPr>
              <w:t>Fair Value Measurements as of June 30,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6"/>
              </w:rPr>
              <w:t>Amortized</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1280" w:type="dxa"/>
            <w:vAlign w:val="bottom"/>
            <w:gridSpan w:val="4"/>
          </w:tcPr>
          <w:p>
            <w:pPr>
              <w:jc w:val="right"/>
              <w:ind w:right="800"/>
              <w:spacing w:after="0" w:line="119" w:lineRule="exact"/>
              <w:rPr>
                <w:sz w:val="20"/>
                <w:szCs w:val="20"/>
                <w:color w:val="auto"/>
              </w:rPr>
            </w:pPr>
            <w:r>
              <w:rPr>
                <w:rFonts w:ascii="Arial" w:cs="Arial" w:eastAsia="Arial" w:hAnsi="Arial"/>
                <w:sz w:val="13"/>
                <w:szCs w:val="13"/>
                <w:b w:val="1"/>
                <w:bCs w:val="1"/>
                <w:color w:val="auto"/>
              </w:rPr>
              <w:t>Gross</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5"/>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3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center"/>
              <w:ind w:left="3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40" w:type="dxa"/>
            <w:vAlign w:val="bottom"/>
            <w:gridSpan w:val="4"/>
          </w:tcPr>
          <w:p>
            <w:pPr>
              <w:jc w:val="right"/>
              <w:ind w:right="20"/>
              <w:spacing w:after="0"/>
              <w:rPr>
                <w:sz w:val="20"/>
                <w:szCs w:val="20"/>
                <w:color w:val="auto"/>
              </w:rPr>
            </w:pPr>
            <w:r>
              <w:rPr>
                <w:rFonts w:ascii="Arial" w:cs="Arial" w:eastAsia="Arial" w:hAnsi="Arial"/>
                <w:sz w:val="18"/>
                <w:szCs w:val="18"/>
                <w:color w:val="auto"/>
              </w:rPr>
              <w:t>$126,954</w:t>
            </w: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$126,953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2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20,496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147,450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Amortized</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7"/>
              </w:rPr>
              <w:t>Loss</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center"/>
              <w:ind w:lef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60" w:type="dxa"/>
            <w:vAlign w:val="bottom"/>
            <w:gridSpan w:val="5"/>
          </w:tcPr>
          <w:p>
            <w:pPr>
              <w:jc w:val="right"/>
              <w:ind w:right="20"/>
              <w:spacing w:after="0"/>
              <w:rPr>
                <w:sz w:val="20"/>
                <w:szCs w:val="20"/>
                <w:color w:val="auto"/>
              </w:rPr>
            </w:pPr>
            <w:r>
              <w:rPr>
                <w:rFonts w:ascii="Arial" w:cs="Arial" w:eastAsia="Arial" w:hAnsi="Arial"/>
                <w:sz w:val="18"/>
                <w:szCs w:val="18"/>
                <w:color w:val="auto"/>
              </w:rPr>
              <w:t>$131,927</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$131,939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2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29,995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54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161,922</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The Company holds investment grade marketable securities, and none were considered to be in an unrealized loss position as of June 30, 2021 and December 31, 2020. As a result, the Company did not record any reserves for credit losses related to its marketable debt securities during the periods then ended. Marketable securities include $0.1 million in accrued interest at June 30, 2021 and December 31, 2020.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Supplemental Balance Sheet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as of June 30, 2021 and December 31, 2020 consists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120" w:type="dxa"/>
            <w:vAlign w:val="bottom"/>
          </w:tcPr>
          <w:p>
            <w:pPr>
              <w:spacing w:after="0"/>
              <w:rPr>
                <w:sz w:val="14"/>
                <w:szCs w:val="14"/>
                <w:color w:val="auto"/>
              </w:rPr>
            </w:pPr>
          </w:p>
        </w:tc>
        <w:tc>
          <w:tcPr>
            <w:tcW w:w="224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$ 5,337</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3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Computer equipment</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172</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459</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384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6,497</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(1,684)</w:t>
            </w:r>
          </w:p>
        </w:tc>
      </w:tr>
      <w:tr>
        <w:trPr>
          <w:trHeight w:val="27"/>
        </w:trPr>
        <w:tc>
          <w:tcPr>
            <w:tcW w:w="4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$ 4,397</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3,823</w:t>
            </w:r>
          </w:p>
        </w:tc>
      </w:tr>
      <w:tr>
        <w:trPr>
          <w:trHeight w:val="20"/>
        </w:trPr>
        <w:tc>
          <w:tcPr>
            <w:tcW w:w="4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Depreciation expense was $0.2 million for each of the three months ended June 30, 2021 and 2020 and $0.4 million and $0.3 million for the six months ended June 30,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as of June 30, 2021 and December 31, 2020 include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80" w:type="dxa"/>
            <w:vAlign w:val="bottom"/>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$2,046</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3,691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2,695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6,434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As of both June 30, 2021 and June 30, 2020, the Company maintained a restricted cash balance of $2.3 million, all of which was related to security deposits associated with the Company’s facility leases. The cash will remain restricted in accordance with the lease agreements absent the event of a lease termination of modification. The reconciliation of cash and cash equivalents and restricted cash to amounts presented in the condensed consolidated statements of cash flows are as follows: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June 30,</w:t>
            </w:r>
          </w:p>
        </w:tc>
      </w:tr>
      <w:tr>
        <w:trPr>
          <w:trHeight w:val="171"/>
        </w:trPr>
        <w:tc>
          <w:tcPr>
            <w:tcW w:w="3520" w:type="dxa"/>
            <w:vAlign w:val="bottom"/>
          </w:tcPr>
          <w:p>
            <w:pPr>
              <w:spacing w:after="0"/>
              <w:rPr>
                <w:sz w:val="14"/>
                <w:szCs w:val="14"/>
                <w:color w:val="auto"/>
              </w:rPr>
            </w:pPr>
          </w:p>
        </w:tc>
        <w:tc>
          <w:tcPr>
            <w:tcW w:w="368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gridSpan w:val="4"/>
          </w:tcPr>
          <w:p>
            <w:pPr>
              <w:jc w:val="right"/>
              <w:ind w:right="348"/>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$ 50,902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$ 13,118</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Restricted cash</w:t>
            </w:r>
          </w:p>
        </w:tc>
        <w:tc>
          <w:tcPr>
            <w:tcW w:w="30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2,279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2,279</w:t>
            </w:r>
          </w:p>
        </w:tc>
      </w:tr>
      <w:tr>
        <w:trPr>
          <w:trHeight w:val="27"/>
        </w:trPr>
        <w:tc>
          <w:tcPr>
            <w:tcW w:w="35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30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53,181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$ 15,397</w:t>
            </w:r>
          </w:p>
        </w:tc>
      </w:tr>
      <w:tr>
        <w:trPr>
          <w:trHeight w:val="20"/>
        </w:trPr>
        <w:tc>
          <w:tcPr>
            <w:tcW w:w="3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920" w:type="dxa"/>
            <w:vAlign w:val="bottom"/>
            <w:gridSpan w:val="3"/>
          </w:tcPr>
          <w:p>
            <w:pPr>
              <w:jc w:val="right"/>
              <w:ind w:right="3080"/>
              <w:spacing w:after="0"/>
              <w:rPr>
                <w:sz w:val="20"/>
                <w:szCs w:val="20"/>
                <w:color w:val="auto"/>
              </w:rPr>
            </w:pPr>
            <w:r>
              <w:rPr>
                <w:rFonts w:ascii="Arial" w:cs="Arial" w:eastAsia="Arial" w:hAnsi="Arial"/>
                <w:sz w:val="18"/>
                <w:szCs w:val="18"/>
                <w:color w:val="auto"/>
              </w:rPr>
              <w:t>F-45</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mutually agreed to terminate the HitGen Agreement in March 2021. No milestones were achieved or paid upon the termination of the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June 30, 2021, and no material legal proceedings are currently pending or threatened.</w:t>
      </w:r>
    </w:p>
    <w:p>
      <w:pPr>
        <w:spacing w:after="0" w:line="274"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Redeemable Convertible Preferred Stock</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4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Pursuant to the initial closing of the Series A stock purchase agreement, the Company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w:t>
      </w:r>
    </w:p>
    <w:p>
      <w:pPr>
        <w:spacing w:after="0" w:line="2"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w:t>
      </w:r>
    </w:p>
    <w:p>
      <w:pPr>
        <w:spacing w:after="0" w:line="1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share. Proceeds from this issuance totaled $29.8 million, net of $0.2 million in issuance costs. In March 2021, the Company sold 22,686,025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171"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In August 2020, the Company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2021 and December 31, 2020, redeemable convertible preferred stock consisted of the following (in thousands, except share amounts):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 2021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55,700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55,700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45,372,050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45,372,050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59,751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60,000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45,372,050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27,152,255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51,083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51,182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166,534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136,882</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left="84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55,700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55,700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45,372,050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29,761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30,000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27,152,255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51,083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51,182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136,544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136,882</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par value of all preferred stock is $0.001 per share.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17" w:lineRule="exact"/>
        <w:rPr>
          <w:sz w:val="20"/>
          <w:szCs w:val="20"/>
          <w:color w:val="auto"/>
        </w:rPr>
      </w:pPr>
    </w:p>
    <w:p>
      <w:pPr>
        <w:jc w:val="both"/>
        <w:ind w:left="120" w:right="600"/>
        <w:spacing w:after="0" w:line="342" w:lineRule="auto"/>
        <w:rPr>
          <w:sz w:val="20"/>
          <w:szCs w:val="20"/>
          <w:color w:val="auto"/>
        </w:rPr>
      </w:pPr>
      <w:r>
        <w:rPr>
          <w:rFonts w:ascii="Arial" w:cs="Arial" w:eastAsia="Arial" w:hAnsi="Arial"/>
          <w:sz w:val="16"/>
          <w:szCs w:val="16"/>
          <w:color w:val="auto"/>
        </w:rPr>
        <w:t>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w:t>
      </w:r>
    </w:p>
    <w:p>
      <w:pPr>
        <w:spacing w:after="0" w:line="12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178"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1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has a stock-based compensation plan under which stock options, restricted stock awards (“RSAs”), unrestricted stock awards, restricted stock units, or any combination of the forgoing may be granted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eligible employees, officers, directors, consultants, or other key persons who provide services to the Company. The Company recorded stock-based compensation expense in the following expense categories in its accompanying condensed consolidated statements of operations:</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stock option activity of the Company’s 2017 Plan for the six months ended June 30,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5"/>
              </w:rPr>
              <w:t>Weighted</w:t>
            </w:r>
          </w:p>
        </w:tc>
        <w:tc>
          <w:tcPr>
            <w:tcW w:w="1540" w:type="dxa"/>
            <w:vAlign w:val="bottom"/>
          </w:tcPr>
          <w:p>
            <w:pPr>
              <w:jc w:val="center"/>
              <w:ind w:left="161"/>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154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tcPr>
          <w:p>
            <w:pPr>
              <w:jc w:val="center"/>
              <w:ind w:left="161"/>
              <w:spacing w:after="0"/>
              <w:rPr>
                <w:sz w:val="20"/>
                <w:szCs w:val="20"/>
                <w:color w:val="auto"/>
              </w:rPr>
            </w:pPr>
            <w:r>
              <w:rPr>
                <w:rFonts w:ascii="Arial" w:cs="Arial" w:eastAsia="Arial" w:hAnsi="Arial"/>
                <w:sz w:val="14"/>
                <w:szCs w:val="14"/>
                <w:b w:val="1"/>
                <w:bCs w:val="1"/>
                <w:color w:val="auto"/>
                <w:w w:val="99"/>
              </w:rPr>
              <w:t>Term</w:t>
            </w:r>
          </w:p>
        </w:tc>
        <w:tc>
          <w:tcPr>
            <w:tcW w:w="3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61"/>
              <w:spacing w:after="0" w:line="142" w:lineRule="exact"/>
              <w:rPr>
                <w:sz w:val="20"/>
                <w:szCs w:val="20"/>
                <w:color w:val="auto"/>
              </w:rPr>
            </w:pPr>
            <w:r>
              <w:rPr>
                <w:rFonts w:ascii="Arial" w:cs="Arial" w:eastAsia="Arial" w:hAnsi="Arial"/>
                <w:sz w:val="14"/>
                <w:szCs w:val="14"/>
                <w:b w:val="1"/>
                <w:bCs w:val="1"/>
                <w:color w:val="auto"/>
                <w:w w:val="93"/>
              </w:rPr>
              <w:t>(in years)</w:t>
            </w:r>
          </w:p>
        </w:tc>
        <w:tc>
          <w:tcPr>
            <w:tcW w:w="3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11,952,362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15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8.58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6,625,511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8,625,312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(1,515,454)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(158,924)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June 30, 2021</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18,903,296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5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44,555,609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Options exercisable as of June 30, 2021</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3,864,800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1540" w:type="dxa"/>
            <w:vAlign w:val="bottom"/>
          </w:tcPr>
          <w:p>
            <w:pPr>
              <w:jc w:val="right"/>
              <w:ind w:right="201"/>
              <w:spacing w:after="0"/>
              <w:rPr>
                <w:sz w:val="20"/>
                <w:szCs w:val="20"/>
                <w:color w:val="auto"/>
              </w:rPr>
            </w:pPr>
            <w:r>
              <w:rPr>
                <w:rFonts w:ascii="Arial" w:cs="Arial" w:eastAsia="Arial" w:hAnsi="Arial"/>
                <w:sz w:val="18"/>
                <w:szCs w:val="18"/>
                <w:color w:val="auto"/>
              </w:rPr>
              <w:t>7.87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10,973,189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June 30, 2021, total unrecognized compensation expense related to stock options was $13.7 million, which the Company expects to recognize over a remaining weighted-average period of 3.1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the six months ended June 30, 2021, 739,618 RSAs vested. Stock-based compensation expense attributable to RSAs during the six months ended June 30, 2021 totaled $0.3 million.</w:t>
      </w:r>
    </w:p>
    <w:p>
      <w:pPr>
        <w:spacing w:after="0" w:line="274"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000" w:type="dxa"/>
            <w:vAlign w:val="bottom"/>
            <w:tcBorders>
              <w:top w:val="single" w:sz="8" w:color="auto"/>
              <w:bottom w:val="single" w:sz="8" w:color="auto"/>
            </w:tcBorders>
            <w:gridSpan w:val="7"/>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4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(16,599)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(16,306)</w:t>
            </w:r>
          </w:p>
        </w:tc>
      </w:tr>
      <w:tr>
        <w:trPr>
          <w:trHeight w:val="202"/>
        </w:trPr>
        <w:tc>
          <w:tcPr>
            <w:tcW w:w="4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Net loss attributable to common stockholders – basic</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(8,392)</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(16,599)</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(16,306)</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Weighted-average common stock outstanding – basic</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14,485,746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11,193,065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14,214,543</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10,913,053</w:t>
            </w:r>
          </w:p>
        </w:tc>
      </w:tr>
      <w:tr>
        <w:trPr>
          <w:trHeight w:val="209"/>
        </w:trPr>
        <w:tc>
          <w:tcPr>
            <w:tcW w:w="432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stockholders – basic and diluted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372"/>
        </w:trPr>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F-49</w:t>
            </w: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64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128,224,305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78,386,025</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18,903,296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11,475,430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1,764,036</w:t>
            </w:r>
          </w:p>
        </w:tc>
      </w:tr>
      <w:tr>
        <w:trPr>
          <w:trHeight w:val="223"/>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147,143,851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91,625,491</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520" w:hanging="404"/>
        <w:spacing w:after="0"/>
        <w:tabs>
          <w:tab w:leader="none" w:pos="5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Company’s effective income tax rate was (0.3)% and 0.0% for the three months ended June 30, 2021 and 2020, respectively, and was (0.3)% and 0.0% for the six months ended June 30, 2021 and 2020, respectively. The benefit from income taxes was $21 thousand and $0 for the three months ended June 30, 2021 and 2020, respectively, and the provision for income taxes was $53 thousand and $0 for the six months ended June 30, 2021 and 2020, respectively. The change in the benefit from and provision for income taxes for the three and six months ended June 30, 2021, respectively, compared to the three and six months ended June 30, 2020 was primarily due to taxable deferred revenue partially offset by the utilization of federal and state net operating losses and federal and state tax credits.</w:t>
      </w:r>
    </w:p>
    <w:p>
      <w:pPr>
        <w:spacing w:after="0" w:line="19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effective income tax rate for the three and six months ended June 30, 2021 and 2020 differed from the federal statutory rate primarily due to the valuation allowance maintained against the Company’s deferred tax assets.</w:t>
      </w:r>
    </w:p>
    <w:p>
      <w:pPr>
        <w:spacing w:after="0" w:line="274"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w:t>
      </w:r>
    </w:p>
    <w:p>
      <w:pPr>
        <w:spacing w:after="0" w:line="18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Tango received gross proceeds of $166.8 million upon the closing of the Business Combination. Tango continues to operate under the current Tango management team. Subsequent to the closing of the Business Combination, 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Subject to the terms of the merger agreement, upon the closing of the Business Combination (the “Effective Time”), each share of the Company’s redeemable convertible preferred stock (the “Preferred Stock”) issued and 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June 30, 2021 through August 13, 2021, the date the unaudited condensed consolidated financial statements were available for issuance, and determined that all material transactions have been recorded and disclosed.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9"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Tango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audited the accompanying consolidated balance sheets of Tango Therapeutics, Inc. and its subsidiary (the “Company”)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and 2019, and the related consolidated statements of operations and comprehensive loss, of redeemable convertible preferred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stockholders’ deficit, and of cash flows for the years then ended, including the related notes (collectively referred to as the “consolidated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statements”). In our opinion, the consolidated financial statements present fairly, in all material respects, the financial position of the Company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and December 31, 2019, and the results of its operations and its cash flows for the years then ended in conformity with accounting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principles generally accepted in the United States of America.</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4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12,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00"/>
          </w:cols>
          <w:pgMar w:left="320" w:top="459" w:right="5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2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22,889</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161,939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17,536</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193,632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41,656</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207,252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55,764</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6,140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4,932</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31,977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19,594</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25,851</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120,805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14,106</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168,652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47,859</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20" w:type="dxa"/>
            <w:vAlign w:val="bottom"/>
          </w:tcPr>
          <w:p>
            <w:pPr>
              <w:ind w:left="160"/>
              <w:spacing w:after="0"/>
              <w:rPr>
                <w:sz w:val="20"/>
                <w:szCs w:val="20"/>
                <w:color w:val="auto"/>
              </w:rPr>
            </w:pPr>
            <w:r>
              <w:rPr>
                <w:rFonts w:ascii="Arial" w:cs="Arial" w:eastAsia="Arial" w:hAnsi="Arial"/>
                <w:sz w:val="16"/>
                <w:szCs w:val="16"/>
                <w:color w:val="auto"/>
              </w:rPr>
              <w:t>Series A redeemable convertible preferred stock, $0.001 par value, 55,700,000 shares authorized, issued, and outstanding at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320"/>
              <w:spacing w:after="0"/>
              <w:rPr>
                <w:sz w:val="20"/>
                <w:szCs w:val="20"/>
                <w:color w:val="auto"/>
              </w:rPr>
            </w:pPr>
            <w:r>
              <w:rPr>
                <w:rFonts w:ascii="Arial" w:cs="Arial" w:eastAsia="Arial" w:hAnsi="Arial"/>
                <w:sz w:val="16"/>
                <w:szCs w:val="16"/>
                <w:color w:val="auto"/>
              </w:rPr>
              <w:t>December 31, 2020 and 2019, respectively; liquidation preferences of $55,700 at December 31, 2020 and 2019,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55,700</w:t>
            </w: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Series B redeemable convertible preferred stock, $0.001 par value, 45,372,050 and 0 shares authorized at December 31, 2020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2019, respectively; 22,686,025 and 0 shares issued and outstanding at December 31, 2020 and December 31, 2019, respectively;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liquidation preferences of $30,000 and $0 at December 31, 2020 and 2019,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9220" w:type="dxa"/>
            <w:vAlign w:val="bottom"/>
          </w:tcPr>
          <w:p>
            <w:pPr>
              <w:ind w:left="160"/>
              <w:spacing w:after="0"/>
              <w:rPr>
                <w:sz w:val="20"/>
                <w:szCs w:val="20"/>
                <w:color w:val="auto"/>
              </w:rPr>
            </w:pPr>
            <w:r>
              <w:rPr>
                <w:rFonts w:ascii="Arial" w:cs="Arial" w:eastAsia="Arial" w:hAnsi="Arial"/>
                <w:sz w:val="16"/>
                <w:szCs w:val="16"/>
                <w:color w:val="auto"/>
                <w:w w:val="95"/>
              </w:rPr>
              <w:t>Series B-1 redeemable convertible preferred stock, $0.001 par value, 27,152,255 and 0 shares authorized, issued, and outstanding at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320"/>
              <w:spacing w:after="0"/>
              <w:rPr>
                <w:sz w:val="20"/>
                <w:szCs w:val="20"/>
                <w:color w:val="auto"/>
              </w:rPr>
            </w:pPr>
            <w:r>
              <w:rPr>
                <w:rFonts w:ascii="Arial" w:cs="Arial" w:eastAsia="Arial" w:hAnsi="Arial"/>
                <w:sz w:val="16"/>
                <w:szCs w:val="16"/>
                <w:color w:val="auto"/>
                <w:w w:val="94"/>
              </w:rPr>
              <w:t>December 31, 2020 and 2019, respectively; liquidation preferences of $51,182 and $0 at December 31, 2020 and 2019,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51,083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20" w:type="dxa"/>
            <w:vAlign w:val="bottom"/>
          </w:tcPr>
          <w:p>
            <w:pPr>
              <w:spacing w:after="0"/>
              <w:rPr>
                <w:sz w:val="20"/>
                <w:szCs w:val="20"/>
                <w:color w:val="auto"/>
              </w:rPr>
            </w:pPr>
            <w:r>
              <w:rPr>
                <w:rFonts w:ascii="Arial" w:cs="Arial" w:eastAsia="Arial" w:hAnsi="Arial"/>
                <w:sz w:val="16"/>
                <w:szCs w:val="16"/>
                <w:color w:val="auto"/>
                <w:w w:val="99"/>
              </w:rPr>
              <w:t>Common stock, $0.001 par value; 166,000,000 and 80,800,000 shares authorized at December 31, 2020 and December 31, 2019,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160"/>
              <w:spacing w:after="0"/>
              <w:rPr>
                <w:sz w:val="20"/>
                <w:szCs w:val="20"/>
                <w:color w:val="auto"/>
              </w:rPr>
            </w:pPr>
            <w:r>
              <w:rPr>
                <w:rFonts w:ascii="Arial" w:cs="Arial" w:eastAsia="Arial" w:hAnsi="Arial"/>
                <w:sz w:val="16"/>
                <w:szCs w:val="16"/>
                <w:color w:val="auto"/>
              </w:rPr>
              <w:t>respectively; 13,301,649 and 13,334,856 shares issued and outstanding as of December 31, 2020 and 2019,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2"/>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7"/>
              </w:rPr>
              <w:t>(103,101)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(51,129)</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160"/>
              <w:spacing w:after="0"/>
              <w:rPr>
                <w:sz w:val="20"/>
                <w:szCs w:val="20"/>
                <w:color w:val="auto"/>
              </w:rPr>
            </w:pPr>
            <w:r>
              <w:rPr>
                <w:rFonts w:ascii="Arial" w:cs="Arial" w:eastAsia="Arial" w:hAnsi="Arial"/>
                <w:sz w:val="16"/>
                <w:szCs w:val="16"/>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(97,944)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(47,795)</w:t>
            </w:r>
          </w:p>
        </w:tc>
        <w:tc>
          <w:tcPr>
            <w:tcW w:w="0" w:type="dxa"/>
            <w:vAlign w:val="bottom"/>
          </w:tcPr>
          <w:p>
            <w:pPr>
              <w:spacing w:after="0"/>
              <w:rPr>
                <w:sz w:val="1"/>
                <w:szCs w:val="1"/>
                <w:color w:val="auto"/>
              </w:rPr>
            </w:pPr>
          </w:p>
        </w:tc>
      </w:tr>
      <w:tr>
        <w:trPr>
          <w:trHeight w:val="30"/>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207,252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55,764</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49,991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9,865</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59,856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39,811</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9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(51,972)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(4.53)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5"/>
              </w:rPr>
              <w:t>11,461,011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8,985,710</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(51,972)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Pr>
          <w:p>
            <w:pPr>
              <w:spacing w:after="0"/>
              <w:rPr>
                <w:sz w:val="18"/>
                <w:szCs w:val="18"/>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(51,965)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460" w:type="dxa"/>
            <w:vAlign w:val="bottom"/>
            <w:tcBorders>
              <w:top w:val="single" w:sz="8" w:color="auto"/>
            </w:tcBorders>
            <w:gridSpan w:val="5"/>
          </w:tcPr>
          <w:p>
            <w:pPr>
              <w:ind w:left="440"/>
              <w:spacing w:after="0" w:line="142" w:lineRule="exact"/>
              <w:rPr>
                <w:sz w:val="20"/>
                <w:szCs w:val="20"/>
                <w:color w:val="auto"/>
              </w:rPr>
            </w:pPr>
            <w:r>
              <w:rPr>
                <w:rFonts w:ascii="Arial" w:cs="Arial" w:eastAsia="Arial" w:hAnsi="Arial"/>
                <w:sz w:val="14"/>
                <w:szCs w:val="14"/>
                <w:b w:val="1"/>
                <w:bCs w:val="1"/>
                <w:color w:val="auto"/>
              </w:rPr>
              <w:t>Series A</w:t>
            </w:r>
          </w:p>
        </w:tc>
        <w:tc>
          <w:tcPr>
            <w:tcW w:w="1460" w:type="dxa"/>
            <w:vAlign w:val="bottom"/>
            <w:tcBorders>
              <w:top w:val="single" w:sz="8" w:color="auto"/>
            </w:tcBorders>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Series B</w:t>
            </w:r>
          </w:p>
        </w:tc>
        <w:tc>
          <w:tcPr>
            <w:tcW w:w="1440" w:type="dxa"/>
            <w:vAlign w:val="bottom"/>
            <w:tcBorders>
              <w:top w:val="single" w:sz="8" w:color="auto"/>
              <w:right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Series B-1</w:t>
            </w: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Income</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Stockholders’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8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7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7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(Loss)</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69"/>
        </w:trPr>
        <w:tc>
          <w:tcPr>
            <w:tcW w:w="1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96"/>
              </w:rPr>
              <w:t>December 31,</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2018</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44,700,000</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3"/>
              </w:rPr>
              <w:t>$44,700</w:t>
            </w: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14,522,360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(37,034)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0"/>
              </w:rPr>
              <w:t>$(35,426)</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Issuance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Series A</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convertible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gridSpan w:val="3"/>
          </w:tcPr>
          <w:p>
            <w:pPr>
              <w:ind w:left="160"/>
              <w:spacing w:after="0"/>
              <w:rPr>
                <w:sz w:val="20"/>
                <w:szCs w:val="20"/>
                <w:color w:val="auto"/>
              </w:rPr>
            </w:pPr>
            <w:r>
              <w:rPr>
                <w:rFonts w:ascii="Arial" w:cs="Arial" w:eastAsia="Arial" w:hAnsi="Arial"/>
                <w:sz w:val="16"/>
                <w:szCs w:val="16"/>
                <w:color w:val="auto"/>
                <w:w w:val="95"/>
              </w:rPr>
              <w:t>preferred stock 11,000,000</w:t>
            </w:r>
          </w:p>
        </w:tc>
        <w:tc>
          <w:tcPr>
            <w:tcW w:w="640" w:type="dxa"/>
            <w:vAlign w:val="bottom"/>
            <w:gridSpan w:val="3"/>
          </w:tcPr>
          <w:p>
            <w:pPr>
              <w:jc w:val="right"/>
              <w:ind w:right="80"/>
              <w:spacing w:after="0"/>
              <w:rPr>
                <w:sz w:val="20"/>
                <w:szCs w:val="20"/>
                <w:color w:val="auto"/>
              </w:rPr>
            </w:pPr>
            <w:r>
              <w:rPr>
                <w:rFonts w:ascii="Arial" w:cs="Arial" w:eastAsia="Arial" w:hAnsi="Arial"/>
                <w:sz w:val="16"/>
                <w:szCs w:val="16"/>
                <w:color w:val="auto"/>
              </w:rPr>
              <w:t>11,000</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Vesting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Repurchases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(1,187,504)</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Stock based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2"/>
              </w:rPr>
              <w:t>comprehensive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income</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(14,095)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(14,095)</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b w:val="1"/>
                <w:bCs w:val="1"/>
                <w:color w:val="auto"/>
                <w:w w:val="96"/>
              </w:rPr>
              <w:t>December 31,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ind w:left="40"/>
              <w:spacing w:after="0"/>
              <w:rPr>
                <w:sz w:val="20"/>
                <w:szCs w:val="20"/>
                <w:color w:val="auto"/>
              </w:rPr>
            </w:pPr>
            <w:r>
              <w:rPr>
                <w:rFonts w:ascii="Arial" w:cs="Arial" w:eastAsia="Arial" w:hAnsi="Arial"/>
                <w:sz w:val="16"/>
                <w:szCs w:val="16"/>
                <w:b w:val="1"/>
                <w:bCs w:val="1"/>
                <w:color w:val="auto"/>
                <w:w w:val="89"/>
              </w:rPr>
              <w:t>55,700,000</w:t>
            </w:r>
          </w:p>
        </w:tc>
        <w:tc>
          <w:tcPr>
            <w:tcW w:w="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55,700</w:t>
            </w:r>
          </w:p>
        </w:tc>
        <w:tc>
          <w:tcPr>
            <w:tcW w:w="780" w:type="dxa"/>
            <w:vAlign w:val="bottom"/>
          </w:tcPr>
          <w:p>
            <w:pPr>
              <w:ind w:left="52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ind w:left="5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4"/>
              </w:rPr>
              <w:t>13,334,856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3,311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(51,129)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(47,795)</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Issuance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B</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redeemable</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convertible</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net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issuance costs</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$0.2 million</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22,686,025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29,761</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Issuance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Series B-1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convertible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preferred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stock, net of</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5"/>
              </w:rPr>
              <w:t>issuance costs</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of $0.1 million</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40"/>
              <w:spacing w:after="0"/>
              <w:rPr>
                <w:sz w:val="20"/>
                <w:szCs w:val="20"/>
                <w:color w:val="auto"/>
              </w:rPr>
            </w:pPr>
            <w:r>
              <w:rPr>
                <w:rFonts w:ascii="Arial" w:cs="Arial" w:eastAsia="Arial" w:hAnsi="Arial"/>
                <w:sz w:val="16"/>
                <w:szCs w:val="16"/>
                <w:color w:val="auto"/>
                <w:w w:val="87"/>
              </w:rPr>
              <w:t>27,152,255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51,083</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w w:val="95"/>
              </w:rPr>
              <w:t>Exercise of stock</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Vesting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Repurchases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(115,077)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Stock based</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expense</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comprehensive</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(51,972)</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(51,972)</w:t>
            </w: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96"/>
              </w:rPr>
              <w:t>December 31,</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2020</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55,700,000</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55,700</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22,686,025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29,761</w:t>
            </w:r>
          </w:p>
        </w:tc>
        <w:tc>
          <w:tcPr>
            <w:tcW w:w="7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7"/>
              </w:rPr>
              <w:t>27,152,255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3"/>
              </w:rPr>
              <w:t>51,083</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13,301,649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(103,101)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u w:val="single" w:color="auto"/>
                <w:color w:val="auto"/>
                <w:w w:val="90"/>
              </w:rPr>
              <w:t>$</w:t>
            </w:r>
            <w:r>
              <w:rPr>
                <w:rFonts w:ascii="Arial" w:cs="Arial" w:eastAsia="Arial" w:hAnsi="Arial"/>
                <w:sz w:val="16"/>
                <w:szCs w:val="16"/>
                <w:b w:val="1"/>
                <w:bCs w:val="1"/>
                <w:color w:val="auto"/>
                <w:w w:val="90"/>
              </w:rPr>
              <w:t>(97,944)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(51,972)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(14,095)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operating lease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1,694</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2,964</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119,081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(14,249)</w:t>
            </w: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(24,803)</w:t>
            </w:r>
          </w:p>
        </w:tc>
      </w:tr>
      <w:tr>
        <w:trPr>
          <w:trHeight w:val="216"/>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(1,817)</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35,246</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(207,540)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(32,581)</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(145,466)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w:t>
            </w:r>
          </w:p>
        </w:tc>
      </w:tr>
      <w:tr>
        <w:trPr>
          <w:trHeight w:val="216"/>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91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Proceeds from issuance of preferred stock, net of issuance costs of $0.3 million and $0 during the periods ended</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2020 and 2019, respectively</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11,000</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11,000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(12,955)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38,123</w:t>
            </w:r>
          </w:p>
        </w:tc>
      </w:tr>
      <w:tr>
        <w:trPr>
          <w:trHeight w:val="230"/>
        </w:trPr>
        <w:tc>
          <w:tcPr>
            <w:tcW w:w="91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25,168</w:t>
            </w:r>
          </w:p>
        </w:tc>
        <w:tc>
          <w:tcPr>
            <w:tcW w:w="12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Cash paid for leases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1,735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180" w:type="dxa"/>
            <w:vAlign w:val="bottom"/>
          </w:tcPr>
          <w:p>
            <w:pPr>
              <w:ind w:left="36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new drugs in defined patient populations with high unmet medical need.</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7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Since inception, the Company has generated recurring net losses, including a net loss of $52.0 million and $14.1 million for the years ended December 31, 2020 and 2019, respectively. The Company had an accumulated deficit of $103.1 million and $51.1 million as of December 31, 2020 and 2019, respectively. Since inception and through the issuance date of these consolidated financial statements, the Company has raised an aggregate of approximately $166.9 million of gross proceeds from the sale of preferred shares.</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 expects operating losses and negative cash flows from operations to continue for the foreseeable future as it continues to develop, manufacture and commercialize its products. As of April 12, 2021, the issuance date of the consolidated financial statements for the year ended December 31, 2020, the Company expected that its cash, cash equivalents and marketable securities, and the $30.0 of additional proceeds from the closing of the second tranche of the Series B convertible preferred stock purchase agreement (see Note 14) received in March 2021, will be sufficient to fund its operating expenses and capital expenditure requirements for at least 12 months from the issuance date of the annual consolidated financial statements. The future viability of the Company beyond that point may be dependent on its ability to raise additional capital to finance its operations.</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with BCTG Acquisition Corporation (Unaudited)</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On April 13, 2021, the Company and BCTG Acquisition Corp. (“BCTG”) signed a definitive merger agreement, which will result in BCTG acquiring 100% of the Company’s issued and outstanding equity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92"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1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 specific related event or circumstance that would require it to revise its estimates reflected in these consolidated financial statements. The extent to which the COVID-19 pandemic will directly or indirectly impact the Company’s business, results of operations, financial condition and liquidity, including research and development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9"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costs, will depend on future developments that are highly uncertain, including as a result of new information that may emerge concerning COVID-19, the actions taken to contain or treat it, and the duration and intensity of the related effects.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common shares and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related to COVID-19. Actual results may differ from these estimates under different assumptions or conditions. Changes in estimates are reflected in reported results in the period in which they become known.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All highly liquid marketable securities purchased with an original maturity date of 90 days or less at the date of purchase are considered to be cash equivalents. Cash equivalents consisted of money market funds and U.S Treasury bills as of December 31, 2020 and 2019.</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and losses are reported as a component of accumulated other comprehensive income (loss) in stockholders’ equity (deficit). Amortization and accretion of premiums and discounts are recorded in interest income. Realized gains and losses and declines in value determined to be other than temporary are based on the specific identification method and are included as a component of other income, net in the consolidated statements of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such credit losses were recorded during the periods presented.</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early adoption of ASU 2016-13</w:t>
      </w:r>
      <w:r>
        <w:rPr>
          <w:rFonts w:ascii="Arial" w:cs="Arial" w:eastAsia="Arial" w:hAnsi="Arial"/>
          <w:sz w:val="18"/>
          <w:szCs w:val="18"/>
          <w:i w:val="1"/>
          <w:iCs w:val="1"/>
          <w:color w:val="auto"/>
        </w:rPr>
        <w:t>, 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on January 1, 2020, the Company evaluated its investments with unrealized losses for other-than-temporary impairment. If any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fair value reflected a decline in the value of the investment that the Company considered to be “other than temporary,” the Company would reduce the investment to fair value through a charge to the consolidated statements of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8" w:lineRule="exact"/>
        <w:rPr>
          <w:sz w:val="20"/>
          <w:szCs w:val="20"/>
          <w:color w:val="auto"/>
        </w:rPr>
      </w:pPr>
    </w:p>
    <w:p>
      <w:pPr>
        <w:ind w:left="1080" w:right="6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fair value of the Company’s cash equivalents and marketable securities are determined according to the fair value hierarchy described above (see Note 4). The carrying values of the Company’s accounts receivable, accounts payable and accrued expenses approximate their fair values due to the short-term nature of these assets and liabilities.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Suppliers</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2020 and 2019.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relies, and expects to continue to rely, on a small number of vendors to perform research activities that continue to progress its product candidates for its development programs. These programs could be adversely affected by a significant interruption in the related processes of these vendors.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Cash accounts with any type of restriction are considered restricted cash and are classified on the balance sheet based on the length of the restrictive obligation. As of both December 31, 2020 and 2019, the Company recorded restricted cash of $2.3 million, all of which was related to security deposits associated with the Company’s facility leases in Boston, Massachusetts and Cambridge, Massachusetts, and is recorded as long term in its balance sheet because the deposit is required for the duration of the lease which is greater than a year.</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reconciliation of cash and cash equivalents and restricted cash to amounts presented in the consolidated statements of cash flows are as follows:</w:t>
      </w:r>
    </w:p>
    <w:p>
      <w:pPr>
        <w:spacing w:after="0" w:line="189"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6350</wp:posOffset>
            </wp:positionV>
            <wp:extent cx="10801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00"/>
        <w:spacing w:after="0"/>
        <w:tabs>
          <w:tab w:leader="none" w:pos="92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801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4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$ 28,381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$ 22,889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2,279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2,279</w:t>
            </w:r>
          </w:p>
        </w:tc>
      </w:tr>
      <w:tr>
        <w:trPr>
          <w:trHeight w:val="27"/>
        </w:trPr>
        <w:tc>
          <w:tcPr>
            <w:tcW w:w="4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30,660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$ 25,168</w:t>
            </w:r>
          </w:p>
        </w:tc>
      </w:tr>
      <w:tr>
        <w:trPr>
          <w:trHeight w:val="20"/>
        </w:trPr>
        <w:tc>
          <w:tcPr>
            <w:tcW w:w="4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436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4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36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Shorter of remaining lease term or 10 years</w:t>
            </w:r>
          </w:p>
        </w:tc>
      </w:tr>
    </w:tbl>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80"/>
          </w:cols>
          <w:pgMar w:left="320" w:top="459" w:right="4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Company accounts for leases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 which it early adopted on January 1, 2018.</w:t>
      </w:r>
    </w:p>
    <w:p>
      <w:pPr>
        <w:spacing w:after="0" w:line="22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88"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78"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The Company’s revenues are generated through its license and collaboration agreements with Gilead. Refer to Note 3, “Collaboration Agreements.”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Effective January 1, 2017, the Company early adopted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and related amendments using the retrospective transition method, which had no impact on the Company’s financial statements. This standard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w:t>
      </w:r>
    </w:p>
    <w:p>
      <w:pPr>
        <w:spacing w:after="0" w:line="2" w:lineRule="exact"/>
        <w:rPr>
          <w:sz w:val="20"/>
          <w:szCs w:val="20"/>
          <w:color w:val="auto"/>
        </w:rPr>
      </w:pPr>
    </w:p>
    <w:p>
      <w:pPr>
        <w:ind w:left="120" w:right="40" w:hanging="4"/>
        <w:spacing w:after="0" w:line="268" w:lineRule="auto"/>
        <w:tabs>
          <w:tab w:leader="none" w:pos="42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7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6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78"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i w:val="1"/>
          <w:iCs w:val="1"/>
          <w:color w:val="auto"/>
        </w:rPr>
        <w:t xml:space="preserve">Exclusive License Rights </w:t>
      </w:r>
      <w:r>
        <w:rPr>
          <w:rFonts w:ascii="Arial" w:cs="Arial" w:eastAsia="Arial" w:hAnsi="Arial"/>
          <w:sz w:val="17"/>
          <w:szCs w:val="17"/>
          <w:color w:val="auto"/>
        </w:rPr>
        <w:t>— If the license to the Company’s intellectual property is determined to be distinct from the other promises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 The obligations under the Company’s collaboration agreements may include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 The Company’s arrangements may provide a collaborator with the right to acquire additional goods or services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7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 At the inception of an arrangement that includes development milestone payments, the Company evaluates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milestones are considered probable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95"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 For arrangements that include sales-based royalties, including milestone payments based on a level of sales, where the license is</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be the predominant item to which the royalties relate, the Company recognizes revenue at the later of (i) when the related sales occur or</w:t>
      </w:r>
    </w:p>
    <w:p>
      <w:pPr>
        <w:ind w:left="120" w:right="620" w:hanging="4"/>
        <w:spacing w:after="0" w:line="260" w:lineRule="auto"/>
        <w:tabs>
          <w:tab w:leader="none" w:pos="3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when the performance obligation to which some or all of the royalty has been allocated has been satisfied (or partially satisfied). To date, the Company has not recognized any royalty revenue resulting from licensing agreements.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Research and development expenses include costs directly attributable to the conduct of research programs, including the cost of salaries, employee benefits, stock-based compensation expense, materials, supplies, depreciation on and maintenance of research equipment, the cost of services provided by outside contractors to conduct research and development activities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 The Company also has the right and option to repurchase an individual’s shares of common stock or vested stock options to acquire common stock subsequent to employment termination.</w:t>
      </w:r>
    </w:p>
    <w:p>
      <w:pPr>
        <w:spacing w:after="0" w:line="19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fair value of common stock underlying stock-based awards is based on an estimate at each grant date. The valuation provided by the board of directors is derived from a recommendation by an unrelated third-party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valuation firm. The Company determines the estimated per share fair value of its common stock at various dates considering contemporaneous and retrospective valuations that incorporate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is determined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The fair value of each restricted common stock award is estimated on the date of grant based on the fair value of the Company’s common stock on that same date. The fair value of each stock option grant is determined using assumptions discussed below.</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the stock options is estimated using the “simplified method,” as prescribed in SEC’s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Since there is limited historical data for the Company’s common stock and limited company-specific historical volatility,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84" w:lineRule="exact"/>
        <w:rPr>
          <w:sz w:val="20"/>
          <w:szCs w:val="20"/>
          <w:color w:val="auto"/>
        </w:rPr>
      </w:pPr>
    </w:p>
    <w:p>
      <w:pPr>
        <w:ind w:left="560"/>
        <w:spacing w:after="0"/>
        <w:tabs>
          <w:tab w:leader="none" w:pos="2360" w:val="left"/>
        </w:tabs>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risk-free rate is based on the U.S. Treasury yield curve commensurate with the expected life of the option.</w:t>
      </w:r>
    </w:p>
    <w:p>
      <w:pPr>
        <w:spacing w:after="0" w:line="225"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expected dividend was assumed to be zero as the Company has never paid dividends and has no current plans to do so.</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84"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Convertible Preferred shares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convertible preferred shares are classified outside of stockholders’ deficit because the holders of such shares have liquidation rights in the event of a deemed liquidation that, in certain situations, are not solely within the control of the Company. Further, the Company’s convertible preferred shares are redeemable at the option of the holder after March 2023. The Company records convertible preferred shares at fair value upon issuance, net of any issuance costs or discounts.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 Issuance Costs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1" w:lineRule="auto"/>
        <w:rPr>
          <w:sz w:val="20"/>
          <w:szCs w:val="20"/>
          <w:color w:val="auto"/>
        </w:rPr>
      </w:pPr>
      <w:r>
        <w:rPr>
          <w:rFonts w:ascii="Arial" w:cs="Arial" w:eastAsia="Arial" w:hAnsi="Arial"/>
          <w:sz w:val="16"/>
          <w:szCs w:val="16"/>
          <w:color w:val="auto"/>
        </w:rPr>
        <w:t>offering, either as a reduction to the carrying value of the preferred exchangeable shares or convertible preferred shares or in shareholders’ equity (deficit) as a reduction of additional paid-in capital generated as a result of the offering. Should an in-process equity financing be abandoned, the deferred offering costs would be expensed immediately as a charge to operating expenses in the consolidated statements of operations and comprehensive loss. As of December 31, 2020 and 2019, the Company had no deferred offering costs.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Penalties and interest expense related to income taxes are included as components of income tax expense and interest expense, respectively, as necessary.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Company’s only element of other comprehensive loss for the years ended December 31, 2020 and 2019 was unrealized gains on investments in marketable securities.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convertible preferred stock and unvested restricted stock have no obligation to fund losses.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 (Unaudited)</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is an “emerging growth company,” as defined in the Jumpstart Our Business Startups Act (“JOBS Act”), and may take advantage of certain exemptions from various reporting requirements that are applicable to other public companies that are not emerging growth companies.</w:t>
      </w:r>
    </w:p>
    <w:p>
      <w:pPr>
        <w:ind w:left="120" w:right="40"/>
        <w:spacing w:after="0" w:line="252"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June 2016, the FASB issued ASU 2016-13</w:t>
      </w:r>
      <w:r>
        <w:rPr>
          <w:rFonts w:ascii="Arial" w:cs="Arial" w:eastAsia="Arial" w:hAnsi="Arial"/>
          <w:sz w:val="17"/>
          <w:szCs w:val="17"/>
          <w:i w:val="1"/>
          <w:iCs w:val="1"/>
          <w:color w:val="auto"/>
        </w:rPr>
        <w:t>, 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standard amends the impairment model by requiring entities to use a forward-looking approach based on expected losses to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for most financial assets and certain other instruments that aren’t measured at fair value through net income. For available-for-sale debt securities, entities are required to recognize an allowance for credit losses rather than a reduction in carrying value of the asset. Entities are no longer permitted to consider the length of time that fair value has been less than amortized cost when evaluating when credit losses should be recognized. For public entities, the guidance was effective for annual reporting periods beginning after December 15, 2019 and for interim periods within those fiscal years. Early adoption was permitted. The Company early adopted this standard as of January 1, 2020 on a prospective basis. The adoption did not have a material impact on the Company’s consolidated financial statements.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The amendments become effective for the Company’s fiscal year beginning January 1, 2020. Early adoption of the amendments in full or only the provisions that eliminate or modify the disclosure requirements for fair value measurements is permitted. Adoption of this standard on January 1, 2020 did not have a material impact on the Company’s consolidated financial statements and related disclosures.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The new standard requires a customer in a cloud computing arrangement to determine which implementation costs to</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 as assets or expense as incurred. Capitalized implementation costs related to a hosting arrangement that is a service contract will be amortized over the term of the hosting arrangement, beginning when the module or component of the hosting arrangement is ready for its intended use. The new standard became effective for the Company’s fiscal year beginning January 1, 2020. Early adoption was permitted. The early adoption of this standard on January 1, 2020 did not have a material impact on the Company’s consolidated financial statements and related disclosures.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w:t>
      </w:r>
    </w:p>
    <w:p>
      <w:pPr>
        <w:spacing w:after="0" w:line="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adoption is not expected to have a material impact on the Company’s consolidated financial statements.</w:t>
      </w:r>
    </w:p>
    <w:p>
      <w:pPr>
        <w:spacing w:after="0" w:line="19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 Contracts in Entity’s Own Equity (Subtopic 815 — 40)</w:t>
      </w:r>
      <w:r>
        <w:rPr>
          <w:rFonts w:ascii="Arial" w:cs="Arial" w:eastAsia="Arial" w:hAnsi="Arial"/>
          <w:sz w:val="16"/>
          <w:szCs w:val="16"/>
          <w:color w:val="auto"/>
        </w:rPr>
        <w:t>. The amendments in this update affect entities that issue convertible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Early adoption is permitted, but no earlier than fiscal years beginning after December 15, 2020, including interim periods within those fiscal years. The Company elected to early adopt this guidance on January 1, 2021. Adoption of the ASU 2020-06 guidance as of January 1, 2021 has no impact on its consolidated financial statements for the year ended December 31, 2020.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 As such, the adoption of this guidance is expected to have a material impact on the Company’s financial statements for the year ending December 31, 2021.</w:t>
      </w:r>
    </w:p>
    <w:p>
      <w:pPr>
        <w:spacing w:after="0" w:line="17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From time to time, new account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288" w:lineRule="exact"/>
        <w:rPr>
          <w:sz w:val="20"/>
          <w:szCs w:val="20"/>
          <w:color w:val="auto"/>
        </w:rPr>
      </w:pPr>
    </w:p>
    <w:p>
      <w:pPr>
        <w:jc w:val="right"/>
        <w:ind w:right="8800"/>
        <w:spacing w:after="0"/>
        <w:rPr>
          <w:sz w:val="20"/>
          <w:szCs w:val="20"/>
          <w:color w:val="auto"/>
        </w:rPr>
      </w:pPr>
      <w:r>
        <w:rPr>
          <w:rFonts w:ascii="Arial" w:cs="Arial" w:eastAsia="Arial" w:hAnsi="Arial"/>
          <w:sz w:val="17"/>
          <w:szCs w:val="17"/>
          <w:b w:val="1"/>
          <w:bCs w:val="1"/>
          <w:color w:val="auto"/>
        </w:rPr>
        <w:t>3. Collaboration Agreements</w:t>
      </w:r>
    </w:p>
    <w:p>
      <w:pPr>
        <w:spacing w:after="0" w:line="133" w:lineRule="exact"/>
        <w:rPr>
          <w:sz w:val="20"/>
          <w:szCs w:val="20"/>
          <w:color w:val="auto"/>
        </w:rPr>
      </w:pPr>
    </w:p>
    <w:p>
      <w:pPr>
        <w:jc w:val="right"/>
        <w:ind w:right="882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a multi-year research plan. During the initial three-year research term, Gilead had the option to obtain exclusive, worldwide licenses to develop and commercialize up to five validated programs (“Gilead Program License”).</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across all programs and up to low double-digit tiered percentage royalties on future sales of commercialized products, if any. For up to two programs licensed by Gilead, the Company had the option to co-develop and co-promote certain programs licensed by Gilead in the U.S. and was eligible to receive milestone payments and royalties on ex-U.S. sales.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determined that the transaction price at the inception of the arrangement was equal to the total upfront payment received in the aggregate amount of $50.0 million. 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May 2019, Gilead licensed (the “Gilead License”) its first program under the 2018 Gilead Agreement and paid the Company a $7.5 million license fee. Gilead obtained a license to develop and commercialize therapies associated with the nominated program. At the inception of the 2018 Gilead Agreement, the Company determined that the licenses provided to Gilead through the 2018 Gilead Agreement did not include a material right as the license fees were not priced at a discount. At the time of the exercise of the license option by Gilead for the specified nominated program, the Company’s obligations for the nominated program were completed. As such, the Gilead license of the nominated program was determined to be distinct and accounted for as a separate contract.</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July 2019, the Company and Gilead also entered into a letter agreement (the “Gilead Letter Agreement”) whereby the Company would perform additional research services on behalf of Gilead associated with the first program licensed under the 2018 Gilead Agreement. Upon execution of the Gilead Letter Agreement, Gilead made a $2.6 million payment to the Company as consideration for the performance of additional research services as stipulated in the Gilead Letter Agreement. The Company concluded that the Gilead Letter Agreement should be combined with the Gilead License and accounted for as a single contract. The Company determined that the Gilead License and the research services included in the Gilead Letter Agreement were each distinct as Gilead could benefit from the Gilead License without receiving the additional research services from the Company. As such, the Company allocated the transaction price for the combined agreement between the two distinct performance obligations in proportion to their relative standalone selling prices.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184"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Gilead Agreement represents a continuation of the initial target discovery and validation research and development efforts begun under the 2018 Gilead Agreement. Under the Gilead Agreement:</w:t>
      </w:r>
    </w:p>
    <w:p>
      <w:pPr>
        <w:spacing w:after="0" w:line="76" w:lineRule="exact"/>
        <w:rPr>
          <w:sz w:val="20"/>
          <w:szCs w:val="20"/>
          <w:color w:val="auto"/>
        </w:rPr>
      </w:pPr>
    </w:p>
    <w:p>
      <w:pPr>
        <w:ind w:left="1080" w:right="20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eligible to receive milestone payments and royalties on ex-U.S. sales.</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 is eligible to receive up to $410.0 million per program in license, research extension, and clinical, regulatory, and commercial milestones. The Company is also eligible to receive up to low double-digit tiered royalties on net sales by Gilead, if any, on a country-by-country and product-by-product basis until the later of (a) the expiration of the last valid claim of the Company’s patents or, in some instances, certain Gilead patents, in each case, covering such product in such country or (b) ten years after the first commercial sale of such product in such country. For those programs the Company co-develops and co-promotes in the U.S., the Company and Gilead would share equally in the development costs as well as the profits and losses in the U.S. For such products, the Company remains eligible to receive certain clinical and regulatory milestone payments as well as commercial milestone payments and up to low double-digit tiered royalties based on net sales outside the U.S.</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$187.0 million at December 31, 2020. The total transaction price was comprised of the $50.0 million upfront payment pursuant to the 2018 Gilead Agreement, the $125.0 million upfront payment pursuant to the Gilead Agreement, and the $12.0 million pursuant to the research extension fee in December 2020. During the years ended December 31, 2020 and 2019, the Company recognized $7.0 million and $15.2 million, respectively, of revenue associated with the Gilead Agreements based on performance completed during each period. During the years ended December 31, 2020 and 2019, the Company recognized revenue of $0.7 million and $9.4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6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2020 and 2019, the Company had short-term deferred revenue of $32.0 million and $19.6 million, respectively, and long-term deferred revenue of $120.8 million and $14.1 million, respectively, related to the Gilead collaboration. Of the total short-term deferred revenue at December 31, 2019, $18.6 million related to the 2018 Gilead Agreement and the other $1.0 million related to the Gilead Letter Agreement.</w:t>
      </w:r>
    </w:p>
    <w:p>
      <w:pPr>
        <w:spacing w:after="0" w:line="17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 As of December 31, 2020, $2.0 million of the total research extension fee amount of $12.0 million had been recorded as accounts receivable and the remaining $10.0 million was determined to be conditional upon the satisfaction of additional research obligations, and thus a contract asset. The contract asset balance is presented net of the deferred revenue contract liability.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8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auto"/>
                <w:w w:val="95"/>
              </w:rPr>
              <w:t>Fair Market Value Measurements</w:t>
            </w:r>
          </w:p>
        </w:tc>
      </w:tr>
      <w:tr>
        <w:trPr>
          <w:trHeight w:val="171"/>
        </w:trPr>
        <w:tc>
          <w:tcPr>
            <w:tcW w:w="4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as of December 31,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Level 1</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720"/>
              <w:spacing w:after="0"/>
              <w:rPr>
                <w:sz w:val="20"/>
                <w:szCs w:val="20"/>
                <w:color w:val="auto"/>
              </w:rPr>
            </w:pPr>
            <w:r>
              <w:rPr>
                <w:rFonts w:ascii="Arial" w:cs="Arial" w:eastAsia="Arial" w:hAnsi="Arial"/>
                <w:sz w:val="18"/>
                <w:szCs w:val="18"/>
                <w:color w:val="auto"/>
              </w:rPr>
              <w:t>Money market funds</w:t>
            </w:r>
          </w:p>
        </w:tc>
        <w:tc>
          <w:tcPr>
            <w:tcW w:w="4300" w:type="dxa"/>
            <w:vAlign w:val="bottom"/>
            <w:gridSpan w:val="3"/>
          </w:tcPr>
          <w:p>
            <w:pPr>
              <w:jc w:val="center"/>
              <w:ind w:left="3350"/>
              <w:spacing w:after="0"/>
              <w:rPr>
                <w:sz w:val="20"/>
                <w:szCs w:val="20"/>
                <w:color w:val="auto"/>
              </w:rPr>
            </w:pPr>
            <w:r>
              <w:rPr>
                <w:rFonts w:ascii="Arial" w:cs="Arial" w:eastAsia="Arial" w:hAnsi="Arial"/>
                <w:sz w:val="18"/>
                <w:szCs w:val="18"/>
                <w:color w:val="auto"/>
                <w:w w:val="89"/>
              </w:rPr>
              <w:t>$12,698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12,698</w:t>
            </w:r>
          </w:p>
        </w:tc>
      </w:tr>
      <w:tr>
        <w:trPr>
          <w:trHeight w:val="216"/>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bills</w:t>
            </w:r>
          </w:p>
        </w:tc>
        <w:tc>
          <w:tcPr>
            <w:tcW w:w="3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bills</w:t>
            </w:r>
          </w:p>
        </w:tc>
        <w:tc>
          <w:tcPr>
            <w:tcW w:w="3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131,939</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131,939</w:t>
            </w:r>
          </w:p>
        </w:tc>
      </w:tr>
      <w:tr>
        <w:trPr>
          <w:trHeight w:val="216"/>
        </w:trPr>
        <w:tc>
          <w:tcPr>
            <w:tcW w:w="4160" w:type="dxa"/>
            <w:vAlign w:val="bottom"/>
          </w:tcPr>
          <w:p>
            <w:pPr>
              <w:ind w:left="720"/>
              <w:spacing w:after="0"/>
              <w:rPr>
                <w:sz w:val="20"/>
                <w:szCs w:val="20"/>
                <w:color w:val="auto"/>
              </w:rPr>
            </w:pPr>
            <w:r>
              <w:rPr>
                <w:rFonts w:ascii="Arial" w:cs="Arial" w:eastAsia="Arial" w:hAnsi="Arial"/>
                <w:sz w:val="18"/>
                <w:szCs w:val="18"/>
                <w:color w:val="auto"/>
              </w:rPr>
              <w:t>U.S. government agency bonds</w:t>
            </w:r>
          </w:p>
        </w:tc>
        <w:tc>
          <w:tcPr>
            <w:tcW w:w="35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r>
      <w:tr>
        <w:trPr>
          <w:trHeight w:val="27"/>
        </w:trPr>
        <w:tc>
          <w:tcPr>
            <w:tcW w:w="41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300" w:type="dxa"/>
            <w:vAlign w:val="bottom"/>
            <w:gridSpan w:val="3"/>
            <w:shd w:val="clear" w:color="auto" w:fill="CCEEFF"/>
          </w:tcPr>
          <w:p>
            <w:pPr>
              <w:jc w:val="center"/>
              <w:ind w:left="3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12,698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169,114</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181,812</w:t>
            </w:r>
          </w:p>
        </w:tc>
      </w:tr>
      <w:tr>
        <w:trPr>
          <w:trHeight w:val="20"/>
        </w:trPr>
        <w:tc>
          <w:tcPr>
            <w:tcW w:w="4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4300" w:type="dxa"/>
            <w:vAlign w:val="bottom"/>
            <w:gridSpan w:val="3"/>
          </w:tcPr>
          <w:p>
            <w:pPr>
              <w:ind w:left="1180"/>
              <w:spacing w:after="0"/>
              <w:rPr>
                <w:sz w:val="20"/>
                <w:szCs w:val="20"/>
                <w:color w:val="auto"/>
              </w:rPr>
            </w:pPr>
            <w:r>
              <w:rPr>
                <w:rFonts w:ascii="Arial" w:cs="Arial" w:eastAsia="Arial" w:hAnsi="Arial"/>
                <w:sz w:val="18"/>
                <w:szCs w:val="18"/>
                <w:color w:val="auto"/>
              </w:rPr>
              <w:t>F-72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10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5"/>
              </w:rPr>
              <w:t>Fair Market Value Measurements</w:t>
            </w:r>
          </w:p>
        </w:tc>
      </w:tr>
      <w:tr>
        <w:trPr>
          <w:trHeight w:val="171"/>
        </w:trPr>
        <w:tc>
          <w:tcPr>
            <w:tcW w:w="5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0"/>
              </w:rPr>
              <w:t>as of December 31, 2019</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8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Level 1</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ind w:left="720"/>
              <w:spacing w:after="0"/>
              <w:rPr>
                <w:sz w:val="20"/>
                <w:szCs w:val="20"/>
                <w:color w:val="auto"/>
              </w:rPr>
            </w:pPr>
            <w:r>
              <w:rPr>
                <w:rFonts w:ascii="Arial" w:cs="Arial" w:eastAsia="Arial" w:hAnsi="Arial"/>
                <w:sz w:val="18"/>
                <w:szCs w:val="18"/>
                <w:color w:val="auto"/>
              </w:rPr>
              <w:t>Money market funds</w:t>
            </w:r>
          </w:p>
        </w:tc>
        <w:tc>
          <w:tcPr>
            <w:tcW w:w="3540" w:type="dxa"/>
            <w:vAlign w:val="bottom"/>
            <w:gridSpan w:val="3"/>
          </w:tcPr>
          <w:p>
            <w:pPr>
              <w:jc w:val="center"/>
              <w:ind w:left="2690"/>
              <w:spacing w:after="0"/>
              <w:rPr>
                <w:sz w:val="20"/>
                <w:szCs w:val="20"/>
                <w:color w:val="auto"/>
              </w:rPr>
            </w:pPr>
            <w:r>
              <w:rPr>
                <w:rFonts w:ascii="Arial" w:cs="Arial" w:eastAsia="Arial" w:hAnsi="Arial"/>
                <w:sz w:val="18"/>
                <w:szCs w:val="18"/>
                <w:color w:val="auto"/>
                <w:w w:val="92"/>
              </w:rPr>
              <w:t>$18,508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$18,508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060" w:type="dxa"/>
            <w:vAlign w:val="bottom"/>
          </w:tcPr>
          <w:p>
            <w:pPr>
              <w:ind w:left="720"/>
              <w:spacing w:after="0"/>
              <w:rPr>
                <w:sz w:val="20"/>
                <w:szCs w:val="20"/>
                <w:color w:val="auto"/>
              </w:rPr>
            </w:pPr>
            <w:r>
              <w:rPr>
                <w:rFonts w:ascii="Arial" w:cs="Arial" w:eastAsia="Arial" w:hAnsi="Arial"/>
                <w:sz w:val="18"/>
                <w:szCs w:val="18"/>
                <w:color w:val="auto"/>
              </w:rPr>
              <w:t>U.S. Treasury bills</w:t>
            </w:r>
          </w:p>
        </w:tc>
        <w:tc>
          <w:tcPr>
            <w:tcW w:w="286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60" w:type="dxa"/>
            <w:vAlign w:val="bottom"/>
          </w:tcPr>
          <w:p>
            <w:pPr>
              <w:spacing w:after="0"/>
              <w:rPr>
                <w:sz w:val="19"/>
                <w:szCs w:val="19"/>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540" w:type="dxa"/>
            <w:vAlign w:val="bottom"/>
            <w:gridSpan w:val="3"/>
            <w:shd w:val="clear" w:color="auto" w:fill="CCEEFF"/>
          </w:tcPr>
          <w:p>
            <w:pPr>
              <w:jc w:val="center"/>
              <w:ind w:left="269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18,508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17,536</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36,044</w:t>
            </w:r>
          </w:p>
        </w:tc>
      </w:tr>
      <w:tr>
        <w:trPr>
          <w:trHeight w:val="20"/>
        </w:trPr>
        <w:tc>
          <w:tcPr>
            <w:tcW w:w="5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fair value levels during the years ended December 31, 2020 and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44"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Fair Value Measurements</w:t>
      </w:r>
    </w:p>
    <w:p>
      <w:pPr>
        <w:ind w:left="8280"/>
        <w:spacing w:after="0" w:line="236" w:lineRule="auto"/>
        <w:rPr>
          <w:sz w:val="20"/>
          <w:szCs w:val="20"/>
          <w:color w:val="auto"/>
        </w:rPr>
      </w:pPr>
      <w:r>
        <w:rPr>
          <w:rFonts w:ascii="Arial" w:cs="Arial" w:eastAsia="Arial" w:hAnsi="Arial"/>
          <w:sz w:val="14"/>
          <w:szCs w:val="14"/>
          <w:b w:val="1"/>
          <w:bCs w:val="1"/>
          <w:color w:val="auto"/>
        </w:rPr>
        <w:t>as of December 31, 2020</w:t>
      </w:r>
    </w:p>
    <w:tbl>
      <w:tblPr>
        <w:tblLayout w:type="fixed"/>
        <w:tblInd w:w="120" w:type="dxa"/>
        <w:tblCellMar>
          <w:top w:w="0" w:type="dxa"/>
          <w:left w:w="0" w:type="dxa"/>
          <w:bottom w:w="0" w:type="dxa"/>
          <w:right w:w="0" w:type="dxa"/>
        </w:tblCellMar>
      </w:tblPr>
      <w:tr>
        <w:trPr>
          <w:trHeight w:val="119"/>
        </w:trPr>
        <w:tc>
          <w:tcPr>
            <w:tcW w:w="686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3"/>
              </w:rPr>
              <w:t>Amortized</w:t>
            </w: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Loss</w:t>
            </w:r>
          </w:p>
        </w:tc>
        <w:tc>
          <w:tcPr>
            <w:tcW w:w="4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$131,927</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$131,939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29,995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161,922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Fair Value Measurements</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 December 31, 2019</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52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w w:val="90"/>
              </w:rPr>
              <w:t>Gross</w:t>
            </w:r>
          </w:p>
        </w:tc>
        <w:tc>
          <w:tcPr>
            <w:tcW w:w="540" w:type="dxa"/>
            <w:vAlign w:val="bottom"/>
          </w:tcPr>
          <w:p>
            <w:pPr>
              <w:spacing w:after="0"/>
              <w:rPr>
                <w:sz w:val="10"/>
                <w:szCs w:val="10"/>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520" w:type="dxa"/>
            <w:vAlign w:val="bottom"/>
          </w:tcPr>
          <w:p>
            <w:pPr>
              <w:jc w:val="right"/>
              <w:ind w:right="120"/>
              <w:spacing w:after="0"/>
              <w:rPr>
                <w:sz w:val="20"/>
                <w:szCs w:val="20"/>
                <w:color w:val="auto"/>
              </w:rPr>
            </w:pPr>
            <w:r>
              <w:rPr>
                <w:rFonts w:ascii="Arial" w:cs="Arial" w:eastAsia="Arial" w:hAnsi="Arial"/>
                <w:sz w:val="14"/>
                <w:szCs w:val="14"/>
                <w:b w:val="1"/>
                <w:bCs w:val="1"/>
                <w:color w:val="auto"/>
                <w:w w:val="91"/>
              </w:rPr>
              <w:t>Loss</w:t>
            </w:r>
          </w:p>
        </w:tc>
        <w:tc>
          <w:tcPr>
            <w:tcW w:w="5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$ 17,526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ind w:left="39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17,536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$ 17,526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17,536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Company holds investment grade marketable securities, and none were considered to be in an unrealized loss position as of December 31, 2020 and 2019. As a result, the Company did not record any reserves for credit losses related to its marketable debt securities during the years then ended. Marketable securities include $0.1 million in accrued interest for each of the years ended December 31, 2020 and December 31, 2019.</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7620" w:hanging="444"/>
        <w:spacing w:after="0" w:line="425" w:lineRule="auto"/>
        <w:tabs>
          <w:tab w:leader="none" w:pos="3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Balance Sheet Information </w:t>
      </w:r>
      <w:r>
        <w:rPr>
          <w:rFonts w:ascii="Arial" w:cs="Arial" w:eastAsia="Arial" w:hAnsi="Arial"/>
          <w:sz w:val="16"/>
          <w:szCs w:val="16"/>
          <w:b w:val="1"/>
          <w:bCs w:val="1"/>
          <w:i w:val="1"/>
          <w:iCs w:val="1"/>
          <w:color w:val="auto"/>
        </w:rPr>
        <w:t>Property and Equipment</w:t>
      </w:r>
    </w:p>
    <w:p>
      <w:pPr>
        <w:ind w:left="560"/>
        <w:spacing w:after="0"/>
        <w:rPr>
          <w:rFonts w:ascii="Arial" w:cs="Arial" w:eastAsia="Arial" w:hAnsi="Arial"/>
          <w:sz w:val="16"/>
          <w:szCs w:val="16"/>
          <w:b w:val="1"/>
          <w:bCs w:val="1"/>
          <w:color w:val="auto"/>
        </w:rPr>
      </w:pPr>
      <w:r>
        <w:rPr>
          <w:rFonts w:ascii="Arial" w:cs="Arial" w:eastAsia="Arial" w:hAnsi="Arial"/>
          <w:sz w:val="18"/>
          <w:szCs w:val="18"/>
          <w:color w:val="auto"/>
        </w:rPr>
        <w:t>Property and equipment, net as of December 31, 2020 and 2019 consists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1720" w:type="dxa"/>
            <w:vAlign w:val="bottom"/>
            <w:gridSpan w:val="4"/>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$ 4,580</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$ 3,823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Computer equipment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172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384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30"/>
        </w:trPr>
        <w:tc>
          <w:tcPr>
            <w:tcW w:w="65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(1,684)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$ 3,823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$ 3,442</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was $0.7 million and $0.6 million for the years ended December 31, 2020 and 2019, respectively.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as of December 31, 2020 and 2019 include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5"/>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$2,652</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2,695</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2,764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793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r>
      <w:tr>
        <w:trPr>
          <w:trHeight w:val="223"/>
        </w:trPr>
        <w:tc>
          <w:tcPr>
            <w:tcW w:w="684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6,140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4,932</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July 2017, the Company entered into a lease of office and laboratory space at 100 Binney Street in Cambridge, Massachusetts for the Company’s corporate headquarters. The lease commenced in March 2018 and rent commenced in June 2018. This lease has a non-cancelable term of eight years with an option to extend for one additional three-year period.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Upon commencement of the lease, the Company recorded an operating lease liability in the amount of $9.5 million and related operating lease right-of-use asset in the amount of $9.8 million. Upfront payments totaling $0.3 million for rent and tenant improvements were included as a reduction in the calculation of the lease liability amount upon the commencement of the lease. There were no tenant obligation payments made for leasehold improvements for the periods ended December 31, 2020 and 2019. The fixed annual rent payable under the lease is $1.7 million, increasing by 3% annually from the rent commencement date. The minimum rent payments to be paid over the non-cancelable term of this lease totaled $15.6 million. The additional rental payments associated with the renewal option are not included in the calculation of the operating lease right-of-use asset and associated operating lease liability as the renewal is not considered probable of occurring. The lease agreement required the Company to provide a letter of credit for $0.6 million that is collateralized with cash that is recorded as restricted cash in the accompanying balance sheet.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080"/>
          </w:cols>
          <w:pgMar w:left="32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September 2019, the Company entered into a new lease for office and laboratory space at 201 Brookline Avenue in Boston, Massachusetts. As of December 31, 2020, the space was undergoing construction and the lease is expected to commence in 2022. The Company is not deemed to be the accounting owner of the construction project due to the nature of the work being performed and the Company’s lack of control over the project. In conjunction with executing the lease, the Company provided the landlord a letter of credit for $1.7 million. The letter of credit is collateralized with cash that is recorded as restricted cash in the accompanying balance sheet as of December 31, 2020. Upon delivery date notice of the lease, which is estimated to occur in the second half of 2021, the Company will be required to provide an additional letter of credit in the amount of $1.7 million.</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Upon commencement of the 201 Brookline Avenue lease, the Company will determine the appropriate classification of the lease, the amount of the associated lease liability and the amount of the right-of-use asset that will be recognized on the balance sheet. The lease has a non-cancelable term of ten years with an option to extend for up to two five-year periods. The fixed annual rent payable under the lease is $5.1 million, increasing by 3% annually from the rent commencement date. The Company is entitled to a tenant improvements allowance of up to $12.7 million.</w:t>
      </w:r>
    </w:p>
    <w:p>
      <w:pPr>
        <w:spacing w:after="0" w:line="15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Company’s rent payments for the lease at 100 Binney Street are classified as operating lease costs in the chart below. The lease is a net lease and therefore the non-lease components, such as common area maintenance, are paid separately from rent based on actual costs incurred; therefore, the non-lease components are not included in the right-of-use asset and liability and are reflected as an expense in the period incurred. The non-lease components are classified as variable costs in the chart below. As of December 31, 2020 and 2019, assets under the operating lease totaled $7.5 million and $8.4 million, respectively. The elements of lease cost were as follows: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Operating leases</w:t>
            </w:r>
          </w:p>
        </w:tc>
        <w:tc>
          <w:tcPr>
            <w:tcW w:w="8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jc w:val="right"/>
              <w:ind w:right="904"/>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2700" w:type="dxa"/>
            <w:vAlign w:val="bottom"/>
          </w:tcPr>
          <w:p>
            <w:pPr>
              <w:jc w:val="right"/>
              <w:ind w:right="36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44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lease cost</w:t>
            </w:r>
          </w:p>
        </w:tc>
        <w:tc>
          <w:tcPr>
            <w:tcW w:w="152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1,889</w:t>
            </w:r>
          </w:p>
        </w:tc>
        <w:tc>
          <w:tcPr>
            <w:tcW w:w="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Short-term lease cost</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1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 operating lease costs</w:t>
            </w:r>
          </w:p>
        </w:tc>
        <w:tc>
          <w:tcPr>
            <w:tcW w:w="110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Other information</w:t>
            </w:r>
          </w:p>
        </w:tc>
        <w:tc>
          <w:tcPr>
            <w:tcW w:w="1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December 31, 2020</w:t>
            </w:r>
          </w:p>
        </w:tc>
        <w:tc>
          <w:tcPr>
            <w:tcW w:w="1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9"/>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11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minimum lease payments under non-cancelable leases that have commenced as of December 31, 2020 are as follows:</w:t>
      </w:r>
    </w:p>
    <w:p>
      <w:pPr>
        <w:spacing w:after="0" w:line="253" w:lineRule="exact"/>
        <w:rPr>
          <w:sz w:val="20"/>
          <w:szCs w:val="20"/>
          <w:color w:val="auto"/>
        </w:rPr>
      </w:pPr>
    </w:p>
    <w:tbl>
      <w:tblPr>
        <w:tblLayout w:type="fixed"/>
        <w:tblInd w:w="1880" w:type="dxa"/>
        <w:tblCellMar>
          <w:top w:w="0" w:type="dxa"/>
          <w:left w:w="0" w:type="dxa"/>
          <w:bottom w:w="0" w:type="dxa"/>
          <w:right w:w="0" w:type="dxa"/>
        </w:tblCellMar>
      </w:tblPr>
      <w:tr>
        <w:trPr>
          <w:trHeight w:val="202"/>
        </w:trPr>
        <w:tc>
          <w:tcPr>
            <w:tcW w:w="3080" w:type="dxa"/>
            <w:vAlign w:val="bottom"/>
            <w:vMerge w:val="restart"/>
          </w:tcPr>
          <w:p>
            <w:pPr>
              <w:spacing w:after="0"/>
              <w:rPr>
                <w:sz w:val="20"/>
                <w:szCs w:val="20"/>
                <w:color w:val="auto"/>
              </w:rPr>
            </w:pPr>
            <w:r>
              <w:rPr>
                <w:rFonts w:ascii="Arial" w:cs="Arial" w:eastAsia="Arial" w:hAnsi="Arial"/>
                <w:sz w:val="16"/>
                <w:szCs w:val="16"/>
                <w:b w:val="1"/>
                <w:bCs w:val="1"/>
                <w:color w:val="auto"/>
              </w:rPr>
              <w:t>Year Ended December 31,</w:t>
            </w: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Maturity of Lease</w:t>
            </w: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16"/>
        </w:trPr>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7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2022</w:t>
            </w: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2024</w:t>
            </w: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3240" w:type="dxa"/>
            <w:vAlign w:val="bottom"/>
            <w:gridSpan w:val="3"/>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372"/>
        </w:trPr>
        <w:tc>
          <w:tcPr>
            <w:tcW w:w="3080" w:type="dxa"/>
            <w:vAlign w:val="bottom"/>
          </w:tcPr>
          <w:p>
            <w:pPr>
              <w:spacing w:after="0"/>
              <w:rPr>
                <w:sz w:val="24"/>
                <w:szCs w:val="24"/>
                <w:color w:val="auto"/>
              </w:rPr>
            </w:pPr>
          </w:p>
        </w:tc>
        <w:tc>
          <w:tcPr>
            <w:tcW w:w="3060" w:type="dxa"/>
            <w:vAlign w:val="bottom"/>
            <w:gridSpan w:val="2"/>
          </w:tcPr>
          <w:p>
            <w:pPr>
              <w:ind w:left="500"/>
              <w:spacing w:after="0"/>
              <w:rPr>
                <w:sz w:val="20"/>
                <w:szCs w:val="20"/>
                <w:color w:val="auto"/>
              </w:rPr>
            </w:pPr>
            <w:r>
              <w:rPr>
                <w:rFonts w:ascii="Arial" w:cs="Arial" w:eastAsia="Arial" w:hAnsi="Arial"/>
                <w:sz w:val="18"/>
                <w:szCs w:val="18"/>
                <w:color w:val="auto"/>
              </w:rPr>
              <w:t>F-75</w:t>
            </w: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7940" w:hanging="444"/>
        <w:spacing w:after="0" w:line="453" w:lineRule="auto"/>
        <w:tabs>
          <w:tab w:leader="none" w:pos="300"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Research Collaboration Agreement</w:t>
      </w:r>
    </w:p>
    <w:p>
      <w:pPr>
        <w:spacing w:after="0" w:line="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have mutually agreed to terminate the HitGen Agreement in March 2021. No milestones were achieved or owed upon the termination of the agreement and the Company is under no obligation to make any payments upon termination of the HitGen Agreement.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6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Upfront fees paid pursuant to the Medivir License Agreement were recorded to research and development expense. No milestones have been achieved to date.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as of December 31, 2020, and no material legal proceedings are currently pending or threatened.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4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Pursuant to the initial closing of the Series A stock purchase agreement, the Company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 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w:t>
      </w:r>
    </w:p>
    <w:p>
      <w:pPr>
        <w:spacing w:after="0" w:line="165"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22,686,026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16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August 2020, the Company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and 2019, redeemable convertible preferred stock consisted of the following (in thousands, except share amounts):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2020</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Preferred Stock</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Stock Issued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Liquidation</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45,372,050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29,761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27,152,255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27,152,255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51,182</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2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136,544</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136,882</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94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F-77</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Preferred Stock</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Stock Issued</w:t>
            </w:r>
          </w:p>
        </w:tc>
        <w:tc>
          <w:tcPr>
            <w:tcW w:w="32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Liquidation</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 Issuable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Authorized</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Upon Conversion</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55,700,000</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55,700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55,700,000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55,700,000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$ 55,700</w:t>
            </w:r>
          </w:p>
        </w:tc>
        <w:tc>
          <w:tcPr>
            <w:tcW w:w="3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55,700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 value of all preferred stock is $0.001 per share.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w:t>
      </w:r>
    </w:p>
    <w:p>
      <w:pPr>
        <w:spacing w:after="0" w:line="124"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Company’s Certificate of Incorporation, as amended,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subject to the prior rights of holders of all classes of redeemable convertible preferred stock outstanding. No dividends have been declared as of December 31, 2020.</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increased the number of shares of common stock authorized by 2,800,000 to 80,800,000 during 2019 and by 85,200,000 to 166,000,000 during 2020. As of December 31, 2020 and 2019, there were 13,301,649 and 13,334,856 shares of common stock issued and outstanding,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and Advisor Awards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During 2017, the Company issued 4,690,000 shares of restricted common stock outside of the Company’s 2017 Stock Option and Grant Plan to nonemployee founders and advisors (the “Founders and Advisors”).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Founders and Advisors restricted common stock activity as of and for the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2019:</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5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7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2,221,875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(987,496)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center"/>
              <w:ind w:left="495"/>
              <w:spacing w:after="0"/>
              <w:rPr>
                <w:sz w:val="20"/>
                <w:szCs w:val="20"/>
                <w:color w:val="auto"/>
              </w:rPr>
            </w:pPr>
            <w:r>
              <w:rPr>
                <w:rFonts w:ascii="Arial" w:cs="Arial" w:eastAsia="Arial" w:hAnsi="Arial"/>
                <w:sz w:val="18"/>
                <w:szCs w:val="18"/>
                <w:color w:val="auto"/>
                <w:w w:val="88"/>
              </w:rPr>
              <w:t>0.001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(109,379)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198"/>
        </w:trPr>
        <w:tc>
          <w:tcPr>
            <w:tcW w:w="5540" w:type="dxa"/>
            <w:vAlign w:val="bottom"/>
          </w:tcPr>
          <w:p>
            <w:pPr>
              <w:spacing w:after="0" w:line="198"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Arial" w:cs="Arial" w:eastAsia="Arial" w:hAnsi="Arial"/>
                <w:sz w:val="18"/>
                <w:szCs w:val="18"/>
                <w:b w:val="1"/>
                <w:bCs w:val="1"/>
                <w:color w:val="auto"/>
              </w:rPr>
              <w:t>December 31, 2019</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1,125,000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(950,000)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shares are issued under the terms of the respective restricted common stock agreements and are subject to repurchase by the Company at the original purchase price per share upon the termination of the grantee’s service relationship with the Company. As the restrictions are released and the awards vest, the value is recorded as common stock and excess of par value is recorded as additional paid in capital on the accompanying balance sheet.</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of December 31, 2020, the unrecognized compensation cost related to shares of unvested founder and advisor restricted stock awards (“RSAs”) expected to vest was less than $0.1 million, which is expected to be recognized over an estimated weighted-average amortization period of 0.22 years. The aggregate fair value of awards that vested during both years ended December 31, 2020 and 2019 was $0.5 million.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2017, the Company’s stockholders approved the 2017 Stock Option and Grant Plan (the “Plan”), under which stock options, RSAs, unrestricted stock awards, restricted stock units, or any combination of the forgoing may be granted to eligible employees, officers, directors, consultants, or other key persons who provide services to the Company. Such issuances are subject to vesting, forfeiture and other restrictions as deemed appropriate by the board of directors (“Board of Directors”). Upon approval, the maximum number of common stock shares reserved and available for issuance under the Plan was 10,000,000 shares. The Company increased the number of shares available for grant under the plan by 6,700,000 million and 2,800,000 million during the years ended December 31, 2020 and 2019, respectively. As of December 31, 2020, the maximum number of common stock shares reserved and available for issuance under the Plan was 30,600,000 shares. As of December 31, 2020, there were 11,783,597 shares available for future grant under the 2017 Plan.</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terms of stock option award agreements and RSAs, including vesting requirements, are determined by the Board of Directors at the time of issuance. To date, options granted generally vest over a period of three or four years with 25% cliff vesting upon the first anniversary of the issuance date and monthly vesting thereafter. Vesting criteria for awards vary by grant as determined by the Board of Directors. Options and RSAs generally have a ten-year term from the date of grant but may be less in the event that the award is granted to a 10% shareholder. The exercise price of an award generally shall not be less than 100% of the estimated fair value of the shares on the date of grant, respectively, as determined by the Board of Directors. The exercise price of an award granted to a 10% shareholder shall not be less than 110% of the estimated fair value of the shares on the date of grant, respectively, as determined by the Board of Directors.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RSA activity of the Company’s Plan as of and for the years ended December 31, 2020 and 2019:</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55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8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4,888,460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Vested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(1,744,301)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(1,078,125)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8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December 31, 2019</w:t>
            </w:r>
          </w:p>
        </w:tc>
        <w:tc>
          <w:tcPr>
            <w:tcW w:w="840" w:type="dxa"/>
            <w:vAlign w:val="bottom"/>
          </w:tcPr>
          <w:p>
            <w:pPr>
              <w:jc w:val="right"/>
              <w:spacing w:after="0"/>
              <w:rPr>
                <w:sz w:val="20"/>
                <w:szCs w:val="20"/>
                <w:color w:val="auto"/>
              </w:rPr>
            </w:pPr>
            <w:r>
              <w:rPr>
                <w:rFonts w:ascii="Arial" w:cs="Arial" w:eastAsia="Arial" w:hAnsi="Arial"/>
                <w:sz w:val="18"/>
                <w:szCs w:val="18"/>
                <w:color w:val="auto"/>
              </w:rPr>
              <w:t>2,066,034</w:t>
            </w:r>
          </w:p>
        </w:tc>
        <w:tc>
          <w:tcPr>
            <w:tcW w:w="460" w:type="dxa"/>
            <w:vAlign w:val="bottom"/>
          </w:tcPr>
          <w:p>
            <w:pPr>
              <w:spacing w:after="0"/>
              <w:rPr>
                <w:sz w:val="20"/>
                <w:szCs w:val="20"/>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(1,370,089)</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(115,077)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580,868</w:t>
            </w:r>
          </w:p>
        </w:tc>
        <w:tc>
          <w:tcPr>
            <w:tcW w:w="4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w:t>
      </w:r>
    </w:p>
    <w:p>
      <w:pPr>
        <w:spacing w:after="0" w:line="16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As of December 31, 2020, the unrecognized compensation cost related to shares of unvested RSAs expected to vest was $0.2 million, which is expected to be recognized over an estimated weighted-average amortization period of 0.43 years. The aggregate fair value of RSAs that vested during the years ended December 31, 2020 and 2019 was $0.5 million and $0.6 million,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stock option activity of the Company’s 2017 Plan as of and for the years ended December 31, 2020 and 2019:</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(in years)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2019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6,902,873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5,716,368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0.79</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(81,870)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(586,009)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11,952,362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6,625,511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Options exercisable as of December 31, 2020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3,611,387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1000" w:type="dxa"/>
            <w:vAlign w:val="bottom"/>
          </w:tcPr>
          <w:p>
            <w:pPr>
              <w:jc w:val="right"/>
              <w:ind w:right="40"/>
              <w:spacing w:after="0"/>
              <w:rPr>
                <w:sz w:val="20"/>
                <w:szCs w:val="20"/>
                <w:color w:val="auto"/>
              </w:rPr>
            </w:pPr>
            <w:r>
              <w:rPr>
                <w:rFonts w:ascii="Arial" w:cs="Arial" w:eastAsia="Arial" w:hAnsi="Arial"/>
                <w:sz w:val="18"/>
                <w:szCs w:val="18"/>
                <w:color w:val="auto"/>
              </w:rPr>
              <w:t>7.65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2,466,634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 The total fair value of options vested during the years ended December 31, 2020 and 2019, was $0.9 million and $0.3 million, respectively.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80"/>
          </w:cols>
          <w:pgMar w:left="320" w:top="459" w:right="4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total intrinsic values of options exercised totaled less than $0.1 million for the year ended December 31, 2020. There were no options exercised for the year ended December 31, 2019. The weighted-average grant date fair value per share of stock options granted was $0.49 and $0.34 for years ending December 31, 2020 and 2019, respectively. Substantially all options outstanding as of December 31, 2020 are expected to vest.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weighted average assumptions used to estimate the grant date fair value of the stock options using the Black-Scholes option pricing model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 72%</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700" w:type="dxa"/>
            <w:vAlign w:val="bottom"/>
          </w:tcPr>
          <w:p>
            <w:pPr>
              <w:ind w:left="20"/>
              <w:spacing w:after="0"/>
              <w:rPr>
                <w:sz w:val="20"/>
                <w:szCs w:val="20"/>
                <w:color w:val="auto"/>
              </w:rPr>
            </w:pPr>
            <w:r>
              <w:rPr>
                <w:rFonts w:ascii="Arial" w:cs="Arial" w:eastAsia="Arial" w:hAnsi="Arial"/>
                <w:sz w:val="18"/>
                <w:szCs w:val="18"/>
                <w:color w:val="auto"/>
              </w:rPr>
              <w:t>– 75%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rPr>
              <w:t>— %</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2"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80" w:type="dxa"/>
            <w:vAlign w:val="bottom"/>
            <w:gridSpan w:val="5"/>
          </w:tcPr>
          <w:p>
            <w:pPr>
              <w:jc w:val="right"/>
              <w:ind w:right="215"/>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r>
      <w:tr>
        <w:trPr>
          <w:trHeight w:val="27"/>
        </w:trPr>
        <w:tc>
          <w:tcPr>
            <w:tcW w:w="4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1,694</w:t>
            </w: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December 31, 2020, there was approximately $3.3 million of unrecognized stock-based compensation expense, which is expected to be recognized over a weighted-average period of approximately 2.84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years ended December 31, 2020 and 2019, the Company recorded no tax provision or benefit due to the losses incurred and the need for a full valuation allowance against its deferred tax assets. All of the Company’s operating losses since inception have been generated in the United States.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Year Ended</w:t>
      </w:r>
    </w:p>
    <w:p>
      <w:pPr>
        <w:jc w:val="cente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9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U.S. federal statutory rate</w:t>
            </w:r>
          </w:p>
        </w:tc>
        <w:tc>
          <w:tcPr>
            <w:tcW w:w="2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760" w:type="dxa"/>
            <w:vAlign w:val="bottom"/>
            <w:gridSpan w:val="3"/>
          </w:tcPr>
          <w:p>
            <w:pPr>
              <w:jc w:val="right"/>
              <w:ind w:right="520"/>
              <w:spacing w:after="0"/>
              <w:rPr>
                <w:sz w:val="20"/>
                <w:szCs w:val="20"/>
                <w:color w:val="auto"/>
              </w:rPr>
            </w:pPr>
            <w:r>
              <w:rPr>
                <w:rFonts w:ascii="Arial" w:cs="Arial" w:eastAsia="Arial" w:hAnsi="Arial"/>
                <w:sz w:val="18"/>
                <w:szCs w:val="18"/>
                <w:color w:val="auto"/>
              </w:rPr>
              <w:t>5.9</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88"/>
              </w:rPr>
              <w:t>Federal and state research and development tax credits</w:t>
            </w:r>
          </w:p>
        </w:tc>
        <w:tc>
          <w:tcPr>
            <w:tcW w:w="3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Nondeductible/nontaxable permanent items</w:t>
            </w:r>
          </w:p>
        </w:tc>
        <w:tc>
          <w:tcPr>
            <w:tcW w:w="3760" w:type="dxa"/>
            <w:vAlign w:val="bottom"/>
            <w:gridSpan w:val="3"/>
          </w:tcPr>
          <w:p>
            <w:pPr>
              <w:jc w:val="right"/>
              <w:ind w:right="460"/>
              <w:spacing w:after="0"/>
              <w:rPr>
                <w:sz w:val="20"/>
                <w:szCs w:val="20"/>
                <w:color w:val="auto"/>
              </w:rPr>
            </w:pPr>
            <w:r>
              <w:rPr>
                <w:rFonts w:ascii="Arial" w:cs="Arial" w:eastAsia="Arial" w:hAnsi="Arial"/>
                <w:sz w:val="18"/>
                <w:szCs w:val="18"/>
                <w:color w:val="auto"/>
              </w:rPr>
              <w:t>(0.7)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8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(28.9)</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(37.9)</w:t>
            </w:r>
          </w:p>
        </w:tc>
      </w:tr>
      <w:tr>
        <w:trPr>
          <w:trHeight w:val="27"/>
        </w:trPr>
        <w:tc>
          <w:tcPr>
            <w:tcW w:w="3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r>
      <w:tr>
        <w:trPr>
          <w:trHeight w:val="364"/>
        </w:trPr>
        <w:tc>
          <w:tcPr>
            <w:tcW w:w="3980" w:type="dxa"/>
            <w:vAlign w:val="bottom"/>
          </w:tcPr>
          <w:p>
            <w:pPr>
              <w:spacing w:after="0"/>
              <w:rPr>
                <w:sz w:val="24"/>
                <w:szCs w:val="24"/>
                <w:color w:val="auto"/>
              </w:rPr>
            </w:pPr>
          </w:p>
        </w:tc>
        <w:tc>
          <w:tcPr>
            <w:tcW w:w="3760" w:type="dxa"/>
            <w:vAlign w:val="bottom"/>
            <w:gridSpan w:val="3"/>
          </w:tcPr>
          <w:p>
            <w:pPr>
              <w:jc w:val="right"/>
              <w:ind w:right="3380"/>
              <w:spacing w:after="0"/>
              <w:rPr>
                <w:sz w:val="20"/>
                <w:szCs w:val="20"/>
                <w:color w:val="auto"/>
              </w:rPr>
            </w:pPr>
            <w:r>
              <w:rPr>
                <w:rFonts w:ascii="Arial" w:cs="Arial" w:eastAsia="Arial" w:hAnsi="Arial"/>
                <w:sz w:val="18"/>
                <w:szCs w:val="18"/>
                <w:color w:val="auto"/>
                <w:w w:val="97"/>
              </w:rPr>
              <w:t>F-82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tax effects of temporary differences that give rise to significant components of the deferred tax assets and liabilities are as follows:</w:t>
      </w:r>
    </w:p>
    <w:p>
      <w:pPr>
        <w:spacing w:after="0" w:line="255"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Year Ended</w:t>
      </w:r>
    </w:p>
    <w:p>
      <w:pPr>
        <w:jc w:val="center"/>
        <w:ind w:left="61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11,085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3,958</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2,154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11,891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8,948</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Accruals and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research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33,585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18,886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(30,945)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(15,906)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(2,291)</w:t>
            </w: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deferred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As of December 31, 2020, the Company had U.S. federal and state net operating loss (“NOL”) carryforwards of $41.0 million and $39.1 million, respectively, which may be available to offset future taxable income. The federal NOLs include $3.3 million which expire at various dates beginning in 2035 and $40.5 million which carry forward indefinitely. The state NOLs expire at various dates beginning in 2035. As of December 31, 2020, the Company also had U.S. federal and state research and development tax credit carryforwards of $3.4 million and $2.2 million, respectively, which may be available to offset future tax liabilities and begin to expire in 2034 and 2030, respectively. During the year ended December 31, 2020, deferred tax assets, before valuation allowance, increased by approximately $15.0 million mainly due to the operating loss incurred by the Company during that period.</w:t>
      </w:r>
    </w:p>
    <w:p>
      <w:pPr>
        <w:spacing w:after="0" w:line="19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has performed an analysis of ownership changes through August 17, 2020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8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2020 and 2019. Management reevaluates the positive and negative evidence at each reporting period. The Company had a net increase in the valuation allowance of $15.0 million during 2020 related primarily to the increase in net operating loss carryforwards and research and development tax credit carryforwards, as follows:</w:t>
      </w:r>
    </w:p>
    <w:p>
      <w:pPr>
        <w:spacing w:after="0" w:line="206"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jc w:val="cente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beginning of year</w:t>
            </w:r>
          </w:p>
        </w:tc>
        <w:tc>
          <w:tcPr>
            <w:tcW w:w="2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$ 15,906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$ 10,559</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Increases recorded to income tax provision</w:t>
            </w:r>
          </w:p>
        </w:tc>
        <w:tc>
          <w:tcPr>
            <w:tcW w:w="15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15,039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5,347</w:t>
            </w:r>
          </w:p>
        </w:tc>
      </w:tr>
      <w:tr>
        <w:trPr>
          <w:trHeight w:val="27"/>
        </w:trPr>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end of year</w:t>
            </w:r>
          </w:p>
        </w:tc>
        <w:tc>
          <w:tcPr>
            <w:tcW w:w="1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30,945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$ 15,906</w:t>
            </w:r>
          </w:p>
        </w:tc>
      </w:tr>
      <w:tr>
        <w:trPr>
          <w:trHeight w:val="20"/>
        </w:trPr>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Coronavirus Aid, Relief, and Economic Security (CARES) Act was enacted on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both Acts and has determined that any impact is not material to its financial statements.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December 31, 2020 and 2019, the Company had not recorded any amounts for unrecognized tax benefits. The Company’s policy is to record interest and penalties related to income taxes as part of its income tax provision. As of December 31, 2020 and 2019, the Company had no accrued interest or penalties related to uncertain tax positions and no amounts had been recognized in the Company’s consolidated statements of operations and comprehensive loss.</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Company files income tax returns in the U.S. federal and Massachusetts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2017, although carryforward attributes that were generated prior to 2017 may still be subject to change upon examination if they are utilized to offset taxable income in subsequent tax years. There are currently no federal or state income tax audits in progress.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19"/>
        </w:trPr>
        <w:tc>
          <w:tcPr>
            <w:tcW w:w="37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per</w:t>
            </w:r>
          </w:p>
        </w:tc>
        <w:tc>
          <w:tcPr>
            <w:tcW w:w="100" w:type="dxa"/>
            <w:vAlign w:val="bottom"/>
          </w:tcPr>
          <w:p>
            <w:pPr>
              <w:spacing w:after="0"/>
              <w:rPr>
                <w:sz w:val="10"/>
                <w:szCs w:val="10"/>
                <w:color w:val="auto"/>
              </w:rPr>
            </w:pPr>
          </w:p>
        </w:tc>
      </w:tr>
      <w:tr>
        <w:trPr>
          <w:trHeight w:val="171"/>
        </w:trPr>
        <w:tc>
          <w:tcPr>
            <w:tcW w:w="3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left="680"/>
              <w:spacing w:after="0"/>
              <w:rPr>
                <w:sz w:val="20"/>
                <w:szCs w:val="20"/>
                <w:color w:val="auto"/>
              </w:rPr>
            </w:pPr>
            <w:r>
              <w:rPr>
                <w:rFonts w:ascii="Arial" w:cs="Arial" w:eastAsia="Arial" w:hAnsi="Arial"/>
                <w:sz w:val="14"/>
                <w:szCs w:val="14"/>
                <w:b w:val="1"/>
                <w:bCs w:val="1"/>
                <w:color w:val="auto"/>
                <w:w w:val="90"/>
              </w:rPr>
              <w:t>share data)</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(51,972)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(14,095)</w:t>
            </w:r>
          </w:p>
        </w:tc>
      </w:tr>
      <w:tr>
        <w:trPr>
          <w:trHeight w:val="202"/>
        </w:trPr>
        <w:tc>
          <w:tcPr>
            <w:tcW w:w="3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loss attributable to common</w:t>
            </w:r>
          </w:p>
        </w:tc>
        <w:tc>
          <w:tcPr>
            <w:tcW w:w="2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 basic and diluted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(51,972)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(14,095)</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Denominator:</w:t>
            </w:r>
          </w:p>
        </w:tc>
        <w:tc>
          <w:tcPr>
            <w:tcW w:w="2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Weighted-average common stock</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 basic and diluted</w:t>
            </w:r>
          </w:p>
        </w:tc>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11,461,011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8,985,710</w:t>
            </w:r>
          </w:p>
        </w:tc>
      </w:tr>
      <w:tr>
        <w:trPr>
          <w:trHeight w:val="209"/>
        </w:trPr>
        <w:tc>
          <w:tcPr>
            <w:tcW w:w="3700" w:type="dxa"/>
            <w:vAlign w:val="bottom"/>
          </w:tcPr>
          <w:p>
            <w:pPr>
              <w:ind w:left="360"/>
              <w:spacing w:after="0"/>
              <w:rPr>
                <w:sz w:val="20"/>
                <w:szCs w:val="20"/>
                <w:color w:val="auto"/>
              </w:rPr>
            </w:pPr>
            <w:r>
              <w:rPr>
                <w:rFonts w:ascii="Arial" w:cs="Arial" w:eastAsia="Arial" w:hAnsi="Arial"/>
                <w:sz w:val="18"/>
                <w:szCs w:val="18"/>
                <w:color w:val="auto"/>
                <w:w w:val="99"/>
              </w:rPr>
              <w:t>Net loss per share attributable to common</w:t>
            </w:r>
          </w:p>
        </w:tc>
        <w:tc>
          <w:tcPr>
            <w:tcW w:w="2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00" w:type="dxa"/>
            <w:vAlign w:val="bottom"/>
          </w:tcPr>
          <w:p>
            <w:pPr>
              <w:ind w:left="540"/>
              <w:spacing w:after="0"/>
              <w:rPr>
                <w:sz w:val="20"/>
                <w:szCs w:val="20"/>
                <w:color w:val="auto"/>
              </w:rPr>
            </w:pPr>
            <w:r>
              <w:rPr>
                <w:rFonts w:ascii="Arial" w:cs="Arial" w:eastAsia="Arial" w:hAnsi="Arial"/>
                <w:sz w:val="18"/>
                <w:szCs w:val="18"/>
                <w:color w:val="auto"/>
              </w:rPr>
              <w:t>stockholders – basic and diluted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(4.53)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372"/>
        </w:trPr>
        <w:tc>
          <w:tcPr>
            <w:tcW w:w="3700" w:type="dxa"/>
            <w:vAlign w:val="bottom"/>
          </w:tcPr>
          <w:p>
            <w:pPr>
              <w:spacing w:after="0"/>
              <w:rPr>
                <w:sz w:val="24"/>
                <w:szCs w:val="24"/>
                <w:color w:val="auto"/>
              </w:rPr>
            </w:pPr>
          </w:p>
        </w:tc>
        <w:tc>
          <w:tcPr>
            <w:tcW w:w="2120" w:type="dxa"/>
            <w:vAlign w:val="bottom"/>
          </w:tcPr>
          <w:p>
            <w:pPr>
              <w:ind w:left="320"/>
              <w:spacing w:after="0"/>
              <w:rPr>
                <w:sz w:val="20"/>
                <w:szCs w:val="20"/>
                <w:color w:val="auto"/>
              </w:rPr>
            </w:pPr>
            <w:r>
              <w:rPr>
                <w:rFonts w:ascii="Arial" w:cs="Arial" w:eastAsia="Arial" w:hAnsi="Arial"/>
                <w:sz w:val="18"/>
                <w:szCs w:val="18"/>
                <w:color w:val="auto"/>
              </w:rPr>
              <w:t>F-84</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7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105,538,281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11,951,362</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6,902,873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755,868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3,028,540</w:t>
            </w:r>
          </w:p>
        </w:tc>
      </w:tr>
      <w:tr>
        <w:trPr>
          <w:trHeight w:val="223"/>
        </w:trPr>
        <w:tc>
          <w:tcPr>
            <w:tcW w:w="576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118,245,511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65,631,413</w:t>
            </w:r>
          </w:p>
        </w:tc>
        <w:tc>
          <w:tcPr>
            <w:tcW w:w="6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Grants of Stock Options under 2017 Plan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January 2021, the Company granted options for the purchase of 6,805,312 common shares, at an exercise price of $1.19 per share, to officers, employees, and consultants of the Company. The aggregate grant-date fair value of these option grants was $8.8 million, which is expected to be recognized as share-based compensation expense over a weighted-average period of 3.8 years.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March 2021, the Company granted options for the purchase of 1,010,000 common shares, at an exercise price of $2.57 per share, to directors, employees, and consultants of the Company. The aggregate grant-date fair value of these option grants was $1.7 million, which is expected to be recognized as share-based compensation expense over a weighted-average period of 3.8 years.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of Redeemable Convertible Series B Preferred Stock Tranche</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March 2021, the Company sold 22,686,026 additional shares of Series B redeemable convertible preferred stock at a price of $1.32 per share upon the achievement of specified development milestones in connection with the second tranche of the Series B stock purchase agreement. Each of the tranches under the Series B stock purchase agreement maintain the same rights and features. Gross proceeds from this issuance totaled $30.0 million. Total issuance costs associated with the second tranche of the Series B preferred stock was less than $0.1 million.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Waiver of Preferred Stock Redemption Rights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April 2021, the holders of the Series A, Series B and Series B-1 redeemable preferred stock irrevocably waived their right to redeem any shares of Preferred Stock until March 31, 2023.</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Gilead Collaboration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2021, Gilead licensed its second target under the Amended Gilead Agreement and is required to pay the Company a $11.0 million license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w:t>
      </w:r>
    </w:p>
    <w:p>
      <w:pPr>
        <w:spacing w:after="0" w:line="21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December 31, 2020 through April 12, 2021, the date the consolidated financial statements were available for issuance, and determined that all material transactions have been recorded and disclosed.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080"/>
          </w:cols>
          <w:pgMar w:left="320" w:top="459" w:right="49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evaluated subsequent events through April 19, 2021, the date of the initial filing of this proxy statement/prospectus.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April 13, 2021, the Company and BCTG Acquisition Corp. (“BCTG”)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81"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mid-2021.</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060"/>
          </w:cols>
          <w:pgMar w:left="320" w:top="459" w:right="5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205740</wp:posOffset>
            </wp:positionV>
            <wp:extent cx="2751455" cy="8483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5145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2239"/>
        <w:spacing w:after="0"/>
        <w:rPr>
          <w:sz w:val="20"/>
          <w:szCs w:val="20"/>
          <w:color w:val="auto"/>
        </w:rPr>
      </w:pPr>
      <w:r>
        <w:rPr>
          <w:rFonts w:ascii="Arial" w:cs="Arial" w:eastAsia="Arial" w:hAnsi="Arial"/>
          <w:sz w:val="25"/>
          <w:szCs w:val="25"/>
          <w:b w:val="1"/>
          <w:bCs w:val="1"/>
          <w:color w:val="auto"/>
        </w:rPr>
        <w:t>Up to 68,034,602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October 7, 2021</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1)"/>
      <w:numFmt w:val="lowerRoman"/>
      <w:start w:val="1"/>
    </w:lvl>
  </w:abstractNum>
  <w:abstractNum w:abstractNumId="29">
    <w:nsid w:val="68EB2F63"/>
    <w:multiLevelType w:val="hybridMultilevel"/>
    <w:lvl w:ilvl="0">
      <w:lvlJc w:val="left"/>
      <w:lvlText w:val="(%1)"/>
      <w:numFmt w:val="lowerRoman"/>
      <w:start w:val="4"/>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1)"/>
      <w:numFmt w:val="upperLetter"/>
      <w:start w:val="1"/>
    </w:lvl>
  </w:abstractNum>
  <w:abstractNum w:abstractNumId="37">
    <w:nsid w:val="100F59DC"/>
    <w:multiLevelType w:val="hybridMultilevel"/>
    <w:lvl w:ilvl="0">
      <w:lvlJc w:val="left"/>
      <w:lvlText w:val="(%1)"/>
      <w:numFmt w:val="upperLetter"/>
      <w:start w:val="1"/>
    </w:lvl>
  </w:abstractNum>
  <w:abstractNum w:abstractNumId="38">
    <w:nsid w:val="7FB7E0AA"/>
    <w:multiLevelType w:val="hybridMultilevel"/>
    <w:lvl w:ilvl="0">
      <w:lvlJc w:val="left"/>
      <w:lvlText w:val="(%1)"/>
      <w:numFmt w:val="upperLetter"/>
      <w:start w:val="1"/>
    </w:lvl>
  </w:abstractNum>
  <w:abstractNum w:abstractNumId="39">
    <w:nsid w:val="6EB5BD4"/>
    <w:multiLevelType w:val="hybridMultilevel"/>
    <w:lvl w:ilvl="0">
      <w:lvlJc w:val="left"/>
      <w:lvlText w:val="(%1)"/>
      <w:numFmt w:val="lowerLetter"/>
      <w:start w:val="1"/>
    </w:lvl>
  </w:abstractNum>
  <w:abstractNum w:abstractNumId="40">
    <w:nsid w:val="6F6DD9AC"/>
    <w:multiLevelType w:val="hybridMultilevel"/>
    <w:lvl w:ilvl="0">
      <w:lvlJc w:val="left"/>
      <w:lvlText w:val="(%1)"/>
      <w:numFmt w:val="upperLetter"/>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1)"/>
      <w:numFmt w:val="lowerLetter"/>
      <w:start w:val="1"/>
    </w:lvl>
  </w:abstractNum>
  <w:abstractNum w:abstractNumId="43">
    <w:nsid w:val="76272110"/>
    <w:multiLevelType w:val="hybridMultilevel"/>
    <w:lvl w:ilvl="0">
      <w:lvlJc w:val="left"/>
      <w:lvlText w:val="(%1)"/>
      <w:numFmt w:val="decimal"/>
      <w:start w:val="1"/>
    </w:lvl>
    <w:lvl w:ilvl="1">
      <w:lvlJc w:val="left"/>
      <w:lvlText w:val="%2)"/>
      <w:numFmt w:val="lowerLetter"/>
      <w:start w:val="2"/>
    </w:lvl>
  </w:abstractNum>
  <w:abstractNum w:abstractNumId="44">
    <w:nsid w:val="4C04A8AF"/>
    <w:multiLevelType w:val="hybridMultilevel"/>
    <w:lvl w:ilvl="0">
      <w:lvlJc w:val="left"/>
      <w:lvlText w:val="%1)"/>
      <w:numFmt w:val="lowerLetter"/>
      <w:start w:val="4"/>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1"/>
    </w:lvl>
  </w:abstractNum>
  <w:abstractNum w:abstractNumId="48">
    <w:nsid w:val="74DE0EE3"/>
    <w:multiLevelType w:val="hybridMultilevel"/>
    <w:lvl w:ilvl="0">
      <w:lvlJc w:val="left"/>
      <w:lvlText w:val="(%1)"/>
      <w:numFmt w:val="decimal"/>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1)"/>
      <w:numFmt w:val="lowerRoman"/>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1)"/>
      <w:numFmt w:val="lowerRoman"/>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lvl w:ilvl="1">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2"/>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decimal"/>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decimal"/>
      <w:start w:val="4"/>
    </w:lvl>
  </w:abstractNum>
  <w:abstractNum w:abstractNumId="86">
    <w:nsid w:val="2A155DBC"/>
    <w:multiLevelType w:val="hybridMultilevel"/>
    <w:lvl w:ilvl="0">
      <w:lvlJc w:val="left"/>
      <w:lvlText w:val="(%1)"/>
      <w:numFmt w:val="decimal"/>
      <w:start w:val="1"/>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1)"/>
      <w:numFmt w:val="lowerRoman"/>
      <w:start w:val="2"/>
    </w:lvl>
  </w:abstractNum>
  <w:abstractNum w:abstractNumId="89">
    <w:nsid w:val="51088277"/>
    <w:multiLevelType w:val="hybridMultilevel"/>
    <w:lvl w:ilvl="0">
      <w:lvlJc w:val="left"/>
      <w:lvlText w:val="(%1)"/>
      <w:numFmt w:val="upperLetter"/>
      <w:start w:val="2"/>
    </w:lvl>
  </w:abstractNum>
  <w:abstractNum w:abstractNumId="90">
    <w:nsid w:val="1CA0C5FA"/>
    <w:multiLevelType w:val="hybridMultilevel"/>
    <w:lvl w:ilvl="0">
      <w:lvlJc w:val="left"/>
      <w:lvlText w:val="(%1)"/>
      <w:numFmt w:val="decimal"/>
      <w:start w:val="1"/>
    </w:lvl>
  </w:abstractNum>
  <w:abstractNum w:abstractNumId="91">
    <w:nsid w:val="53584BCB"/>
    <w:multiLevelType w:val="hybridMultilevel"/>
    <w:lvl w:ilvl="0">
      <w:lvlJc w:val="left"/>
      <w:lvlText w:val="•"/>
      <w:numFmt w:val="bullet"/>
      <w:start w:val="1"/>
    </w:lvl>
    <w:lvl w:ilvl="1">
      <w:lvlJc w:val="left"/>
      <w:lvlText w:val="•"/>
      <w:numFmt w:val="bullet"/>
      <w:start w:val="1"/>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1)"/>
      <w:numFmt w:val="lowerRoman"/>
      <w:start w:val="4"/>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1)"/>
      <w:numFmt w:val="decimal"/>
      <w:start w:val="3"/>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6"/>
    </w:lvl>
  </w:abstractNum>
  <w:abstractNum w:abstractNumId="101">
    <w:nsid w:val="39B7AAA2"/>
    <w:multiLevelType w:val="hybridMultilevel"/>
    <w:lvl w:ilvl="0">
      <w:lvlJc w:val="left"/>
      <w:lvlText w:val="(%1)"/>
      <w:numFmt w:val="decimal"/>
      <w:start w:val="14"/>
    </w:lvl>
  </w:abstractNum>
  <w:abstractNum w:abstractNumId="102">
    <w:nsid w:val="2B0D8DBE"/>
    <w:multiLevelType w:val="hybridMultilevel"/>
    <w:lvl w:ilvl="0">
      <w:lvlJc w:val="left"/>
      <w:lvlText w:val="(%1)"/>
      <w:numFmt w:val="decimal"/>
      <w:start w:val="19"/>
    </w:lvl>
  </w:abstractNum>
  <w:abstractNum w:abstractNumId="103">
    <w:nsid w:val="6C80EC70"/>
    <w:multiLevelType w:val="hybridMultilevel"/>
    <w:lvl w:ilvl="0">
      <w:lvlJc w:val="left"/>
      <w:lvlText w:val="(%1)"/>
      <w:numFmt w:val="decimal"/>
      <w:start w:val="26"/>
    </w:lvl>
  </w:abstractNum>
  <w:abstractNum w:abstractNumId="104">
    <w:nsid w:val="379E21B5"/>
    <w:multiLevelType w:val="hybridMultilevel"/>
    <w:lvl w:ilvl="0">
      <w:lvlJc w:val="left"/>
      <w:lvlText w:val="(%1)"/>
      <w:numFmt w:val="decimal"/>
      <w:start w:val="42"/>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
      <w:numFmt w:val="bullet"/>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1)"/>
      <w:numFmt w:val="lowerLetter"/>
      <w:start w:val="1"/>
    </w:lvl>
  </w:abstractNum>
  <w:abstractNum w:abstractNumId="113">
    <w:nsid w:val="2708C9AF"/>
    <w:multiLevelType w:val="hybridMultilevel"/>
    <w:lvl w:ilvl="0">
      <w:lvlJc w:val="left"/>
      <w:lvlText w:val="(%1)"/>
      <w:numFmt w:val="lowerLetter"/>
      <w:start w:val="2"/>
    </w:lvl>
  </w:abstractNum>
  <w:abstractNum w:abstractNumId="114">
    <w:nsid w:val="5B25ACE2"/>
    <w:multiLevelType w:val="hybridMultilevel"/>
    <w:lvl w:ilvl="0">
      <w:lvlJc w:val="left"/>
      <w:lvlText w:val="(%1)"/>
      <w:numFmt w:val="lowerRoman"/>
      <w:start w:val="1"/>
    </w:lvl>
  </w:abstractNum>
  <w:abstractNum w:abstractNumId="115">
    <w:nsid w:val="175DFCF0"/>
    <w:multiLevelType w:val="hybridMultilevel"/>
    <w:lvl w:ilvl="0">
      <w:lvlJc w:val="left"/>
      <w:lvlText w:val="(%1)"/>
      <w:numFmt w:val="decimal"/>
      <w:start w:val="1"/>
    </w:lvl>
  </w:abstractNum>
  <w:abstractNum w:abstractNumId="116">
    <w:nsid w:val="4F97E3E4"/>
    <w:multiLevelType w:val="hybridMultilevel"/>
    <w:lvl w:ilvl="0">
      <w:lvlJc w:val="left"/>
      <w:lvlText w:val="(%1)"/>
      <w:numFmt w:val="decimal"/>
      <w:start w:val="1"/>
    </w:lvl>
  </w:abstractNum>
  <w:abstractNum w:abstractNumId="117">
    <w:nsid w:val="53B0A9E"/>
    <w:multiLevelType w:val="hybridMultilevel"/>
    <w:lvl w:ilvl="0">
      <w:lvlJc w:val="left"/>
      <w:lvlText w:val="(%1)"/>
      <w:numFmt w:val="lowerRoman"/>
      <w:start w:val="2"/>
    </w:lvl>
  </w:abstractNum>
  <w:abstractNum w:abstractNumId="118">
    <w:nsid w:val="34FD6B4F"/>
    <w:multiLevelType w:val="hybridMultilevel"/>
    <w:lvl w:ilvl="0">
      <w:lvlJc w:val="left"/>
      <w:lvlText w:val="(%1)"/>
      <w:numFmt w:val="lowerRoman"/>
      <w:start w:val="3"/>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1)"/>
      <w:numFmt w:val="decimal"/>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1."/>
      <w:numFmt w:val="decimal"/>
      <w:start w:val="1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1)"/>
      <w:numFmt w:val="lowerRoman"/>
      <w:start w:val="4"/>
    </w:lvl>
  </w:abstractNum>
  <w:abstractNum w:abstractNumId="126">
    <w:nsid w:val="5D888A08"/>
    <w:multiLevelType w:val="hybridMultilevel"/>
    <w:lvl w:ilvl="0">
      <w:lvlJc w:val="left"/>
      <w:lvlText w:val="(%1)"/>
      <w:numFmt w:val="lowerRoman"/>
      <w:start w:val="2"/>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1."/>
      <w:numFmt w:val="decimal"/>
      <w:start w:val="6"/>
    </w:lvl>
  </w:abstractNum>
  <w:abstractNum w:abstractNumId="129">
    <w:nsid w:val="19E21BB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2021-10-08T05:16:10Z</dcterms:created>
  <dcterms:modified xsi:type="dcterms:W3CDTF">2021-10-08T05:16:10Z</dcterms:modified>
</cp:coreProperties>
</file>