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140" w:right="1600" w:hanging="311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ectPr>
          <w:pgSz w:w="11900" w:h="16838" w:orient="portrait"/>
          <w:cols w:equalWidth="0" w:num="1">
            <w:col w:w="11240"/>
          </w:cols>
          <w:pgMar w:left="320" w:top="130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700" w:space="240"/>
            <w:col w:w="3300"/>
          </w:cols>
          <w:pgMar w:left="320" w:top="13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173"/>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1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(857) 320-4900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gridSpan w:val="6"/>
          </w:tcPr>
          <w:p>
            <w:pPr>
              <w:jc w:val="center"/>
              <w:ind w:left="35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0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5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vMerge w:val="restart"/>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82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2024, the registrant had 107,144,465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2023. These risks include, among others, the following (which is not an exhaustive list of all such risks):</w:t>
      </w:r>
    </w:p>
    <w:p>
      <w:pPr>
        <w:spacing w:after="0" w:line="68" w:lineRule="exact"/>
        <w:rPr>
          <w:sz w:val="20"/>
          <w:szCs w:val="20"/>
          <w:color w:val="auto"/>
        </w:rPr>
      </w:pPr>
    </w:p>
    <w:p>
      <w:pPr>
        <w:ind w:left="1040" w:right="220" w:hanging="46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89" w:lineRule="exact"/>
        <w:rPr>
          <w:rFonts w:ascii="Times New Roman" w:cs="Times New Roman" w:eastAsia="Times New Roman" w:hAnsi="Times New Roman"/>
          <w:sz w:val="18"/>
          <w:szCs w:val="18"/>
          <w:color w:val="auto"/>
        </w:rPr>
      </w:pPr>
    </w:p>
    <w:p>
      <w:pPr>
        <w:ind w:left="1040" w:right="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75" w:lineRule="exact"/>
        <w:rPr>
          <w:rFonts w:ascii="Times New Roman" w:cs="Times New Roman" w:eastAsia="Times New Roman" w:hAnsi="Times New Roman"/>
          <w:sz w:val="18"/>
          <w:szCs w:val="18"/>
          <w:color w:val="auto"/>
        </w:rPr>
      </w:pPr>
    </w:p>
    <w:p>
      <w:pPr>
        <w:jc w:val="both"/>
        <w:ind w:left="1040" w:right="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89" w:lineRule="exact"/>
        <w:rPr>
          <w:rFonts w:ascii="Times New Roman" w:cs="Times New Roman" w:eastAsia="Times New Roman" w:hAnsi="Times New Roman"/>
          <w:sz w:val="18"/>
          <w:szCs w:val="18"/>
          <w:color w:val="auto"/>
        </w:rPr>
      </w:pPr>
    </w:p>
    <w:p>
      <w:pPr>
        <w:ind w:left="1040" w:right="1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75" w:lineRule="exact"/>
        <w:rPr>
          <w:rFonts w:ascii="Times New Roman" w:cs="Times New Roman" w:eastAsia="Times New Roman" w:hAnsi="Times New Roman"/>
          <w:sz w:val="18"/>
          <w:szCs w:val="18"/>
          <w:color w:val="auto"/>
        </w:rPr>
      </w:pPr>
    </w:p>
    <w:p>
      <w:pPr>
        <w:ind w:left="1040" w:right="2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9" w:lineRule="exact"/>
        <w:rPr>
          <w:rFonts w:ascii="Times New Roman" w:cs="Times New Roman" w:eastAsia="Times New Roman" w:hAnsi="Times New Roman"/>
          <w:sz w:val="18"/>
          <w:szCs w:val="18"/>
          <w:color w:val="auto"/>
        </w:rPr>
      </w:pPr>
    </w:p>
    <w:p>
      <w:pPr>
        <w:ind w:left="1040" w:right="16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193" w:lineRule="exact"/>
        <w:rPr>
          <w:rFonts w:ascii="Times New Roman" w:cs="Times New Roman" w:eastAsia="Times New Roman" w:hAnsi="Times New Roman"/>
          <w:sz w:val="18"/>
          <w:szCs w:val="18"/>
          <w:color w:val="auto"/>
        </w:rPr>
      </w:pPr>
    </w:p>
    <w:p>
      <w:pPr>
        <w:ind w:left="1040" w:right="6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75" w:lineRule="exact"/>
        <w:rPr>
          <w:rFonts w:ascii="Times New Roman" w:cs="Times New Roman" w:eastAsia="Times New Roman" w:hAnsi="Times New Roman"/>
          <w:sz w:val="18"/>
          <w:szCs w:val="18"/>
          <w:color w:val="auto"/>
        </w:rPr>
      </w:pPr>
    </w:p>
    <w:p>
      <w:pPr>
        <w:ind w:left="1040" w:right="300" w:hanging="452"/>
        <w:spacing w:after="0" w:line="312"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93" w:lineRule="exact"/>
        <w:rPr>
          <w:rFonts w:ascii="Times New Roman" w:cs="Times New Roman" w:eastAsia="Times New Roman" w:hAnsi="Times New Roman"/>
          <w:sz w:val="18"/>
          <w:szCs w:val="18"/>
          <w:color w:val="auto"/>
        </w:rPr>
      </w:pPr>
    </w:p>
    <w:p>
      <w:pPr>
        <w:ind w:left="1040" w:right="24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75" w:lineRule="exact"/>
        <w:rPr>
          <w:rFonts w:ascii="Times New Roman" w:cs="Times New Roman" w:eastAsia="Times New Roman" w:hAnsi="Times New Roman"/>
          <w:sz w:val="18"/>
          <w:szCs w:val="18"/>
          <w:color w:val="auto"/>
        </w:rPr>
      </w:pPr>
    </w:p>
    <w:p>
      <w:pPr>
        <w:ind w:left="1040" w:right="52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9" w:lineRule="exact"/>
        <w:rPr>
          <w:rFonts w:ascii="Times New Roman" w:cs="Times New Roman" w:eastAsia="Times New Roman" w:hAnsi="Times New Roman"/>
          <w:sz w:val="18"/>
          <w:szCs w:val="18"/>
          <w:color w:val="auto"/>
        </w:rPr>
      </w:pPr>
    </w:p>
    <w:p>
      <w:pPr>
        <w:ind w:left="1040" w:right="6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89" w:lineRule="exact"/>
        <w:rPr>
          <w:rFonts w:ascii="Times New Roman" w:cs="Times New Roman" w:eastAsia="Times New Roman" w:hAnsi="Times New Roman"/>
          <w:sz w:val="18"/>
          <w:szCs w:val="18"/>
          <w:color w:val="auto"/>
        </w:rPr>
      </w:pPr>
    </w:p>
    <w:p>
      <w:pPr>
        <w:ind w:left="1040" w:right="1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40" w:right="900" w:hanging="46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3" w:lineRule="exact"/>
        <w:rPr>
          <w:rFonts w:ascii="Times New Roman" w:cs="Times New Roman" w:eastAsia="Times New Roman" w:hAnsi="Times New Roman"/>
          <w:sz w:val="18"/>
          <w:szCs w:val="18"/>
          <w:color w:val="auto"/>
        </w:rPr>
      </w:pPr>
    </w:p>
    <w:p>
      <w:pPr>
        <w:ind w:left="1040" w:right="10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3" w:lineRule="exact"/>
        <w:rPr>
          <w:rFonts w:ascii="Times New Roman" w:cs="Times New Roman" w:eastAsia="Times New Roman" w:hAnsi="Times New Roman"/>
          <w:sz w:val="18"/>
          <w:szCs w:val="18"/>
          <w:color w:val="auto"/>
        </w:rPr>
      </w:pPr>
    </w:p>
    <w:p>
      <w:pPr>
        <w:ind w:left="1040" w:right="40" w:hanging="452"/>
        <w:spacing w:after="0" w:line="258"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("API") and drug product to be used in our product candidates (for the active pharmaceutical ingredient for all of our clinical trial products, an affiliate of WuXi AppTec is the sole source of all of such supply), and WuXi AppTec has been the subject of recently proposed Congressional legislation that, if approved, could materially restrict our ability to conduct business with, and obtain API from WuXi AppTec, and the loss of any of these suppliers, including WuXi AppTec, could significantly harm our business.</w:t>
      </w:r>
    </w:p>
    <w:p>
      <w:pPr>
        <w:spacing w:after="0" w:line="196" w:lineRule="exact"/>
        <w:rPr>
          <w:rFonts w:ascii="Times New Roman" w:cs="Times New Roman" w:eastAsia="Times New Roman" w:hAnsi="Times New Roman"/>
          <w:sz w:val="18"/>
          <w:szCs w:val="18"/>
          <w:color w:val="auto"/>
        </w:rPr>
      </w:pPr>
    </w:p>
    <w:p>
      <w:pPr>
        <w:ind w:left="1040" w:right="140" w:hanging="452"/>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89"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40" w:right="40" w:hanging="452"/>
        <w:spacing w:after="0" w:line="258"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future plans for dose expansions, and initiation and completion of studies or clinical trials and related preparatory work, and the period during which the results of the clinical trials (including initial and final trial results) will become available (such as clinical data from the ongoing TNG908 and TNG462 clinical trials expected in the second half of 2024);</w:t>
      </w:r>
    </w:p>
    <w:p>
      <w:pPr>
        <w:spacing w:after="0" w:line="196" w:lineRule="exact"/>
        <w:rPr>
          <w:rFonts w:ascii="Times New Roman" w:cs="Times New Roman" w:eastAsia="Times New Roman" w:hAnsi="Times New Roman"/>
          <w:sz w:val="18"/>
          <w:szCs w:val="18"/>
          <w:color w:val="auto"/>
        </w:rPr>
      </w:pPr>
    </w:p>
    <w:p>
      <w:pPr>
        <w:ind w:left="1040" w:right="300" w:hanging="452"/>
        <w:spacing w:after="0" w:line="312"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53" w:lineRule="exact"/>
        <w:rPr>
          <w:rFonts w:ascii="Times New Roman" w:cs="Times New Roman" w:eastAsia="Times New Roman" w:hAnsi="Times New Roman"/>
          <w:sz w:val="17"/>
          <w:szCs w:val="17"/>
          <w:color w:val="auto"/>
        </w:rPr>
      </w:pPr>
    </w:p>
    <w:p>
      <w:pPr>
        <w:ind w:left="1040" w:right="180" w:hanging="452"/>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left="452" w:right="8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75" w:lineRule="exact"/>
        <w:rPr>
          <w:rFonts w:ascii="Times New Roman" w:cs="Times New Roman" w:eastAsia="Times New Roman" w:hAnsi="Times New Roman"/>
          <w:sz w:val="18"/>
          <w:szCs w:val="18"/>
          <w:color w:val="auto"/>
        </w:rPr>
      </w:pPr>
    </w:p>
    <w:p>
      <w:pPr>
        <w:ind w:left="452" w:right="22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2027);</w:t>
      </w:r>
    </w:p>
    <w:p>
      <w:pPr>
        <w:spacing w:after="0" w:line="189" w:lineRule="exact"/>
        <w:rPr>
          <w:rFonts w:ascii="Times New Roman" w:cs="Times New Roman" w:eastAsia="Times New Roman" w:hAnsi="Times New Roman"/>
          <w:sz w:val="18"/>
          <w:szCs w:val="18"/>
          <w:color w:val="auto"/>
        </w:rPr>
      </w:pPr>
    </w:p>
    <w:p>
      <w:pPr>
        <w:ind w:left="452" w:right="40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of screening tests and companion diagnostic tests for our product candidates);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38"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38" w:lineRule="exact"/>
        <w:rPr>
          <w:rFonts w:ascii="Times New Roman" w:cs="Times New Roman" w:eastAsia="Times New Roman" w:hAnsi="Times New Roman"/>
          <w:sz w:val="18"/>
          <w:szCs w:val="18"/>
          <w:color w:val="auto"/>
        </w:rPr>
      </w:pPr>
    </w:p>
    <w:p>
      <w:pPr>
        <w:ind w:left="452" w:right="1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452" w:right="2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452" w:right="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regulators (such as Centers for Medicare &amp; Medicaid Services) and foreign regulatory authorities;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38" w:lineRule="exact"/>
        <w:rPr>
          <w:rFonts w:ascii="Times New Roman" w:cs="Times New Roman" w:eastAsia="Times New Roman" w:hAnsi="Times New Roman"/>
          <w:sz w:val="18"/>
          <w:szCs w:val="18"/>
          <w:color w:val="auto"/>
        </w:rPr>
      </w:pPr>
    </w:p>
    <w:p>
      <w:pPr>
        <w:ind w:left="452" w:right="7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75" w:lineRule="exact"/>
        <w:rPr>
          <w:rFonts w:ascii="Times New Roman" w:cs="Times New Roman" w:eastAsia="Times New Roman" w:hAnsi="Times New Roman"/>
          <w:sz w:val="18"/>
          <w:szCs w:val="18"/>
          <w:color w:val="auto"/>
        </w:rPr>
      </w:pPr>
    </w:p>
    <w:p>
      <w:pPr>
        <w:ind w:left="452" w:right="180" w:hanging="452"/>
        <w:spacing w:after="0" w:line="312" w:lineRule="auto"/>
        <w:tabs>
          <w:tab w:leader="none" w:pos="4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53"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38" w:lineRule="exact"/>
        <w:rPr>
          <w:rFonts w:ascii="Times New Roman" w:cs="Times New Roman" w:eastAsia="Times New Roman" w:hAnsi="Times New Roman"/>
          <w:sz w:val="18"/>
          <w:szCs w:val="18"/>
          <w:color w:val="auto"/>
        </w:rPr>
      </w:pPr>
    </w:p>
    <w:p>
      <w:pPr>
        <w:ind w:left="452" w:right="34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175" w:lineRule="exact"/>
        <w:rPr>
          <w:rFonts w:ascii="Times New Roman" w:cs="Times New Roman" w:eastAsia="Times New Roman" w:hAnsi="Times New Roman"/>
          <w:sz w:val="18"/>
          <w:szCs w:val="18"/>
          <w:color w:val="auto"/>
        </w:rPr>
      </w:pPr>
    </w:p>
    <w:p>
      <w:pPr>
        <w:ind w:left="452" w:right="24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TNG260 could be among the first oncology molecules to leverage the benefits of genetically-based patient selection (STK11-mutation) with checkpoint inhibitor therapy; and</w:t>
      </w:r>
    </w:p>
    <w:p>
      <w:pPr>
        <w:spacing w:after="0" w:line="200" w:lineRule="exact"/>
        <w:rPr>
          <w:sz w:val="20"/>
          <w:szCs w:val="20"/>
          <w:color w:val="auto"/>
        </w:rPr>
      </w:pPr>
    </w:p>
    <w:p>
      <w:pPr>
        <w:spacing w:after="0" w:line="205"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2"/>
          </w:cols>
          <w:pgMar w:left="908" w:top="985" w:right="359" w:bottom="1440" w:gutter="0" w:footer="0" w:header="0"/>
        </w:sectPr>
      </w:pPr>
    </w:p>
    <w:bookmarkStart w:id="5" w:name="page6"/>
    <w:bookmarkEnd w:id="5"/>
    <w:p>
      <w:pPr>
        <w:ind w:left="1040" w:right="24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2023 - in both cases, see section titled “Risk Factors.”</w:t>
      </w:r>
    </w:p>
    <w:p>
      <w:pPr>
        <w:spacing w:after="0" w:line="391"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2023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2023.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9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quarter ended June 30, 2024, we use the following defined terms:</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“HRD+” means homologous recombination deficient;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quarter ended June 30,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“SDMA” means symmetric di-methylation of specific arginine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of charge as soon as reasonably practicable after we electronically file such material with, or furnish it to, the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7"/>
          <w:szCs w:val="17"/>
          <w:color w:val="auto"/>
        </w:rPr>
        <w:t>ccordingly, investors should monitor such portions of the Company’s website, in addition to following the Company’s press releases, SEC filings and</w:t>
      </w:r>
    </w:p>
    <w:p>
      <w:pPr>
        <w:spacing w:after="0"/>
        <w:rPr>
          <w:sz w:val="20"/>
          <w:szCs w:val="20"/>
          <w:color w:val="auto"/>
        </w:rPr>
      </w:pPr>
      <w:r>
        <w:rPr>
          <w:rFonts w:ascii="Times New Roman" w:cs="Times New Roman" w:eastAsia="Times New Roman" w:hAnsi="Times New Roman"/>
          <w:sz w:val="18"/>
          <w:szCs w:val="18"/>
          <w:color w:val="auto"/>
        </w:rPr>
        <w:t>public conference calls and webcasts (if any). Information on our website is not to be deemed to be incorporated by reference in, and is not part of, this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or any of our other securities filings, unless specifically incorporated herein by reference, and should not be relied upon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a decision as to whether or not to purchase our common stock. Our filings with the SEC may be accessed through the SEC’s Interactive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Applications system at http://www.sec.gov. All statements made in any of our securities filings, including all forward-looking statements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are made as of the date of the document in which the statement is included, and we do not assume or undertake any obligation to update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statements or documents unless we are required to do so by law.</w:t>
      </w:r>
    </w:p>
    <w:p>
      <w:pPr>
        <w:spacing w:after="0" w:line="20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270,545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328,410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381,453</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30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June 30, 2024 and December 31, 2023, respectively;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107,044,240 and 102,202,759 shares issued and outstanding as of</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682,621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624,076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(334 )</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(434,721 )</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(371,256 )</w:t>
            </w:r>
          </w:p>
        </w:tc>
      </w:tr>
      <w:tr>
        <w:trPr>
          <w:trHeight w:val="236"/>
        </w:trPr>
        <w:tc>
          <w:tcPr>
            <w:tcW w:w="66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247,673</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253,108</w:t>
            </w:r>
          </w:p>
        </w:tc>
        <w:tc>
          <w:tcPr>
            <w:tcW w:w="100" w:type="dxa"/>
            <w:vAlign w:val="bottom"/>
            <w:tcBorders>
              <w:top w:val="single" w:sz="8" w:color="CFF0FC"/>
            </w:tcBorders>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381,453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-3710940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-3710940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-2142490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3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49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00" w:type="dxa"/>
            <w:vAlign w:val="bottom"/>
            <w:shd w:val="clear" w:color="auto" w:fill="CFF0FC"/>
          </w:tcPr>
          <w:p>
            <w:pPr>
              <w:spacing w:after="0"/>
              <w:rPr>
                <w:sz w:val="20"/>
                <w:szCs w:val="20"/>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37"/>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00" w:type="dxa"/>
            <w:vAlign w:val="bottom"/>
          </w:tcPr>
          <w:p>
            <w:pPr>
              <w:spacing w:after="0"/>
              <w:rPr>
                <w:sz w:val="20"/>
                <w:szCs w:val="20"/>
                <w:color w:val="auto"/>
              </w:rPr>
            </w:pPr>
          </w:p>
        </w:tc>
      </w:tr>
      <w:tr>
        <w:trPr>
          <w:trHeight w:val="237"/>
        </w:trPr>
        <w:tc>
          <w:tcPr>
            <w:tcW w:w="4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(29,552 )</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(23,247 )</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(71,807 )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(53,534 )</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20"/>
                <w:szCs w:val="20"/>
                <w:color w:val="auto"/>
              </w:rPr>
            </w:pPr>
          </w:p>
        </w:tc>
      </w:tr>
      <w:tr>
        <w:trPr>
          <w:trHeight w:val="24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(25,486 )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(20,646 )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(63,360 )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(48,654 )</w:t>
            </w: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(25,551 )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(63,465 )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(48,718 )</w:t>
            </w:r>
          </w:p>
        </w:tc>
      </w:tr>
      <w:tr>
        <w:trPr>
          <w:trHeight w:val="241"/>
        </w:trPr>
        <w:tc>
          <w:tcPr>
            <w:tcW w:w="49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(0.55 )</w:t>
            </w: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88,354,590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108,692,822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88,281,368</w:t>
            </w:r>
          </w:p>
        </w:tc>
        <w:tc>
          <w:tcPr>
            <w:tcW w:w="100" w:type="dxa"/>
            <w:vAlign w:val="bottom"/>
          </w:tcPr>
          <w:p>
            <w:pPr>
              <w:spacing w:after="0"/>
              <w:rPr>
                <w:sz w:val="20"/>
                <w:szCs w:val="20"/>
                <w:color w:val="auto"/>
              </w:rPr>
            </w:pPr>
          </w:p>
        </w:tc>
      </w:tr>
      <w:tr>
        <w:trPr>
          <w:trHeight w:val="250"/>
        </w:trPr>
        <w:tc>
          <w:tcPr>
            <w:tcW w:w="4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(25,551 )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(20,710 )</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(63,465 )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(48,718 )</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(520 )</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(25,628 )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(20,026 )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(63,985 )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(46,530 )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-3316605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-3316605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-3316605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-3316605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-2682240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-2682240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-2682240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-2682240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-2056765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-2056765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-2056765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-2056765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-1414145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-1414145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-1414145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-1414145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8"/>
        </w:trPr>
        <w:tc>
          <w:tcPr>
            <w:tcW w:w="2720" w:type="dxa"/>
            <w:vAlign w:val="bottom"/>
          </w:tcPr>
          <w:p>
            <w:pPr>
              <w:spacing w:after="0"/>
              <w:rPr>
                <w:sz w:val="14"/>
                <w:szCs w:val="1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10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6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102,202,759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624,076</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(371,256 )</w:t>
            </w:r>
          </w:p>
        </w:tc>
        <w:tc>
          <w:tcPr>
            <w:tcW w:w="1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(443 )</w:t>
            </w: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(443 )</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(37,914 )</w:t>
            </w:r>
          </w:p>
        </w:tc>
        <w:tc>
          <w:tcPr>
            <w:tcW w:w="18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(37,914 )</w:t>
            </w:r>
          </w:p>
        </w:tc>
        <w:tc>
          <w:tcPr>
            <w:tcW w:w="0" w:type="dxa"/>
            <w:vAlign w:val="bottom"/>
          </w:tcPr>
          <w:p>
            <w:pPr>
              <w:spacing w:after="0"/>
              <w:rPr>
                <w:sz w:val="1"/>
                <w:szCs w:val="1"/>
                <w:color w:val="auto"/>
              </w:rPr>
            </w:pPr>
          </w:p>
        </w:tc>
      </w:tr>
      <w:tr>
        <w:trPr>
          <w:trHeight w:val="20"/>
        </w:trPr>
        <w:tc>
          <w:tcPr>
            <w:tcW w:w="27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106,730,785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673,772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(257 )</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(409,170 )</w:t>
            </w:r>
          </w:p>
        </w:tc>
        <w:tc>
          <w:tcPr>
            <w:tcW w:w="1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313,455</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gridSpan w:val="2"/>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(77 )</w:t>
            </w:r>
          </w:p>
        </w:tc>
        <w:tc>
          <w:tcPr>
            <w:tcW w:w="20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(25,551 )</w:t>
            </w: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(25,551 )</w:t>
            </w:r>
          </w:p>
        </w:tc>
        <w:tc>
          <w:tcPr>
            <w:tcW w:w="0" w:type="dxa"/>
            <w:vAlign w:val="bottom"/>
          </w:tcPr>
          <w:p>
            <w:pPr>
              <w:spacing w:after="0"/>
              <w:rPr>
                <w:sz w:val="1"/>
                <w:szCs w:val="1"/>
                <w:color w:val="auto"/>
              </w:rPr>
            </w:pPr>
          </w:p>
        </w:tc>
      </w:tr>
      <w:tr>
        <w:trPr>
          <w:trHeight w:val="20"/>
        </w:trPr>
        <w:tc>
          <w:tcPr>
            <w:tcW w:w="272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107,044,240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682,621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(334 )</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(434,721 )</w:t>
            </w:r>
          </w:p>
        </w:tc>
        <w:tc>
          <w:tcPr>
            <w:tcW w:w="180" w:type="dxa"/>
            <w:vAlign w:val="bottom"/>
          </w:tcPr>
          <w:p>
            <w:pPr>
              <w:jc w:val="right"/>
              <w:ind w:right="95"/>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4"/>
                <w:szCs w:val="14"/>
                <w:color w:val="auto"/>
              </w:rPr>
            </w:pPr>
          </w:p>
        </w:tc>
        <w:tc>
          <w:tcPr>
            <w:tcW w:w="2440" w:type="dxa"/>
            <w:vAlign w:val="bottom"/>
            <w:gridSpan w:val="8"/>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24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88,179,374</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522,605</w:t>
            </w:r>
          </w:p>
        </w:tc>
        <w:tc>
          <w:tcPr>
            <w:tcW w:w="3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(3,705 )</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(269,512 )</w:t>
            </w:r>
          </w:p>
        </w:tc>
        <w:tc>
          <w:tcPr>
            <w:tcW w:w="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249,476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30,590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(28,008 )</w:t>
            </w:r>
          </w:p>
        </w:tc>
        <w:tc>
          <w:tcPr>
            <w:tcW w:w="1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(28,008 )</w:t>
            </w:r>
          </w:p>
        </w:tc>
        <w:tc>
          <w:tcPr>
            <w:tcW w:w="0" w:type="dxa"/>
            <w:vAlign w:val="bottom"/>
          </w:tcPr>
          <w:p>
            <w:pPr>
              <w:spacing w:after="0"/>
              <w:rPr>
                <w:sz w:val="1"/>
                <w:szCs w:val="1"/>
                <w:color w:val="auto"/>
              </w:rPr>
            </w:pPr>
          </w:p>
        </w:tc>
      </w:tr>
      <w:tr>
        <w:trPr>
          <w:trHeight w:val="20"/>
        </w:trPr>
        <w:tc>
          <w:tcPr>
            <w:tcW w:w="272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88,209,964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526,897</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(2,201 )</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(297,520 )</w:t>
            </w: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252,880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(20,710 )</w:t>
            </w:r>
          </w:p>
        </w:tc>
        <w:tc>
          <w:tcPr>
            <w:tcW w:w="18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(20,710 )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88,462,844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532,604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(1,517 )</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(318,230 )</w:t>
            </w:r>
          </w:p>
        </w:tc>
        <w:tc>
          <w:tcPr>
            <w:tcW w:w="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212,945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-2631440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-2613660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-2631440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-2613660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-2631440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-2613660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-2631440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-2613660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-2631440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-2613660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-2631440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-2159635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-2159635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-2159635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-2159635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-2159635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-736600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-736600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-736600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-736600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(63,465 )</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(48,718 )</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(2,575 )</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(1,769 )</w:t>
            </w: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(2,462 )</w:t>
            </w: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(1,724 )</w:t>
            </w: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(4,245 )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(796 )</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(1,461 )</w:t>
            </w: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(14,246 )</w:t>
            </w:r>
          </w:p>
        </w:tc>
        <w:tc>
          <w:tcPr>
            <w:tcW w:w="9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(15,364 )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(61,464 )</w:t>
            </w:r>
          </w:p>
        </w:tc>
        <w:tc>
          <w:tcPr>
            <w:tcW w:w="9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(59,380 )</w:t>
            </w:r>
          </w:p>
        </w:tc>
        <w:tc>
          <w:tcPr>
            <w:tcW w:w="0" w:type="dxa"/>
            <w:vAlign w:val="bottom"/>
          </w:tcPr>
          <w:p>
            <w:pPr>
              <w:spacing w:after="0"/>
              <w:rPr>
                <w:sz w:val="1"/>
                <w:szCs w:val="1"/>
                <w:color w:val="auto"/>
              </w:rPr>
            </w:pPr>
          </w:p>
        </w:tc>
      </w:tr>
      <w:tr>
        <w:trPr>
          <w:trHeight w:val="241"/>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(515 )</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(1,284 )</w:t>
            </w: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170,885</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5"/>
              </w:rPr>
              <w:t>(168,874 )</w:t>
            </w:r>
          </w:p>
        </w:tc>
        <w:tc>
          <w:tcPr>
            <w:tcW w:w="9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5"/>
              </w:rPr>
              <w:t>(103,311 )</w:t>
            </w:r>
          </w:p>
        </w:tc>
        <w:tc>
          <w:tcPr>
            <w:tcW w:w="0" w:type="dxa"/>
            <w:vAlign w:val="bottom"/>
          </w:tcPr>
          <w:p>
            <w:pPr>
              <w:spacing w:after="0"/>
              <w:rPr>
                <w:sz w:val="1"/>
                <w:szCs w:val="1"/>
                <w:color w:val="auto"/>
              </w:rPr>
            </w:pPr>
          </w:p>
        </w:tc>
      </w:tr>
      <w:tr>
        <w:trPr>
          <w:trHeight w:val="237"/>
        </w:trPr>
        <w:tc>
          <w:tcPr>
            <w:tcW w:w="64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at-the-market offerings, net of issuance costs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w:t>
            </w:r>
          </w:p>
        </w:tc>
        <w:tc>
          <w:tcPr>
            <w:tcW w:w="96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shares under ESPP</w:t>
            </w:r>
          </w:p>
        </w:tc>
        <w:tc>
          <w:tcPr>
            <w:tcW w:w="9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(15,675 )</w:t>
            </w:r>
          </w:p>
        </w:tc>
        <w:tc>
          <w:tcPr>
            <w:tcW w:w="9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6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leases</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96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-2162810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-2162810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-1408430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-1408430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-774065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-774065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2024 and 2023 are not necessarily indicative of the results for the year ending December 31, 2024, any other interim periods, or any future year or period. The unaudited condensed consolidated financial statements for the three and six months ended June 30, 2024 and 2023 have been prepared on the same basis as and should be read in conjunction with the audited consolidated financial statements and notes included in the Company’s Annual Report on Form 10-K for the year ended December 31, 2023 as filed with the SEC on March 18, 2024.</w:t>
      </w:r>
    </w:p>
    <w:p>
      <w:pPr>
        <w:spacing w:after="0" w:line="18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2023, except as described below.</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20"/>
                <w:szCs w:val="20"/>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10 years</w:t>
            </w:r>
          </w:p>
        </w:tc>
      </w:tr>
    </w:tbl>
    <w:p>
      <w:pPr>
        <w:spacing w:after="0" w:line="19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is intended to improve financial reporting by requiring disclosure of incremental 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The Company is evaluating the potential impact of this adoption on the consolidated financial statements and related disclosures.</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181"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initial target discovery and validation research and development efforts begun under the 2018 Gilead Agreement. Under the Gilead Agreement:</w:t>
      </w:r>
    </w:p>
    <w:p>
      <w:pPr>
        <w:spacing w:after="0" w:line="117" w:lineRule="exact"/>
        <w:rPr>
          <w:sz w:val="20"/>
          <w:szCs w:val="20"/>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including as of the June 30, 2024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June 30, 2024. The total transaction price was comprised of the $50.0 million upfront payment pursuant to the 2018 Gilead Agreement, the $125.0 million upfront payment pursuant to the Gilead Agreement, and $24.0 million in payment pursuant to research option-extension fees in December 2020 and in September 2021. During the three months ended June 30, 2024 and 2023, the Company recognized $7.8 million and $9.6 million, respectively, and during the six months ended June 30, 2024 and 2023, the Company recognized $14.2 million and $15.4 million, respectively, of collaboration revenue associated with the Gilead agreements based on performance completed during each period.</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2024 and December 31, 2023, the Company had short-term deferred revenue of $23.7 million and $25.7 million, respectively, and long-term deferred revenue of $54.4 million and $66.7 million, respectively, related to the Gilead collaboration. The remaining long-term deferred revenue is expected to be recognized proportionally to the completed obligations over an expected remaining contractual term of approximately 3.1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June 2024, Gilead licensed a drug discovery program for a $12.0 million license fee. The $12.0 million license fee was recognized as revenue in the second quarter of 2024 as the Company has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22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245,639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245,639</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100" w:type="dxa"/>
            <w:vAlign w:val="bottom"/>
          </w:tcPr>
          <w:p>
            <w:pPr>
              <w:spacing w:after="0"/>
              <w:rPr>
                <w:sz w:val="20"/>
                <w:szCs w:val="20"/>
                <w:color w:val="auto"/>
              </w:rPr>
            </w:pPr>
          </w:p>
        </w:tc>
      </w:tr>
      <w:tr>
        <w:trPr>
          <w:trHeight w:val="27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275,519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tcPr>
          <w:p>
            <w:pPr>
              <w:spacing w:after="0"/>
              <w:rPr>
                <w:sz w:val="20"/>
                <w:szCs w:val="20"/>
                <w:color w:val="auto"/>
              </w:rPr>
            </w:pPr>
          </w:p>
        </w:tc>
      </w:tr>
      <w:tr>
        <w:trPr>
          <w:trHeight w:val="277"/>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275,210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-1739265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-1722120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-1739265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-1722120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-1739265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-1722120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-1739265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-1722120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six months ended June 30, 2024.</w:t>
      </w:r>
    </w:p>
    <w:p>
      <w:pPr>
        <w:spacing w:after="0" w:line="22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980" w:type="dxa"/>
            <w:vAlign w:val="bottom"/>
          </w:tcPr>
          <w:p>
            <w:pPr>
              <w:jc w:val="center"/>
              <w:ind w:left="16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left="30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Loss</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245,948</w:t>
            </w:r>
          </w:p>
        </w:tc>
        <w:tc>
          <w:tcPr>
            <w:tcW w:w="1240" w:type="dxa"/>
            <w:vAlign w:val="bottom"/>
            <w:gridSpan w:val="2"/>
          </w:tcPr>
          <w:p>
            <w:pPr>
              <w:jc w:val="right"/>
              <w:ind w:right="80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270,879</w:t>
            </w:r>
          </w:p>
        </w:tc>
        <w:tc>
          <w:tcPr>
            <w:tcW w:w="260" w:type="dxa"/>
            <w:vAlign w:val="bottom"/>
          </w:tcPr>
          <w:p>
            <w:pPr>
              <w:spacing w:after="0"/>
              <w:rPr>
                <w:sz w:val="20"/>
                <w:szCs w:val="20"/>
                <w:color w:val="auto"/>
              </w:rPr>
            </w:pPr>
          </w:p>
        </w:tc>
        <w:tc>
          <w:tcPr>
            <w:tcW w:w="980" w:type="dxa"/>
            <w:vAlign w:val="bottom"/>
          </w:tcPr>
          <w:p>
            <w:pPr>
              <w:jc w:val="right"/>
              <w:ind w:right="80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-1087755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-1087755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-1087755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(139 )</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270,314</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$48.2 million as of June 30, 2024 with contractual maturity dates greater than one year.</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00" w:type="dxa"/>
            <w:vAlign w:val="bottom"/>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Unrealized loss</w:t>
            </w:r>
          </w:p>
        </w:tc>
        <w:tc>
          <w:tcPr>
            <w:tcW w:w="100" w:type="dxa"/>
            <w:vAlign w:val="bottom"/>
          </w:tcPr>
          <w:p>
            <w:pPr>
              <w:spacing w:after="0"/>
              <w:rPr>
                <w:sz w:val="21"/>
                <w:szCs w:val="21"/>
                <w:color w:val="auto"/>
              </w:rPr>
            </w:pPr>
          </w:p>
        </w:tc>
        <w:tc>
          <w:tcPr>
            <w:tcW w:w="20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6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196,028</w:t>
            </w:r>
          </w:p>
        </w:tc>
        <w:tc>
          <w:tcPr>
            <w:tcW w:w="100" w:type="dxa"/>
            <w:vAlign w:val="bottom"/>
            <w:tcBorders>
              <w:left w:val="single" w:sz="8" w:color="CFF0FC"/>
            </w:tcBorders>
            <w:shd w:val="clear" w:color="auto" w:fill="CFF0FC"/>
          </w:tcPr>
          <w:p>
            <w:pPr>
              <w:spacing w:after="0"/>
              <w:rPr>
                <w:sz w:val="20"/>
                <w:szCs w:val="20"/>
                <w:color w:val="auto"/>
              </w:rPr>
            </w:pPr>
          </w:p>
        </w:tc>
        <w:tc>
          <w:tcPr>
            <w:tcW w:w="860" w:type="dxa"/>
            <w:vAlign w:val="bottom"/>
            <w:gridSpan w:val="3"/>
            <w:shd w:val="clear" w:color="auto" w:fill="CFF0FC"/>
          </w:tcPr>
          <w:p>
            <w:pPr>
              <w:jc w:val="right"/>
              <w:ind w:right="46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(339 )</w:t>
            </w:r>
          </w:p>
        </w:tc>
        <w:tc>
          <w:tcPr>
            <w:tcW w:w="2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20"/>
                <w:szCs w:val="20"/>
                <w:color w:val="auto"/>
              </w:rPr>
            </w:pPr>
          </w:p>
        </w:tc>
        <w:tc>
          <w:tcPr>
            <w:tcW w:w="6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FF0FC"/>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196,028</w:t>
            </w:r>
          </w:p>
        </w:tc>
        <w:tc>
          <w:tcPr>
            <w:tcW w:w="680" w:type="dxa"/>
            <w:vAlign w:val="bottom"/>
            <w:tcBorders>
              <w:left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(339 )</w:t>
            </w:r>
          </w:p>
        </w:tc>
      </w:tr>
      <w:tr>
        <w:trPr>
          <w:trHeight w:val="239"/>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2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26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205,505</w:t>
            </w:r>
          </w:p>
        </w:tc>
        <w:tc>
          <w:tcPr>
            <w:tcW w:w="100" w:type="dxa"/>
            <w:vAlign w:val="bottom"/>
            <w:tcBorders>
              <w:left w:val="single" w:sz="8" w:color="CFF0FC"/>
            </w:tcBorders>
            <w:shd w:val="clear" w:color="auto" w:fill="CFF0FC"/>
          </w:tcPr>
          <w:p>
            <w:pPr>
              <w:spacing w:after="0"/>
              <w:rPr>
                <w:sz w:val="22"/>
                <w:szCs w:val="22"/>
                <w:color w:val="auto"/>
              </w:rPr>
            </w:pPr>
          </w:p>
        </w:tc>
        <w:tc>
          <w:tcPr>
            <w:tcW w:w="260" w:type="dxa"/>
            <w:vAlign w:val="bottom"/>
            <w:tcBorders>
              <w:right w:val="single" w:sz="8" w:color="CFF0FC"/>
            </w:tcBorders>
            <w:gridSpan w:val="2"/>
            <w:shd w:val="clear" w:color="auto" w:fill="CFF0FC"/>
          </w:tcPr>
          <w:p>
            <w:pPr>
              <w:spacing w:after="0"/>
              <w:rPr>
                <w:sz w:val="22"/>
                <w:szCs w:val="22"/>
                <w:color w:val="auto"/>
              </w:rPr>
            </w:pPr>
          </w:p>
        </w:tc>
        <w:tc>
          <w:tcPr>
            <w:tcW w:w="600" w:type="dxa"/>
            <w:vAlign w:val="bottom"/>
            <w:shd w:val="clear" w:color="auto" w:fill="CFF0FC"/>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(351 )</w:t>
            </w:r>
          </w:p>
        </w:tc>
        <w:tc>
          <w:tcPr>
            <w:tcW w:w="2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left w:val="single" w:sz="8" w:color="CFF0FC"/>
            </w:tcBorders>
            <w:shd w:val="clear" w:color="auto" w:fill="CFF0FC"/>
          </w:tcPr>
          <w:p>
            <w:pPr>
              <w:spacing w:after="0"/>
              <w:rPr>
                <w:sz w:val="22"/>
                <w:szCs w:val="22"/>
                <w:color w:val="auto"/>
              </w:rPr>
            </w:pPr>
          </w:p>
        </w:tc>
        <w:tc>
          <w:tcPr>
            <w:tcW w:w="6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210,491</w:t>
            </w:r>
          </w:p>
        </w:tc>
        <w:tc>
          <w:tcPr>
            <w:tcW w:w="680" w:type="dxa"/>
            <w:vAlign w:val="bottom"/>
            <w:tcBorders>
              <w:left w:val="single" w:sz="8" w:color="CFF0FC"/>
            </w:tcBorders>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(364 )</w:t>
            </w:r>
          </w:p>
        </w:tc>
      </w:tr>
      <w:tr>
        <w:trPr>
          <w:trHeight w:val="20"/>
        </w:trPr>
        <w:tc>
          <w:tcPr>
            <w:tcW w:w="26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73"/>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300" w:type="dxa"/>
            <w:vAlign w:val="bottom"/>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Unrealized loss</w:t>
            </w:r>
          </w:p>
        </w:tc>
        <w:tc>
          <w:tcPr>
            <w:tcW w:w="140" w:type="dxa"/>
            <w:vAlign w:val="bottom"/>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Unrealized loss</w:t>
            </w:r>
          </w:p>
        </w:tc>
        <w:tc>
          <w:tcPr>
            <w:tcW w:w="12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6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100" w:type="dxa"/>
            <w:vAlign w:val="bottom"/>
            <w:tcBorders>
              <w:left w:val="single" w:sz="8" w:color="CFF0FC"/>
            </w:tcBorders>
            <w:shd w:val="clear" w:color="auto" w:fill="CFF0FC"/>
          </w:tcPr>
          <w:p>
            <w:pPr>
              <w:spacing w:after="0"/>
              <w:rPr>
                <w:sz w:val="20"/>
                <w:szCs w:val="20"/>
                <w:color w:val="auto"/>
              </w:rPr>
            </w:pPr>
          </w:p>
        </w:tc>
        <w:tc>
          <w:tcPr>
            <w:tcW w:w="86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20" w:type="dxa"/>
            <w:vAlign w:val="bottom"/>
            <w:tcBorders>
              <w:left w:val="single" w:sz="8" w:color="CFF0FC"/>
            </w:tcBorders>
            <w:shd w:val="clear" w:color="auto" w:fill="CFF0FC"/>
          </w:tcPr>
          <w:p>
            <w:pPr>
              <w:spacing w:after="0"/>
              <w:rPr>
                <w:sz w:val="20"/>
                <w:szCs w:val="20"/>
                <w:color w:val="auto"/>
              </w:rPr>
            </w:pPr>
          </w:p>
        </w:tc>
        <w:tc>
          <w:tcPr>
            <w:tcW w:w="6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680" w:type="dxa"/>
            <w:vAlign w:val="bottom"/>
            <w:tcBorders>
              <w:left w:val="single" w:sz="8" w:color="CFF0FC"/>
            </w:tcBorders>
            <w:gridSpan w:val="4"/>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r>
      <w:tr>
        <w:trPr>
          <w:trHeight w:val="239"/>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2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26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00" w:type="dxa"/>
            <w:vAlign w:val="bottom"/>
            <w:tcBorders>
              <w:left w:val="single" w:sz="8" w:color="CFF0FC"/>
            </w:tcBorders>
            <w:shd w:val="clear" w:color="auto" w:fill="CFF0FC"/>
          </w:tcPr>
          <w:p>
            <w:pPr>
              <w:spacing w:after="0"/>
              <w:rPr>
                <w:sz w:val="22"/>
                <w:szCs w:val="22"/>
                <w:color w:val="auto"/>
              </w:rPr>
            </w:pPr>
          </w:p>
        </w:tc>
        <w:tc>
          <w:tcPr>
            <w:tcW w:w="260" w:type="dxa"/>
            <w:vAlign w:val="bottom"/>
            <w:tcBorders>
              <w:right w:val="single" w:sz="8" w:color="CFF0FC"/>
            </w:tcBorders>
            <w:gridSpan w:val="2"/>
            <w:shd w:val="clear" w:color="auto" w:fill="CFF0FC"/>
          </w:tcPr>
          <w:p>
            <w:pPr>
              <w:spacing w:after="0"/>
              <w:rPr>
                <w:sz w:val="22"/>
                <w:szCs w:val="22"/>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20" w:type="dxa"/>
            <w:vAlign w:val="bottom"/>
            <w:tcBorders>
              <w:left w:val="single" w:sz="8" w:color="CFF0FC"/>
            </w:tcBorders>
            <w:shd w:val="clear" w:color="auto" w:fill="CFF0FC"/>
          </w:tcPr>
          <w:p>
            <w:pPr>
              <w:spacing w:after="0"/>
              <w:rPr>
                <w:sz w:val="22"/>
                <w:szCs w:val="22"/>
                <w:color w:val="auto"/>
              </w:rPr>
            </w:pPr>
          </w:p>
        </w:tc>
        <w:tc>
          <w:tcPr>
            <w:tcW w:w="6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18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92,021</w:t>
            </w:r>
          </w:p>
        </w:tc>
        <w:tc>
          <w:tcPr>
            <w:tcW w:w="680" w:type="dxa"/>
            <w:vAlign w:val="bottom"/>
            <w:tcBorders>
              <w:left w:val="single" w:sz="8" w:color="CFF0FC"/>
            </w:tcBorders>
            <w:gridSpan w:val="4"/>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26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-1482090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-1464945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-1482090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-1464945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-1482090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-1464945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-1482090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-1464945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-1482090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-1464945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-1482090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June 30, 2024,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$1.4 million and $1.8 million in accrued interest at June 30, 2024 and December 31, 2023, respectively.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16" w:name="page17"/>
    <w:bookmarkEnd w:id="16"/>
    <w:p>
      <w:pPr>
        <w:ind w:left="520" w:right="7500" w:hanging="512"/>
        <w:spacing w:after="0" w:line="503" w:lineRule="auto"/>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40" w:type="dxa"/>
            <w:vAlign w:val="bottom"/>
            <w:gridSpan w:val="2"/>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9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8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40" w:type="dxa"/>
            <w:vAlign w:val="bottom"/>
          </w:tcPr>
          <w:p>
            <w:pPr>
              <w:spacing w:after="0"/>
              <w:rPr>
                <w:sz w:val="20"/>
                <w:szCs w:val="20"/>
                <w:color w:val="auto"/>
              </w:rPr>
            </w:pPr>
          </w:p>
        </w:tc>
        <w:tc>
          <w:tcPr>
            <w:tcW w:w="2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(7,121 )</w:t>
            </w:r>
          </w:p>
        </w:tc>
        <w:tc>
          <w:tcPr>
            <w:tcW w:w="52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(5,989 )</w:t>
            </w: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3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$1.3 million and $1.2 million for the six months ended June 30, 2024 and 2023,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40" w:type="dxa"/>
            <w:vAlign w:val="bottom"/>
          </w:tcPr>
          <w:p>
            <w:pPr>
              <w:spacing w:after="0"/>
              <w:rPr>
                <w:sz w:val="16"/>
                <w:szCs w:val="16"/>
                <w:color w:val="auto"/>
              </w:rPr>
            </w:pPr>
          </w:p>
        </w:tc>
        <w:tc>
          <w:tcPr>
            <w:tcW w:w="1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660" w:type="dxa"/>
            <w:vAlign w:val="bottom"/>
            <w:shd w:val="clear" w:color="auto" w:fill="CFF0FC"/>
          </w:tcPr>
          <w:p>
            <w:pPr>
              <w:jc w:val="right"/>
              <w:ind w:right="14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60" w:type="dxa"/>
            <w:vAlign w:val="bottom"/>
          </w:tcPr>
          <w:p>
            <w:pPr>
              <w:jc w:val="right"/>
              <w:ind w:right="14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and 2023, the Company maintained a restricted cash balance of $2.6 million and $3.4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4940" w:type="dxa"/>
            <w:vAlign w:val="bottom"/>
          </w:tcPr>
          <w:p>
            <w:pPr>
              <w:spacing w:after="0"/>
              <w:rPr>
                <w:sz w:val="16"/>
                <w:szCs w:val="16"/>
                <w:color w:val="auto"/>
              </w:rPr>
            </w:pPr>
          </w:p>
        </w:tc>
        <w:tc>
          <w:tcPr>
            <w:tcW w:w="1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shd w:val="clear" w:color="auto" w:fill="CFF0FC"/>
          </w:tcPr>
          <w:p>
            <w:pPr>
              <w:jc w:val="right"/>
              <w:ind w:right="14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9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66,052</w:t>
            </w: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20"/>
                <w:szCs w:val="20"/>
                <w:color w:val="auto"/>
              </w:rPr>
            </w:pPr>
          </w:p>
        </w:tc>
      </w:tr>
      <w:tr>
        <w:trPr>
          <w:trHeight w:val="27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60" w:type="dxa"/>
            <w:vAlign w:val="bottom"/>
            <w:tcBorders>
              <w:bottom w:val="single" w:sz="8" w:color="auto"/>
            </w:tcBorders>
            <w:shd w:val="clear" w:color="auto" w:fill="CFF0FC"/>
          </w:tcPr>
          <w:p>
            <w:pPr>
              <w:jc w:val="right"/>
              <w:ind w:right="14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3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right="8120" w:hanging="512"/>
        <w:spacing w:after="0" w:line="532" w:lineRule="auto"/>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w:t>
      </w:r>
    </w:p>
    <w:p>
      <w:pPr>
        <w:spacing w:after="0" w:line="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7" w:name="page18"/>
    <w:bookmarkEnd w:id="17"/>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The Company, from time to time, may be party to litigation arising in the ordinary course of business. The Company was not subject to any material legal proceedings as of June 30, 2024,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68" w:lineRule="exact"/>
        <w:rPr>
          <w:sz w:val="20"/>
          <w:szCs w:val="20"/>
          <w:color w:val="auto"/>
        </w:rPr>
      </w:pPr>
    </w:p>
    <w:p>
      <w:pPr>
        <w:ind w:left="520" w:right="756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Stock </w:t>
      </w:r>
      <w:r>
        <w:rPr>
          <w:rFonts w:ascii="Times New Roman" w:cs="Times New Roman" w:eastAsia="Times New Roman" w:hAnsi="Times New Roman"/>
          <w:sz w:val="18"/>
          <w:szCs w:val="18"/>
          <w:b w:val="1"/>
          <w:bCs w:val="1"/>
          <w:i w:val="1"/>
          <w:iCs w:val="1"/>
          <w:color w:val="auto"/>
        </w:rPr>
        <w:t>Undesignated Preferred Stock</w:t>
      </w: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June 30, 2024. The shares of preferred stock are currently undesignated and no shares are issued or outstanding.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520" w:right="8620" w:hanging="512"/>
        <w:spacing w:after="0" w:line="532"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August 2021, the Company's stockholders approved the 2021 Stock Option and Incentive Plan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June 30, 2024, the Company had 6,776,269 shares available for future issuance under the 2021 Plan.</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June 30, 2024, the Company had 1,894,599 shares available for future issuance under the Inducement Plan.</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ectPr>
          <w:pgSz w:w="11900" w:h="16838" w:orient="portrait"/>
          <w:cols w:equalWidth="0" w:num="1">
            <w:col w:w="11240"/>
          </w:cols>
          <w:pgMar w:left="320" w:top="1197" w:right="339" w:bottom="1440" w:gutter="0" w:footer="0" w:header="0"/>
        </w:sectPr>
      </w:pP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shd w:val="clear" w:color="auto" w:fill="CFF0FC"/>
          </w:tcPr>
          <w:p>
            <w:pPr>
              <w:spacing w:after="0"/>
              <w:rPr>
                <w:sz w:val="23"/>
                <w:szCs w:val="23"/>
                <w:color w:val="auto"/>
              </w:rPr>
            </w:pPr>
          </w:p>
        </w:tc>
      </w:tr>
      <w:tr>
        <w:trPr>
          <w:trHeight w:val="25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1"/>
                <w:szCs w:val="21"/>
                <w:color w:val="auto"/>
              </w:rPr>
            </w:pPr>
          </w:p>
        </w:tc>
      </w:tr>
      <w:tr>
        <w:trPr>
          <w:trHeight w:val="250"/>
        </w:trPr>
        <w:tc>
          <w:tcPr>
            <w:tcW w:w="3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the stock option activity for the six months ended June 30, 2024: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8256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96"/>
        </w:trPr>
        <w:tc>
          <w:tcPr>
            <w:tcW w:w="320" w:type="dxa"/>
            <w:vAlign w:val="bottom"/>
          </w:tcPr>
          <w:p>
            <w:pPr>
              <w:spacing w:after="0"/>
              <w:rPr>
                <w:sz w:val="17"/>
                <w:szCs w:val="17"/>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shd w:val="clear" w:color="auto" w:fill="CFF0FC"/>
          </w:tcPr>
          <w:p>
            <w:pPr>
              <w:spacing w:after="0"/>
              <w:rPr>
                <w:sz w:val="23"/>
                <w:szCs w:val="23"/>
                <w:color w:val="auto"/>
              </w:rPr>
            </w:pPr>
          </w:p>
        </w:tc>
      </w:tr>
      <w:tr>
        <w:trPr>
          <w:trHeight w:val="250"/>
        </w:trPr>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21"/>
                <w:szCs w:val="21"/>
                <w:color w:val="auto"/>
              </w:rPr>
            </w:pPr>
          </w:p>
        </w:tc>
      </w:tr>
      <w:tr>
        <w:trPr>
          <w:trHeight w:val="250"/>
        </w:trPr>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833120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-8255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25" w:lineRule="exact"/>
        <w:rPr>
          <w:sz w:val="20"/>
          <w:szCs w:val="20"/>
          <w:color w:val="auto"/>
        </w:rPr>
      </w:pPr>
    </w:p>
    <w:p>
      <w:pPr>
        <w:sectPr>
          <w:pgSz w:w="11900" w:h="16838" w:orient="portrait"/>
          <w:cols w:equalWidth="0" w:num="2">
            <w:col w:w="7540" w:space="160"/>
            <w:col w:w="3540"/>
          </w:cols>
          <w:pgMar w:left="320" w:top="1197" w:right="339" w:bottom="1440" w:gutter="0" w:footer="0" w:header="0"/>
          <w:type w:val="continuous"/>
        </w:sectPr>
      </w:pPr>
    </w:p>
    <w:p>
      <w:pPr>
        <w:spacing w:after="0" w:line="3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60" w:type="dxa"/>
            <w:vAlign w:val="bottom"/>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62,640,906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4,781,209</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11.64</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(507,566 )</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(519,507 )</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June 30, 2024</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20,489,096</w:t>
            </w:r>
          </w:p>
        </w:tc>
        <w:tc>
          <w:tcPr>
            <w:tcW w:w="2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42,850,128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10,076,575</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29,469,806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stock options was $57.4 million, which the Company expects to recognize over a remaining weighted-average period of 2.5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six months ended June 30, 2024:</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1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(232,470 )</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(52,441 )</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June 30, 2024</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1,264,707</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RSUs was $9.9 million, which the Company expects to recognize over a remaining weighted-average period of 2.2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00" w:lineRule="exact"/>
        <w:rPr>
          <w:sz w:val="20"/>
          <w:szCs w:val="20"/>
          <w:color w:val="auto"/>
        </w:rPr>
      </w:pPr>
    </w:p>
    <w:p>
      <w:pPr>
        <w:spacing w:after="0" w:line="24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six months ended June 30, 2024, the Company issued 106,687 shares of common stock under the 2021 ESPP.</w:t>
      </w:r>
    </w:p>
    <w:p>
      <w:pPr>
        <w:spacing w:after="0" w:line="17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313"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31"/>
        </w:trPr>
        <w:tc>
          <w:tcPr>
            <w:tcW w:w="5200" w:type="dxa"/>
            <w:vAlign w:val="bottom"/>
          </w:tcPr>
          <w:p>
            <w:pPr>
              <w:spacing w:after="0"/>
              <w:rPr>
                <w:sz w:val="11"/>
                <w:szCs w:val="11"/>
                <w:color w:val="auto"/>
              </w:rPr>
            </w:pPr>
          </w:p>
        </w:tc>
        <w:tc>
          <w:tcPr>
            <w:tcW w:w="2720" w:type="dxa"/>
            <w:vAlign w:val="bottom"/>
            <w:tcBorders>
              <w:top w:val="single" w:sz="8" w:color="auto"/>
            </w:tcBorders>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Borders>
              <w:top w:val="single" w:sz="8" w:color="auto"/>
            </w:tcBorders>
            <w:gridSpan w:val="5"/>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120" w:type="dxa"/>
            <w:vAlign w:val="bottom"/>
          </w:tcPr>
          <w:p>
            <w:pPr>
              <w:spacing w:after="0"/>
              <w:rPr>
                <w:sz w:val="11"/>
                <w:szCs w:val="11"/>
                <w:color w:val="auto"/>
              </w:rPr>
            </w:pPr>
          </w:p>
        </w:tc>
      </w:tr>
      <w:tr>
        <w:trPr>
          <w:trHeight w:val="187"/>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50"/>
        </w:trPr>
        <w:tc>
          <w:tcPr>
            <w:tcW w:w="5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1"/>
                <w:szCs w:val="21"/>
                <w:color w:val="auto"/>
              </w:rPr>
            </w:pPr>
          </w:p>
        </w:tc>
      </w:tr>
      <w:tr>
        <w:trPr>
          <w:trHeight w:val="244"/>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(25,551 )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(20,710 )</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(63,465 )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(48,718 )</w:t>
            </w:r>
          </w:p>
        </w:tc>
      </w:tr>
      <w:tr>
        <w:trPr>
          <w:trHeight w:val="250"/>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108,314,279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88,354,590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108,692,822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88,281,368</w:t>
            </w:r>
          </w:p>
        </w:tc>
        <w:tc>
          <w:tcPr>
            <w:tcW w:w="120" w:type="dxa"/>
            <w:vAlign w:val="bottom"/>
          </w:tcPr>
          <w:p>
            <w:pPr>
              <w:spacing w:after="0"/>
              <w:rPr>
                <w:sz w:val="21"/>
                <w:szCs w:val="21"/>
                <w:color w:val="auto"/>
              </w:rPr>
            </w:pPr>
          </w:p>
        </w:tc>
      </w:tr>
      <w:tr>
        <w:trPr>
          <w:trHeight w:val="250"/>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(0.23 )</w:t>
            </w:r>
          </w:p>
        </w:tc>
        <w:tc>
          <w:tcPr>
            <w:tcW w:w="100" w:type="dxa"/>
            <w:vAlign w:val="bottom"/>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r>
      <w:tr>
        <w:trPr>
          <w:trHeight w:val="20"/>
        </w:trPr>
        <w:tc>
          <w:tcPr>
            <w:tcW w:w="5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34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9"/>
        </w:trPr>
        <w:tc>
          <w:tcPr>
            <w:tcW w:w="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6"/>
        </w:trPr>
        <w:tc>
          <w:tcPr>
            <w:tcW w:w="76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20,489,096</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16,988,598</w:t>
            </w: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r>
      <w:tr>
        <w:trPr>
          <w:trHeight w:val="239"/>
        </w:trPr>
        <w:tc>
          <w:tcPr>
            <w:tcW w:w="7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220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1,264,707</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694,453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6"/>
        </w:trPr>
        <w:tc>
          <w:tcPr>
            <w:tcW w:w="760" w:type="dxa"/>
            <w:vAlign w:val="bottom"/>
          </w:tcPr>
          <w:p>
            <w:pPr>
              <w:spacing w:after="0"/>
              <w:rPr>
                <w:sz w:val="20"/>
                <w:szCs w:val="20"/>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21,753,803</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17,683,051</w:t>
            </w: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r>
      <w:tr>
        <w:trPr>
          <w:trHeight w:val="646"/>
        </w:trPr>
        <w:tc>
          <w:tcPr>
            <w:tcW w:w="76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1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-916305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-916305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-0.1% and -0.1% for the three months ended June 30, 2024 and 2023, respectively, and -0.1% and -0.1% for the six months ended June 30, 2024 and 2023, respectively. The income tax provision was $0.1 million and $0.1 million for the three months ended June 30, 2024 and 2023, respectively, and the income tax provision was $0.1 million and $0.1 million for the six months ended June 30, 2023 and 2022, respectively. Consistent with the prior year, for 2024 the Company assessed the requirement to capitalize and amortize research and experimentation expenditures for US tax purposes, which remains effective as of June 30, 2024. The Company is forecasting a taxable loss position in 2024 for which no tax benefit is recorded due to the valuation allowance maintained against the Company’s deferred tax assets.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2024 and 2023 differed from the 21.0% federal statutory rate primarily due to the valuation allowance maintained against the Company’s deferred tax assets.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2023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2023,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GBM, NSCLC and pancreatic cancer. In preclinical studies, TNG908 demonstrated 15-fold greater potency in MTAP-deleted cancer cells versus normal cells and robust efficacy in vitro and in vivo. Initial pharmacodynamic (PD) data from the ongoing TNG908 Phase 1/2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In the second quarter of 2024, we initiated the dose expansion portion of the Phase 1/2 clinical trial, opening cohorts in GBM, NSCLC and pancreatic cancer at 600 mg twice-daily (BID). Clinical data from the ongoing trial are expected in the second half of 2024.</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 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investigational new drug (IND) application was cleared by the U.S. Food and Drug Administration (FDA) in the first quarter of 2023 and we announced the first patient in the Phase 1/2 clinical trial was dosed in July 2023. The dose expansion portion of the TNG462 Phase 1/2 clinical trial is ongoing. Two doses are being evaluated (200 mg QD and 300 mg QD) in non-small cell lung and pancreatic cancer, as well as a histology-agnostic cohort enriched for cholangiocarcinoma, mesothelioma, sarcoma and bladder cancers. Clinical data from the ongoing trial are expected in the second half of 2024.</w:t>
      </w:r>
    </w:p>
    <w:p>
      <w:pPr>
        <w:spacing w:after="0" w:line="1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mutation, a setting where an anti-PD-1 antibody alone is inactive. In the first quarter of 2023, the FDA cleared the TNG260 IND and we announced the first patient in the Phase 1/2 clinical trial was dosed in July 2023. The TNG260 Phase 1/2 clinical trial is ongoing, evaluating the safety, pharmacokinetics, PD and efficacy of TNG260 in combination with pembrolizumab, with a one cycle single agent run-in phase to evaluate the safety and PK of TNG260, in patients with locally advanced or metastatic solid tumors with an STK11 loss-of-function mutation. To date, the safety, tolerability and pharmacokinetics profiles are favorable. We believe that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right="300"/>
        <w:spacing w:after="0" w:line="282" w:lineRule="auto"/>
        <w:rPr>
          <w:sz w:val="20"/>
          <w:szCs w:val="20"/>
          <w:color w:val="auto"/>
        </w:rPr>
      </w:pPr>
      <w:r>
        <w:rPr>
          <w:rFonts w:ascii="Times New Roman" w:cs="Times New Roman" w:eastAsia="Times New Roman" w:hAnsi="Times New Roman"/>
          <w:sz w:val="18"/>
          <w:szCs w:val="18"/>
          <w:color w:val="auto"/>
        </w:rPr>
        <w:t>TNG260 could be among the first oncology molecules to leverage the benefits of genetically-based patient selection (STK11-mutation) with checkpoint inhibitor therapy.</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The phase 1/2 clinical trial was evaluating TNG348 in BRCA1/2-mutant and other HRD+ cancers for safety, pharmacokinetics, pharmacodynamics and efficacy.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$237.1 million through our collaboration with Gilead and $123.0 million of gross proceeds through (i) $80.0 million from the private placement of common shares and pre-funded warrants to purchase common shares in August 2023 and (ii) $43.0 million from our "at-the-market" stock offering program.</w:t>
      </w:r>
    </w:p>
    <w:p>
      <w:pPr>
        <w:spacing w:after="0" w:line="18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June 30, 2024 of $322.1 million will enable us to fund our operating expenses and capital expenditure requirements at least into 2027. Since inception, we have incurred significant operating losses. For the six months ended June 30, 2024 and 2023, our net losses were $63.5 million and $48.7 million, respectively. We had an accumulated deficit of $434.7 million as of June 30, 2024.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common stock through Jefferies, as sales agent. Sales of the common stock, if any, will be made by methods deemed to be "at-the-market" stock offerings. The Sales Agreement will terminate upon the earliest of: (a) the sale of $100.0 million of shares of our common stock or (b) the termination of the Sales Agreement by us or Jefferies.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$120.9 million has been recognized as collaboration revenue related to the upfront and research option-extension payments from the Gilead Agreement and the 2018 Gilead Agreement (the Gilead Agreements).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we recognized $7.8 million and $9.6 million, respectively, and during the six months ended June 30, 2024 and 2023, we recognized $14.2 million and $15.4 million, respectively, of collaboration revenue associated with the Gilead Agreements based on performance completed during each period.</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 ended December 31, 2023 included in our Annual Report on Form 10-K for additional information regarding our revenue recognition accounting policy and our collaboration agreement with Gilead.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2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direct external research and development expenses consist primarily of fees paid to CROs and outside consultants in connection with our preclinical and clinical development and manufacturing activities. Our direct external research and development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ind w:right="40"/>
        <w:spacing w:after="0" w:line="282" w:lineRule="auto"/>
        <w:rPr>
          <w:sz w:val="20"/>
          <w:szCs w:val="20"/>
          <w:color w:val="auto"/>
        </w:rPr>
      </w:pPr>
      <w:r>
        <w:rPr>
          <w:rFonts w:ascii="Times New Roman" w:cs="Times New Roman" w:eastAsia="Times New Roman" w:hAnsi="Times New Roman"/>
          <w:sz w:val="18"/>
          <w:szCs w:val="18"/>
          <w:color w:val="auto"/>
        </w:rPr>
        <w:t>expenses also include fees incurred under license agreements. We track these external research and development costs on a program-by-program basis once we have identified a product candidate.</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100" w:type="dxa"/>
            <w:vAlign w:val="bottom"/>
          </w:tcPr>
          <w:p>
            <w:pPr>
              <w:spacing w:after="0"/>
              <w:rPr>
                <w:sz w:val="20"/>
                <w:szCs w:val="20"/>
                <w:color w:val="auto"/>
              </w:rPr>
            </w:pPr>
          </w:p>
        </w:tc>
      </w:tr>
      <w:tr>
        <w:trPr>
          <w:trHeight w:val="277"/>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86" w:lineRule="exact"/>
        <w:rPr>
          <w:sz w:val="20"/>
          <w:szCs w:val="20"/>
          <w:color w:val="auto"/>
        </w:rPr>
      </w:pPr>
    </w:p>
    <w:p>
      <w:pPr>
        <w:ind w:left="1140" w:right="5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six months ended June 30, 2024 and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58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(1,823 )</w:t>
            </w: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37,845</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(29,552 )</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(23,247 )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(6,305 )</w:t>
            </w: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(25,486 )</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(20,646 )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(4,840 )</w:t>
            </w:r>
          </w:p>
        </w:tc>
        <w:tc>
          <w:tcPr>
            <w:tcW w:w="0" w:type="dxa"/>
            <w:vAlign w:val="bottom"/>
          </w:tcPr>
          <w:p>
            <w:pPr>
              <w:spacing w:after="0"/>
              <w:rPr>
                <w:sz w:val="1"/>
                <w:szCs w:val="1"/>
                <w:color w:val="auto"/>
              </w:rPr>
            </w:pPr>
          </w:p>
        </w:tc>
      </w:tr>
      <w:tr>
        <w:trPr>
          <w:trHeight w:val="23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(25,551 )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(20,710 )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(4,841 )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-1910715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-1910715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-1910715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-1276350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-1276350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-650875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-650875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-650875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$7.8 million and $9.6 million for the three months ended June 30, 2024 and 2023, respectively, was derived from the Gilead collaboration. Research costs incurred under the collaboration were lower during the three months ended June 30, 2024,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License revenue was $12.1 million for the three months ended June 30, 2024, compared to $5.0 million for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primarily due to licensing a program to Gilead for $12.0 million during the second quarter of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$38.7 million for the three months ended June 30, 2024 compared to $28.7 million for the three months ended June 30, 2023. The increase of $10.0 million was primarily due to a $5.6 million increase relating to the advancement of our clinical and preclinical programs. Additionally, the increase was also due to $3.3 million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$10.8 million for the three months ended June 30, 2024 compared to $9.2 million for the three months ended June 30, 2023. The increase of $1.6 million was primarily due to $1.9 million in personnel-related costs, including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$2.1 million for the three months ended June 30, 2024 compared to $1.5 million for the three months ended June 30, 2023, with the increase attributed to an increase in interest rates in 2024 as compared to 2023.</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$2.0 million for the three months ended June 30, 2024 compared to other income, net of $1.2 million for the three months ended June 30, 2023, with the increase attributed to accretion on investments purchased at a discount.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was $0.1 million for the three months ended June 30, 2024 and $0.1 million for the three months ended June 30, 2023. The income tax provision amount for the period ended June 30, 2024 is primarily attributable to state taxes on interest income earned on marketable securities.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5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(1,118 )</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98,153</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(71,807 )</w:t>
            </w:r>
          </w:p>
        </w:tc>
        <w:tc>
          <w:tcPr>
            <w:tcW w:w="20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(53,534 )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(18,273 )</w:t>
            </w: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(63,360 )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(48,654 )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(14,706 )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2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3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(63,465 )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(48,718 )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(14,747 )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-1927860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-1927860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-1927860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-1294130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-1294130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-1294130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-668020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-668020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-342265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-342265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$14.2 million and $15.4 million for the six months ended June 30, 2024 and 2023, respectively, was derived from the Gilead collaboration. Research costs incurred under the collaboration were lower during the six months ended June 30, 2024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License revenue was $12.1 million for the six months ended June 30, 2024, compared to $5.0 million for the six months ended June 30, 2023. The increase is primarily due to licensing a program to Gilead for $12.0 million during the second quarter of 2024.</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$76.7 million for the six months ended June 30, 2024 compared to $56.7 million for the six months ended June 30, 2023. The increase of $20.0 million was primarily due to a $10.9 million increase relating to the advancement of our clinical and preclinical programs. Additionally, the increase was also due to $7.1 million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$21.4 million for the six months ended June 30, 2024 compared to $17.2 million for the six months ended June 30, 2023. The increase of $4.2 million was primarily due to $4.0 million in personnel-related costs, including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$4.3 million for the six months ended June 30, 2024 compared to $2.5 million for the six months ended June 30, 2023, with the increase attributed to an increase in interest rates in 2024 as compared to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$4.2 million for the six months ended June 30, 2024 compared to other income, net of $2.4 million for the six months ended June 30, 2023, with the increase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was $0.1 million for the six months ended June 30, 2024 and $0.1 million for the six months ended June 30, 2023. The income tax provision amount for the period ended June 30, 2024 is primarily attributable to state taxes on interest income earned on marketable securities.</w:t>
      </w:r>
    </w:p>
    <w:p>
      <w:pPr>
        <w:spacing w:after="0" w:line="158"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and another $237.1 million through our collaboration with Gilead. As of June 30, 2024, we had cash and cash equivalents and marketable securities of $322.1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June 30, 2024 of $322.1 million will enable us to fund our operating expenses and capital expenditure requirements at least into 2027.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six month periods presented:</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(61,464 )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(59,380 )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(2,084 )</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(62,742 )</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(15,675 )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(21,192 )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$61.5 million for the six months ended June 30, 2024 compared to net cash used in operating activities of $59.4 million for the six months ended June 30, 2023. The increase in net cash used in operating activities for the six months ended June 30, 2024 was primarily due to an increase to the net loss as a result of higher operating expenses related to the advancement of our programs and personnel-related costs. The increase was partially offset by changes in operating assets and liabilities and higher non-cash expenses, including stock compensation.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$1.5 million for the six months ended June 30, 2024 compared to net cash provided by investing activities of $64.2 million for the six months ended June 30, 2023. The change was primarily due to an increase in purchases of marketable securities as compared to the three months ended June 30, 2023, which was partially offset by an increase in sales and maturities of marketable securities as compared to the three months ended June 30, 2023.</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$44.3 million for the six months ended June 30, 2024 compared to net cash provided by financing activities of $0.7 million for the six months ended June 30, 2023. The cash provided by financing activities for six months ended June 30, 2024 consisted of the $41.7 million in net proceeds received from our "at-the-market" stock offering program in January 2024, as well as the cash provided from the exercises of stock options and ESPP purchases. The cash provided by financing activities for the three months ended June 30, 2023 was the result of cash provided from the exercises of stock options and ESPP purchases.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June 30, 2024 and the effects that such obligations are expected to have on our liquidity and cash flows in future periods: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53,389</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June 30, 2024. Refer to Note 7 to our audited consolidated financial statements and related notes included in our Annual Report on Form 10-K for the year ended December 31, 2023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June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June 30, 2024 and December 31, 2023, we were unable to estimate the timing or likelihood of achieving these milestones or generating future product sales. Refer to Note 8 to our audited consolidated financial statements and related notes included in our Annual Report on Form 10-K for the year ended December 31, 2023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2023, we believe that the following accounting policies are those most critical to the judgments and estimates used in the preparation of our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1" w:name="page32"/>
    <w:bookmarkEnd w:id="31"/>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private entities. As an emerging growth company, we may take advantage of certain exemptions and reduced reporting requirements under the JOBS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as an emerging growth company:</w:t>
      </w:r>
    </w:p>
    <w:p>
      <w:pPr>
        <w:spacing w:after="0" w:line="99" w:lineRule="exact"/>
        <w:rPr>
          <w:sz w:val="20"/>
          <w:szCs w:val="20"/>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Quarterly Report on Form 10-Q;</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On the last business day of our second quarter in 2024, the aggregate market value of our shares of common stock held by non-affiliates exceeded $700 million. As a result, as of December 31, 2024, we will be considered a “large accelerated filer” as defined in Rule 12b-2 under the Exchange Act, and we will cease to be an “emerging growth company” as defined in the JOBS Act. We will no longer be exempt from the auditor attestation requirements of Section 404(b) of the Sarbanes-Oxley Act, and our independent registered public accounting firm will evaluate and report on the effectiveness of internal control over financial reporting. The Company will also no longer be permitted to take advantage of reduced reporting requirements for smaller reporting companies.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right="200"/>
        <w:spacing w:after="0" w:line="312" w:lineRule="auto"/>
        <w:rPr>
          <w:sz w:val="20"/>
          <w:szCs w:val="20"/>
          <w:color w:val="auto"/>
        </w:rPr>
      </w:pPr>
      <w:r>
        <w:rPr>
          <w:rFonts w:ascii="Times New Roman" w:cs="Times New Roman" w:eastAsia="Times New Roman" w:hAnsi="Times New Roman"/>
          <w:sz w:val="17"/>
          <w:szCs w:val="17"/>
          <w:color w:val="auto"/>
        </w:rPr>
        <w:t>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identified in connection with the evaluation required by paragraph</w:t>
      </w:r>
    </w:p>
    <w:p>
      <w:pPr>
        <w:spacing w:after="0" w:line="39" w:lineRule="exact"/>
        <w:rPr>
          <w:sz w:val="20"/>
          <w:szCs w:val="20"/>
          <w:color w:val="auto"/>
        </w:rPr>
      </w:pPr>
    </w:p>
    <w:p>
      <w:pPr>
        <w:ind w:right="32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June 30, 2024 that materially affected, or were reasonably likely to materially affect, the Company’s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2023,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560" w:type="dxa"/>
            <w:vAlign w:val="bottom"/>
            <w:gridSpan w:val="10"/>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Second Amended and Restated Certificate of Incorporation of Tango Therapeutics, Inc., as amended</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Amended and Restated Bylaws of Tango Therapeutics, Inc. (incorporated by reference to Exhibit 4.2 to the Registrant’s registration</w:t>
              </w:r>
            </w:hyperlink>
          </w:p>
        </w:tc>
        <w:tc>
          <w:tcPr>
            <w:tcW w:w="4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top w:val="single" w:sz="8" w:color="0000FF"/>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 Policy.</w:t>
            </w:r>
          </w:p>
        </w:tc>
        <w:tc>
          <w:tcPr>
            <w:tcW w:w="1240" w:type="dxa"/>
            <w:vAlign w:val="bottom"/>
            <w:tcBorders>
              <w:top w:val="single" w:sz="8" w:color="0000FF"/>
            </w:tcBorders>
          </w:tcPr>
          <w:p>
            <w:pPr>
              <w:spacing w:after="0"/>
              <w:rPr>
                <w:sz w:val="18"/>
                <w:szCs w:val="18"/>
                <w:color w:val="auto"/>
              </w:rPr>
            </w:pPr>
          </w:p>
        </w:tc>
        <w:tc>
          <w:tcPr>
            <w:tcW w:w="53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4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2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63" w:lineRule="exact"/>
        <w:rPr>
          <w:sz w:val="20"/>
          <w:szCs w:val="20"/>
          <w:color w:val="auto"/>
        </w:rPr>
      </w:pPr>
    </w:p>
    <w:p>
      <w:pPr>
        <w:ind w:left="520" w:right="80" w:hanging="512"/>
        <w:spacing w:after="0" w:line="266" w:lineRule="auto"/>
        <w:tabs>
          <w:tab w:leader="none" w:pos="4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-125095</wp:posOffset>
            </wp:positionV>
            <wp:extent cx="32658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8" w:name="page39"/>
    <w:bookmarkEnd w:id="38"/>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SECOND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August 10, 2021</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BCTG Acquisition Corp.,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left="1020" w:right="160" w:hanging="558"/>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“BCTG Acquisition Corp.” The original certificate of incorporation was filed with the Secretary of State of the State of Delaware on May 21, 2020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 The Amended and Restated Certificate of Incorporation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and Restated Certificate</w:t>
      </w:r>
      <w:r>
        <w:rPr>
          <w:rFonts w:ascii="Times New Roman" w:cs="Times New Roman" w:eastAsia="Times New Roman" w:hAnsi="Times New Roman"/>
          <w:sz w:val="18"/>
          <w:szCs w:val="18"/>
          <w:color w:val="auto"/>
        </w:rPr>
        <w:t>”), which both restated and amended the provisions of the Original Certificate was filed with the Secretary of the State of Delaware on September 2, 2020.</w:t>
      </w:r>
    </w:p>
    <w:p>
      <w:pPr>
        <w:spacing w:after="0" w:line="233" w:lineRule="exact"/>
        <w:rPr>
          <w:rFonts w:ascii="Times New Roman" w:cs="Times New Roman" w:eastAsia="Times New Roman" w:hAnsi="Times New Roman"/>
          <w:sz w:val="18"/>
          <w:szCs w:val="18"/>
          <w:color w:val="auto"/>
        </w:rPr>
      </w:pPr>
    </w:p>
    <w:p>
      <w:pPr>
        <w:ind w:left="1020" w:right="140" w:hanging="558"/>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u w:val="single" w:color="auto"/>
          <w:color w:val="auto"/>
        </w:rPr>
        <w:t>Second Amended and Restated Certificate</w:t>
      </w:r>
      <w:r>
        <w:rPr>
          <w:rFonts w:ascii="Times New Roman" w:cs="Times New Roman" w:eastAsia="Times New Roman" w:hAnsi="Times New Roman"/>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270" w:lineRule="exact"/>
        <w:rPr>
          <w:rFonts w:ascii="Times New Roman" w:cs="Times New Roman" w:eastAsia="Times New Roman" w:hAnsi="Times New Roman"/>
          <w:sz w:val="18"/>
          <w:szCs w:val="18"/>
          <w:color w:val="auto"/>
        </w:rPr>
      </w:pPr>
    </w:p>
    <w:p>
      <w:pPr>
        <w:ind w:left="1020" w:hanging="55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shall become effective on the date of filing with the Secretary of State of Delaware.</w:t>
      </w:r>
    </w:p>
    <w:p>
      <w:pPr>
        <w:spacing w:after="0" w:line="346" w:lineRule="exact"/>
        <w:rPr>
          <w:rFonts w:ascii="Times New Roman" w:cs="Times New Roman" w:eastAsia="Times New Roman" w:hAnsi="Times New Roman"/>
          <w:sz w:val="18"/>
          <w:szCs w:val="18"/>
          <w:color w:val="auto"/>
        </w:rPr>
      </w:pPr>
    </w:p>
    <w:p>
      <w:pPr>
        <w:ind w:left="1020" w:hanging="55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this Second Amended and Restated Certificate are defined where appropriate herein.</w:t>
      </w:r>
    </w:p>
    <w:p>
      <w:pPr>
        <w:spacing w:after="0" w:line="346" w:lineRule="exact"/>
        <w:rPr>
          <w:rFonts w:ascii="Times New Roman" w:cs="Times New Roman" w:eastAsia="Times New Roman" w:hAnsi="Times New Roman"/>
          <w:sz w:val="18"/>
          <w:szCs w:val="18"/>
          <w:color w:val="auto"/>
        </w:rPr>
      </w:pPr>
    </w:p>
    <w:p>
      <w:pPr>
        <w:ind w:left="1020" w:right="460" w:hanging="558"/>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is being amended and restated in connection with the transactions contemplated by that certain Agreement and Plan of Merger, dated April 13, 2021 (the “Merger Agreement”), by and among the Corporation, Tango Therapeutics, Inc., and BCTG Merger Sub Inc.</w:t>
      </w:r>
    </w:p>
    <w:p>
      <w:pPr>
        <w:spacing w:after="0" w:line="270" w:lineRule="exact"/>
        <w:rPr>
          <w:rFonts w:ascii="Times New Roman" w:cs="Times New Roman" w:eastAsia="Times New Roman" w:hAnsi="Times New Roman"/>
          <w:sz w:val="18"/>
          <w:szCs w:val="18"/>
          <w:color w:val="auto"/>
        </w:rPr>
      </w:pPr>
    </w:p>
    <w:p>
      <w:pPr>
        <w:ind w:left="1020" w:hanging="558"/>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 of the Corporation is Tango Therapeutics, Inc.</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The Corporation is to have a perpetual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two hundred and ten million (210,000,000), of which (i) two hundred million (200,000,000) shares shall be a class designated as common stock, par value $0.001 per share (the “Common Stock”), and</w:t>
      </w:r>
    </w:p>
    <w:p>
      <w:pPr>
        <w:ind w:right="300" w:firstLine="8"/>
        <w:spacing w:after="0" w:line="260"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million (10,000,000) shares shall be a class designated as undesignated preferred stock, par value $0.001 per share (the “</w:t>
      </w:r>
      <w:r>
        <w:rPr>
          <w:rFonts w:ascii="Times New Roman" w:cs="Times New Roman" w:eastAsia="Times New Roman" w:hAnsi="Times New Roman"/>
          <w:sz w:val="18"/>
          <w:szCs w:val="18"/>
          <w:u w:val="single" w:color="auto"/>
          <w:color w:val="auto"/>
        </w:rPr>
        <w:t>Undesignated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62" w:lineRule="exact"/>
        <w:rPr>
          <w:sz w:val="20"/>
          <w:szCs w:val="20"/>
          <w:color w:val="auto"/>
        </w:rPr>
      </w:pPr>
    </w:p>
    <w:p>
      <w:pPr>
        <w:ind w:left="760" w:right="60" w:firstLine="745"/>
        <w:spacing w:after="0" w:line="254" w:lineRule="auto"/>
        <w:tabs>
          <w:tab w:leader="none" w:pos="17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Times New Roman" w:cs="Times New Roman" w:eastAsia="Times New Roman" w:hAnsi="Times New Roman"/>
          <w:sz w:val="18"/>
          <w:szCs w:val="18"/>
          <w:color w:val="auto"/>
        </w:rPr>
      </w:pPr>
    </w:p>
    <w:p>
      <w:pPr>
        <w:ind w:left="760" w:right="20" w:firstLine="745"/>
        <w:spacing w:after="0" w:line="266" w:lineRule="auto"/>
        <w:tabs>
          <w:tab w:leader="none" w:pos="17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75" w:lineRule="exact"/>
        <w:rPr>
          <w:rFonts w:ascii="Times New Roman" w:cs="Times New Roman" w:eastAsia="Times New Roman" w:hAnsi="Times New Roman"/>
          <w:sz w:val="18"/>
          <w:szCs w:val="18"/>
          <w:color w:val="auto"/>
        </w:rPr>
      </w:pPr>
    </w:p>
    <w:p>
      <w:pPr>
        <w:ind w:left="760" w:right="100" w:firstLine="745"/>
        <w:spacing w:after="0" w:line="282" w:lineRule="auto"/>
        <w:tabs>
          <w:tab w:leader="none" w:pos="17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ind w:right="60" w:firstLine="757"/>
        <w:spacing w:after="0" w:line="255" w:lineRule="auto"/>
        <w:tabs>
          <w:tab w:leader="none" w:pos="9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215" w:lineRule="exact"/>
        <w:rPr>
          <w:rFonts w:ascii="Times New Roman" w:cs="Times New Roman" w:eastAsia="Times New Roman" w:hAnsi="Times New Roman"/>
          <w:sz w:val="18"/>
          <w:szCs w:val="18"/>
          <w:color w:val="auto"/>
        </w:rPr>
      </w:pPr>
    </w:p>
    <w:p>
      <w:pPr>
        <w:ind w:firstLine="757"/>
        <w:spacing w:after="0" w:line="255" w:lineRule="auto"/>
        <w:tabs>
          <w:tab w:leader="none" w:pos="9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00" w:firstLine="757"/>
        <w:spacing w:after="0" w:line="282" w:lineRule="auto"/>
        <w:tabs>
          <w:tab w:leader="none" w:pos="9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“By-laws”) shall so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w:t>
      </w:r>
    </w:p>
    <w:p>
      <w:pPr>
        <w:spacing w:after="0" w:line="206" w:lineRule="exact"/>
        <w:rPr>
          <w:rFonts w:ascii="Times New Roman" w:cs="Times New Roman" w:eastAsia="Times New Roman" w:hAnsi="Times New Roman"/>
          <w:sz w:val="18"/>
          <w:szCs w:val="18"/>
          <w:color w:val="auto"/>
        </w:rPr>
      </w:pPr>
    </w:p>
    <w:p>
      <w:pPr>
        <w:ind w:right="140" w:firstLine="757"/>
        <w:spacing w:after="0" w:line="253" w:lineRule="auto"/>
        <w:tabs>
          <w:tab w:leader="none" w:pos="9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Lesley Calhoun and Reid Huber; the initial Class II Directors of the Corporation shall be Malte Peters and Mace Rothenberg; and the initial Class III Directors of the Corporation shall be Alexis Borisy, Aaron Davis and Barbara Weber.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The mailing address for each person who is to serve initially as a director is c/o Tango Therapeutic, Inc., 100 Binney Street, Suite 700, Cambridge, MA 02142.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0"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76" w:lineRule="exact"/>
        <w:rPr>
          <w:sz w:val="20"/>
          <w:szCs w:val="20"/>
          <w:color w:val="auto"/>
        </w:rPr>
      </w:pPr>
    </w:p>
    <w:p>
      <w:pPr>
        <w:ind w:right="20" w:firstLine="757"/>
        <w:spacing w:after="0" w:line="253" w:lineRule="auto"/>
        <w:tabs>
          <w:tab w:leader="none" w:pos="9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91" w:lineRule="exact"/>
        <w:rPr>
          <w:rFonts w:ascii="Times New Roman" w:cs="Times New Roman" w:eastAsia="Times New Roman" w:hAnsi="Times New Roman"/>
          <w:sz w:val="18"/>
          <w:szCs w:val="18"/>
          <w:color w:val="auto"/>
        </w:rPr>
      </w:pPr>
    </w:p>
    <w:p>
      <w:pPr>
        <w:ind w:firstLine="757"/>
        <w:spacing w:after="0" w:line="256" w:lineRule="auto"/>
        <w:tabs>
          <w:tab w:leader="none" w:pos="9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right="80" w:firstLine="757"/>
        <w:spacing w:after="0" w:line="256" w:lineRule="auto"/>
        <w:tabs>
          <w:tab w:leader="none" w:pos="9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rFonts w:ascii="Times New Roman" w:cs="Times New Roman" w:eastAsia="Times New Roman" w:hAnsi="Times New Roman"/>
          <w:sz w:val="18"/>
          <w:szCs w:val="18"/>
          <w:color w:val="auto"/>
        </w:rPr>
      </w:pPr>
    </w:p>
    <w:p>
      <w:pPr>
        <w:ind w:right="360" w:firstLine="757"/>
        <w:spacing w:after="0" w:line="261" w:lineRule="auto"/>
        <w:tabs>
          <w:tab w:leader="none" w:pos="9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4" w:lineRule="exact"/>
        <w:rPr>
          <w:sz w:val="20"/>
          <w:szCs w:val="20"/>
          <w:color w:val="auto"/>
        </w:rPr>
      </w:pPr>
    </w:p>
    <w:p>
      <w:pPr>
        <w:ind w:right="40" w:firstLine="757"/>
        <w:spacing w:after="0" w:line="266" w:lineRule="auto"/>
        <w:tabs>
          <w:tab w:leader="none" w:pos="9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right="140" w:firstLine="757"/>
        <w:spacing w:after="0" w:line="282" w:lineRule="auto"/>
        <w:tabs>
          <w:tab w:leader="none" w:pos="9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firstLine="757"/>
        <w:spacing w:after="0" w:line="258" w:lineRule="auto"/>
        <w:tabs>
          <w:tab w:leader="none" w:pos="9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ind w:left="940" w:hanging="183"/>
        <w:spacing w:after="0"/>
        <w:tabs>
          <w:tab w:leader="none" w:pos="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225" w:lineRule="exact"/>
        <w:rPr>
          <w:rFonts w:ascii="Times New Roman" w:cs="Times New Roman" w:eastAsia="Times New Roman" w:hAnsi="Times New Roman"/>
          <w:sz w:val="18"/>
          <w:szCs w:val="18"/>
          <w:color w:val="auto"/>
        </w:rPr>
      </w:pPr>
    </w:p>
    <w:p>
      <w:pPr>
        <w:jc w:val="both"/>
        <w:ind w:right="240" w:firstLine="757"/>
        <w:spacing w:after="0" w:line="258" w:lineRule="auto"/>
        <w:tabs>
          <w:tab w:leader="none" w:pos="9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399"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SECOND AMENDED AND RESTATED CERTIFICATE OF INCORPORATION is executed as of this 10th day of August 2021.</w:t>
      </w:r>
    </w:p>
    <w:p>
      <w:pPr>
        <w:sectPr>
          <w:pgSz w:w="11900" w:h="16838" w:orient="portrait"/>
          <w:cols w:equalWidth="0" w:num="1">
            <w:col w:w="10139"/>
          </w:cols>
          <w:pgMar w:left="320" w:top="1440" w:right="1440" w:bottom="1440" w:gutter="0" w:footer="0" w:header="0"/>
        </w:sectPr>
      </w:pP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BCTG ACQUISITION CORP.</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-7620</wp:posOffset>
            </wp:positionV>
            <wp:extent cx="11772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Aaron Davis</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44" w:name="page45"/>
    <w:bookmarkEnd w:id="44"/>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54" w:lineRule="exact"/>
        <w:rPr>
          <w:sz w:val="20"/>
          <w:szCs w:val="20"/>
          <w:color w:val="auto"/>
        </w:rPr>
      </w:pPr>
    </w:p>
    <w:p>
      <w:pPr>
        <w:ind w:right="20" w:firstLine="517"/>
        <w:spacing w:after="0" w:line="266"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May 21, 2020. An Amended and Restated Certificate of Incorporation was filed with the Secretary of State of the State of Delaware on September 2, 2020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is hereby amended by adding a new Article XI to read in its entirety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OFFICER LIMITATION OF LIABILITY</w:t>
      </w:r>
    </w:p>
    <w:p>
      <w:pPr>
        <w:spacing w:after="0" w:line="225" w:lineRule="exact"/>
        <w:rPr>
          <w:sz w:val="20"/>
          <w:szCs w:val="20"/>
          <w:color w:val="auto"/>
        </w:rPr>
      </w:pPr>
    </w:p>
    <w:p>
      <w:pPr>
        <w:ind w:firstLine="8"/>
        <w:spacing w:after="0" w:line="254"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88" w:lineRule="exact"/>
        <w:rPr>
          <w:rFonts w:ascii="Times New Roman" w:cs="Times New Roman" w:eastAsia="Times New Roman" w:hAnsi="Times New Roman"/>
          <w:sz w:val="18"/>
          <w:szCs w:val="18"/>
          <w:color w:val="auto"/>
        </w:rPr>
      </w:pPr>
    </w:p>
    <w:p>
      <w:pPr>
        <w:ind w:right="100" w:firstLine="8"/>
        <w:spacing w:after="0" w:line="261"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Modification</w:t>
      </w:r>
      <w:r>
        <w:rPr>
          <w:rFonts w:ascii="Times New Roman" w:cs="Times New Roman" w:eastAsia="Times New Roman" w:hAnsi="Times New Roman"/>
          <w:sz w:val="18"/>
          <w:szCs w:val="18"/>
          <w:color w:val="auto"/>
        </w:rPr>
        <w:t>. 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94"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June, 2024.</w:t>
      </w:r>
    </w:p>
    <w:p>
      <w:pPr>
        <w:spacing w:after="0" w:line="200" w:lineRule="exact"/>
        <w:rPr>
          <w:sz w:val="20"/>
          <w:szCs w:val="20"/>
          <w:color w:val="auto"/>
        </w:rPr>
      </w:pPr>
    </w:p>
    <w:p>
      <w:pPr>
        <w:spacing w:after="0" w:line="21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ind w:left="63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Barbara Weber, M.D.</w:t>
            </w:r>
          </w:p>
        </w:tc>
      </w:tr>
      <w:tr>
        <w:trPr>
          <w:trHeight w:val="234"/>
        </w:trPr>
        <w:tc>
          <w:tcPr>
            <w:tcW w:w="6940" w:type="dxa"/>
            <w:vAlign w:val="bottom"/>
          </w:tcPr>
          <w:p>
            <w:pPr>
              <w:ind w:left="63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Barbara Weber, M.D.</w:t>
            </w:r>
          </w:p>
        </w:tc>
      </w:tr>
      <w:tr>
        <w:trPr>
          <w:trHeight w:val="252"/>
        </w:trPr>
        <w:tc>
          <w:tcPr>
            <w:tcW w:w="6940" w:type="dxa"/>
            <w:vAlign w:val="bottom"/>
          </w:tcPr>
          <w:p>
            <w:pPr>
              <w:ind w:left="63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883"/>
        </w:trPr>
        <w:tc>
          <w:tcPr>
            <w:tcW w:w="69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TANGO THERAPEUTICS, INC.</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AMENDED AND RESTATED</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In furtherance of the purpose stated above, all Outside Directors shall be paid compensation for services provided to the Company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ind w:left="200" w:right="20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w:t>
            </w:r>
          </w:p>
        </w:tc>
      </w:tr>
      <w:tr>
        <w:trPr>
          <w:trHeight w:val="20"/>
        </w:trPr>
        <w:tc>
          <w:tcPr>
            <w:tcW w:w="4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39"/>
        </w:trPr>
        <w:tc>
          <w:tcPr>
            <w:tcW w:w="5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Additional Annual Retainer for Lead Independent Director:</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$15,000</w:t>
            </w:r>
          </w:p>
        </w:tc>
      </w:tr>
      <w:tr>
        <w:trPr>
          <w:trHeight w:val="439"/>
        </w:trPr>
        <w:tc>
          <w:tcPr>
            <w:tcW w:w="50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9"/>
              </w:rPr>
              <w:t>Additional Annual Retainers for Committee Membership:</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1"/>
        </w:trPr>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Audit Committee Chair: $15,000</w:t>
            </w:r>
          </w:p>
        </w:tc>
        <w:tc>
          <w:tcPr>
            <w:tcW w:w="1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Audit Committee member:   $7,500</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56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Compensation Committee Chair:  $12,000</w:t>
            </w:r>
          </w:p>
        </w:tc>
        <w:tc>
          <w:tcPr>
            <w:tcW w:w="1580" w:type="dxa"/>
            <w:vAlign w:val="bottom"/>
          </w:tcPr>
          <w:p>
            <w:pPr>
              <w:spacing w:after="0"/>
              <w:rPr>
                <w:sz w:val="24"/>
                <w:szCs w:val="24"/>
                <w:color w:val="auto"/>
              </w:rPr>
            </w:pP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$6,000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Nominating and Corporate Governance Committee Chair:  $10,000</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177" w:lineRule="exact"/>
        <w:rPr>
          <w:sz w:val="20"/>
          <w:szCs w:val="20"/>
          <w:color w:val="auto"/>
        </w:rPr>
      </w:pPr>
    </w:p>
    <w:p>
      <w:pPr>
        <w:ind w:left="200" w:right="58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left="200" w:right="60"/>
        <w:spacing w:after="0" w:line="233"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An initial, one-time equity award consisting of a stock option (the “Initial Option Award”) to purchase 60,000 shares and a restricted stock unit award (the “Initial RSU Award”) to acquire 10,000 restricted stock unit awards. The Initial Option Award and the Initial RSU Award will be granted to each new Outside Director upon his or her election to the Board of Directors. The Initial Option Award shall vest in 36 substantially equal monthly installments over three years from the date of grant, provided, however, that all vesting shall cease if the director ceases to serve on the Board of Directors, unless the Board of Directors determines that the circumstances warrant continuation of vesting. The Initial Option Award shall expire not later than ten years from the date of grant, and shall have a per share exercise price equal to the Fair Market Value (as defined in the Company’s 2021 Stock Option and Incentive Plan) of the Company’s common stock on the date of grant. The Initial RSU Award shall vest in three equal annual installments over three years from the date of grant (the specific vesting dates to be established by the Compensation Committee); provided, however, that all vesting shall cease if the director ceases to serve on the Board of Directors prior to any applicable vesting of the Initial RSU Award, unless the Board of Directors determines that the circumstances warrant continuation of vesting.</w:t>
      </w:r>
    </w:p>
    <w:p>
      <w:pPr>
        <w:spacing w:after="0" w:line="185" w:lineRule="exact"/>
        <w:rPr>
          <w:sz w:val="20"/>
          <w:szCs w:val="20"/>
          <w:color w:val="auto"/>
        </w:rPr>
      </w:pPr>
    </w:p>
    <w:p>
      <w:pPr>
        <w:ind w:left="200"/>
        <w:spacing w:after="0" w:line="244" w:lineRule="auto"/>
        <w:rPr>
          <w:sz w:val="20"/>
          <w:szCs w:val="20"/>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each date of each Annual Meeting of Stockholders of the Company (the “Annual Meeting”), each continuing Outside Director, other than a director receiving an Initial Award, will receive: (i) an annual stock option award (the “Annual Option Award”) to purchase 37,500 shares and (ii) an annual restricted stock unit award (the “Annual RSU Award”) to acquire 6,250 shares; provided, however, that Annual Option Awards and Annual RSU Awards made to Outside Directors who were elected in the 12 months preceding the date of grant of such Annual Awards will be pro-rated on a monthly basis for time in service. The Annual Option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 The Annual RSU Award shall vest in its entirety approximately on the first anniversary of the date of grant (the specific vesting date to be established by the Compensation Committee); provided, however, that all vesting shall cease if the director ceases to serve on the Board of Directors prior to the vesting of the Annual RSU Award, unless the Board of Directors determines that the circumstances warrant continuation of vesting.</w:t>
      </w:r>
    </w:p>
    <w:p>
      <w:pPr>
        <w:spacing w:after="0" w:line="183" w:lineRule="exact"/>
        <w:rPr>
          <w:sz w:val="20"/>
          <w:szCs w:val="20"/>
          <w:color w:val="auto"/>
        </w:rPr>
      </w:pPr>
    </w:p>
    <w:p>
      <w:pPr>
        <w:ind w:left="200" w:right="240"/>
        <w:spacing w:after="0" w:line="258"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upon a Sale Event (as defined in the Company’s 2021 Stock Option and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12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of Directors or any committee thereof.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June 9,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June 3,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jc w:val="both"/>
        <w:ind w:left="380" w:hanging="372"/>
        <w:spacing w:after="0" w:line="254" w:lineRule="auto"/>
        <w:tabs>
          <w:tab w:leader="none" w:pos="3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August 7,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ind w:left="380" w:hanging="372"/>
        <w:spacing w:after="0" w:line="254" w:lineRule="auto"/>
        <w:tabs>
          <w:tab w:leader="none" w:pos="3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August 7,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Chief Financial Officer</w:t>
      </w:r>
    </w:p>
    <w:p>
      <w:pPr>
        <w:ind w:left="27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2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2024 as filed with the Securities and Exchange Commission (the “Report”), I, Barbara Weber,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August 7,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30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June 30, 2024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Dated:  August 7,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
      <w:numFmt w:val="bullet"/>
      <w:start w:val="1"/>
    </w:lvl>
  </w:abstractNum>
  <w:abstractNum w:abstractNumId="3">
    <w:nsid w:val="8EDBDAB"/>
    <w:multiLevelType w:val="hybridMultilevel"/>
    <w:lvl w:ilvl="0">
      <w:lvlJc w:val="left"/>
      <w:lvlText w:val="•"/>
      <w:numFmt w:val="bullet"/>
      <w:start w:val="1"/>
    </w:lvl>
    <w:lvl w:ilvl="1">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Roman"/>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4"/>
    </w:lvl>
  </w:abstractNum>
  <w:abstractNum w:abstractNumId="13">
    <w:nsid w:val="3A95F874"/>
    <w:multiLevelType w:val="hybridMultilevel"/>
    <w:lvl w:ilvl="0">
      <w:lvlJc w:val="left"/>
      <w:lvlText w:val="%1."/>
      <w:numFmt w:val="decimal"/>
      <w:start w:val="5"/>
    </w:lvl>
  </w:abstractNum>
  <w:abstractNum w:abstractNumId="14">
    <w:nsid w:val="8138641"/>
    <w:multiLevelType w:val="hybridMultilevel"/>
    <w:lvl w:ilvl="0">
      <w:lvlJc w:val="left"/>
      <w:lvlText w:val="%1."/>
      <w:numFmt w:val="decimal"/>
      <w:start w:val="6"/>
    </w:lvl>
  </w:abstractNum>
  <w:abstractNum w:abstractNumId="15">
    <w:nsid w:val="1E7FF521"/>
    <w:multiLevelType w:val="hybridMultilevel"/>
    <w:lvl w:ilvl="0">
      <w:lvlJc w:val="left"/>
      <w:lvlText w:val="%1."/>
      <w:numFmt w:val="decimal"/>
      <w:start w:val="7"/>
    </w:lvl>
  </w:abstractNum>
  <w:abstractNum w:abstractNumId="16">
    <w:nsid w:val="7C3DBD3D"/>
    <w:multiLevelType w:val="hybridMultilevel"/>
    <w:lvl w:ilvl="0">
      <w:lvlJc w:val="left"/>
      <w:lvlText w:val="%1."/>
      <w:numFmt w:val="decimal"/>
      <w:start w:val="8"/>
    </w:lvl>
  </w:abstractNum>
  <w:abstractNum w:abstractNumId="17">
    <w:nsid w:val="737B8DDC"/>
    <w:multiLevelType w:val="hybridMultilevel"/>
    <w:lvl w:ilvl="0">
      <w:lvlJc w:val="left"/>
      <w:lvlText w:val="%1."/>
      <w:numFmt w:val="decimal"/>
      <w:start w:val="9"/>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decimal"/>
      <w:start w:val="1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4"/>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Roman"/>
      <w:start w:val="2"/>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lvl w:ilvl="1">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5"/>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5"/>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42" Type="http://schemas.openxmlformats.org/officeDocument/2006/relationships/hyperlink" Target="https://www.sec.gov/Archives/edgar/data/1819133/000119312521298942/d2117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2024-08-07T06:16:51Z</dcterms:created>
  <dcterms:modified xsi:type="dcterms:W3CDTF">2024-08-07T06:16:51Z</dcterms:modified>
</cp:coreProperties>
</file>