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14, 2021</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TANGO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61"/>
              <w:spacing w:after="0"/>
              <w:rPr>
                <w:sz w:val="20"/>
                <w:szCs w:val="20"/>
                <w:color w:val="auto"/>
              </w:rPr>
            </w:pPr>
            <w:r>
              <w:rPr>
                <w:rFonts w:ascii="Arial" w:cs="Arial" w:eastAsia="Arial" w:hAnsi="Arial"/>
                <w:sz w:val="18"/>
                <w:szCs w:val="18"/>
                <w:b w:val="1"/>
                <w:bCs w:val="1"/>
                <w:color w:val="auto"/>
              </w:rPr>
              <w:t>85-1195036</w:t>
            </w:r>
          </w:p>
        </w:tc>
      </w:tr>
      <w:tr>
        <w:trPr>
          <w:trHeight w:val="148"/>
        </w:trPr>
        <w:tc>
          <w:tcPr>
            <w:tcW w:w="43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4360" w:type="dxa"/>
            <w:vAlign w:val="bottom"/>
          </w:tcPr>
          <w:p>
            <w:pPr>
              <w:jc w:val="center"/>
              <w:ind w:right="1819"/>
              <w:spacing w:after="0"/>
              <w:rPr>
                <w:sz w:val="20"/>
                <w:szCs w:val="20"/>
                <w:color w:val="auto"/>
              </w:rPr>
            </w:pPr>
            <w:r>
              <w:rPr>
                <w:rFonts w:ascii="Arial" w:cs="Arial" w:eastAsia="Arial" w:hAnsi="Arial"/>
                <w:sz w:val="18"/>
                <w:szCs w:val="18"/>
                <w:b w:val="1"/>
                <w:bCs w:val="1"/>
                <w:color w:val="auto"/>
                <w:w w:val="89"/>
              </w:rPr>
              <w:t>100 Binney St., Suite 700</w:t>
            </w:r>
          </w:p>
        </w:tc>
        <w:tc>
          <w:tcPr>
            <w:tcW w:w="3000" w:type="dxa"/>
            <w:vAlign w:val="bottom"/>
          </w:tcPr>
          <w:p>
            <w:pPr>
              <w:spacing w:after="0"/>
              <w:rPr>
                <w:sz w:val="24"/>
                <w:szCs w:val="24"/>
                <w:color w:val="auto"/>
              </w:rPr>
            </w:pPr>
          </w:p>
        </w:tc>
      </w:tr>
      <w:tr>
        <w:trPr>
          <w:trHeight w:val="212"/>
        </w:trPr>
        <w:tc>
          <w:tcPr>
            <w:tcW w:w="4360" w:type="dxa"/>
            <w:vAlign w:val="bottom"/>
          </w:tcPr>
          <w:p>
            <w:pPr>
              <w:jc w:val="center"/>
              <w:ind w:right="1819"/>
              <w:spacing w:after="0"/>
              <w:rPr>
                <w:sz w:val="20"/>
                <w:szCs w:val="20"/>
                <w:color w:val="auto"/>
              </w:rPr>
            </w:pPr>
            <w:r>
              <w:rPr>
                <w:rFonts w:ascii="Arial" w:cs="Arial" w:eastAsia="Arial" w:hAnsi="Arial"/>
                <w:sz w:val="18"/>
                <w:szCs w:val="18"/>
                <w:b w:val="1"/>
                <w:bCs w:val="1"/>
                <w:color w:val="auto"/>
                <w:w w:val="95"/>
              </w:rPr>
              <w:t>Cambridge, MA</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02142</w:t>
            </w:r>
          </w:p>
        </w:tc>
      </w:tr>
      <w:tr>
        <w:trPr>
          <w:trHeight w:val="186"/>
        </w:trPr>
        <w:tc>
          <w:tcPr>
            <w:tcW w:w="43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Tango Therapeutics, Inc. 2021 Stock Option and Incentive Plan</w:t>
      </w:r>
    </w:p>
    <w:p>
      <w:pPr>
        <w:spacing w:after="0" w:line="2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Tango Therapeutics, Inc. 2021 Employee Stock Purchase Plan</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Tango Therapeutics, Inc. 2017 Stock Option and Grant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Barbara Weber, M.D.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Binney St.,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02142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(857) 320-4900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r>
        <w:rPr>
          <w:rFonts w:ascii="Arial" w:cs="Arial" w:eastAsia="Arial" w:hAnsi="Arial"/>
          <w:sz w:val="18"/>
          <w:szCs w:val="18"/>
          <w:b w:val="1"/>
          <w:bCs w:val="1"/>
          <w:color w:val="auto"/>
        </w:rPr>
        <w: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Mitchell S. Bloom,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D. Collins,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(617) 570-1000</w:t>
      </w:r>
    </w:p>
    <w:p>
      <w:pPr>
        <w:spacing w:after="0" w:line="211"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w:t>
            </w:r>
          </w:p>
        </w:tc>
        <w:tc>
          <w:tcPr>
            <w:tcW w:w="154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1"/>
              </w:rPr>
              <w:t>per share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95"/>
        </w:trPr>
        <w:tc>
          <w:tcPr>
            <w:tcW w:w="4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Common stock, par value $0.001 per share, that may be issued</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under the Tango Therapeutics, Inc. 2021 Stock Option and</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9,498,725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$13.78 </w:t>
            </w:r>
            <w:r>
              <w:rPr>
                <w:rFonts w:ascii="Arial" w:cs="Arial" w:eastAsia="Arial" w:hAnsi="Arial"/>
                <w:sz w:val="15"/>
                <w:szCs w:val="15"/>
                <w:color w:val="auto"/>
                <w:w w:val="91"/>
              </w:rPr>
              <w:t>(2)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xml:space="preserve">$130,892,430.50 </w:t>
            </w:r>
            <w:r>
              <w:rPr>
                <w:rFonts w:ascii="Arial" w:cs="Arial" w:eastAsia="Arial" w:hAnsi="Arial"/>
                <w:sz w:val="15"/>
                <w:szCs w:val="15"/>
                <w:color w:val="auto"/>
                <w:w w:val="89"/>
              </w:rPr>
              <w:t>(2)</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$12,133.73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48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Common stock, par value $0.001 per share, that may be issued</w:t>
            </w: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48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under the Tango Therapeutics, Inc. 2021 Employee Stock</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949,873</w:t>
            </w:r>
          </w:p>
        </w:tc>
        <w:tc>
          <w:tcPr>
            <w:tcW w:w="154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rPr>
              <w:t xml:space="preserve">$13.78 </w:t>
            </w:r>
            <w:r>
              <w:rPr>
                <w:rFonts w:ascii="Arial" w:cs="Arial" w:eastAsia="Arial" w:hAnsi="Arial"/>
                <w:sz w:val="15"/>
                <w:szCs w:val="15"/>
                <w:color w:val="auto"/>
              </w:rPr>
              <w:t>(2)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$13,089,249.94 </w:t>
            </w:r>
            <w:r>
              <w:rPr>
                <w:rFonts w:ascii="Arial" w:cs="Arial" w:eastAsia="Arial" w:hAnsi="Arial"/>
                <w:sz w:val="15"/>
                <w:szCs w:val="15"/>
                <w:color w:val="auto"/>
                <w:w w:val="90"/>
              </w:rPr>
              <w:t>(2)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$1,213.37</w:t>
            </w:r>
          </w:p>
        </w:tc>
      </w:tr>
      <w:tr>
        <w:trPr>
          <w:trHeight w:val="195"/>
        </w:trPr>
        <w:tc>
          <w:tcPr>
            <w:tcW w:w="4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Common stock, par value $0.001 per share, that may be issued</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216"/>
        </w:trPr>
        <w:tc>
          <w:tcPr>
            <w:tcW w:w="48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pursuant to the exercise of outstanding stock options previously</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8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granted under the Tango Therapeutics, Inc. 2017 Stock Option</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and Grant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6,463,083</w:t>
            </w:r>
          </w:p>
        </w:tc>
        <w:tc>
          <w:tcPr>
            <w:tcW w:w="1540" w:type="dxa"/>
            <w:vAlign w:val="bottom"/>
            <w:tcBorders>
              <w:bottom w:val="single" w:sz="8" w:color="auto"/>
              <w:right w:val="single" w:sz="8" w:color="auto"/>
            </w:tcBorders>
          </w:tcPr>
          <w:p>
            <w:pPr>
              <w:jc w:val="center"/>
              <w:ind w:right="35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5"/>
                <w:szCs w:val="15"/>
                <w:color w:val="auto"/>
              </w:rPr>
              <w:t>(3)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20,229,449.79 </w:t>
            </w:r>
            <w:r>
              <w:rPr>
                <w:rFonts w:ascii="Arial" w:cs="Arial" w:eastAsia="Arial" w:hAnsi="Arial"/>
                <w:sz w:val="15"/>
                <w:szCs w:val="15"/>
                <w:color w:val="auto"/>
                <w:w w:val="90"/>
              </w:rPr>
              <w:t>(3)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1,875.27</w:t>
            </w:r>
          </w:p>
        </w:tc>
      </w:tr>
      <w:tr>
        <w:trPr>
          <w:trHeight w:val="209"/>
        </w:trPr>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16,911,681</w:t>
            </w:r>
          </w:p>
        </w:tc>
        <w:tc>
          <w:tcPr>
            <w:tcW w:w="15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$164,211,130.23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$15,222.37</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24" w:right="20" w:hanging="424"/>
        <w:spacing w:after="0" w:line="252"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covers: (i) 9,498,725 shares of common stock, par value $0.001 per share, or the Common Stock, of Tango Therapeutics, Inc., or the Registrant, issuable pursuant to the Tango Therapeutics, Inc. 2021 Stock Option and Incentive Plan; (ii) 949,873 shares of Common Stock issuable pursuant to the Tango Therapeutics, Inc. 2021 Employee Stock Purchase Plan; and (iii) 6,463,083 shares of Common Stock issuable upon the exercise of outstanding options previously granted under the Tango Therapeutics, Inc. 2017 Stock Option and Grant Plan, or the 2017 Plan. Pursuant to Rule 416(a) under the Securities Act of 1933, as amended, or the Securities Act, this registration statement shall also cover any additional shares of Common Stock that may become issuable in respect of the securities identified in the above table to prevent dilution as a result of any stock dividend, stock split, recapitalization or other similar transaction. In addition, pursuant to Rule 416(c) under the Securities Act, this registration statement also covers an indeterminate amount of interests to be offered or sold pursuant to the employee benefits plans described herein.</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457(c) and Rule 457(h) under the Securities Act, based upon the average of the high and low prices of the Registrant’s Common Stock as reported on the Nasdaq Global Market on October 13, 2021, which was $13.78.</w:t>
      </w:r>
    </w:p>
    <w:p>
      <w:pPr>
        <w:spacing w:after="0" w:line="1" w:lineRule="exact"/>
        <w:rPr>
          <w:rFonts w:ascii="Arial" w:cs="Arial" w:eastAsia="Arial" w:hAnsi="Arial"/>
          <w:sz w:val="18"/>
          <w:szCs w:val="18"/>
          <w:color w:val="auto"/>
        </w:rPr>
      </w:pPr>
    </w:p>
    <w:p>
      <w:pPr>
        <w:ind w:left="424" w:right="26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under the Securities Act. The offering price per share and aggregate offering price are based upon the weighted average exercise price for shares subject to the outstanding options granted pursuant to the 2017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10, 2021, BCTG Acquisition Corp., a Delaware corporation and the predecessor of the Registrant (as defined herein), or BCTG, consummated a business combination, or the Business Combination, pursuant to the terms of the Agreement and Plan of Merger, dated as of April 13, 2021, or the Merger Agreement, by and among BCTG, BCTG Merger Sub Inc., a Delaware corporation, and Tango Therapeutics, Inc. (now known as Tango Therapeutics Sub, Inc.), a Delaware corporation, or Old Tango. Prior to consummation of the Business Combination, Old Tango changed its name from “Tango Therapeutics, Inc.” to “Tango Therapeutics Sub, Inc.”</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Merger Agreement, on August 10, 2021, BCTG Merger Sub Inc. merged with and into Old Tango, with Old Tango surviving the merger as a wholly-owned subsidiary of BCTG, and BCTG changed its name to “Tango Therapeutics, Inc.”</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This registration statement is being filed by Tango Therapeutics, Inc., or the Registrant, for the purpose of registering (i) 9,498,725 shares of the Registrant’s common stock, par value $0.001 per share, or the Common Stock, issuable pursuant to the Tango Therapeutics, Inc. 2021 Stock Option and Incentive Plan; (ii) 949,873 shares of Common Stock issuable pursuant to the Tango Therapeutics, Inc. 2021 Employee Stock Purchase Plan; and (iii) 6,463,083 shares of Common Stock issuable upon the exercise of outstanding options previously granted under the Tango Therapeutics, Inc. 2017 Stock Option and Grant Plan, which options were assumed by the Registrant in connection with the Business Combination.</w:t>
      </w:r>
    </w:p>
    <w:p>
      <w:pPr>
        <w:sectPr>
          <w:pgSz w:w="11900" w:h="16838" w:orient="portrait"/>
          <w:cols w:equalWidth="0" w:num="1">
            <w:col w:w="11000"/>
          </w:cols>
          <w:pgMar w:left="440" w:top="270" w:right="4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of 1933, or the Securities Act. In accordance with the rules and regulations of the Securities and Exchange Commission, or the SEC, and the instructions to Form S-8, such documents are not being filed with the SEC either as part of this registration statement or as prospectuses or prospectus supplements pursuant to Rule 424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documents containing the information specified in this Item 2 will be sent or given to participants as specified by Rule 428(b)(1) under the Securities Act. In accordance with the rules and regulations of the SEC and the instructions to Form S-8, such documents are not being filed with the SEC either as part of this registration statement or as prospectuses or prospectus supplements pursuant to Rule 424 under the Securities Act.</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SEC:</w:t>
      </w:r>
    </w:p>
    <w:p>
      <w:pPr>
        <w:spacing w:after="0" w:line="131" w:lineRule="exact"/>
        <w:rPr>
          <w:sz w:val="20"/>
          <w:szCs w:val="20"/>
          <w:color w:val="auto"/>
        </w:rPr>
      </w:pPr>
    </w:p>
    <w:p>
      <w:pPr>
        <w:ind w:left="960" w:right="220" w:hanging="532"/>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prospectus dated October 7, 2021, filed with the SEC on </w:t>
      </w:r>
      <w:hyperlink r:id="rId18">
        <w:r>
          <w:rPr>
            <w:rFonts w:ascii="Arial" w:cs="Arial" w:eastAsia="Arial" w:hAnsi="Arial"/>
            <w:sz w:val="17"/>
            <w:szCs w:val="17"/>
            <w:u w:val="single" w:color="auto"/>
            <w:color w:val="0000EE"/>
          </w:rPr>
          <w:t>October 8,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pursuant to Rule 424(b) under the Securities Act in connection with the Registrant’s registration statement on Form S-1, as amended (File No. 333-259448), which contains the Registrant’s audited financial statements for the latest fiscal year for which such statements have been filed;</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Form 10-K for the fiscal year ended December 31, 2020, filed with the SEC on </w:t>
      </w:r>
      <w:hyperlink r:id="rId19">
        <w:r>
          <w:rPr>
            <w:rFonts w:ascii="Arial" w:cs="Arial" w:eastAsia="Arial" w:hAnsi="Arial"/>
            <w:sz w:val="17"/>
            <w:szCs w:val="17"/>
            <w:u w:val="single" w:color="auto"/>
            <w:color w:val="0000EE"/>
          </w:rPr>
          <w:t>March 31, 2021</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960" w:right="140" w:hanging="532"/>
        <w:spacing w:after="0" w:line="277" w:lineRule="auto"/>
        <w:tabs>
          <w:tab w:leader="none" w:pos="96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The Registrant’s Quarterly Reports on Form 10-Q for the fiscal quarters ended March 31, 2021 and June 30, 2021, filed with the SEC on </w:t>
      </w:r>
      <w:hyperlink r:id="rId20">
        <w:r>
          <w:rPr>
            <w:rFonts w:ascii="Arial" w:cs="Arial" w:eastAsia="Arial" w:hAnsi="Arial"/>
            <w:sz w:val="18"/>
            <w:szCs w:val="18"/>
            <w:u w:val="single" w:color="auto"/>
            <w:color w:val="0000EE"/>
          </w:rPr>
          <w:t>May 14, 2021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1">
        <w:r>
          <w:rPr>
            <w:rFonts w:ascii="Arial" w:cs="Arial" w:eastAsia="Arial" w:hAnsi="Arial"/>
            <w:sz w:val="18"/>
            <w:szCs w:val="18"/>
            <w:u w:val="single" w:color="auto"/>
            <w:color w:val="0000EE"/>
          </w:rPr>
          <w:t>August 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960" w:right="28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SEC on </w:t>
      </w:r>
      <w:hyperlink r:id="rId22">
        <w:r>
          <w:rPr>
            <w:rFonts w:ascii="Arial" w:cs="Arial" w:eastAsia="Arial" w:hAnsi="Arial"/>
            <w:sz w:val="18"/>
            <w:szCs w:val="18"/>
            <w:u w:val="single" w:color="auto"/>
            <w:color w:val="0000EE"/>
          </w:rPr>
          <w:t>April 14,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3">
        <w:r>
          <w:rPr>
            <w:rFonts w:ascii="Arial" w:cs="Arial" w:eastAsia="Arial" w:hAnsi="Arial"/>
            <w:sz w:val="18"/>
            <w:szCs w:val="18"/>
            <w:u w:val="single" w:color="auto"/>
            <w:color w:val="0000EE"/>
          </w:rPr>
          <w:t>August 13,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each case, other than the portions of such documents not deemed to be filed); and</w:t>
      </w:r>
    </w:p>
    <w:p>
      <w:pPr>
        <w:spacing w:after="0" w:line="75" w:lineRule="exact"/>
        <w:rPr>
          <w:rFonts w:ascii="Arial" w:cs="Arial" w:eastAsia="Arial" w:hAnsi="Arial"/>
          <w:sz w:val="18"/>
          <w:szCs w:val="18"/>
          <w:color w:val="auto"/>
        </w:rPr>
      </w:pPr>
    </w:p>
    <w:p>
      <w:pPr>
        <w:ind w:left="960" w:right="6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Registrant’s registration statement on Form 8-A (File No. 001-39485), filed with the SEC on </w:t>
      </w:r>
      <w:hyperlink r:id="rId24">
        <w:r>
          <w:rPr>
            <w:rFonts w:ascii="Arial" w:cs="Arial" w:eastAsia="Arial" w:hAnsi="Arial"/>
            <w:sz w:val="16"/>
            <w:szCs w:val="16"/>
            <w:u w:val="single" w:color="auto"/>
            <w:color w:val="0000EE"/>
          </w:rPr>
          <w:t>September 2, 2020</w:t>
        </w:r>
      </w:hyperlink>
      <w:r>
        <w:rPr>
          <w:rFonts w:ascii="Arial" w:cs="Arial" w:eastAsia="Arial" w:hAnsi="Arial"/>
          <w:sz w:val="16"/>
          <w:szCs w:val="16"/>
          <w:color w:val="auto"/>
        </w:rPr>
        <w:t>, including all amendments and reports filed for the purpose of updating such description.</w:t>
      </w:r>
    </w:p>
    <w:p>
      <w:pPr>
        <w:spacing w:after="0" w:line="124" w:lineRule="exact"/>
        <w:rPr>
          <w:rFonts w:ascii="Arial" w:cs="Arial" w:eastAsia="Arial" w:hAnsi="Arial"/>
          <w:sz w:val="18"/>
          <w:szCs w:val="18"/>
          <w:color w:val="auto"/>
        </w:rPr>
      </w:pPr>
    </w:p>
    <w:p>
      <w:pPr>
        <w:spacing w:after="0" w:line="257" w:lineRule="auto"/>
        <w:rPr>
          <w:sz w:val="20"/>
          <w:szCs w:val="20"/>
          <w:color w:val="auto"/>
        </w:rPr>
      </w:pPr>
      <w:r>
        <w:rPr>
          <w:rFonts w:ascii="Arial" w:cs="Arial" w:eastAsia="Arial" w:hAnsi="Arial"/>
          <w:sz w:val="18"/>
          <w:szCs w:val="18"/>
          <w:color w:val="auto"/>
        </w:rPr>
        <w:t>All reports and other documents subsequently filed by the Registrant pursuant to Sections 13(a), 13(c), 14 and 15(d) of the Securities Exchange Act of 1934, as amended, or the Exchange Act (other than any such documents or portions thereof that are deemed to have been furnished and not filed in accordance with the rules of the SEC),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88" w:lineRule="exact"/>
        <w:rPr>
          <w:rFonts w:ascii="Arial" w:cs="Arial" w:eastAsia="Arial" w:hAnsi="Arial"/>
          <w:sz w:val="18"/>
          <w:szCs w:val="18"/>
          <w:color w:val="auto"/>
        </w:rPr>
      </w:pPr>
    </w:p>
    <w:p>
      <w:pPr>
        <w:ind w:right="2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60"/>
          </w:cols>
          <w:pgMar w:left="440" w:top="270"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Section 145(a) of the General Corporation Law of the State of Delaware, or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that the Court of Chancery or such other adjudicating court shall deem proper.</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145(g) of the DGCL provides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the person against such liability under Section 145 of the DGCL. The Registrant currently maintains insurance policies under which, subject to the limitations of the policies, its directors and officers are insured against liability for actions taken in their capacity as directors and officers.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permitted under Section 102(b)(7) of the DGCL, the Registrant’s certificate of incorporation provides that no director of the Registrant shall be personally liable to the Registrant or the Registrant’s stockholders for monetary damages for any breach of such director’s fiduciary duty as a director, except for liability (i) for any breach of the director’s duty of loyalty to the Registrant or the Registrant’s stockholders, (ii) for acts or omissions not in good faith or which involve intentional misconduct or a knowing violation of law, (iii) in respect of unlawful dividend payments or stock redemptions or repurchases under Section 174 of the DGCL, or (iv) for any transaction from which the director derived an improper personal benefit. In addition, the Registrant’s certificate of incorporation provides that if the DGCL is amended to authorize the further elimination or limitation of the liability of directors, then the liability of a director of the Registrant shall be eliminated or limited to the fullest extent permitted by the DGCL, as so amended.</w:t>
      </w:r>
    </w:p>
    <w:p>
      <w:pPr>
        <w:sectPr>
          <w:pgSz w:w="11900" w:h="16838" w:orient="portrait"/>
          <w:cols w:equalWidth="0" w:num="1">
            <w:col w:w="10980"/>
          </w:cols>
          <w:pgMar w:left="440" w:top="270" w:right="479" w:bottom="1440" w:gutter="0" w:footer="0" w:header="0"/>
        </w:sectPr>
      </w:pPr>
    </w:p>
    <w:bookmarkStart w:id="5" w:name="page6"/>
    <w:bookmarkEnd w:id="5"/>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Registrant’s certificate of incorporation further provides that any amendment, repeal or modification of the provision in the Registrant’s certificate of incorporation limiting a director’s liability, either by the Registrant’s stockholders or an amendment to the DGCL, will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Registrant’s bylaws provide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such person is or was, or has agreed to become, the Registrant’s director or officer, or is or was serving, or has agreed to serve, at the Registrant’s request, as a director, officer, partner, employee or trustee of, or in a similar capacity with, another corporation, partnership, joint venture or other enterprise,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person acted in good faith and in a manner such person reasonably believed to be in or not opposed to the Registrant’s best interests, and, with respect to any criminal action or proceeding, such person had no reasonable cause to believe his or her conduct was unlawful. The Registrant’s bylaws also provide that the Registrant will advance expenses to such person in connection with a legal proceeding, subject to limited exceptions.</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These indemnification agreements provide that the Registrant will indemnify each of such directors and executive officers to the fullest extent permitted by law and the Registrant’s certificate of incorporation and bylaws.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3"/>
                <w:szCs w:val="23"/>
                <w:color w:val="auto"/>
              </w:rPr>
            </w:pPr>
          </w:p>
        </w:tc>
        <w:tc>
          <w:tcPr>
            <w:tcW w:w="9860" w:type="dxa"/>
            <w:vAlign w:val="bottom"/>
            <w:tcBorders>
              <w:bottom w:val="single" w:sz="8" w:color="0000EE"/>
            </w:tcBorders>
            <w:gridSpan w:val="11"/>
          </w:tcPr>
          <w:p>
            <w:pPr>
              <w:spacing w:after="0"/>
              <w:rPr>
                <w:rFonts w:ascii="Arial" w:cs="Arial" w:eastAsia="Arial" w:hAnsi="Arial"/>
                <w:sz w:val="18"/>
                <w:szCs w:val="18"/>
                <w:color w:val="0000EE"/>
                <w:w w:val="90"/>
              </w:rPr>
            </w:pPr>
            <w:hyperlink r:id="rId27">
              <w:r>
                <w:rPr>
                  <w:rFonts w:ascii="Arial" w:cs="Arial" w:eastAsia="Arial" w:hAnsi="Arial"/>
                  <w:sz w:val="18"/>
                  <w:szCs w:val="18"/>
                  <w:color w:val="0000EE"/>
                  <w:w w:val="90"/>
                </w:rPr>
                <w:t>Second Amended and Restated Certificate of Incorporation of the Registrant (incorporated by reference to Exhibit 3.1 to the Registrant’s</w:t>
              </w:r>
            </w:hyperlink>
          </w:p>
        </w:tc>
        <w:tc>
          <w:tcPr>
            <w:tcW w:w="2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7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registration statement on Form S-1 filed with the SEC on September 10, 2021).</w:t>
              </w:r>
            </w:hyperlink>
          </w:p>
        </w:tc>
        <w:tc>
          <w:tcPr>
            <w:tcW w:w="4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3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Amended and Restated Bylaws of the Registrant.</w:t>
              </w:r>
            </w:hyperlink>
          </w:p>
        </w:tc>
        <w:tc>
          <w:tcPr>
            <w:tcW w:w="6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Specimen Common Stock Certificate of the Registrant (incorporated by reference to Exhibit 4.5 to the Registrant’s registration statement</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3"/>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on Form S-4/A filed with the SEC on July 16, 2021).</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3820" w:type="dxa"/>
            <w:vAlign w:val="bottom"/>
            <w:tcBorders>
              <w:top w:val="single" w:sz="8" w:color="0000EE"/>
            </w:tcBorders>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Opinion of Goodwin Procter LLP.</w:t>
              </w:r>
            </w:hyperlink>
          </w:p>
        </w:tc>
        <w:tc>
          <w:tcPr>
            <w:tcW w:w="6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30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Consent of PricewaterhouseCoopers LLP.</w:t>
              </w:r>
            </w:hyperlink>
          </w:p>
        </w:tc>
        <w:tc>
          <w:tcPr>
            <w:tcW w:w="7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28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Consent of WithumSmith+Brown, PC.</w:t>
              </w:r>
            </w:hyperlink>
          </w:p>
        </w:tc>
        <w:tc>
          <w:tcPr>
            <w:tcW w:w="7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4"/>
                <w:szCs w:val="24"/>
                <w:color w:val="auto"/>
              </w:rPr>
            </w:pPr>
          </w:p>
        </w:tc>
        <w:tc>
          <w:tcPr>
            <w:tcW w:w="43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Consent of Goodwin Procter LLP (included in Exhibit 5.1).</w:t>
              </w:r>
            </w:hyperlink>
          </w:p>
        </w:tc>
        <w:tc>
          <w:tcPr>
            <w:tcW w:w="58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37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Power of Attorney (included on the signature page).</w:t>
              </w:r>
            </w:hyperlink>
          </w:p>
        </w:tc>
        <w:tc>
          <w:tcPr>
            <w:tcW w:w="6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w w:val="95"/>
              </w:rPr>
            </w:pPr>
            <w:hyperlink r:id="rId29">
              <w:r>
                <w:rPr>
                  <w:rFonts w:ascii="Arial" w:cs="Arial" w:eastAsia="Arial" w:hAnsi="Arial"/>
                  <w:sz w:val="18"/>
                  <w:szCs w:val="18"/>
                  <w:color w:val="0000EE"/>
                  <w:w w:val="95"/>
                </w:rPr>
                <w:t>Tango Therapeutics, Inc. 2021 Stock Option and Incentive Plan (incorporated by reference to Exhibit 10.4 to the Registrant’s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Report on Form 8-K filed with the SEC on August 13, 2021).</w:t>
              </w:r>
            </w:hyperlink>
          </w:p>
        </w:tc>
        <w:tc>
          <w:tcPr>
            <w:tcW w:w="5160" w:type="dxa"/>
            <w:vAlign w:val="bottom"/>
            <w:tcBorders>
              <w:top w:val="single" w:sz="8" w:color="0000EE"/>
            </w:tcBorders>
            <w:gridSpan w:val="2"/>
          </w:tcPr>
          <w:p>
            <w:pPr>
              <w:spacing w:after="0"/>
              <w:rPr>
                <w:sz w:val="17"/>
                <w:szCs w:val="17"/>
                <w:color w:val="auto"/>
              </w:rPr>
            </w:pPr>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 w:name="page7"/>
    <w:bookmarkEnd w:id="6"/>
    <w:p>
      <w:pPr>
        <w:ind w:left="884" w:right="540" w:hanging="890"/>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99.2</w:t>
      </w:r>
      <w:r>
        <w:rPr>
          <w:sz w:val="20"/>
          <w:szCs w:val="20"/>
          <w:color w:val="auto"/>
        </w:rPr>
        <w:tab/>
      </w:r>
      <w:hyperlink r:id="rId31">
        <w:r>
          <w:rPr>
            <w:rFonts w:ascii="Arial" w:cs="Arial" w:eastAsia="Arial" w:hAnsi="Arial"/>
            <w:sz w:val="18"/>
            <w:szCs w:val="18"/>
            <w:u w:val="single" w:color="auto"/>
            <w:color w:val="0000EE"/>
          </w:rPr>
          <w:t>Forms of Award Agreements under the Tango Therapeutics, Inc. 2021 Stock Option and Incentive Plan (incorporated by reference to</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Exhibit 10.5 to the Registrant’s Current Report on Form 8-K filed with the SEC on August 13, 2021).</w:t>
        </w:r>
      </w:hyperlink>
    </w:p>
    <w:p>
      <w:pPr>
        <w:spacing w:after="0" w:line="62" w:lineRule="exact"/>
        <w:rPr>
          <w:sz w:val="20"/>
          <w:szCs w:val="20"/>
          <w:color w:val="auto"/>
        </w:rPr>
      </w:pPr>
    </w:p>
    <w:p>
      <w:pPr>
        <w:ind w:left="884" w:right="80" w:hanging="890"/>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99.3</w:t>
      </w:r>
      <w:r>
        <w:rPr>
          <w:sz w:val="20"/>
          <w:szCs w:val="20"/>
          <w:color w:val="auto"/>
        </w:rPr>
        <w:tab/>
      </w:r>
      <w:hyperlink r:id="rId32">
        <w:r>
          <w:rPr>
            <w:rFonts w:ascii="Arial" w:cs="Arial" w:eastAsia="Arial" w:hAnsi="Arial"/>
            <w:sz w:val="18"/>
            <w:szCs w:val="18"/>
            <w:u w:val="single" w:color="auto"/>
            <w:color w:val="0000EE"/>
          </w:rPr>
          <w:t>Tango Therapeutics, Inc. 2021 Employee Stock Purchase Plan (incorporated by reference to Exhibit 10.6 to the Registrant’s Current Report</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on Form 8-K filed with the SEC on August 13, 2021).</w:t>
        </w:r>
      </w:hyperlink>
    </w:p>
    <w:p>
      <w:pPr>
        <w:spacing w:after="0" w:line="62"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w:anchor="page36">
        <w:r>
          <w:rPr>
            <w:rFonts w:ascii="Arial" w:cs="Arial" w:eastAsia="Arial" w:hAnsi="Arial"/>
            <w:sz w:val="16"/>
            <w:szCs w:val="16"/>
            <w:u w:val="single" w:color="auto"/>
            <w:color w:val="0000EE"/>
          </w:rPr>
          <w:t>Tango Therapeutics, Inc. 2017 Stock Option and Grant Plan, as amended, and forms of award agreements thereunder.</w:t>
        </w:r>
      </w:hyperlink>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4" w:hanging="244"/>
        <w:spacing w:after="0"/>
        <w:tabs>
          <w:tab w:leader="none" w:pos="2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60" w:hanging="439"/>
        <w:spacing w:after="0" w:line="272" w:lineRule="auto"/>
        <w:tabs>
          <w:tab w:leader="none" w:pos="1424"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424" w:right="160" w:hanging="439"/>
        <w:spacing w:after="0" w:line="277" w:lineRule="auto"/>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 by the Registrant pursuant to Section 13 or Section 15(d) of the Exchange Act that are incorporated by reference in the registration statement.</w:t>
      </w:r>
    </w:p>
    <w:p>
      <w:pPr>
        <w:spacing w:after="0" w:line="89" w:lineRule="exact"/>
        <w:rPr>
          <w:sz w:val="20"/>
          <w:szCs w:val="20"/>
          <w:color w:val="auto"/>
        </w:rPr>
      </w:pPr>
    </w:p>
    <w:p>
      <w:pPr>
        <w:ind w:left="964"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right="8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ectPr>
          <w:pgSz w:w="11900" w:h="16838" w:orient="portrait"/>
          <w:cols w:equalWidth="0" w:num="1">
            <w:col w:w="11004"/>
          </w:cols>
          <w:pgMar w:left="436" w:top="274" w:right="459" w:bottom="1440" w:gutter="0" w:footer="0" w:header="0"/>
        </w:sectPr>
      </w:pPr>
    </w:p>
    <w:bookmarkStart w:id="7" w:name="page8"/>
    <w:bookmarkEnd w:id="7"/>
    <w:p>
      <w:pPr>
        <w:ind w:left="424" w:hanging="424"/>
        <w:spacing w:after="0" w:line="271"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4"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State of Massachusetts, on October 14,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Barbara Weber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person whose signature appears below constitutes and appoints each of Barbara Weber and Daniella Beckman,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572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20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r>
      <w:tr>
        <w:trPr>
          <w:trHeight w:val="30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Weber</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October 14,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Barbara Weber</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Daniella Beckman</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October 14,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Daniella Beckman</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October 14,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Alexis Borisy</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Lesley Calhoun</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October 14,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Lesley Calhoun</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Davis</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October 14,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Aaron Davis</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Reid Huber</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October 14,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Reid Huber</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Malte Peters</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October 14,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Malte Peters</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Mace Rothenberg</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October 14,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Mace Rothenberg</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BCTG ACQUISITION CORP.</w:t>
      </w: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(the “Corporation”)</w:t>
      </w:r>
    </w:p>
    <w:p>
      <w:pPr>
        <w:sectPr>
          <w:pgSz w:w="11900" w:h="16838" w:orient="portrait"/>
          <w:cols w:equalWidth="0" w:num="1">
            <w:col w:w="10020"/>
          </w:cols>
          <w:pgMar w:left="1440" w:top="121"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Notice of Stockholder Business and Nominations.</w:t>
      </w:r>
    </w:p>
    <w:p>
      <w:pPr>
        <w:spacing w:after="0" w:line="225" w:lineRule="exact"/>
        <w:rPr>
          <w:sz w:val="20"/>
          <w:szCs w:val="20"/>
          <w:color w:val="auto"/>
        </w:rPr>
      </w:pPr>
    </w:p>
    <w:p>
      <w:pPr>
        <w:ind w:left="680" w:hanging="24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69" w:lineRule="auto"/>
        <w:tabs>
          <w:tab w:leader="none" w:pos="1118" w:val="left"/>
        </w:tabs>
        <w:numPr>
          <w:ilvl w:val="1"/>
          <w:numId w:val="7"/>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77" w:lineRule="exact"/>
        <w:rPr>
          <w:rFonts w:ascii="Arial" w:cs="Arial" w:eastAsia="Arial" w:hAnsi="Arial"/>
          <w:sz w:val="17"/>
          <w:szCs w:val="17"/>
          <w:color w:val="auto"/>
        </w:rPr>
      </w:pPr>
    </w:p>
    <w:p>
      <w:pPr>
        <w:ind w:left="440" w:firstLine="419"/>
        <w:spacing w:after="0" w:line="272" w:lineRule="auto"/>
        <w:tabs>
          <w:tab w:leader="none" w:pos="1118" w:val="left"/>
        </w:tabs>
        <w:numPr>
          <w:ilvl w:val="1"/>
          <w:numId w:val="7"/>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1" w:name="page12"/>
    <w:bookmarkEnd w:id="11"/>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one-year anniversary of the preceding year’s Annual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86" w:lineRule="exact"/>
        <w:rPr>
          <w:sz w:val="20"/>
          <w:szCs w:val="20"/>
          <w:color w:val="auto"/>
        </w:rPr>
      </w:pPr>
    </w:p>
    <w:p>
      <w:pPr>
        <w:ind w:left="540" w:right="100" w:firstLine="408"/>
        <w:spacing w:after="0" w:line="259"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78" w:lineRule="exact"/>
        <w:rPr>
          <w:rFonts w:ascii="Arial" w:cs="Arial" w:eastAsia="Arial" w:hAnsi="Arial"/>
          <w:sz w:val="18"/>
          <w:szCs w:val="18"/>
          <w:color w:val="auto"/>
        </w:rPr>
      </w:pPr>
    </w:p>
    <w:p>
      <w:pPr>
        <w:ind w:left="540" w:firstLine="408"/>
        <w:spacing w:after="0" w:line="263" w:lineRule="auto"/>
        <w:tabs>
          <w:tab w:leader="none" w:pos="1226"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75" w:lineRule="exact"/>
        <w:rPr>
          <w:rFonts w:ascii="Arial" w:cs="Arial" w:eastAsia="Arial" w:hAnsi="Arial"/>
          <w:sz w:val="18"/>
          <w:szCs w:val="18"/>
          <w:color w:val="auto"/>
        </w:rPr>
      </w:pPr>
    </w:p>
    <w:p>
      <w:pPr>
        <w:ind w:left="540" w:right="20" w:firstLine="408"/>
        <w:spacing w:after="0" w:line="287" w:lineRule="auto"/>
        <w:tabs>
          <w:tab w:leader="none" w:pos="1226" w:val="left"/>
        </w:tabs>
        <w:numPr>
          <w:ilvl w:val="0"/>
          <w:numId w:val="8"/>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12" w:name="page13"/>
    <w:bookmarkEnd w:id="12"/>
    <w:p>
      <w:pPr>
        <w:ind w:left="540"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60" w:lineRule="exact"/>
        <w:rPr>
          <w:sz w:val="20"/>
          <w:szCs w:val="20"/>
          <w:color w:val="auto"/>
        </w:rPr>
      </w:pPr>
    </w:p>
    <w:p>
      <w:pPr>
        <w:ind w:left="540" w:firstLine="408"/>
        <w:spacing w:after="0" w:line="254"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86" w:lineRule="exact"/>
        <w:rPr>
          <w:rFonts w:ascii="Arial" w:cs="Arial" w:eastAsia="Arial" w:hAnsi="Arial"/>
          <w:sz w:val="18"/>
          <w:szCs w:val="18"/>
          <w:color w:val="auto"/>
        </w:rPr>
      </w:pPr>
    </w:p>
    <w:p>
      <w:pPr>
        <w:ind w:left="540" w:right="80" w:firstLine="408"/>
        <w:spacing w:after="0" w:line="255" w:lineRule="auto"/>
        <w:tabs>
          <w:tab w:leader="none" w:pos="121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84" w:lineRule="exact"/>
        <w:rPr>
          <w:sz w:val="20"/>
          <w:szCs w:val="20"/>
          <w:color w:val="auto"/>
        </w:rPr>
      </w:pPr>
    </w:p>
    <w:p>
      <w:pPr>
        <w:ind w:right="120" w:firstLine="423"/>
        <w:spacing w:after="0" w:line="263" w:lineRule="auto"/>
        <w:rPr>
          <w:sz w:val="20"/>
          <w:szCs w:val="20"/>
          <w:color w:val="auto"/>
        </w:rPr>
      </w:pPr>
      <w:r>
        <w:rPr>
          <w:rFonts w:ascii="Arial" w:cs="Arial" w:eastAsia="Arial" w:hAnsi="Arial"/>
          <w:sz w:val="18"/>
          <w:szCs w:val="18"/>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13" w:name="page14"/>
    <w:bookmarkEnd w:id="13"/>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60" w:lineRule="exact"/>
        <w:rPr>
          <w:sz w:val="20"/>
          <w:szCs w:val="20"/>
          <w:color w:val="auto"/>
        </w:rPr>
      </w:pPr>
    </w:p>
    <w:p>
      <w:pPr>
        <w:ind w:right="40" w:firstLine="419"/>
        <w:spacing w:after="0" w:line="271"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70" w:lineRule="exact"/>
        <w:rPr>
          <w:rFonts w:ascii="Arial" w:cs="Arial" w:eastAsia="Arial" w:hAnsi="Arial"/>
          <w:sz w:val="17"/>
          <w:szCs w:val="17"/>
          <w:color w:val="auto"/>
        </w:rPr>
      </w:pPr>
    </w:p>
    <w:p>
      <w:pPr>
        <w:ind w:firstLine="419"/>
        <w:spacing w:after="0" w:line="254"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14" w:name="page15"/>
    <w:bookmarkEnd w:id="14"/>
    <w:p>
      <w:pPr>
        <w:ind w:left="264" w:hanging="264"/>
        <w:spacing w:after="0"/>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269" w:lineRule="auto"/>
        <w:tabs>
          <w:tab w:leader="none" w:pos="681" w:val="left"/>
        </w:tabs>
        <w:numPr>
          <w:ilvl w:val="1"/>
          <w:numId w:val="11"/>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77" w:lineRule="exact"/>
        <w:rPr>
          <w:rFonts w:ascii="Arial" w:cs="Arial" w:eastAsia="Arial" w:hAnsi="Arial"/>
          <w:sz w:val="17"/>
          <w:szCs w:val="17"/>
          <w:color w:val="auto"/>
        </w:rPr>
      </w:pPr>
    </w:p>
    <w:p>
      <w:pPr>
        <w:ind w:left="4" w:right="20" w:firstLine="419"/>
        <w:spacing w:after="0" w:line="263" w:lineRule="auto"/>
        <w:tabs>
          <w:tab w:leader="none" w:pos="68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75" w:lineRule="exact"/>
        <w:rPr>
          <w:rFonts w:ascii="Arial" w:cs="Arial" w:eastAsia="Arial" w:hAnsi="Arial"/>
          <w:sz w:val="18"/>
          <w:szCs w:val="18"/>
          <w:color w:val="auto"/>
        </w:rPr>
      </w:pPr>
    </w:p>
    <w:p>
      <w:pPr>
        <w:ind w:left="4" w:right="20" w:firstLine="419"/>
        <w:spacing w:after="0" w:line="272" w:lineRule="auto"/>
        <w:tabs>
          <w:tab w:leader="none" w:pos="681"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69" w:lineRule="exact"/>
        <w:rPr>
          <w:rFonts w:ascii="Arial" w:cs="Arial" w:eastAsia="Arial" w:hAnsi="Arial"/>
          <w:sz w:val="17"/>
          <w:szCs w:val="17"/>
          <w:color w:val="auto"/>
        </w:rPr>
      </w:pPr>
    </w:p>
    <w:p>
      <w:pPr>
        <w:ind w:left="4" w:right="160" w:firstLine="419"/>
        <w:spacing w:after="0" w:line="263" w:lineRule="auto"/>
        <w:tabs>
          <w:tab w:leader="none" w:pos="681"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75" w:lineRule="exact"/>
        <w:rPr>
          <w:rFonts w:ascii="Arial" w:cs="Arial" w:eastAsia="Arial" w:hAnsi="Arial"/>
          <w:sz w:val="18"/>
          <w:szCs w:val="18"/>
          <w:color w:val="auto"/>
        </w:rPr>
      </w:pPr>
    </w:p>
    <w:p>
      <w:pPr>
        <w:ind w:left="4" w:right="20" w:firstLine="419"/>
        <w:spacing w:after="0" w:line="296" w:lineRule="auto"/>
        <w:tabs>
          <w:tab w:leader="none" w:pos="681"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9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4"/>
          </w:cols>
          <w:pgMar w:left="876" w:top="274" w:right="479" w:bottom="1440" w:gutter="0" w:footer="0" w:header="0"/>
        </w:sectPr>
      </w:pPr>
    </w:p>
    <w:bookmarkStart w:id="15" w:name="page16"/>
    <w:bookmarkEnd w:id="15"/>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Notice of Meetings; Adjournments.</w:t>
      </w:r>
    </w:p>
    <w:p>
      <w:pPr>
        <w:spacing w:after="0" w:line="225" w:lineRule="exact"/>
        <w:rPr>
          <w:sz w:val="20"/>
          <w:szCs w:val="20"/>
          <w:color w:val="auto"/>
        </w:rPr>
      </w:pPr>
    </w:p>
    <w:p>
      <w:pPr>
        <w:ind w:firstLine="436"/>
        <w:spacing w:after="0" w:line="286" w:lineRule="auto"/>
        <w:tabs>
          <w:tab w:leader="none" w:pos="6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w:t>
      </w:r>
    </w:p>
    <w:p>
      <w:pPr>
        <w:spacing w:after="0" w:line="1" w:lineRule="exact"/>
        <w:rPr>
          <w:rFonts w:ascii="Arial" w:cs="Arial" w:eastAsia="Arial" w:hAnsi="Arial"/>
          <w:sz w:val="16"/>
          <w:szCs w:val="16"/>
          <w:color w:val="auto"/>
        </w:rPr>
      </w:pPr>
    </w:p>
    <w:p>
      <w:pPr>
        <w:ind w:right="880"/>
        <w:spacing w:after="0" w:line="260" w:lineRule="auto"/>
        <w:rPr>
          <w:rFonts w:ascii="Arial" w:cs="Arial" w:eastAsia="Arial" w:hAnsi="Arial"/>
          <w:sz w:val="16"/>
          <w:szCs w:val="16"/>
          <w:color w:val="auto"/>
        </w:rPr>
      </w:pPr>
      <w:r>
        <w:rPr>
          <w:rFonts w:ascii="Arial" w:cs="Arial" w:eastAsia="Arial" w:hAnsi="Arial"/>
          <w:sz w:val="18"/>
          <w:szCs w:val="18"/>
          <w:color w:val="auto"/>
        </w:rPr>
        <w:t>Without limiting the manner by which notice may otherwise be given to stockholders, any notice to stockholders may be given by electronic transmission in the manner provided in Section 232 of the Delaware General Corporation Law (“DGCL”).</w:t>
      </w:r>
    </w:p>
    <w:p>
      <w:pPr>
        <w:spacing w:after="0" w:line="185" w:lineRule="exact"/>
        <w:rPr>
          <w:rFonts w:ascii="Arial" w:cs="Arial" w:eastAsia="Arial" w:hAnsi="Arial"/>
          <w:sz w:val="16"/>
          <w:szCs w:val="16"/>
          <w:color w:val="auto"/>
        </w:rPr>
      </w:pPr>
    </w:p>
    <w:p>
      <w:pPr>
        <w:ind w:right="40" w:firstLine="436"/>
        <w:spacing w:after="0" w:line="277"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70" w:lineRule="exact"/>
        <w:rPr>
          <w:rFonts w:ascii="Arial" w:cs="Arial" w:eastAsia="Arial" w:hAnsi="Arial"/>
          <w:sz w:val="18"/>
          <w:szCs w:val="18"/>
          <w:color w:val="auto"/>
        </w:rPr>
      </w:pPr>
    </w:p>
    <w:p>
      <w:pPr>
        <w:ind w:right="40" w:firstLine="436"/>
        <w:spacing w:after="0" w:line="259"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86" w:lineRule="exact"/>
        <w:rPr>
          <w:rFonts w:ascii="Arial" w:cs="Arial" w:eastAsia="Arial" w:hAnsi="Arial"/>
          <w:sz w:val="18"/>
          <w:szCs w:val="18"/>
          <w:color w:val="auto"/>
        </w:rPr>
      </w:pPr>
    </w:p>
    <w:p>
      <w:pPr>
        <w:ind w:right="20" w:firstLine="436"/>
        <w:spacing w:after="0" w:line="257"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6" w:name="page17"/>
    <w:bookmarkEnd w:id="16"/>
    <w:p>
      <w:pPr>
        <w:ind w:left="684" w:hanging="244"/>
        <w:spacing w:after="0"/>
        <w:tabs>
          <w:tab w:leader="none" w:pos="684"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any meeting is convened, the presiding officer may adjourn the meeting if (i) no quorum is present for the transaction of business,</w:t>
      </w:r>
    </w:p>
    <w:p>
      <w:pPr>
        <w:spacing w:after="0" w:line="34" w:lineRule="exact"/>
        <w:rPr>
          <w:rFonts w:ascii="Arial" w:cs="Arial" w:eastAsia="Arial" w:hAnsi="Arial"/>
          <w:sz w:val="17"/>
          <w:szCs w:val="17"/>
          <w:color w:val="auto"/>
        </w:rPr>
      </w:pPr>
    </w:p>
    <w:p>
      <w:pPr>
        <w:ind w:left="4" w:right="100" w:hanging="4"/>
        <w:spacing w:after="0" w:line="286" w:lineRule="auto"/>
        <w:tabs>
          <w:tab w:leader="none" w:pos="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69"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78"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Voting and Proxies</w:t>
      </w:r>
      <w:r>
        <w:rPr>
          <w:rFonts w:ascii="Arial" w:cs="Arial" w:eastAsia="Arial" w:hAnsi="Arial"/>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7" w:name="page18"/>
    <w:bookmarkEnd w:id="1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Stockholder Lists</w:t>
      </w:r>
      <w:r>
        <w:rPr>
          <w:rFonts w:ascii="Arial" w:cs="Arial" w:eastAsia="Arial" w:hAnsi="Arial"/>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1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The Board of Directors shall designate a representative to preside over all Annual Meetings or special meetings of stockholders, provide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7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 of Elections</w:t>
      </w:r>
      <w:r>
        <w:rPr>
          <w:rFonts w:ascii="Arial" w:cs="Arial" w:eastAsia="Arial" w:hAnsi="Arial"/>
          <w:sz w:val="17"/>
          <w:szCs w:val="17"/>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 w:name="page19"/>
    <w:bookmarkEnd w:id="18"/>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giving written notice to the Chairman of the Board, if one is elected, the President or the Secretary. A resignation shall be effective upon receipt, unless the resignation otherwise provides.</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(including any annual meeting)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9" w:name="page20"/>
    <w:bookmarkEnd w:id="19"/>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7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8"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Action at Meeting</w:t>
      </w:r>
      <w:r>
        <w:rPr>
          <w:rFonts w:ascii="Arial" w:cs="Arial" w:eastAsia="Arial" w:hAnsi="Arial"/>
          <w:sz w:val="17"/>
          <w:szCs w:val="17"/>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4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Manner of Participation</w:t>
      </w:r>
      <w:r>
        <w:rPr>
          <w:rFonts w:ascii="Arial" w:cs="Arial" w:eastAsia="Arial" w:hAnsi="Arial"/>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0" w:name="page21"/>
    <w:bookmarkEnd w:id="20"/>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Arial" w:cs="Arial" w:eastAsia="Arial" w:hAnsi="Arial"/>
          <w:sz w:val="17"/>
          <w:szCs w:val="17"/>
          <w:u w:val="single" w:color="auto"/>
          <w:color w:val="auto"/>
        </w:rPr>
        <w:t>Presiding Director</w:t>
      </w:r>
      <w:r>
        <w:rPr>
          <w:rFonts w:ascii="Arial" w:cs="Arial" w:eastAsia="Arial" w:hAnsi="Arial"/>
          <w:sz w:val="17"/>
          <w:szCs w:val="17"/>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76"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78"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8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21" w:name="page22"/>
    <w:bookmarkEnd w:id="21"/>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a director. Any person may occupy more than one office of the Corporation at any time.</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70"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the Board of Directors may remove any officer with or without cause by the affirmative vote of a majority of the directors then in office.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Absence or Disability</w:t>
      </w:r>
      <w:r>
        <w:rPr>
          <w:rFonts w:ascii="Arial" w:cs="Arial" w:eastAsia="Arial" w:hAnsi="Arial"/>
          <w:sz w:val="18"/>
          <w:szCs w:val="18"/>
          <w:color w:val="auto"/>
        </w:rPr>
        <w:t>. In the event of the absence or disability of any officer, the Board of Directors may designate another officer to act temporarily in place of such absent or disabled officer.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subject to the direction of the Board of Directors, have such powers and shall perform such duties as the Board of Directors may from time to time designate.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one is elected, shall have such powers and shall perform such duties as the Board of Directors may from time to time designate.</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170"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2" w:name="page23"/>
    <w:bookmarkEnd w:id="22"/>
    <w:p>
      <w:pPr>
        <w:ind w:right="1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9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Certificates of Stock</w:t>
      </w:r>
      <w:r>
        <w:rPr>
          <w:rFonts w:ascii="Arial" w:cs="Arial" w:eastAsia="Arial" w:hAnsi="Arial"/>
          <w:sz w:val="17"/>
          <w:szCs w:val="17"/>
          <w:color w:val="auto"/>
        </w:rPr>
        <w:t>. Each stockholder shall be entitled to a certificate of the capital stock of the Corporation in such form as may from time to time be prescribed by the Board of Directors. Such certificate shall be signed by the Chairman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3" w:name="page24"/>
    <w:bookmarkEnd w:id="2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88"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68"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225" w:lineRule="exact"/>
        <w:rPr>
          <w:sz w:val="20"/>
          <w:szCs w:val="20"/>
          <w:color w:val="auto"/>
        </w:rPr>
      </w:pPr>
    </w:p>
    <w:p>
      <w:pPr>
        <w:ind w:left="-20" w:firstLine="436"/>
        <w:spacing w:after="0" w:line="290" w:lineRule="auto"/>
        <w:tabs>
          <w:tab w:leader="none" w:pos="6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65" w:lineRule="exact"/>
        <w:rPr>
          <w:rFonts w:ascii="Arial" w:cs="Arial" w:eastAsia="Arial" w:hAnsi="Arial"/>
          <w:sz w:val="16"/>
          <w:szCs w:val="16"/>
          <w:color w:val="auto"/>
        </w:rPr>
      </w:pPr>
    </w:p>
    <w:p>
      <w:pPr>
        <w:ind w:left="680" w:hanging="264"/>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“Director” means any person who serves or has served the Corporation as a director on the Board of Directors of the Corporation;</w:t>
      </w:r>
    </w:p>
    <w:p>
      <w:pPr>
        <w:spacing w:after="0" w:line="236" w:lineRule="exact"/>
        <w:rPr>
          <w:rFonts w:ascii="Arial" w:cs="Arial" w:eastAsia="Arial" w:hAnsi="Arial"/>
          <w:sz w:val="17"/>
          <w:szCs w:val="17"/>
          <w:color w:val="auto"/>
        </w:rPr>
      </w:pPr>
    </w:p>
    <w:p>
      <w:pPr>
        <w:ind w:left="-20" w:right="340" w:firstLine="436"/>
        <w:spacing w:after="0" w:line="277" w:lineRule="auto"/>
        <w:tabs>
          <w:tab w:leader="none" w:pos="6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170" w:lineRule="exact"/>
        <w:rPr>
          <w:rFonts w:ascii="Arial" w:cs="Arial" w:eastAsia="Arial" w:hAnsi="Arial"/>
          <w:sz w:val="18"/>
          <w:szCs w:val="18"/>
          <w:color w:val="auto"/>
        </w:rPr>
      </w:pPr>
    </w:p>
    <w:p>
      <w:pPr>
        <w:ind w:left="-20" w:right="80" w:firstLine="436"/>
        <w:spacing w:after="0" w:line="255"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92" w:lineRule="exact"/>
        <w:rPr>
          <w:rFonts w:ascii="Arial" w:cs="Arial" w:eastAsia="Arial" w:hAnsi="Arial"/>
          <w:sz w:val="18"/>
          <w:szCs w:val="18"/>
          <w:color w:val="auto"/>
        </w:rPr>
      </w:pPr>
    </w:p>
    <w:p>
      <w:pPr>
        <w:ind w:left="660" w:hanging="24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225" w:lineRule="exact"/>
        <w:rPr>
          <w:rFonts w:ascii="Arial" w:cs="Arial" w:eastAsia="Arial" w:hAnsi="Arial"/>
          <w:sz w:val="18"/>
          <w:szCs w:val="18"/>
          <w:color w:val="auto"/>
        </w:rPr>
      </w:pPr>
    </w:p>
    <w:p>
      <w:pPr>
        <w:ind w:left="-20" w:right="120" w:firstLine="436"/>
        <w:spacing w:after="0" w:line="277"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170" w:lineRule="exact"/>
        <w:rPr>
          <w:rFonts w:ascii="Arial" w:cs="Arial" w:eastAsia="Arial" w:hAnsi="Arial"/>
          <w:sz w:val="18"/>
          <w:szCs w:val="18"/>
          <w:color w:val="auto"/>
        </w:rPr>
      </w:pPr>
    </w:p>
    <w:p>
      <w:pPr>
        <w:ind w:left="-20" w:right="120" w:firstLine="436"/>
        <w:spacing w:after="0" w:line="277"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“Officer” means any person who serves or has served the Corporation as an officer of the Corporation appointed by the Board of Directors of the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25" w:name="page26"/>
    <w:bookmarkEnd w:id="25"/>
    <w:p>
      <w:pPr>
        <w:ind w:right="860" w:firstLine="436"/>
        <w:spacing w:after="0" w:line="308" w:lineRule="auto"/>
        <w:tabs>
          <w:tab w:leader="none" w:pos="695"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46" w:lineRule="exact"/>
        <w:rPr>
          <w:rFonts w:ascii="Arial" w:cs="Arial" w:eastAsia="Arial" w:hAnsi="Arial"/>
          <w:sz w:val="17"/>
          <w:szCs w:val="17"/>
          <w:color w:val="auto"/>
        </w:rPr>
      </w:pPr>
    </w:p>
    <w:p>
      <w:pPr>
        <w:ind w:right="60" w:firstLine="436"/>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Indemnification of Directors and Officers.</w:t>
      </w:r>
    </w:p>
    <w:p>
      <w:pPr>
        <w:spacing w:after="0" w:line="225" w:lineRule="exact"/>
        <w:rPr>
          <w:sz w:val="20"/>
          <w:szCs w:val="20"/>
          <w:color w:val="auto"/>
        </w:rPr>
      </w:pPr>
    </w:p>
    <w:p>
      <w:pPr>
        <w:ind w:right="100" w:firstLine="436"/>
        <w:spacing w:after="0" w:line="259"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78" w:lineRule="exact"/>
        <w:rPr>
          <w:rFonts w:ascii="Arial" w:cs="Arial" w:eastAsia="Arial" w:hAnsi="Arial"/>
          <w:sz w:val="18"/>
          <w:szCs w:val="18"/>
          <w:color w:val="auto"/>
        </w:rPr>
      </w:pPr>
    </w:p>
    <w:p>
      <w:pPr>
        <w:ind w:left="440" w:firstLine="419"/>
        <w:spacing w:after="0" w:line="254" w:lineRule="auto"/>
        <w:tabs>
          <w:tab w:leader="none" w:pos="111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Other than By or In the Right of the Corporation</w:t>
      </w:r>
      <w:r>
        <w:rPr>
          <w:rFonts w:ascii="Arial" w:cs="Arial" w:eastAsia="Arial" w:hAnsi="Arial"/>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6" w:lineRule="exact"/>
        <w:rPr>
          <w:rFonts w:ascii="Arial" w:cs="Arial" w:eastAsia="Arial" w:hAnsi="Arial"/>
          <w:sz w:val="18"/>
          <w:szCs w:val="18"/>
          <w:color w:val="auto"/>
        </w:rPr>
      </w:pPr>
    </w:p>
    <w:p>
      <w:pPr>
        <w:ind w:left="440" w:right="20" w:firstLine="419"/>
        <w:spacing w:after="0" w:line="269" w:lineRule="auto"/>
        <w:tabs>
          <w:tab w:leader="none" w:pos="111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By or In the Right of the Corporation</w:t>
      </w:r>
      <w:r>
        <w:rPr>
          <w:rFonts w:ascii="Arial" w:cs="Arial" w:eastAsia="Arial" w:hAnsi="Arial"/>
          <w:sz w:val="17"/>
          <w:szCs w:val="17"/>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 w:name="page27"/>
    <w:bookmarkEnd w:id="26"/>
    <w:p>
      <w:pPr>
        <w:ind w:left="440" w:right="100" w:firstLine="419"/>
        <w:spacing w:after="0" w:line="342" w:lineRule="auto"/>
        <w:tabs>
          <w:tab w:leader="none" w:pos="111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5" w:lineRule="exact"/>
        <w:rPr>
          <w:rFonts w:ascii="Arial" w:cs="Arial" w:eastAsia="Arial" w:hAnsi="Arial"/>
          <w:sz w:val="16"/>
          <w:szCs w:val="16"/>
          <w:color w:val="auto"/>
        </w:rPr>
      </w:pPr>
    </w:p>
    <w:p>
      <w:pPr>
        <w:ind w:left="440" w:right="280" w:firstLine="419"/>
        <w:spacing w:after="0" w:line="257" w:lineRule="auto"/>
        <w:tabs>
          <w:tab w:leader="none" w:pos="111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8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Indemnification of Non-Officer Employees</w:t>
      </w:r>
      <w:r>
        <w:rPr>
          <w:rFonts w:ascii="Arial" w:cs="Arial" w:eastAsia="Arial" w:hAnsi="Arial"/>
          <w:sz w:val="16"/>
          <w:szCs w:val="16"/>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72"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Determination</w:t>
      </w:r>
      <w:r>
        <w:rPr>
          <w:rFonts w:ascii="Arial" w:cs="Arial" w:eastAsia="Arial" w:hAnsi="Arial"/>
          <w:sz w:val="16"/>
          <w:szCs w:val="16"/>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Advancement of Expenses to Directors Prior to Final Disposition.</w:t>
      </w:r>
    </w:p>
    <w:p>
      <w:pPr>
        <w:spacing w:after="0" w:line="225" w:lineRule="exact"/>
        <w:rPr>
          <w:sz w:val="20"/>
          <w:szCs w:val="20"/>
          <w:color w:val="auto"/>
        </w:rPr>
      </w:pPr>
    </w:p>
    <w:p>
      <w:pPr>
        <w:ind w:firstLine="436"/>
        <w:spacing w:after="0" w:line="270"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80" w:lineRule="exact"/>
        <w:rPr>
          <w:rFonts w:ascii="Arial" w:cs="Arial" w:eastAsia="Arial" w:hAnsi="Arial"/>
          <w:sz w:val="17"/>
          <w:szCs w:val="17"/>
          <w:color w:val="auto"/>
        </w:rPr>
      </w:pPr>
    </w:p>
    <w:p>
      <w:pPr>
        <w:ind w:firstLine="436"/>
        <w:spacing w:after="0" w:line="291"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66" w:lineRule="exact"/>
        <w:rPr>
          <w:rFonts w:ascii="Arial" w:cs="Arial" w:eastAsia="Arial" w:hAnsi="Arial"/>
          <w:sz w:val="16"/>
          <w:szCs w:val="16"/>
          <w:color w:val="auto"/>
        </w:rPr>
      </w:pPr>
    </w:p>
    <w:p>
      <w:pPr>
        <w:jc w:val="both"/>
        <w:ind w:right="200" w:firstLine="436"/>
        <w:spacing w:after="0" w:line="263"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 Advancement of Expenses to Officers and Non-Officer Employees Prior to Final Disposition.</w:t>
      </w:r>
    </w:p>
    <w:p>
      <w:pPr>
        <w:spacing w:after="0" w:line="225" w:lineRule="exact"/>
        <w:rPr>
          <w:sz w:val="20"/>
          <w:szCs w:val="20"/>
          <w:color w:val="auto"/>
        </w:rPr>
      </w:pPr>
    </w:p>
    <w:p>
      <w:pPr>
        <w:ind w:right="120" w:firstLine="436"/>
        <w:spacing w:after="0" w:line="279"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8" w:name="page29"/>
    <w:bookmarkEnd w:id="28"/>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4" w:lineRule="exact"/>
        <w:rPr>
          <w:sz w:val="20"/>
          <w:szCs w:val="20"/>
          <w:color w:val="auto"/>
        </w:rPr>
      </w:pPr>
    </w:p>
    <w:p>
      <w:pPr>
        <w:ind w:right="200" w:firstLine="436"/>
        <w:spacing w:after="0" w:line="263"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 Contractual Nature of Rights.</w:t>
      </w:r>
    </w:p>
    <w:p>
      <w:pPr>
        <w:spacing w:after="0" w:line="225" w:lineRule="exact"/>
        <w:rPr>
          <w:sz w:val="20"/>
          <w:szCs w:val="20"/>
          <w:color w:val="auto"/>
        </w:rPr>
      </w:pPr>
    </w:p>
    <w:p>
      <w:pPr>
        <w:ind w:firstLine="436"/>
        <w:spacing w:after="0" w:line="288" w:lineRule="auto"/>
        <w:tabs>
          <w:tab w:leader="none" w:pos="6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68" w:lineRule="exact"/>
        <w:rPr>
          <w:rFonts w:ascii="Arial" w:cs="Arial" w:eastAsia="Arial" w:hAnsi="Arial"/>
          <w:sz w:val="16"/>
          <w:szCs w:val="16"/>
          <w:color w:val="auto"/>
        </w:rPr>
      </w:pPr>
    </w:p>
    <w:p>
      <w:pPr>
        <w:ind w:right="120" w:firstLine="436"/>
        <w:spacing w:after="0" w:line="291"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66" w:lineRule="exact"/>
        <w:rPr>
          <w:rFonts w:ascii="Arial" w:cs="Arial" w:eastAsia="Arial" w:hAnsi="Arial"/>
          <w:sz w:val="16"/>
          <w:szCs w:val="16"/>
          <w:color w:val="auto"/>
        </w:rPr>
      </w:pPr>
    </w:p>
    <w:p>
      <w:pPr>
        <w:ind w:right="200" w:firstLine="436"/>
        <w:spacing w:after="0" w:line="277"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9" w:name="page30"/>
    <w:bookmarkEnd w:id="29"/>
    <w:p>
      <w:pPr>
        <w:jc w:val="both"/>
        <w:ind w:right="3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30" w:name="page31"/>
    <w:bookmarkEnd w:id="30"/>
    <w:p>
      <w:pPr>
        <w:ind w:left="4"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Unless the Board of Directors otherwise provides, the Chairman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7"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70"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Corporate Records</w:t>
      </w:r>
      <w:r>
        <w:rPr>
          <w:rFonts w:ascii="Arial" w:cs="Arial" w:eastAsia="Arial" w:hAnsi="Arial"/>
          <w:sz w:val="16"/>
          <w:szCs w:val="16"/>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57"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70"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Exclusive Jurisdiction of Delaware Courts or the United States Federal District Courts.</w:t>
      </w:r>
      <w:r>
        <w:rPr>
          <w:rFonts w:ascii="Arial" w:cs="Arial" w:eastAsia="Arial" w:hAnsi="Arial"/>
          <w:sz w:val="16"/>
          <w:szCs w:val="16"/>
          <w:color w:val="auto"/>
        </w:rPr>
        <w:t xml:space="preserve"> Unless the Corporation consents in writing to the selection of an alternative forum, the Court of Chancery of the State of Delaware shall be the sole and exclusive forum for any state law claims for</w:t>
      </w:r>
    </w:p>
    <w:p>
      <w:pPr>
        <w:ind w:left="4" w:hanging="4"/>
        <w:spacing w:after="0" w:line="281" w:lineRule="auto"/>
        <w:tabs>
          <w:tab w:leader="none" w:pos="21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the Corporation, (ii) any action asserting a claim of, or a claim based on, a breach of a fiduciary duty owed by any current or former director, officer or other employee of the Corporation to the Corporation or the Corporation’s stockholders,</w:t>
      </w:r>
    </w:p>
    <w:p>
      <w:pPr>
        <w:spacing w:after="0" w:line="1" w:lineRule="exact"/>
        <w:rPr>
          <w:rFonts w:ascii="Arial" w:cs="Arial" w:eastAsia="Arial" w:hAnsi="Arial"/>
          <w:sz w:val="16"/>
          <w:szCs w:val="16"/>
          <w:color w:val="auto"/>
        </w:rPr>
      </w:pPr>
    </w:p>
    <w:p>
      <w:pPr>
        <w:ind w:left="4" w:right="100" w:hanging="4"/>
        <w:spacing w:after="0" w:line="252" w:lineRule="auto"/>
        <w:tabs>
          <w:tab w:leader="none" w:pos="3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or the Certificate or Bylaws (including the interpretation, validity or enforceability thereof), or (iv) any action asserting a claim governed by the internal affairs doctrine.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9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9. Amendment of By-laws.</w:t>
      </w:r>
    </w:p>
    <w:p>
      <w:pPr>
        <w:spacing w:after="0" w:line="225" w:lineRule="exact"/>
        <w:rPr>
          <w:sz w:val="20"/>
          <w:szCs w:val="20"/>
          <w:color w:val="auto"/>
        </w:rPr>
      </w:pPr>
    </w:p>
    <w:p>
      <w:pPr>
        <w:ind w:left="4" w:right="160" w:firstLine="436"/>
        <w:spacing w:after="0" w:line="277" w:lineRule="auto"/>
        <w:tabs>
          <w:tab w:leader="none" w:pos="68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these By-laws may be amended or repealed by the Board of Directors by the affirmative vote of a majority of the directors then in office.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1" w:name="page32"/>
    <w:bookmarkEnd w:id="31"/>
    <w:p>
      <w:pPr>
        <w:ind w:right="100" w:firstLine="436"/>
        <w:spacing w:after="0" w:line="293"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by Stockholders</w:t>
      </w:r>
      <w:r>
        <w:rPr>
          <w:rFonts w:ascii="Arial" w:cs="Arial" w:eastAsia="Arial" w:hAnsi="Arial"/>
          <w:sz w:val="16"/>
          <w:szCs w:val="16"/>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6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Notices</w:t>
      </w:r>
      <w:r>
        <w:rPr>
          <w:rFonts w:ascii="Arial" w:cs="Arial" w:eastAsia="Arial" w:hAnsi="Arial"/>
          <w:sz w:val="16"/>
          <w:szCs w:val="16"/>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49"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October 14,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Binney St,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16,911,681 shares (the “Shares”) of Common Stock, $0.001 par value per share (“Common Stock”), of Tango Therapeutics, Inc., a Delaware corporation (the “Company”), that may be issued pursuant to the Company’s 2017 Stock Option and Grant Plan, 2021 Stock Option and Incentive Plan, and 2021 Employee Stock Purchase Plan (collectively, the “Plans”).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Tango Therapeutics, Inc. of our report dated April 12, 2021, relating to the financial statements of Tango Therapeutics, Inc., which appears in Tango Therapeutics, Inc.’s Registration Statement on Form S-1 (File No. 333-259448).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14, 2021</w:t>
      </w:r>
    </w:p>
    <w:p>
      <w:pPr>
        <w:sectPr>
          <w:pgSz w:w="11900" w:h="16838" w:orient="portrait"/>
          <w:cols w:equalWidth="0" w:num="1">
            <w:col w:w="11020"/>
          </w:cols>
          <w:pgMar w:left="440"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31, 2021, relating to the financial statements of BCTG Acquisition Corp. appearing in entity’s Annual Report on Form 10-K as of December 31, 2020, and for the period from May 21, 2020 (inception) through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14, 2021</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ind w:left="4224"/>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ind w:left="3784"/>
        <w:spacing w:after="0"/>
        <w:rPr>
          <w:sz w:val="20"/>
          <w:szCs w:val="20"/>
          <w:color w:val="auto"/>
        </w:rPr>
      </w:pPr>
      <w:r>
        <w:rPr>
          <w:rFonts w:ascii="Arial" w:cs="Arial" w:eastAsia="Arial" w:hAnsi="Arial"/>
          <w:sz w:val="18"/>
          <w:szCs w:val="18"/>
          <w:b w:val="1"/>
          <w:bCs w:val="1"/>
          <w:color w:val="auto"/>
        </w:rPr>
        <w:t>2017 STOCK OPTION AND GRANT PLAN</w:t>
      </w:r>
    </w:p>
    <w:p>
      <w:pPr>
        <w:spacing w:after="0" w:line="256"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GENERAL PURPOSE OF THE PLAN; DEFINITIONS</w:t>
      </w:r>
    </w:p>
    <w:p>
      <w:pPr>
        <w:spacing w:after="0" w:line="117"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name of the plan is the Tango Therapeutics, Inc. 2017 Stock Option and Grant Plan (the “</w:t>
      </w:r>
      <w:r>
        <w:rPr>
          <w:rFonts w:ascii="Arial" w:cs="Arial" w:eastAsia="Arial" w:hAnsi="Arial"/>
          <w:sz w:val="18"/>
          <w:szCs w:val="18"/>
          <w:i w:val="1"/>
          <w:iCs w:val="1"/>
          <w:color w:val="auto"/>
        </w:rPr>
        <w:t>Plan</w:t>
      </w:r>
      <w:r>
        <w:rPr>
          <w:rFonts w:ascii="Arial" w:cs="Arial" w:eastAsia="Arial" w:hAnsi="Arial"/>
          <w:sz w:val="18"/>
          <w:szCs w:val="18"/>
          <w:color w:val="auto"/>
        </w:rPr>
        <w:t>”). The purpose of the Plan is to encourage and enable the officers, employees, directors, Consultants and other key persons of Tango Therapeutics, Inc., a Delaware corporation (including any successor entity, the “</w:t>
      </w:r>
      <w:r>
        <w:rPr>
          <w:rFonts w:ascii="Arial" w:cs="Arial" w:eastAsia="Arial" w:hAnsi="Arial"/>
          <w:sz w:val="18"/>
          <w:szCs w:val="18"/>
          <w:i w:val="1"/>
          <w:iCs w:val="1"/>
          <w:color w:val="auto"/>
        </w:rPr>
        <w:t>Company</w:t>
      </w:r>
      <w:r>
        <w:rPr>
          <w:rFonts w:ascii="Arial" w:cs="Arial" w:eastAsia="Arial" w:hAnsi="Arial"/>
          <w:sz w:val="18"/>
          <w:szCs w:val="18"/>
          <w:color w:val="auto"/>
        </w:rPr>
        <w:t>”) and its Subsidiaries, upon whose judgment, initiative and efforts the Company largely depends for the successful conduct of its business, to acquire a proprietary interest in the Company.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7" w:lineRule="exact"/>
        <w:rPr>
          <w:sz w:val="20"/>
          <w:szCs w:val="20"/>
          <w:color w:val="auto"/>
        </w:rPr>
      </w:pPr>
    </w:p>
    <w:p>
      <w:pPr>
        <w:jc w:val="center"/>
        <w:ind w:right="61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or “</w:t>
      </w:r>
      <w:r>
        <w:rPr>
          <w:rFonts w:ascii="Arial" w:cs="Arial" w:eastAsia="Arial" w:hAnsi="Arial"/>
          <w:sz w:val="17"/>
          <w:szCs w:val="17"/>
          <w:i w:val="1"/>
          <w:iCs w:val="1"/>
          <w:color w:val="auto"/>
        </w:rPr>
        <w:t>Awards,</w:t>
      </w:r>
      <w:r>
        <w:rPr>
          <w:rFonts w:ascii="Arial" w:cs="Arial" w:eastAsia="Arial" w:hAnsi="Arial"/>
          <w:sz w:val="17"/>
          <w:szCs w:val="17"/>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46"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 written or electronic agreement setting forth the terms and provisions applicable to an Award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Award Agreement may contain terms and conditions in addition to those set forth in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in the event of any conflict in the terms of the Plan and the Award Agreement, the terms of the Plan shall govern</w:t>
      </w:r>
      <w:r>
        <w:rPr>
          <w:rFonts w:ascii="Arial" w:cs="Arial" w:eastAsia="Arial" w:hAnsi="Arial"/>
          <w:sz w:val="18"/>
          <w:szCs w:val="18"/>
          <w:b w:val="1"/>
          <w:bCs w:val="1"/>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 w:right="3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w:t>
      </w:r>
    </w:p>
    <w:p>
      <w:pPr>
        <w:spacing w:after="0" w:line="2" w:lineRule="exact"/>
        <w:rPr>
          <w:sz w:val="20"/>
          <w:szCs w:val="20"/>
          <w:color w:val="auto"/>
        </w:rPr>
      </w:pPr>
    </w:p>
    <w:p>
      <w:pPr>
        <w:ind w:left="4" w:right="40" w:hanging="4"/>
        <w:spacing w:after="0" w:line="253" w:lineRule="auto"/>
        <w:tabs>
          <w:tab w:leader="none" w:pos="2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ectPr>
          <w:pgSz w:w="11900" w:h="16838" w:orient="portrait"/>
          <w:cols w:equalWidth="0" w:num="1">
            <w:col w:w="11024"/>
          </w:cols>
          <w:pgMar w:left="436" w:top="121" w:right="439" w:bottom="1440" w:gutter="0" w:footer="0" w:header="0"/>
        </w:sectPr>
      </w:pPr>
    </w:p>
    <w:bookmarkStart w:id="36" w:name="page37"/>
    <w:bookmarkEnd w:id="36"/>
    <w:p>
      <w:pPr>
        <w:ind w:right="10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“Chief Executive Officer” </w:t>
      </w:r>
      <w:r>
        <w:rPr>
          <w:rFonts w:ascii="Arial" w:cs="Arial" w:eastAsia="Arial" w:hAnsi="Arial"/>
          <w:sz w:val="18"/>
          <w:szCs w:val="18"/>
          <w:color w:val="auto"/>
        </w:rPr>
        <w:t>means the Chief Executive Officer of the Company or, if there is no Chief Executive Officer, then the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and any successor Code, and related rules, regulations and interpretations.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of the Board referred to in Section 2.</w:t>
      </w:r>
    </w:p>
    <w:p>
      <w:pPr>
        <w:spacing w:after="0" w:line="22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(including a Subsidiary), and such services are not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offer or sale of securities in a capital-raising transaction and do not directly or indirectly promote or maintain a market for the Company’s securities.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as defined in Section 422(c)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Plan is adopted as set forth on the final page of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64"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i w:val="1"/>
          <w:iCs w:val="1"/>
          <w:color w:val="auto"/>
        </w:rPr>
        <w:t xml:space="preserve">“Good Reason” </w:t>
      </w:r>
      <w:r>
        <w:rPr>
          <w:rFonts w:ascii="Arial" w:cs="Arial" w:eastAsia="Arial" w:hAnsi="Arial"/>
          <w:sz w:val="17"/>
          <w:szCs w:val="17"/>
          <w:color w:val="auto"/>
        </w:rPr>
        <w:t>shall have the meaning as set forth in the Award Agreement(s). In the case that any Award Agreement does not contain a</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ninety (90) days notice to the Company following the initial occurrence of any such event and the Company fails to cure such event within thirty (30) days thereafter.</w:t>
      </w:r>
    </w:p>
    <w:p>
      <w:pPr>
        <w:spacing w:after="0" w:line="17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with respect to an Award or any Shares, the Person holding such Award or Shares, including the initial recipient of the Award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Permitted Transferee.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37" w:name="page38"/>
    <w:bookmarkEnd w:id="3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any Stock Option designated and qualified as an “incentive stock option” as defined in Section 422 of the Code.</w:t>
      </w:r>
    </w:p>
    <w:p>
      <w:pPr>
        <w:spacing w:after="0" w:line="24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or “</w:t>
      </w:r>
      <w:r>
        <w:rPr>
          <w:rFonts w:ascii="Arial" w:cs="Arial" w:eastAsia="Arial" w:hAnsi="Arial"/>
          <w:sz w:val="18"/>
          <w:szCs w:val="18"/>
          <w:i w:val="1"/>
          <w:iCs w:val="1"/>
          <w:color w:val="auto"/>
        </w:rPr>
        <w:t>Stock Option</w:t>
      </w:r>
      <w:r>
        <w:rPr>
          <w:rFonts w:ascii="Arial" w:cs="Arial" w:eastAsia="Arial" w:hAnsi="Arial"/>
          <w:sz w:val="18"/>
          <w:szCs w:val="18"/>
          <w:color w:val="auto"/>
        </w:rPr>
        <w:t>” means any option to purchase shares of Stock granted pursuant to Section 5.</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Transferees</w:t>
      </w:r>
      <w:r>
        <w:rPr>
          <w:rFonts w:ascii="Arial" w:cs="Arial" w:eastAsia="Arial" w:hAnsi="Arial"/>
          <w:sz w:val="17"/>
          <w:szCs w:val="17"/>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Arial" w:cs="Arial" w:eastAsia="Arial" w:hAnsi="Arial"/>
          <w:sz w:val="17"/>
          <w:szCs w:val="17"/>
          <w:i w:val="1"/>
          <w:iCs w:val="1"/>
          <w:color w:val="auto"/>
        </w:rPr>
        <w:t>; provided, however,</w:t>
      </w:r>
      <w:r>
        <w:rPr>
          <w:rFonts w:ascii="Arial" w:cs="Arial" w:eastAsia="Arial" w:hAnsi="Arial"/>
          <w:sz w:val="17"/>
          <w:szCs w:val="17"/>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78"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“Restricted Stock Award” </w:t>
      </w:r>
      <w:r>
        <w:rPr>
          <w:rFonts w:ascii="Arial" w:cs="Arial" w:eastAsia="Arial" w:hAnsi="Arial"/>
          <w:sz w:val="16"/>
          <w:szCs w:val="16"/>
          <w:color w:val="auto"/>
        </w:rPr>
        <w:t>means Awards granted pursuant to Section 6 and</w:t>
      </w:r>
      <w:r>
        <w:rPr>
          <w:rFonts w:ascii="Arial" w:cs="Arial" w:eastAsia="Arial" w:hAnsi="Arial"/>
          <w:sz w:val="16"/>
          <w:szCs w:val="16"/>
          <w:i w:val="1"/>
          <w:iCs w:val="1"/>
          <w:color w:val="auto"/>
        </w:rPr>
        <w:t xml:space="preserve"> “Restricted Stock” </w:t>
      </w:r>
      <w:r>
        <w:rPr>
          <w:rFonts w:ascii="Arial" w:cs="Arial" w:eastAsia="Arial" w:hAnsi="Arial"/>
          <w:sz w:val="16"/>
          <w:szCs w:val="16"/>
          <w:color w:val="auto"/>
        </w:rPr>
        <w:t>means Shares issued pursuant to such Awards.</w:t>
      </w:r>
    </w:p>
    <w:p>
      <w:pPr>
        <w:spacing w:after="0" w:line="248"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an Award of phantom stock units to a grantee, which may be settled in cash or Shares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pursuant to Section 8.</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Event”</w:t>
      </w:r>
      <w:r>
        <w:rPr>
          <w:rFonts w:ascii="Arial" w:cs="Arial" w:eastAsia="Arial" w:hAnsi="Arial"/>
          <w:sz w:val="17"/>
          <w:szCs w:val="17"/>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(v) a Deemed Liquidation Event (as defined in the Company’s Certificate of Incorporation (as may be amended, restated or otherwise modified from time to time)), or (vi) any other acquisition of the business of the Company, as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thereunder.</w:t>
      </w:r>
    </w:p>
    <w:p>
      <w:pPr>
        <w:spacing w:after="0" w:line="22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 full-time employee, part-time employee, director or other key person (including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any Subsidiary or any successor entity (e.g., a Service 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shares of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or other entity (other than the Company) in which the Company has more than a 50 percent interest, either directly or indirectly.</w:t>
      </w:r>
    </w:p>
    <w:p>
      <w:pPr>
        <w:spacing w:after="0" w:line="170"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10 percent of the combined voting power of all classes of stock of the Company or any parent of the Company or any Subsidiary.</w:t>
      </w:r>
    </w:p>
    <w:p>
      <w:pPr>
        <w:spacing w:after="0" w:line="146"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i w:val="1"/>
          <w:iCs w:val="1"/>
          <w:color w:val="auto"/>
        </w:rPr>
        <w:t xml:space="preserve">“Termination Event” </w:t>
      </w:r>
      <w:r>
        <w:rPr>
          <w:rFonts w:ascii="Arial" w:cs="Arial" w:eastAsia="Arial" w:hAnsi="Arial"/>
          <w:sz w:val="16"/>
          <w:szCs w:val="16"/>
          <w:color w:val="auto"/>
        </w:rPr>
        <w:t>means the termination of the Award recipient’s Service Relationship with the Company and its Subsidiaries for any reason</w:t>
      </w:r>
      <w:r>
        <w:rPr>
          <w:rFonts w:ascii="Arial" w:cs="Arial" w:eastAsia="Arial" w:hAnsi="Arial"/>
          <w:sz w:val="16"/>
          <w:szCs w:val="16"/>
          <w:i w:val="1"/>
          <w:iCs w:val="1"/>
          <w:color w:val="auto"/>
        </w:rPr>
        <w:t xml:space="preserve"> </w:t>
      </w:r>
      <w:r>
        <w:rPr>
          <w:rFonts w:ascii="Arial" w:cs="Arial" w:eastAsia="Arial" w:hAnsi="Arial"/>
          <w:sz w:val="16"/>
          <w:szCs w:val="16"/>
          <w:color w:val="auto"/>
        </w:rPr>
        <w:t>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6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Stock Award”</w:t>
      </w:r>
      <w:r>
        <w:rPr>
          <w:rFonts w:ascii="Arial" w:cs="Arial" w:eastAsia="Arial" w:hAnsi="Arial"/>
          <w:sz w:val="18"/>
          <w:szCs w:val="18"/>
          <w:color w:val="auto"/>
        </w:rPr>
        <w:t xml:space="preserve"> means any Award granted pursuant to Section 7 and </w:t>
      </w:r>
      <w:r>
        <w:rPr>
          <w:rFonts w:ascii="Arial" w:cs="Arial" w:eastAsia="Arial" w:hAnsi="Arial"/>
          <w:sz w:val="18"/>
          <w:szCs w:val="18"/>
          <w:i w:val="1"/>
          <w:iCs w:val="1"/>
          <w:color w:val="auto"/>
        </w:rPr>
        <w:t>“Unrestricted Stock”</w:t>
      </w:r>
      <w:r>
        <w:rPr>
          <w:rFonts w:ascii="Arial" w:cs="Arial" w:eastAsia="Arial" w:hAnsi="Arial"/>
          <w:sz w:val="18"/>
          <w:szCs w:val="18"/>
          <w:color w:val="auto"/>
        </w:rPr>
        <w:t xml:space="preserve"> means Shares issued pursuant to such Awards.</w:t>
      </w:r>
    </w:p>
    <w:p>
      <w:pPr>
        <w:spacing w:after="0" w:line="3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ADMINISTRATION OF PLAN; COMMITTEE AUTHORITY TO SELECT GRANTEES AND DETERMINE AWARDS</w:t>
      </w:r>
    </w:p>
    <w:p>
      <w:pPr>
        <w:spacing w:after="0" w:line="117" w:lineRule="exact"/>
        <w:rPr>
          <w:sz w:val="20"/>
          <w:szCs w:val="20"/>
          <w:color w:val="auto"/>
        </w:rPr>
      </w:pPr>
    </w:p>
    <w:p>
      <w:pPr>
        <w:ind w:right="20" w:firstLine="436"/>
        <w:spacing w:after="0" w:line="286" w:lineRule="auto"/>
        <w:tabs>
          <w:tab w:leader="none" w:pos="68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Administration of Plan</w:t>
      </w:r>
      <w:r>
        <w:rPr>
          <w:rFonts w:ascii="Arial" w:cs="Arial" w:eastAsia="Arial" w:hAnsi="Arial"/>
          <w:sz w:val="17"/>
          <w:szCs w:val="17"/>
          <w:color w:val="auto"/>
        </w:rPr>
        <w:t>. The Plan shall be administered by the Board, or at the discretion of the Board, by a committee of the Board, comprised of not less than two (2)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9" w:name="page40"/>
    <w:bookmarkEnd w:id="39"/>
    <w:p>
      <w:pPr>
        <w:ind w:right="120" w:firstLine="436"/>
        <w:spacing w:after="0" w:line="27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Powers of Committee</w:t>
      </w:r>
      <w:r>
        <w:rPr>
          <w:rFonts w:ascii="Arial" w:cs="Arial" w:eastAsia="Arial" w:hAnsi="Arial"/>
          <w:sz w:val="18"/>
          <w:szCs w:val="18"/>
          <w:color w:val="auto"/>
        </w:rPr>
        <w:t>. The Committee shall have the power and authority to grant Awards consistent with the terms of the Plan, including the power and authority:</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right="240" w:firstLine="987"/>
        <w:spacing w:after="0" w:line="342" w:lineRule="auto"/>
        <w:tabs>
          <w:tab w:leader="none" w:pos="1256"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123" w:lineRule="exact"/>
        <w:rPr>
          <w:rFonts w:ascii="Arial" w:cs="Arial" w:eastAsia="Arial" w:hAnsi="Arial"/>
          <w:sz w:val="16"/>
          <w:szCs w:val="16"/>
          <w:color w:val="auto"/>
        </w:rPr>
      </w:pPr>
    </w:p>
    <w:p>
      <w:pPr>
        <w:ind w:right="340" w:firstLine="987"/>
        <w:spacing w:after="0" w:line="277" w:lineRule="auto"/>
        <w:tabs>
          <w:tab w:leader="none" w:pos="130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any Award and, subject to the provisions of the Plan, the price, exercise price, conversion ratio or other price relating thereto;</w:t>
      </w:r>
    </w:p>
    <w:p>
      <w:pPr>
        <w:spacing w:after="0" w:line="170" w:lineRule="exact"/>
        <w:rPr>
          <w:rFonts w:ascii="Arial" w:cs="Arial" w:eastAsia="Arial" w:hAnsi="Arial"/>
          <w:sz w:val="18"/>
          <w:szCs w:val="18"/>
          <w:color w:val="auto"/>
        </w:rPr>
      </w:pPr>
    </w:p>
    <w:p>
      <w:pPr>
        <w:ind w:right="160" w:firstLine="987"/>
        <w:spacing w:after="0" w:line="263" w:lineRule="auto"/>
        <w:tabs>
          <w:tab w:leader="none" w:pos="12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225" w:lineRule="exact"/>
        <w:rPr>
          <w:rFonts w:ascii="Arial" w:cs="Arial" w:eastAsia="Arial" w:hAnsi="Arial"/>
          <w:sz w:val="18"/>
          <w:szCs w:val="18"/>
          <w:color w:val="auto"/>
        </w:rPr>
      </w:pPr>
    </w:p>
    <w:p>
      <w:pPr>
        <w:ind w:right="60" w:firstLine="987"/>
        <w:spacing w:after="0" w:line="277" w:lineRule="auto"/>
        <w:tabs>
          <w:tab w:leader="none" w:pos="12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impose any limitations on Awards, including limitations on transfers, repurchase provisions and the like, and to exercise repurchase rights or obligations;</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subject to Section 5(a)(ii) and any restrictions imposed by Section 409A, to extend at any time the period in which Stock Options may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exercised; and</w:t>
      </w:r>
    </w:p>
    <w:p>
      <w:pPr>
        <w:spacing w:after="0" w:line="210" w:lineRule="exact"/>
        <w:rPr>
          <w:rFonts w:ascii="Arial" w:cs="Arial" w:eastAsia="Arial" w:hAnsi="Arial"/>
          <w:sz w:val="16"/>
          <w:szCs w:val="16"/>
          <w:color w:val="auto"/>
        </w:rPr>
      </w:pPr>
    </w:p>
    <w:p>
      <w:pPr>
        <w:jc w:val="both"/>
        <w:ind w:right="420" w:firstLine="987"/>
        <w:spacing w:after="0" w:line="259" w:lineRule="auto"/>
        <w:tabs>
          <w:tab w:leader="none" w:pos="13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decisions and interpretations of the Committee shall be binding on all persons, including the Company and all Holders.</w:t>
      </w:r>
    </w:p>
    <w:p>
      <w:pPr>
        <w:spacing w:after="0" w:line="225" w:lineRule="exact"/>
        <w:rPr>
          <w:sz w:val="20"/>
          <w:szCs w:val="20"/>
          <w:color w:val="auto"/>
        </w:rPr>
      </w:pPr>
    </w:p>
    <w:p>
      <w:pPr>
        <w:ind w:firstLine="436"/>
        <w:spacing w:after="0" w:line="273" w:lineRule="auto"/>
        <w:tabs>
          <w:tab w:leader="none" w:pos="68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Options</w:t>
      </w:r>
      <w:r>
        <w:rPr>
          <w:rFonts w:ascii="Arial" w:cs="Arial" w:eastAsia="Arial" w:hAnsi="Arial"/>
          <w:sz w:val="17"/>
          <w:szCs w:val="17"/>
          <w:color w:val="auto"/>
        </w:rPr>
        <w:t>. Subject to applicable law, the Committee, in its discretion, may delegate to the Chief Executive Officer of the Company the power to designate non-officer employees to be recipients of Options, and to determine the number of such Options to be received by such employees; provided, however, that the resolution so authorizing the Chief Executive Officer shall specify the total number of Options the Chief Executive Officer may so award and may not delegate to the Chief Executive Officer the authority to set the exercise price or the vesting terms of such Options. Any such delegation by the Committee shall also provide that the Chief Executive Officer may not grant Awards to himself or herself (or other officers) without the approval of the Committee. The Committee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revoke or amend the terms of a delegation at any time but such action shall not invalidate any prior actions of the Committee’s delegate or delegates that were consistent with the terms of the Plan.</w:t>
      </w:r>
    </w:p>
    <w:p>
      <w:pPr>
        <w:spacing w:after="0" w:line="170" w:lineRule="exact"/>
        <w:rPr>
          <w:sz w:val="20"/>
          <w:szCs w:val="20"/>
          <w:color w:val="auto"/>
        </w:rPr>
      </w:pPr>
    </w:p>
    <w:p>
      <w:pPr>
        <w:ind w:left="700" w:hanging="264"/>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Award Agreement</w:t>
      </w:r>
      <w:r>
        <w:rPr>
          <w:rFonts w:ascii="Arial" w:cs="Arial" w:eastAsia="Arial" w:hAnsi="Arial"/>
          <w:sz w:val="16"/>
          <w:szCs w:val="16"/>
          <w:color w:val="auto"/>
        </w:rPr>
        <w:t>. Awards under the Plan shall be evidenced by Award Agreements that set forth the terms, conditions and limitations for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color w:val="auto"/>
        </w:rPr>
      </w:pPr>
    </w:p>
    <w:p>
      <w:pPr>
        <w:ind w:right="20" w:firstLine="436"/>
        <w:spacing w:after="0" w:line="254"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(each, as may be amended, restated, or otherwise modified from time to time), or any directors’ and officers’ liability insurance coverage which may be in effect from time to time and/or any indemnification agreement between such individual and the Company.</w:t>
      </w:r>
    </w:p>
    <w:p>
      <w:pPr>
        <w:spacing w:after="0" w:line="194" w:lineRule="exact"/>
        <w:rPr>
          <w:rFonts w:ascii="Arial" w:cs="Arial" w:eastAsia="Arial" w:hAnsi="Arial"/>
          <w:sz w:val="18"/>
          <w:szCs w:val="18"/>
          <w:color w:val="auto"/>
        </w:rPr>
      </w:pPr>
    </w:p>
    <w:p>
      <w:pPr>
        <w:ind w:right="120" w:firstLine="436"/>
        <w:spacing w:after="0" w:line="270" w:lineRule="auto"/>
        <w:tabs>
          <w:tab w:leader="none" w:pos="66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Foreign Award Recipients</w:t>
      </w:r>
      <w:r>
        <w:rPr>
          <w:rFonts w:ascii="Arial" w:cs="Arial" w:eastAsia="Arial" w:hAnsi="Arial"/>
          <w:sz w:val="17"/>
          <w:szCs w:val="17"/>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STOCK ISSUABLE UNDER THE PLAN; MERGERS AND OTHER TRANSACTIONS; SUBSTITUTION</w:t>
      </w:r>
    </w:p>
    <w:p>
      <w:pPr>
        <w:spacing w:after="0" w:line="117" w:lineRule="exact"/>
        <w:rPr>
          <w:sz w:val="20"/>
          <w:szCs w:val="20"/>
          <w:color w:val="auto"/>
        </w:rPr>
      </w:pPr>
    </w:p>
    <w:p>
      <w:pPr>
        <w:ind w:right="100" w:firstLine="436"/>
        <w:spacing w:after="0" w:line="290" w:lineRule="auto"/>
        <w:tabs>
          <w:tab w:leader="none" w:pos="68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reserved and available for issuance under the Plan shall be 10,000,000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10,000,000 Shares shall be granted to any one individual in any calendar year period.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1" w:name="page42"/>
    <w:bookmarkEnd w:id="41"/>
    <w:p>
      <w:pPr>
        <w:ind w:left="4" w:firstLine="436"/>
        <w:spacing w:after="0" w:line="284" w:lineRule="auto"/>
        <w:tabs>
          <w:tab w:leader="none" w:pos="699"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w:t>
      </w:r>
    </w:p>
    <w:p>
      <w:pPr>
        <w:ind w:left="4" w:right="100" w:hanging="4"/>
        <w:spacing w:after="0" w:line="273" w:lineRule="auto"/>
        <w:tabs>
          <w:tab w:leader="none" w:pos="30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exercise price for each Share subject to any then outstanding Stock Options under the Plan, without changing the aggregate exercise price (i.e., the per share exercise price multiplied by the number of shares underlying such Stock Options) as to which such Stock Options remain exercisable.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176" w:lineRule="exact"/>
        <w:rPr>
          <w:rFonts w:ascii="Arial" w:cs="Arial" w:eastAsia="Arial" w:hAnsi="Arial"/>
          <w:sz w:val="17"/>
          <w:szCs w:val="17"/>
          <w:color w:val="auto"/>
        </w:rPr>
      </w:pPr>
    </w:p>
    <w:p>
      <w:pPr>
        <w:ind w:left="684" w:hanging="244"/>
        <w:spacing w:after="0"/>
        <w:tabs>
          <w:tab w:leader="none" w:pos="68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Sale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4" w:hanging="213"/>
        <w:spacing w:after="0"/>
        <w:tabs>
          <w:tab w:leader="none" w:pos="1204"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4" w:right="400" w:firstLine="408"/>
        <w:spacing w:after="0" w:line="275" w:lineRule="auto"/>
        <w:tabs>
          <w:tab w:leader="none" w:pos="1680" w:val="left"/>
        </w:tabs>
        <w:numPr>
          <w:ilvl w:val="3"/>
          <w:numId w:val="34"/>
        </w:numPr>
        <w:rPr>
          <w:rFonts w:ascii="Arial" w:cs="Arial" w:eastAsia="Arial" w:hAnsi="Arial"/>
          <w:sz w:val="17"/>
          <w:szCs w:val="17"/>
          <w:color w:val="auto"/>
        </w:rPr>
      </w:pPr>
      <w:r>
        <w:rPr>
          <w:rFonts w:ascii="Arial" w:cs="Arial" w:eastAsia="Arial" w:hAnsi="Arial"/>
          <w:sz w:val="17"/>
          <w:szCs w:val="17"/>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68" w:lineRule="exact"/>
        <w:rPr>
          <w:rFonts w:ascii="Arial" w:cs="Arial" w:eastAsia="Arial" w:hAnsi="Arial"/>
          <w:sz w:val="17"/>
          <w:szCs w:val="17"/>
          <w:color w:val="auto"/>
        </w:rPr>
      </w:pPr>
    </w:p>
    <w:p>
      <w:pPr>
        <w:jc w:val="both"/>
        <w:ind w:left="984" w:right="80" w:firstLine="408"/>
        <w:spacing w:after="0" w:line="301" w:lineRule="auto"/>
        <w:tabs>
          <w:tab w:leader="none" w:pos="1670" w:val="left"/>
        </w:tabs>
        <w:numPr>
          <w:ilvl w:val="3"/>
          <w:numId w:val="34"/>
        </w:numPr>
        <w:rPr>
          <w:rFonts w:ascii="Arial" w:cs="Arial" w:eastAsia="Arial" w:hAnsi="Arial"/>
          <w:sz w:val="16"/>
          <w:szCs w:val="16"/>
          <w:color w:val="auto"/>
        </w:rPr>
      </w:pPr>
      <w:r>
        <w:rPr>
          <w:rFonts w:ascii="Arial" w:cs="Arial" w:eastAsia="Arial" w:hAnsi="Arial"/>
          <w:sz w:val="16"/>
          <w:szCs w:val="16"/>
          <w:color w:val="auto"/>
        </w:rPr>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exercise of Options not exercisable prior to the Sale Event shall be subject to the consummation of the Sale Event.</w:t>
      </w:r>
    </w:p>
    <w:p>
      <w:pPr>
        <w:spacing w:after="0" w:line="49" w:lineRule="exact"/>
        <w:rPr>
          <w:rFonts w:ascii="Arial" w:cs="Arial" w:eastAsia="Arial" w:hAnsi="Arial"/>
          <w:sz w:val="16"/>
          <w:szCs w:val="16"/>
          <w:color w:val="auto"/>
        </w:rPr>
      </w:pPr>
    </w:p>
    <w:p>
      <w:pPr>
        <w:ind w:left="984" w:right="260" w:firstLine="408"/>
        <w:spacing w:after="0" w:line="277" w:lineRule="auto"/>
        <w:tabs>
          <w:tab w:leader="none" w:pos="1670" w:val="left"/>
        </w:tabs>
        <w:numPr>
          <w:ilvl w:val="3"/>
          <w:numId w:val="34"/>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3(c)(i)(A), in the event of a Sale Event, the Company shall have the right, but not the obligation, to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42" w:name="page43"/>
    <w:bookmarkEnd w:id="42"/>
    <w:p>
      <w:pPr>
        <w:ind w:left="980"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w:t>
      </w:r>
      <w:r>
        <w:rPr>
          <w:rFonts w:ascii="Arial" w:cs="Arial" w:eastAsia="Arial" w:hAnsi="Arial"/>
          <w:sz w:val="17"/>
          <w:szCs w:val="17"/>
          <w:i w:val="1"/>
          <w:iCs w:val="1"/>
          <w:color w:val="auto"/>
        </w:rPr>
        <w:t>Sale Price</w:t>
      </w:r>
      <w:r>
        <w:rPr>
          <w:rFonts w:ascii="Arial" w:cs="Arial" w:eastAsia="Arial" w:hAnsi="Arial"/>
          <w:sz w:val="17"/>
          <w:szCs w:val="17"/>
          <w:color w:val="auto"/>
        </w:rPr>
        <w:t>”)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76" w:lineRule="exact"/>
        <w:rPr>
          <w:sz w:val="20"/>
          <w:szCs w:val="20"/>
          <w:color w:val="auto"/>
        </w:rPr>
      </w:pPr>
    </w:p>
    <w:p>
      <w:pPr>
        <w:ind w:left="1260" w:hanging="27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00" w:firstLine="408"/>
        <w:spacing w:after="0" w:line="296" w:lineRule="auto"/>
        <w:tabs>
          <w:tab w:leader="none" w:pos="1676"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case of and subject to the consummation of a Sale Event, all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53" w:lineRule="exact"/>
        <w:rPr>
          <w:rFonts w:ascii="Arial" w:cs="Arial" w:eastAsia="Arial" w:hAnsi="Arial"/>
          <w:sz w:val="16"/>
          <w:szCs w:val="16"/>
          <w:color w:val="auto"/>
        </w:rPr>
      </w:pPr>
    </w:p>
    <w:p>
      <w:pPr>
        <w:jc w:val="both"/>
        <w:ind w:left="980" w:firstLine="408"/>
        <w:spacing w:after="0" w:line="259" w:lineRule="auto"/>
        <w:tabs>
          <w:tab w:leader="none" w:pos="1666"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event of the forfeiture of Restricted Stock pursuant to Section 3(c)(ii)(A), such Restricted Stock shall be repurchased from the Holder thereof at a price per share equal to the lower of the original per share purchase price paid by the Holder (subject to adjustment as provided in Section 3(b)) or the current Fair Market Value of such Shares, determined immediately prior to the effective time of the Sale Event.</w:t>
      </w:r>
    </w:p>
    <w:p>
      <w:pPr>
        <w:spacing w:after="0" w:line="78" w:lineRule="exact"/>
        <w:rPr>
          <w:rFonts w:ascii="Arial" w:cs="Arial" w:eastAsia="Arial" w:hAnsi="Arial"/>
          <w:sz w:val="18"/>
          <w:szCs w:val="18"/>
          <w:color w:val="auto"/>
        </w:rPr>
      </w:pPr>
    </w:p>
    <w:p>
      <w:pPr>
        <w:ind w:left="980" w:firstLine="408"/>
        <w:spacing w:after="0" w:line="279" w:lineRule="auto"/>
        <w:tabs>
          <w:tab w:leader="none" w:pos="1666" w:val="left"/>
        </w:tabs>
        <w:numPr>
          <w:ilvl w:val="1"/>
          <w:numId w:val="35"/>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3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u w:val="single" w:color="auto"/>
          <w:color w:val="auto"/>
        </w:rPr>
        <w:t>ELIGIBILITY</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shall be granted only to those individuals described in Rule 701(c) of the Securities Act.</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STOCK OPTIONS</w:t>
      </w:r>
    </w:p>
    <w:p>
      <w:pPr>
        <w:spacing w:after="0" w:line="117"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3" w:name="page44"/>
    <w:bookmarkEnd w:id="43"/>
    <w:p>
      <w:pPr>
        <w:ind w:left="4" w:right="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ind w:left="4" w:firstLine="436"/>
        <w:spacing w:after="0" w:line="263" w:lineRule="auto"/>
        <w:tabs>
          <w:tab w:leader="none" w:pos="689"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Terms of Stock Options</w:t>
      </w:r>
      <w:r>
        <w:rPr>
          <w:rFonts w:ascii="Arial" w:cs="Arial" w:eastAsia="Arial" w:hAnsi="Arial"/>
          <w:sz w:val="18"/>
          <w:szCs w:val="18"/>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183" w:lineRule="exact"/>
        <w:rPr>
          <w:rFonts w:ascii="Arial" w:cs="Arial" w:eastAsia="Arial" w:hAnsi="Arial"/>
          <w:sz w:val="18"/>
          <w:szCs w:val="18"/>
          <w:color w:val="auto"/>
        </w:rPr>
      </w:pPr>
    </w:p>
    <w:p>
      <w:pPr>
        <w:ind w:left="4" w:right="60" w:firstLine="987"/>
        <w:spacing w:after="0" w:line="259" w:lineRule="auto"/>
        <w:tabs>
          <w:tab w:leader="none" w:pos="1210"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186" w:lineRule="exact"/>
        <w:rPr>
          <w:rFonts w:ascii="Arial" w:cs="Arial" w:eastAsia="Arial" w:hAnsi="Arial"/>
          <w:sz w:val="18"/>
          <w:szCs w:val="18"/>
          <w:color w:val="auto"/>
        </w:rPr>
      </w:pPr>
    </w:p>
    <w:p>
      <w:pPr>
        <w:ind w:left="1264" w:hanging="273"/>
        <w:spacing w:after="0"/>
        <w:tabs>
          <w:tab w:leader="none" w:pos="1264" w:val="left"/>
        </w:tabs>
        <w:numPr>
          <w:ilvl w:val="2"/>
          <w:numId w:val="36"/>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term of each Stock Option shall be fixed by the Committee, but no Stock Option shall be exercisable more than ten</w:t>
      </w:r>
    </w:p>
    <w:p>
      <w:pPr>
        <w:spacing w:after="0" w:line="46" w:lineRule="exact"/>
        <w:rPr>
          <w:rFonts w:ascii="Arial" w:cs="Arial" w:eastAsia="Arial" w:hAnsi="Arial"/>
          <w:sz w:val="16"/>
          <w:szCs w:val="16"/>
          <w:color w:val="auto"/>
        </w:rPr>
      </w:pPr>
    </w:p>
    <w:p>
      <w:pPr>
        <w:ind w:left="4" w:right="140" w:hanging="4"/>
        <w:spacing w:after="0" w:line="260" w:lineRule="auto"/>
        <w:tabs>
          <w:tab w:leader="none" w:pos="3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years from the Grant Date. In the case of an Incentive Stock Option that is granted to a Ten Percent Owner, the term of such Stock Option shall be no more than five (5) years from the Grant Date.</w:t>
      </w:r>
    </w:p>
    <w:p>
      <w:pPr>
        <w:spacing w:after="0" w:line="185" w:lineRule="exact"/>
        <w:rPr>
          <w:rFonts w:ascii="Arial" w:cs="Arial" w:eastAsia="Arial" w:hAnsi="Arial"/>
          <w:sz w:val="18"/>
          <w:szCs w:val="18"/>
          <w:color w:val="auto"/>
        </w:rPr>
      </w:pPr>
    </w:p>
    <w:p>
      <w:pPr>
        <w:ind w:left="4" w:firstLine="987"/>
        <w:spacing w:after="0" w:line="271" w:lineRule="auto"/>
        <w:tabs>
          <w:tab w:leader="none" w:pos="1310" w:val="left"/>
        </w:tabs>
        <w:numPr>
          <w:ilvl w:val="2"/>
          <w:numId w:val="37"/>
        </w:numPr>
        <w:rPr>
          <w:rFonts w:ascii="Arial" w:cs="Arial" w:eastAsia="Arial" w:hAnsi="Arial"/>
          <w:sz w:val="17"/>
          <w:szCs w:val="17"/>
          <w:color w:val="auto"/>
        </w:rPr>
      </w:pPr>
      <w:r>
        <w:rPr>
          <w:rFonts w:ascii="Arial" w:cs="Arial" w:eastAsia="Arial" w:hAnsi="Arial"/>
          <w:sz w:val="17"/>
          <w:szCs w:val="17"/>
          <w:u w:val="single" w:color="auto"/>
          <w:color w:val="auto"/>
        </w:rPr>
        <w:t>Exercisability; Rights of a Stockholder</w:t>
      </w:r>
      <w:r>
        <w:rPr>
          <w:rFonts w:ascii="Arial" w:cs="Arial" w:eastAsia="Arial" w:hAnsi="Arial"/>
          <w:sz w:val="17"/>
          <w:szCs w:val="17"/>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178" w:lineRule="exact"/>
        <w:rPr>
          <w:rFonts w:ascii="Arial" w:cs="Arial" w:eastAsia="Arial" w:hAnsi="Arial"/>
          <w:sz w:val="17"/>
          <w:szCs w:val="17"/>
          <w:color w:val="auto"/>
        </w:rPr>
      </w:pPr>
    </w:p>
    <w:p>
      <w:pPr>
        <w:ind w:left="4" w:right="80" w:firstLine="987"/>
        <w:spacing w:after="0" w:line="263" w:lineRule="auto"/>
        <w:tabs>
          <w:tab w:leader="none" w:pos="1300"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75" w:lineRule="exact"/>
        <w:rPr>
          <w:rFonts w:ascii="Arial" w:cs="Arial" w:eastAsia="Arial" w:hAnsi="Arial"/>
          <w:sz w:val="18"/>
          <w:szCs w:val="18"/>
          <w:color w:val="auto"/>
        </w:rPr>
      </w:pPr>
    </w:p>
    <w:p>
      <w:pPr>
        <w:ind w:left="984" w:right="600" w:firstLine="408"/>
        <w:spacing w:after="0" w:line="277" w:lineRule="auto"/>
        <w:tabs>
          <w:tab w:leader="none" w:pos="1680" w:val="left"/>
        </w:tabs>
        <w:numPr>
          <w:ilvl w:val="3"/>
          <w:numId w:val="37"/>
        </w:numPr>
        <w:rPr>
          <w:rFonts w:ascii="Arial" w:cs="Arial" w:eastAsia="Arial" w:hAnsi="Arial"/>
          <w:sz w:val="18"/>
          <w:szCs w:val="18"/>
          <w:color w:val="auto"/>
        </w:rPr>
      </w:pPr>
      <w:r>
        <w:rPr>
          <w:rFonts w:ascii="Arial" w:cs="Arial" w:eastAsia="Arial" w:hAnsi="Arial"/>
          <w:sz w:val="18"/>
          <w:szCs w:val="18"/>
          <w:color w:val="auto"/>
        </w:rPr>
        <w:t>In cash, by certified or bank check, by wire transfer of immediately available funds, or other instrument acceptable to the Committee;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44" w:name="page45"/>
    <w:bookmarkEnd w:id="44"/>
    <w:p>
      <w:pPr>
        <w:ind w:left="984" w:right="160" w:firstLine="408"/>
        <w:spacing w:after="0" w:line="259" w:lineRule="auto"/>
        <w:tabs>
          <w:tab w:leader="none" w:pos="167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that at least so much of the exercise price as represents the par value of the Stock shall be paid in cash if required by state law;</w:t>
      </w:r>
    </w:p>
    <w:p>
      <w:pPr>
        <w:spacing w:after="0" w:line="78" w:lineRule="exact"/>
        <w:rPr>
          <w:rFonts w:ascii="Arial" w:cs="Arial" w:eastAsia="Arial" w:hAnsi="Arial"/>
          <w:sz w:val="18"/>
          <w:szCs w:val="18"/>
          <w:color w:val="auto"/>
        </w:rPr>
      </w:pPr>
    </w:p>
    <w:p>
      <w:pPr>
        <w:ind w:left="984" w:right="160" w:firstLine="408"/>
        <w:spacing w:after="0" w:line="255" w:lineRule="auto"/>
        <w:tabs>
          <w:tab w:leader="none" w:pos="16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(6) months. Such surrendered Shares shall be valued at Fair Market Value on the exercise date;</w:t>
      </w:r>
    </w:p>
    <w:p>
      <w:pPr>
        <w:spacing w:after="0" w:line="84" w:lineRule="exact"/>
        <w:rPr>
          <w:rFonts w:ascii="Arial" w:cs="Arial" w:eastAsia="Arial" w:hAnsi="Arial"/>
          <w:sz w:val="18"/>
          <w:szCs w:val="18"/>
          <w:color w:val="auto"/>
        </w:rPr>
      </w:pPr>
    </w:p>
    <w:p>
      <w:pPr>
        <w:ind w:left="984" w:right="80" w:firstLine="408"/>
        <w:spacing w:after="0" w:line="296"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53" w:lineRule="exact"/>
        <w:rPr>
          <w:rFonts w:ascii="Arial" w:cs="Arial" w:eastAsia="Arial" w:hAnsi="Arial"/>
          <w:sz w:val="16"/>
          <w:szCs w:val="16"/>
          <w:color w:val="auto"/>
        </w:rPr>
      </w:pPr>
    </w:p>
    <w:p>
      <w:pPr>
        <w:ind w:left="984" w:right="140" w:firstLine="408"/>
        <w:spacing w:after="0" w:line="263" w:lineRule="auto"/>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84"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w:t>
      </w:r>
    </w:p>
    <w:p>
      <w:pPr>
        <w:spacing w:after="0" w:line="4" w:lineRule="exact"/>
        <w:rPr>
          <w:sz w:val="20"/>
          <w:szCs w:val="20"/>
          <w:color w:val="auto"/>
        </w:rPr>
      </w:pPr>
    </w:p>
    <w:p>
      <w:pPr>
        <w:ind w:left="4" w:right="80" w:hanging="4"/>
        <w:spacing w:after="0" w:line="281" w:lineRule="auto"/>
        <w:tabs>
          <w:tab w:leader="none" w:pos="319" w:val="left"/>
        </w:tabs>
        <w:numPr>
          <w:ilvl w:val="0"/>
          <w:numId w:val="39"/>
        </w:numPr>
        <w:rPr>
          <w:rFonts w:ascii="Arial" w:cs="Arial" w:eastAsia="Arial" w:hAnsi="Arial"/>
          <w:sz w:val="16"/>
          <w:szCs w:val="16"/>
          <w:color w:val="auto"/>
        </w:rPr>
      </w:pPr>
      <w:r>
        <w:rPr>
          <w:rFonts w:ascii="Arial" w:cs="Arial" w:eastAsia="Arial" w:hAnsi="Arial"/>
          <w:sz w:val="16"/>
          <w:szCs w:val="16"/>
          <w:color w:val="auto"/>
        </w:rPr>
        <w:t>obtaining from optionee payment or provision for all withholding taxes due as a result of the exercise of the Option, and (iv) if required by the Company, the optionee’s execution and delivery of any stockholders’ agreements or other agreements with the Company and/or certain other stockholders of the Company relating to shares of the Stock. The delivery of certificates representing the shares of Stock (or the transfer to the optionee on the records of the Company with respect to uncertificated Stock) to be purchased pursuant to the exercise of a Stock Option will be contingent upon</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 receipt from</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45" w:name="page46"/>
    <w:bookmarkEnd w:id="45"/>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192" w:lineRule="exact"/>
        <w:rPr>
          <w:sz w:val="20"/>
          <w:szCs w:val="20"/>
          <w:color w:val="auto"/>
        </w:rPr>
      </w:pPr>
    </w:p>
    <w:p>
      <w:pPr>
        <w:ind w:left="4" w:right="100" w:firstLine="436"/>
        <w:spacing w:after="0" w:line="257" w:lineRule="auto"/>
        <w:tabs>
          <w:tab w:leader="none" w:pos="699"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87" w:lineRule="exact"/>
        <w:rPr>
          <w:rFonts w:ascii="Arial" w:cs="Arial" w:eastAsia="Arial" w:hAnsi="Arial"/>
          <w:sz w:val="18"/>
          <w:szCs w:val="18"/>
          <w:color w:val="auto"/>
        </w:rPr>
      </w:pPr>
    </w:p>
    <w:p>
      <w:pPr>
        <w:ind w:left="4" w:right="60" w:firstLine="436"/>
        <w:spacing w:after="0" w:line="284" w:lineRule="auto"/>
        <w:tabs>
          <w:tab w:leader="none" w:pos="689"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twelve (12) months following the date on which the optionee’s Service Relationship terminates due to death or Disability (or such longer period of time as determined by the Committee and set forth in the applicable Award Agreement), or (B) three (3) months following the date on which the optionee’s Service Relationship terminates if the termination is due to any reason other than death or Disability (or such longer period of time as determined by the Committee and set forth in the applicable Award Agreement), or</w:t>
      </w:r>
    </w:p>
    <w:p>
      <w:pPr>
        <w:spacing w:after="0" w:line="2" w:lineRule="exact"/>
        <w:rPr>
          <w:rFonts w:ascii="Arial" w:cs="Arial" w:eastAsia="Arial" w:hAnsi="Arial"/>
          <w:sz w:val="16"/>
          <w:szCs w:val="16"/>
          <w:color w:val="auto"/>
        </w:rPr>
      </w:pPr>
    </w:p>
    <w:p>
      <w:pPr>
        <w:ind w:left="4" w:right="260" w:hanging="4"/>
        <w:spacing w:after="0" w:line="255" w:lineRule="auto"/>
        <w:tabs>
          <w:tab w:leader="none" w:pos="2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Expiration Date set forth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33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RESTRICTED STOCK AWARDS</w:t>
      </w:r>
    </w:p>
    <w:p>
      <w:pPr>
        <w:spacing w:after="0" w:line="117" w:lineRule="exact"/>
        <w:rPr>
          <w:sz w:val="20"/>
          <w:szCs w:val="20"/>
          <w:color w:val="auto"/>
        </w:rPr>
      </w:pPr>
    </w:p>
    <w:p>
      <w:pPr>
        <w:ind w:left="684" w:hanging="244"/>
        <w:spacing w:after="0"/>
        <w:tabs>
          <w:tab w:leader="none" w:pos="68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Awards</w:t>
      </w:r>
      <w:r>
        <w:rPr>
          <w:rFonts w:ascii="Arial" w:cs="Arial" w:eastAsia="Arial" w:hAnsi="Arial"/>
          <w:sz w:val="17"/>
          <w:szCs w:val="17"/>
          <w:color w:val="auto"/>
        </w:rPr>
        <w:t>. The Committee may, in its sole discretion, grant (or sell at par value or such other purchase price</w:t>
      </w:r>
    </w:p>
    <w:p>
      <w:pPr>
        <w:spacing w:after="0" w:line="34" w:lineRule="exact"/>
        <w:rPr>
          <w:rFonts w:ascii="Arial" w:cs="Arial" w:eastAsia="Arial" w:hAnsi="Arial"/>
          <w:sz w:val="17"/>
          <w:szCs w:val="17"/>
          <w:color w:val="auto"/>
        </w:rPr>
      </w:pPr>
    </w:p>
    <w:p>
      <w:pPr>
        <w:ind w:left="4"/>
        <w:spacing w:after="0" w:line="292" w:lineRule="auto"/>
        <w:rPr>
          <w:rFonts w:ascii="Arial" w:cs="Arial" w:eastAsia="Arial" w:hAnsi="Arial"/>
          <w:sz w:val="17"/>
          <w:szCs w:val="17"/>
          <w:color w:val="auto"/>
        </w:rPr>
      </w:pPr>
      <w:r>
        <w:rPr>
          <w:rFonts w:ascii="Arial" w:cs="Arial" w:eastAsia="Arial" w:hAnsi="Arial"/>
          <w:sz w:val="16"/>
          <w:szCs w:val="16"/>
          <w:color w:val="auto"/>
        </w:rPr>
        <w:t>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9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4" w:right="499" w:bottom="1440" w:gutter="0" w:footer="0" w:header="0"/>
        </w:sectPr>
      </w:pPr>
    </w:p>
    <w:bookmarkStart w:id="46" w:name="page47"/>
    <w:bookmarkEnd w:id="46"/>
    <w:p>
      <w:pPr>
        <w:ind w:right="100" w:firstLine="436"/>
        <w:spacing w:after="0" w:line="291"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as a Stockholder</w:t>
      </w:r>
      <w:r>
        <w:rPr>
          <w:rFonts w:ascii="Arial" w:cs="Arial" w:eastAsia="Arial" w:hAnsi="Arial"/>
          <w:sz w:val="16"/>
          <w:szCs w:val="16"/>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166" w:lineRule="exact"/>
        <w:rPr>
          <w:rFonts w:ascii="Arial" w:cs="Arial" w:eastAsia="Arial" w:hAnsi="Arial"/>
          <w:sz w:val="16"/>
          <w:szCs w:val="16"/>
          <w:color w:val="auto"/>
        </w:rPr>
      </w:pPr>
    </w:p>
    <w:p>
      <w:pPr>
        <w:ind w:right="120" w:firstLine="436"/>
        <w:spacing w:after="0" w:line="257" w:lineRule="auto"/>
        <w:tabs>
          <w:tab w:leader="none" w:pos="68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187" w:lineRule="exact"/>
        <w:rPr>
          <w:rFonts w:ascii="Arial" w:cs="Arial" w:eastAsia="Arial" w:hAnsi="Arial"/>
          <w:sz w:val="18"/>
          <w:szCs w:val="18"/>
          <w:color w:val="auto"/>
        </w:rPr>
      </w:pPr>
    </w:p>
    <w:p>
      <w:pPr>
        <w:jc w:val="both"/>
        <w:ind w:right="180" w:firstLine="436"/>
        <w:spacing w:after="0" w:line="311"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29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UNRESTRICTED STOCK AWARDS</w:t>
      </w:r>
    </w:p>
    <w:p>
      <w:pPr>
        <w:spacing w:after="0" w:line="117"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RESTRICTED STOCK UNITS</w:t>
      </w:r>
    </w:p>
    <w:p>
      <w:pPr>
        <w:spacing w:after="0" w:line="117" w:lineRule="exact"/>
        <w:rPr>
          <w:sz w:val="20"/>
          <w:szCs w:val="20"/>
          <w:color w:val="auto"/>
        </w:rPr>
      </w:pPr>
    </w:p>
    <w:p>
      <w:pPr>
        <w:ind w:firstLine="436"/>
        <w:spacing w:after="0" w:line="254"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Units</w:t>
      </w:r>
      <w:r>
        <w:rPr>
          <w:rFonts w:ascii="Arial" w:cs="Arial" w:eastAsia="Arial" w:hAnsi="Arial"/>
          <w:sz w:val="18"/>
          <w:szCs w:val="18"/>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which such vesting occurs, such Restricted Stock Unit(s) shall be settled in the form of cash or shares of Stock, as specified in the Award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may not be sold, assigned, transferred, pledged, or otherwise encumbered or disposed of.</w:t>
      </w:r>
    </w:p>
    <w:p>
      <w:pPr>
        <w:spacing w:after="0" w:line="211" w:lineRule="exact"/>
        <w:rPr>
          <w:sz w:val="20"/>
          <w:szCs w:val="20"/>
          <w:color w:val="auto"/>
        </w:rPr>
      </w:pPr>
    </w:p>
    <w:p>
      <w:pPr>
        <w:ind w:right="40" w:firstLine="436"/>
        <w:spacing w:after="0" w:line="257"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187" w:lineRule="exact"/>
        <w:rPr>
          <w:rFonts w:ascii="Arial" w:cs="Arial" w:eastAsia="Arial" w:hAnsi="Arial"/>
          <w:sz w:val="18"/>
          <w:szCs w:val="18"/>
          <w:color w:val="auto"/>
        </w:rPr>
      </w:pPr>
    </w:p>
    <w:p>
      <w:pPr>
        <w:ind w:right="120" w:firstLine="436"/>
        <w:spacing w:after="0" w:line="263"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TRANSFER RESTRICTIONS; COMPANY RIGHT OF FIRST REFUSAL; COMPANY REPURCHASE RIGHTS</w:t>
      </w:r>
    </w:p>
    <w:p>
      <w:pPr>
        <w:spacing w:after="0" w:line="117" w:lineRule="exact"/>
        <w:rPr>
          <w:sz w:val="20"/>
          <w:szCs w:val="20"/>
          <w:color w:val="auto"/>
        </w:rPr>
      </w:pPr>
    </w:p>
    <w:p>
      <w:pPr>
        <w:ind w:left="680" w:hanging="24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80" w:firstLine="987"/>
        <w:spacing w:after="0" w:line="287" w:lineRule="auto"/>
        <w:tabs>
          <w:tab w:leader="none" w:pos="1206"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Non-Transferability of Stock Options</w:t>
      </w:r>
      <w:r>
        <w:rPr>
          <w:rFonts w:ascii="Arial" w:cs="Arial" w:eastAsia="Arial" w:hAnsi="Arial"/>
          <w:sz w:val="16"/>
          <w:szCs w:val="16"/>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w:t>
      </w:r>
    </w:p>
    <w:p>
      <w:pPr>
        <w:spacing w:after="0" w:line="2" w:lineRule="exact"/>
        <w:rPr>
          <w:rFonts w:ascii="Arial" w:cs="Arial" w:eastAsia="Arial" w:hAnsi="Arial"/>
          <w:sz w:val="16"/>
          <w:szCs w:val="16"/>
          <w:color w:val="auto"/>
        </w:rPr>
      </w:pPr>
    </w:p>
    <w:p>
      <w:pPr>
        <w:ind w:right="60"/>
        <w:spacing w:after="0" w:line="268" w:lineRule="auto"/>
        <w:rPr>
          <w:rFonts w:ascii="Arial" w:cs="Arial" w:eastAsia="Arial" w:hAnsi="Arial"/>
          <w:sz w:val="16"/>
          <w:szCs w:val="16"/>
          <w:color w:val="auto"/>
        </w:rPr>
      </w:pPr>
      <w:r>
        <w:rPr>
          <w:rFonts w:ascii="Arial" w:cs="Arial" w:eastAsia="Arial" w:hAnsi="Arial"/>
          <w:sz w:val="17"/>
          <w:szCs w:val="17"/>
          <w:color w:val="auto"/>
        </w:rPr>
        <w:t>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183" w:lineRule="exact"/>
        <w:rPr>
          <w:rFonts w:ascii="Arial" w:cs="Arial" w:eastAsia="Arial" w:hAnsi="Arial"/>
          <w:sz w:val="16"/>
          <w:szCs w:val="16"/>
          <w:color w:val="auto"/>
        </w:rPr>
      </w:pPr>
    </w:p>
    <w:p>
      <w:pPr>
        <w:ind w:firstLine="987"/>
        <w:spacing w:after="0" w:line="257" w:lineRule="auto"/>
        <w:tabs>
          <w:tab w:leader="none" w:pos="125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8" w:name="page49"/>
    <w:bookmarkEnd w:id="4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77" w:lineRule="exact"/>
        <w:rPr>
          <w:sz w:val="20"/>
          <w:szCs w:val="20"/>
          <w:color w:val="auto"/>
        </w:rPr>
      </w:pPr>
    </w:p>
    <w:p>
      <w:pPr>
        <w:ind w:left="980" w:firstLine="408"/>
        <w:spacing w:after="0" w:line="255" w:lineRule="auto"/>
        <w:tabs>
          <w:tab w:leader="none" w:pos="167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Transfers to Permitted Transferees</w:t>
      </w:r>
      <w:r>
        <w:rPr>
          <w:rFonts w:ascii="Arial" w:cs="Arial" w:eastAsia="Arial" w:hAnsi="Arial"/>
          <w:sz w:val="18"/>
          <w:szCs w:val="18"/>
          <w:color w:val="auto"/>
        </w:rPr>
        <w:t xml:space="preserve">. The Holder may transfer any or all of the Shares to one or more Permitted Transferees;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following such transfer, such Shares shall continue to be subject to the terms of this Plan (including this Section 9)</w:t>
      </w:r>
      <w:r>
        <w:rPr>
          <w:rFonts w:ascii="Arial" w:cs="Arial" w:eastAsia="Arial" w:hAnsi="Arial"/>
          <w:sz w:val="18"/>
          <w:szCs w:val="18"/>
          <w:i w:val="1"/>
          <w:iCs w:val="1"/>
          <w:color w:val="auto"/>
        </w:rPr>
        <w:t xml:space="preserve"> </w:t>
      </w:r>
      <w:r>
        <w:rPr>
          <w:rFonts w:ascii="Arial" w:cs="Arial" w:eastAsia="Arial" w:hAnsi="Arial"/>
          <w:sz w:val="18"/>
          <w:szCs w:val="18"/>
          <w:color w:val="auto"/>
        </w:rPr>
        <w:t>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84" w:lineRule="exact"/>
        <w:rPr>
          <w:rFonts w:ascii="Arial" w:cs="Arial" w:eastAsia="Arial" w:hAnsi="Arial"/>
          <w:sz w:val="18"/>
          <w:szCs w:val="18"/>
          <w:color w:val="auto"/>
        </w:rPr>
      </w:pPr>
    </w:p>
    <w:p>
      <w:pPr>
        <w:ind w:left="980" w:right="480" w:firstLine="408"/>
        <w:spacing w:after="0" w:line="301" w:lineRule="auto"/>
        <w:tabs>
          <w:tab w:leader="none" w:pos="1666"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Transfers Upon Death</w:t>
      </w:r>
      <w:r>
        <w:rPr>
          <w:rFonts w:ascii="Arial" w:cs="Arial" w:eastAsia="Arial" w:hAnsi="Arial"/>
          <w:sz w:val="16"/>
          <w:szCs w:val="16"/>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157" w:lineRule="exact"/>
        <w:rPr>
          <w:rFonts w:ascii="Arial" w:cs="Arial" w:eastAsia="Arial" w:hAnsi="Arial"/>
          <w:sz w:val="16"/>
          <w:szCs w:val="16"/>
          <w:color w:val="auto"/>
        </w:rPr>
      </w:pPr>
    </w:p>
    <w:p>
      <w:pPr>
        <w:ind w:right="60" w:firstLine="436"/>
        <w:spacing w:after="0" w:line="289"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w:t>
      </w:r>
      <w:r>
        <w:rPr>
          <w:rFonts w:ascii="Arial" w:cs="Arial" w:eastAsia="Arial" w:hAnsi="Arial"/>
          <w:sz w:val="16"/>
          <w:szCs w:val="16"/>
          <w:i w:val="1"/>
          <w:iCs w:val="1"/>
          <w:color w:val="auto"/>
        </w:rPr>
        <w:t>Offered Shares</w:t>
      </w:r>
      <w:r>
        <w:rPr>
          <w:rFonts w:ascii="Arial" w:cs="Arial" w:eastAsia="Arial" w:hAnsi="Arial"/>
          <w:sz w:val="16"/>
          <w:szCs w:val="16"/>
          <w:color w:val="auto"/>
        </w:rPr>
        <w:t>”), the price and the terms at which the proposed sale is to be made and the name and address of the proposed transferee. At any time within thirty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thirty (30) day period. If the Company or its assigns elect to exercise its purchase rights under this Section 9(b), the closing for such purchase shall, in any event, take place within forty-five (45) days after the receipt by the Company of the initial notice from the Holder. In the event that the Company or its assigns do not elect to exercise such purchase right, or in the event that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9" w:name="page50"/>
    <w:bookmarkEnd w:id="49"/>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its assigns do not pay the full purchase price within such forty-five (45) day period, the Holder may, within sixty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177" w:lineRule="exact"/>
        <w:rPr>
          <w:sz w:val="20"/>
          <w:szCs w:val="20"/>
          <w:color w:val="auto"/>
        </w:rPr>
      </w:pPr>
    </w:p>
    <w:p>
      <w:pPr>
        <w:ind w:left="680" w:hanging="24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Company’s Right of Repurchase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3" w:lineRule="auto"/>
        <w:tabs>
          <w:tab w:leader="none" w:pos="1206"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Right of Repurchase for Unvested Shares Issued Upon the Exercise of an Option</w:t>
      </w:r>
      <w:r>
        <w:rPr>
          <w:rFonts w:ascii="Arial" w:cs="Arial" w:eastAsia="Arial" w:hAnsi="Arial"/>
          <w:sz w:val="17"/>
          <w:szCs w:val="17"/>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(6) months following the date of such Termination Event or (B) seven (7)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177" w:lineRule="exact"/>
        <w:rPr>
          <w:rFonts w:ascii="Arial" w:cs="Arial" w:eastAsia="Arial" w:hAnsi="Arial"/>
          <w:sz w:val="17"/>
          <w:szCs w:val="17"/>
          <w:color w:val="auto"/>
        </w:rPr>
      </w:pPr>
    </w:p>
    <w:p>
      <w:pPr>
        <w:ind w:right="80" w:firstLine="987"/>
        <w:spacing w:after="0" w:line="287" w:lineRule="auto"/>
        <w:tabs>
          <w:tab w:leader="none" w:pos="1256"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Right of Repurchase With Respect to Restricted Stock</w:t>
      </w:r>
      <w:r>
        <w:rPr>
          <w:rFonts w:ascii="Arial" w:cs="Arial" w:eastAsia="Arial" w:hAnsi="Arial"/>
          <w:sz w:val="16"/>
          <w:szCs w:val="16"/>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(6) months following the date of such Termination Event.</w:t>
      </w:r>
    </w:p>
    <w:p>
      <w:pPr>
        <w:spacing w:after="0" w:line="2" w:lineRule="exact"/>
        <w:rPr>
          <w:rFonts w:ascii="Arial" w:cs="Arial" w:eastAsia="Arial" w:hAnsi="Arial"/>
          <w:sz w:val="16"/>
          <w:szCs w:val="16"/>
          <w:color w:val="auto"/>
        </w:rPr>
      </w:pPr>
    </w:p>
    <w:p>
      <w:pPr>
        <w:ind w:right="140"/>
        <w:spacing w:after="0" w:line="290" w:lineRule="auto"/>
        <w:rPr>
          <w:rFonts w:ascii="Arial" w:cs="Arial" w:eastAsia="Arial" w:hAnsi="Arial"/>
          <w:sz w:val="16"/>
          <w:szCs w:val="16"/>
          <w:color w:val="auto"/>
        </w:rPr>
      </w:pPr>
      <w:r>
        <w:rPr>
          <w:rFonts w:ascii="Arial" w:cs="Arial" w:eastAsia="Arial" w:hAnsi="Arial"/>
          <w:sz w:val="17"/>
          <w:szCs w:val="17"/>
          <w:color w:val="auto"/>
        </w:rPr>
        <w:t>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161" w:lineRule="exact"/>
        <w:rPr>
          <w:rFonts w:ascii="Arial" w:cs="Arial" w:eastAsia="Arial" w:hAnsi="Arial"/>
          <w:sz w:val="16"/>
          <w:szCs w:val="16"/>
          <w:color w:val="auto"/>
        </w:rPr>
      </w:pPr>
    </w:p>
    <w:p>
      <w:pPr>
        <w:ind w:right="40" w:firstLine="987"/>
        <w:spacing w:after="0" w:line="254" w:lineRule="auto"/>
        <w:tabs>
          <w:tab w:leader="none" w:pos="1306"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may pay the repurchase price by offsetting and canceling any indebtedness then owed by the Holder to the Company.</w:t>
      </w:r>
    </w:p>
    <w:p>
      <w:pPr>
        <w:spacing w:after="0" w:line="194"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Drag Along Right</w:t>
      </w:r>
      <w:r>
        <w:rPr>
          <w:rFonts w:ascii="Arial" w:cs="Arial" w:eastAsia="Arial" w:hAnsi="Arial"/>
          <w:sz w:val="18"/>
          <w:szCs w:val="18"/>
          <w:color w:val="auto"/>
        </w:rPr>
        <w:t>. In the event the holders of a majority of the Company’s equity securities then outstanding (the “</w:t>
      </w:r>
      <w:r>
        <w:rPr>
          <w:rFonts w:ascii="Arial" w:cs="Arial" w:eastAsia="Arial" w:hAnsi="Arial"/>
          <w:sz w:val="18"/>
          <w:szCs w:val="18"/>
          <w:i w:val="1"/>
          <w:iCs w:val="1"/>
          <w:color w:val="auto"/>
        </w:rPr>
        <w:t>Majority Shareholders</w:t>
      </w:r>
      <w:r>
        <w:rPr>
          <w:rFonts w:ascii="Arial" w:cs="Arial" w:eastAsia="Arial" w:hAnsi="Arial"/>
          <w:sz w:val="18"/>
          <w:szCs w:val="18"/>
          <w:color w:val="auto"/>
        </w:rPr>
        <w:t>”) determine to enter into a Sale Event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50" w:name="page51"/>
    <w:bookmarkEnd w:id="50"/>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bona fide negotiated transaction (a “</w:t>
      </w:r>
      <w:r>
        <w:rPr>
          <w:rFonts w:ascii="Arial" w:cs="Arial" w:eastAsia="Arial" w:hAnsi="Arial"/>
          <w:sz w:val="16"/>
          <w:szCs w:val="16"/>
          <w:i w:val="1"/>
          <w:iCs w:val="1"/>
          <w:color w:val="auto"/>
        </w:rPr>
        <w:t>Sale</w:t>
      </w:r>
      <w:r>
        <w:rPr>
          <w:rFonts w:ascii="Arial" w:cs="Arial" w:eastAsia="Arial" w:hAnsi="Arial"/>
          <w:sz w:val="16"/>
          <w:szCs w:val="16"/>
          <w:color w:val="auto"/>
        </w:rPr>
        <w:t>”), with any non-Affiliate of the Company or any majority shareholder (in each case, the “</w:t>
      </w:r>
      <w:r>
        <w:rPr>
          <w:rFonts w:ascii="Arial" w:cs="Arial" w:eastAsia="Arial" w:hAnsi="Arial"/>
          <w:sz w:val="16"/>
          <w:szCs w:val="16"/>
          <w:i w:val="1"/>
          <w:iCs w:val="1"/>
          <w:color w:val="auto"/>
        </w:rPr>
        <w:t>Buyer</w:t>
      </w:r>
      <w:r>
        <w:rPr>
          <w:rFonts w:ascii="Arial" w:cs="Arial" w:eastAsia="Arial" w:hAnsi="Arial"/>
          <w:sz w:val="16"/>
          <w:szCs w:val="16"/>
          <w:color w:val="auto"/>
        </w:rPr>
        <w:t>”),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stock); and</w:t>
      </w:r>
    </w:p>
    <w:p>
      <w:pPr>
        <w:spacing w:after="0" w:line="4" w:lineRule="exact"/>
        <w:rPr>
          <w:sz w:val="20"/>
          <w:szCs w:val="20"/>
          <w:color w:val="auto"/>
        </w:rPr>
      </w:pPr>
    </w:p>
    <w:p>
      <w:pPr>
        <w:jc w:val="both"/>
        <w:ind w:left="4" w:right="120" w:hanging="4"/>
        <w:spacing w:after="0" w:line="302" w:lineRule="auto"/>
        <w:tabs>
          <w:tab w:leader="none" w:pos="2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execute and deliver such instruments of conveyance and transfer and take such other action, including voting such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w:t>
      </w:r>
    </w:p>
    <w:p>
      <w:pPr>
        <w:spacing w:after="0" w:line="155" w:lineRule="exact"/>
        <w:rPr>
          <w:rFonts w:ascii="Arial" w:cs="Arial" w:eastAsia="Arial" w:hAnsi="Arial"/>
          <w:sz w:val="16"/>
          <w:szCs w:val="16"/>
          <w:color w:val="auto"/>
        </w:rPr>
      </w:pPr>
    </w:p>
    <w:p>
      <w:pPr>
        <w:ind w:left="684" w:hanging="244"/>
        <w:spacing w:after="0"/>
        <w:tabs>
          <w:tab w:leader="none" w:pos="68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Escrow Arrangement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40" w:firstLine="987"/>
        <w:spacing w:after="0" w:line="272" w:lineRule="auto"/>
        <w:tabs>
          <w:tab w:leader="none" w:pos="1210" w:val="left"/>
        </w:tabs>
        <w:numPr>
          <w:ilvl w:val="2"/>
          <w:numId w:val="50"/>
        </w:numPr>
        <w:rPr>
          <w:rFonts w:ascii="Arial" w:cs="Arial" w:eastAsia="Arial" w:hAnsi="Arial"/>
          <w:sz w:val="17"/>
          <w:szCs w:val="17"/>
          <w:color w:val="auto"/>
        </w:rPr>
      </w:pPr>
      <w:r>
        <w:rPr>
          <w:rFonts w:ascii="Arial" w:cs="Arial" w:eastAsia="Arial" w:hAnsi="Arial"/>
          <w:sz w:val="17"/>
          <w:szCs w:val="17"/>
          <w:u w:val="single" w:color="auto"/>
          <w:color w:val="auto"/>
        </w:rPr>
        <w:t>Escrow</w:t>
      </w:r>
      <w:r>
        <w:rPr>
          <w:rFonts w:ascii="Arial" w:cs="Arial" w:eastAsia="Arial" w:hAnsi="Arial"/>
          <w:sz w:val="17"/>
          <w:szCs w:val="17"/>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177" w:lineRule="exact"/>
        <w:rPr>
          <w:rFonts w:ascii="Arial" w:cs="Arial" w:eastAsia="Arial" w:hAnsi="Arial"/>
          <w:sz w:val="17"/>
          <w:szCs w:val="17"/>
          <w:color w:val="auto"/>
        </w:rPr>
      </w:pPr>
    </w:p>
    <w:p>
      <w:pPr>
        <w:ind w:left="4" w:firstLine="987"/>
        <w:spacing w:after="0" w:line="269" w:lineRule="auto"/>
        <w:tabs>
          <w:tab w:leader="none" w:pos="1260" w:val="left"/>
        </w:tabs>
        <w:numPr>
          <w:ilvl w:val="2"/>
          <w:numId w:val="50"/>
        </w:numPr>
        <w:rPr>
          <w:rFonts w:ascii="Arial" w:cs="Arial" w:eastAsia="Arial" w:hAnsi="Arial"/>
          <w:sz w:val="17"/>
          <w:szCs w:val="17"/>
          <w:color w:val="auto"/>
        </w:rPr>
      </w:pPr>
      <w:r>
        <w:rPr>
          <w:rFonts w:ascii="Arial" w:cs="Arial" w:eastAsia="Arial" w:hAnsi="Arial"/>
          <w:sz w:val="17"/>
          <w:szCs w:val="17"/>
          <w:u w:val="single" w:color="auto"/>
          <w:color w:val="auto"/>
        </w:rPr>
        <w:t>Remedy</w:t>
      </w:r>
      <w:r>
        <w:rPr>
          <w:rFonts w:ascii="Arial" w:cs="Arial" w:eastAsia="Arial" w:hAnsi="Arial"/>
          <w:sz w:val="17"/>
          <w:szCs w:val="17"/>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51" w:name="page52"/>
    <w:bookmarkEnd w:id="51"/>
    <w:p>
      <w:pPr>
        <w:jc w:val="both"/>
        <w:ind w:right="140" w:firstLine="436"/>
        <w:spacing w:after="0" w:line="279" w:lineRule="auto"/>
        <w:tabs>
          <w:tab w:leader="none" w:pos="66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Lockup Provision</w:t>
      </w:r>
      <w:r>
        <w:rPr>
          <w:rFonts w:ascii="Arial" w:cs="Arial" w:eastAsia="Arial" w:hAnsi="Arial"/>
          <w:sz w:val="17"/>
          <w:szCs w:val="17"/>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171" w:lineRule="exact"/>
        <w:rPr>
          <w:rFonts w:ascii="Arial" w:cs="Arial" w:eastAsia="Arial" w:hAnsi="Arial"/>
          <w:sz w:val="17"/>
          <w:szCs w:val="17"/>
          <w:color w:val="auto"/>
        </w:rPr>
      </w:pPr>
    </w:p>
    <w:p>
      <w:pPr>
        <w:ind w:firstLine="436"/>
        <w:spacing w:after="0" w:line="279"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Capital Structure</w:t>
      </w:r>
      <w:r>
        <w:rPr>
          <w:rFonts w:ascii="Arial" w:cs="Arial" w:eastAsia="Arial" w:hAnsi="Arial"/>
          <w:sz w:val="17"/>
          <w:szCs w:val="17"/>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171" w:lineRule="exact"/>
        <w:rPr>
          <w:rFonts w:ascii="Arial" w:cs="Arial" w:eastAsia="Arial" w:hAnsi="Arial"/>
          <w:sz w:val="17"/>
          <w:szCs w:val="17"/>
          <w:color w:val="auto"/>
        </w:rPr>
      </w:pPr>
    </w:p>
    <w:p>
      <w:pPr>
        <w:ind w:right="80" w:firstLine="436"/>
        <w:spacing w:after="0" w:line="259"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TAX WITHHOLDING</w:t>
      </w:r>
    </w:p>
    <w:p>
      <w:pPr>
        <w:spacing w:after="0" w:line="117" w:lineRule="exact"/>
        <w:rPr>
          <w:sz w:val="20"/>
          <w:szCs w:val="20"/>
          <w:color w:val="auto"/>
        </w:rPr>
      </w:pPr>
    </w:p>
    <w:p>
      <w:pPr>
        <w:ind w:right="40" w:firstLine="436"/>
        <w:spacing w:after="0" w:line="273" w:lineRule="auto"/>
        <w:tabs>
          <w:tab w:leader="none" w:pos="68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177" w:lineRule="exact"/>
        <w:rPr>
          <w:rFonts w:ascii="Arial" w:cs="Arial" w:eastAsia="Arial" w:hAnsi="Arial"/>
          <w:sz w:val="17"/>
          <w:szCs w:val="17"/>
          <w:color w:val="auto"/>
        </w:rPr>
      </w:pPr>
    </w:p>
    <w:p>
      <w:pPr>
        <w:ind w:firstLine="436"/>
        <w:spacing w:after="0" w:line="263"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SECTION 409A AWARDS.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To the extent that any Award is determined to constitute “nonqualified deferred compensation” within the meaning of Section 409A (a “</w:t>
      </w:r>
      <w:r>
        <w:rPr>
          <w:rFonts w:ascii="Arial" w:cs="Arial" w:eastAsia="Arial" w:hAnsi="Arial"/>
          <w:sz w:val="18"/>
          <w:szCs w:val="18"/>
          <w:i w:val="1"/>
          <w:iCs w:val="1"/>
          <w:color w:val="auto"/>
        </w:rPr>
        <w:t>409A</w:t>
      </w:r>
      <w:r>
        <w:rPr>
          <w:rFonts w:ascii="Arial" w:cs="Arial" w:eastAsia="Arial" w:hAnsi="Arial"/>
          <w:sz w:val="18"/>
          <w:szCs w:val="18"/>
          <w:color w:val="auto"/>
        </w:rPr>
        <w:t xml:space="preserve"> </w:t>
      </w:r>
      <w:r>
        <w:rPr>
          <w:rFonts w:ascii="Arial" w:cs="Arial" w:eastAsia="Arial" w:hAnsi="Arial"/>
          <w:sz w:val="18"/>
          <w:szCs w:val="18"/>
          <w:i w:val="1"/>
          <w:iCs w:val="1"/>
          <w:color w:val="auto"/>
        </w:rPr>
        <w:t>Award</w:t>
      </w:r>
      <w:r>
        <w:rPr>
          <w:rFonts w:ascii="Arial" w:cs="Arial" w:eastAsia="Arial" w:hAnsi="Arial"/>
          <w:sz w:val="18"/>
          <w:szCs w:val="18"/>
          <w:color w:val="auto"/>
        </w:rPr>
        <w:t>”), the Award shall be subject to such additional rules and requirements as may be specified by the Committee from time to time. In this regard, if</w:t>
      </w:r>
      <w:r>
        <w:rPr>
          <w:rFonts w:ascii="Arial" w:cs="Arial" w:eastAsia="Arial" w:hAnsi="Arial"/>
          <w:sz w:val="18"/>
          <w:szCs w:val="18"/>
          <w:i w:val="1"/>
          <w:iCs w:val="1"/>
          <w:color w:val="auto"/>
        </w:rPr>
        <w:t xml:space="preserve"> </w:t>
      </w:r>
      <w:r>
        <w:rPr>
          <w:rFonts w:ascii="Arial" w:cs="Arial" w:eastAsia="Arial" w:hAnsi="Arial"/>
          <w:sz w:val="18"/>
          <w:szCs w:val="18"/>
          <w:color w:val="auto"/>
        </w:rPr>
        <w:t>any amount under a 409A Award is payable upon a “separation from service” (within the meaning of Section 409A) to a grantee who is considered a “specified employee” (within the meaning of Section 409A), then no such payment shall be made prior to the date that is the earlier of (i) six (6) months and one day after the grantee’s separation from</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52" w:name="page53"/>
    <w:bookmarkEnd w:id="52"/>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AMENDMENTS AND TERMINATION</w:t>
      </w:r>
    </w:p>
    <w:p>
      <w:pPr>
        <w:spacing w:after="0" w:line="117"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w:t>
      </w:r>
    </w:p>
    <w:p>
      <w:pPr>
        <w:spacing w:after="0" w:line="2"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STATUS OF PLAN</w:t>
      </w:r>
    </w:p>
    <w:p>
      <w:pPr>
        <w:spacing w:after="0" w:line="11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right="220" w:firstLine="436"/>
        <w:spacing w:after="0" w:line="301"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 Distribution; Compliance with Legal Requirements</w:t>
      </w:r>
      <w:r>
        <w:rPr>
          <w:rFonts w:ascii="Arial" w:cs="Arial" w:eastAsia="Arial" w:hAnsi="Arial"/>
          <w:sz w:val="16"/>
          <w:szCs w:val="16"/>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57"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Delivery of Stock Certificates</w:t>
      </w:r>
      <w:r>
        <w:rPr>
          <w:rFonts w:ascii="Arial" w:cs="Arial" w:eastAsia="Arial" w:hAnsi="Arial"/>
          <w:sz w:val="18"/>
          <w:szCs w:val="18"/>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53" w:name="page54"/>
    <w:bookmarkEnd w:id="53"/>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142" w:lineRule="exact"/>
        <w:rPr>
          <w:sz w:val="20"/>
          <w:szCs w:val="20"/>
          <w:color w:val="auto"/>
        </w:rPr>
      </w:pPr>
    </w:p>
    <w:p>
      <w:pPr>
        <w:ind w:right="160" w:firstLine="436"/>
        <w:spacing w:after="0" w:line="282"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The adoption of the Plan and the grant of Awards do not confer upon any Person any right to continued employment or Service Relationship with the Company or any Subsidiary.</w:t>
      </w:r>
    </w:p>
    <w:p>
      <w:pPr>
        <w:spacing w:after="0" w:line="165" w:lineRule="exact"/>
        <w:rPr>
          <w:rFonts w:ascii="Arial" w:cs="Arial" w:eastAsia="Arial" w:hAnsi="Arial"/>
          <w:sz w:val="18"/>
          <w:szCs w:val="18"/>
          <w:color w:val="auto"/>
        </w:rPr>
      </w:pPr>
    </w:p>
    <w:p>
      <w:pPr>
        <w:ind w:right="40" w:firstLine="436"/>
        <w:spacing w:after="0" w:line="342"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23" w:lineRule="exact"/>
        <w:rPr>
          <w:rFonts w:ascii="Arial" w:cs="Arial" w:eastAsia="Arial" w:hAnsi="Arial"/>
          <w:sz w:val="16"/>
          <w:szCs w:val="16"/>
          <w:color w:val="auto"/>
        </w:rPr>
      </w:pPr>
    </w:p>
    <w:p>
      <w:pPr>
        <w:ind w:right="120" w:firstLine="436"/>
        <w:spacing w:after="0" w:line="301" w:lineRule="auto"/>
        <w:tabs>
          <w:tab w:leader="none" w:pos="68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57" w:lineRule="exact"/>
        <w:rPr>
          <w:rFonts w:ascii="Arial" w:cs="Arial" w:eastAsia="Arial" w:hAnsi="Arial"/>
          <w:sz w:val="16"/>
          <w:szCs w:val="16"/>
          <w:color w:val="auto"/>
        </w:rPr>
      </w:pPr>
    </w:p>
    <w:p>
      <w:pPr>
        <w:ind w:right="160" w:firstLine="436"/>
        <w:spacing w:after="0" w:line="277" w:lineRule="auto"/>
        <w:tabs>
          <w:tab w:leader="none" w:pos="66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62" w:lineRule="exact"/>
        <w:rPr>
          <w:sz w:val="20"/>
          <w:szCs w:val="20"/>
          <w:color w:val="auto"/>
        </w:rPr>
      </w:pPr>
    </w:p>
    <w:p>
      <w:pPr>
        <w:ind w:left="980" w:right="14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restrictions, terms and conditions (including repurchase and restrictions against transfers) contained in the Tango Therapeutics, Inc. 2017 Stock Option and Grant Plan and any agreements entered into thereunder by and between the company and the holder of this certificate (a copy of which is available at the offices of the company for examination).</w:t>
      </w:r>
    </w:p>
    <w:p>
      <w:pPr>
        <w:spacing w:after="0" w:line="187" w:lineRule="exact"/>
        <w:rPr>
          <w:sz w:val="20"/>
          <w:szCs w:val="20"/>
          <w:color w:val="auto"/>
        </w:rPr>
      </w:pPr>
    </w:p>
    <w:p>
      <w:pPr>
        <w:ind w:right="40" w:firstLine="436"/>
        <w:spacing w:after="0" w:line="257"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Information to Holders of Options</w:t>
      </w:r>
      <w:r>
        <w:rPr>
          <w:rFonts w:ascii="Arial" w:cs="Arial" w:eastAsia="Arial" w:hAnsi="Arial"/>
          <w:sz w:val="18"/>
          <w:szCs w:val="18"/>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EFFECTIVE DATE OF PLAN</w:t>
      </w:r>
    </w:p>
    <w:p>
      <w:pPr>
        <w:spacing w:after="0" w:line="117"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The Plan shall become effective upon adoption by the Board and shall be approved by stockholders in accordance with applicable state law and the Company’s certificate of incorporation and bylaws within twelve (12) months thereafter. If the stockholders fail to approve the Plan within twelve (12) months after its adoption by the Board of Directors, then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54" w:name="page55"/>
    <w:bookmarkEnd w:id="5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State of Massachusetts.</w:t>
      </w:r>
    </w:p>
    <w:p>
      <w:pPr>
        <w:sectPr>
          <w:pgSz w:w="11900" w:h="16838" w:orient="portrait"/>
          <w:cols w:equalWidth="0" w:num="1">
            <w:col w:w="10980"/>
          </w:cols>
          <w:pgMar w:left="440" w:top="274" w:right="47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 ADOPTED BY THE BOARD OF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March 16, 2017</w:t>
      </w:r>
    </w:p>
    <w:p>
      <w:pPr>
        <w:spacing w:after="0" w:line="211" w:lineRule="exact"/>
        <w:rPr>
          <w:sz w:val="20"/>
          <w:szCs w:val="20"/>
          <w:color w:val="auto"/>
        </w:rPr>
      </w:pPr>
    </w:p>
    <w:p>
      <w:pPr>
        <w:sectPr>
          <w:pgSz w:w="11900" w:h="16838" w:orient="portrait"/>
          <w:cols w:equalWidth="0" w:num="2">
            <w:col w:w="4080" w:space="540"/>
            <w:col w:w="6360"/>
          </w:cols>
          <w:pgMar w:left="440" w:top="274" w:right="4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DATE APPROVED BY THE STOCKHOLDERS: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March 16, 2017</w:t>
      </w:r>
    </w:p>
    <w:p>
      <w:pPr>
        <w:spacing w:after="0" w:line="180" w:lineRule="exact"/>
        <w:rPr>
          <w:sz w:val="20"/>
          <w:szCs w:val="20"/>
          <w:color w:val="auto"/>
        </w:rPr>
      </w:pPr>
    </w:p>
    <w:p>
      <w:pPr>
        <w:sectPr>
          <w:pgSz w:w="11900" w:h="16838" w:orient="portrait"/>
          <w:cols w:equalWidth="0" w:num="2">
            <w:col w:w="3900" w:space="720"/>
            <w:col w:w="6360"/>
          </w:cols>
          <w:pgMar w:left="440" w:top="274" w:right="4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80"/>
          </w:cols>
          <w:pgMar w:left="440" w:top="274" w:right="479" w:bottom="1440" w:gutter="0" w:footer="0" w:header="0"/>
          <w:type w:val="continuous"/>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INCENTIVE STOCK OPTION GRANT NOTICE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Pursuant to the Tango Therapeutics, Inc. 2017 Stock Option and Grant Plan (the “Plan”), Tango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Name of Optionee:</w:t>
            </w:r>
          </w:p>
        </w:tc>
        <w:tc>
          <w:tcPr>
            <w:tcW w:w="600" w:type="dxa"/>
            <w:vAlign w:val="bottom"/>
          </w:tcPr>
          <w:p>
            <w:pPr>
              <w:spacing w:after="0"/>
              <w:rPr>
                <w:sz w:val="20"/>
                <w:szCs w:val="20"/>
                <w:color w:val="auto"/>
              </w:rPr>
            </w:pPr>
          </w:p>
        </w:tc>
        <w:tc>
          <w:tcPr>
            <w:tcW w:w="7760" w:type="dxa"/>
            <w:vAlign w:val="bottom"/>
          </w:tcPr>
          <w:p>
            <w:pPr>
              <w:ind w:left="620"/>
              <w:spacing w:after="0"/>
              <w:rPr>
                <w:sz w:val="20"/>
                <w:szCs w:val="20"/>
                <w:color w:val="auto"/>
              </w:rPr>
            </w:pPr>
            <w:r>
              <w:rPr>
                <w:rFonts w:ascii="Arial" w:cs="Arial" w:eastAsia="Arial" w:hAnsi="Arial"/>
                <w:sz w:val="18"/>
                <w:szCs w:val="18"/>
                <w:color w:val="auto"/>
              </w:rPr>
              <w:t>(the “Optionee”)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No. of Shares:</w:t>
            </w:r>
          </w:p>
        </w:tc>
        <w:tc>
          <w:tcPr>
            <w:tcW w:w="600" w:type="dxa"/>
            <w:vAlign w:val="bottom"/>
          </w:tcPr>
          <w:p>
            <w:pPr>
              <w:spacing w:after="0"/>
              <w:rPr>
                <w:sz w:val="24"/>
                <w:szCs w:val="24"/>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Shares of Common Stock</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Grant Date:</w:t>
            </w:r>
          </w:p>
        </w:tc>
        <w:tc>
          <w:tcPr>
            <w:tcW w:w="60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600" w:type="dxa"/>
            <w:vAlign w:val="bottom"/>
          </w:tcPr>
          <w:p>
            <w:pPr>
              <w:spacing w:after="0"/>
              <w:rPr>
                <w:sz w:val="24"/>
                <w:szCs w:val="24"/>
                <w:color w:val="auto"/>
              </w:rPr>
            </w:pPr>
          </w:p>
        </w:tc>
        <w:tc>
          <w:tcPr>
            <w:tcW w:w="7760" w:type="dxa"/>
            <w:vAlign w:val="bottom"/>
          </w:tcPr>
          <w:p>
            <w:pPr>
              <w:ind w:left="620"/>
              <w:spacing w:after="0"/>
              <w:rPr>
                <w:sz w:val="20"/>
                <w:szCs w:val="20"/>
                <w:color w:val="auto"/>
              </w:rPr>
            </w:pPr>
            <w:r>
              <w:rPr>
                <w:rFonts w:ascii="Arial" w:cs="Arial" w:eastAsia="Arial" w:hAnsi="Arial"/>
                <w:sz w:val="18"/>
                <w:szCs w:val="18"/>
                <w:color w:val="auto"/>
              </w:rPr>
              <w:t>(the “Vesting Commencement Date”)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Expiration Date:</w:t>
            </w:r>
          </w:p>
        </w:tc>
        <w:tc>
          <w:tcPr>
            <w:tcW w:w="600" w:type="dxa"/>
            <w:vAlign w:val="bottom"/>
          </w:tcPr>
          <w:p>
            <w:pPr>
              <w:spacing w:after="0"/>
              <w:rPr>
                <w:sz w:val="24"/>
                <w:szCs w:val="24"/>
                <w:color w:val="auto"/>
              </w:rPr>
            </w:pPr>
          </w:p>
        </w:tc>
        <w:tc>
          <w:tcPr>
            <w:tcW w:w="7760" w:type="dxa"/>
            <w:vAlign w:val="bottom"/>
          </w:tcPr>
          <w:p>
            <w:pPr>
              <w:ind w:left="620"/>
              <w:spacing w:after="0"/>
              <w:rPr>
                <w:sz w:val="20"/>
                <w:szCs w:val="20"/>
                <w:color w:val="auto"/>
              </w:rPr>
            </w:pPr>
            <w:r>
              <w:rPr>
                <w:rFonts w:ascii="Arial" w:cs="Arial" w:eastAsia="Arial" w:hAnsi="Arial"/>
                <w:sz w:val="18"/>
                <w:szCs w:val="18"/>
                <w:color w:val="auto"/>
              </w:rPr>
              <w:t>(the “Expiration Date”)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Option Exercise Price/Share:</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7760" w:type="dxa"/>
            <w:vAlign w:val="bottom"/>
          </w:tcPr>
          <w:p>
            <w:pPr>
              <w:ind w:left="620"/>
              <w:spacing w:after="0"/>
              <w:rPr>
                <w:sz w:val="20"/>
                <w:szCs w:val="20"/>
                <w:color w:val="auto"/>
              </w:rPr>
            </w:pPr>
            <w:r>
              <w:rPr>
                <w:rFonts w:ascii="Arial" w:cs="Arial" w:eastAsia="Arial" w:hAnsi="Arial"/>
                <w:sz w:val="18"/>
                <w:szCs w:val="18"/>
                <w:color w:val="auto"/>
              </w:rPr>
              <w:t>(the “Option Exercise Price”)</w:t>
            </w:r>
          </w:p>
        </w:tc>
      </w:tr>
      <w:tr>
        <w:trPr>
          <w:trHeight w:val="310"/>
        </w:trPr>
        <w:tc>
          <w:tcPr>
            <w:tcW w:w="2480" w:type="dxa"/>
            <w:vAlign w:val="bottom"/>
          </w:tcPr>
          <w:p>
            <w:pPr>
              <w:spacing w:after="0"/>
              <w:rPr>
                <w:sz w:val="20"/>
                <w:szCs w:val="20"/>
                <w:color w:val="auto"/>
              </w:rPr>
            </w:pPr>
            <w:r>
              <w:rPr>
                <w:rFonts w:ascii="Arial" w:cs="Arial" w:eastAsia="Arial" w:hAnsi="Arial"/>
                <w:sz w:val="18"/>
                <w:szCs w:val="18"/>
                <w:color w:val="auto"/>
              </w:rPr>
              <w:t>Vesting Schedule:</w:t>
            </w: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rPr>
              <w:t>[25] percent of the Shares shall vest and become exercisable on the first anniversary of the Vesting</w:t>
            </w:r>
          </w:p>
        </w:tc>
      </w:tr>
      <w:tr>
        <w:trPr>
          <w:trHeight w:val="216"/>
        </w:trPr>
        <w:tc>
          <w:tcPr>
            <w:tcW w:w="2480" w:type="dxa"/>
            <w:vAlign w:val="bottom"/>
          </w:tcPr>
          <w:p>
            <w:pPr>
              <w:spacing w:after="0"/>
              <w:rPr>
                <w:sz w:val="18"/>
                <w:szCs w:val="18"/>
                <w:color w:val="auto"/>
              </w:rPr>
            </w:pP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w w:val="89"/>
              </w:rPr>
              <w:t>Commencement Date; provided that the Optionee continues to have a Service Relationship with the Company at</w:t>
            </w:r>
          </w:p>
        </w:tc>
      </w:tr>
      <w:tr>
        <w:trPr>
          <w:trHeight w:val="216"/>
        </w:trPr>
        <w:tc>
          <w:tcPr>
            <w:tcW w:w="2480" w:type="dxa"/>
            <w:vAlign w:val="bottom"/>
          </w:tcPr>
          <w:p>
            <w:pPr>
              <w:spacing w:after="0"/>
              <w:rPr>
                <w:sz w:val="18"/>
                <w:szCs w:val="18"/>
                <w:color w:val="auto"/>
              </w:rPr>
            </w:pP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w w:val="91"/>
              </w:rPr>
              <w:t>such time. Thereafter, the remaining [75] percent of the Shares shall vest and become exercisable in [36] equal</w:t>
            </w:r>
          </w:p>
        </w:tc>
      </w:tr>
      <w:tr>
        <w:trPr>
          <w:trHeight w:val="216"/>
        </w:trPr>
        <w:tc>
          <w:tcPr>
            <w:tcW w:w="2480" w:type="dxa"/>
            <w:vAlign w:val="bottom"/>
          </w:tcPr>
          <w:p>
            <w:pPr>
              <w:spacing w:after="0"/>
              <w:rPr>
                <w:sz w:val="18"/>
                <w:szCs w:val="18"/>
                <w:color w:val="auto"/>
              </w:rPr>
            </w:pP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w w:val="91"/>
              </w:rPr>
              <w:t>monthly installments following the first anniversary of the Vesting Commencement Date, provided the Optionee</w:t>
            </w:r>
          </w:p>
        </w:tc>
      </w:tr>
      <w:tr>
        <w:trPr>
          <w:trHeight w:val="216"/>
        </w:trPr>
        <w:tc>
          <w:tcPr>
            <w:tcW w:w="2480" w:type="dxa"/>
            <w:vAlign w:val="bottom"/>
          </w:tcPr>
          <w:p>
            <w:pPr>
              <w:spacing w:after="0"/>
              <w:rPr>
                <w:sz w:val="18"/>
                <w:szCs w:val="18"/>
                <w:color w:val="auto"/>
              </w:rPr>
            </w:pP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w w:val="91"/>
              </w:rPr>
              <w:t>continues to have a Service Relationship with the Company on each vesting date. [Notwithstanding anything in</w:t>
            </w:r>
          </w:p>
        </w:tc>
      </w:tr>
      <w:tr>
        <w:trPr>
          <w:trHeight w:val="230"/>
        </w:trPr>
        <w:tc>
          <w:tcPr>
            <w:tcW w:w="2480" w:type="dxa"/>
            <w:vAlign w:val="bottom"/>
          </w:tcPr>
          <w:p>
            <w:pPr>
              <w:spacing w:after="0"/>
              <w:rPr>
                <w:sz w:val="20"/>
                <w:szCs w:val="20"/>
                <w:color w:val="auto"/>
              </w:rPr>
            </w:pP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w w:val="90"/>
              </w:rPr>
              <w:t>the Agreement to the contrary, in the case of a Sale Event, this Stock Option and the Shares shall be treated as</w:t>
            </w:r>
          </w:p>
        </w:tc>
      </w:tr>
    </w:tbl>
    <w:p>
      <w:pPr>
        <w:ind w:left="2760" w:right="620"/>
        <w:spacing w:after="0" w:line="260" w:lineRule="auto"/>
        <w:rPr>
          <w:sz w:val="20"/>
          <w:szCs w:val="20"/>
          <w:color w:val="auto"/>
        </w:rPr>
      </w:pPr>
      <w:r>
        <w:rPr>
          <w:rFonts w:ascii="Arial" w:cs="Arial" w:eastAsia="Arial" w:hAnsi="Arial"/>
          <w:sz w:val="18"/>
          <w:szCs w:val="18"/>
          <w:color w:val="auto"/>
        </w:rPr>
        <w:t xml:space="preserve">provided in Section 3(c) of the Plan] </w:t>
      </w:r>
      <w:r>
        <w:rPr>
          <w:rFonts w:ascii="Arial" w:cs="Arial" w:eastAsia="Arial" w:hAnsi="Arial"/>
          <w:sz w:val="18"/>
          <w:szCs w:val="18"/>
          <w:b w:val="1"/>
          <w:bCs w:val="1"/>
          <w:color w:val="auto"/>
        </w:rPr>
        <w:t>[provided; however INSERT ANY ACCELERATED VESTING</w:t>
      </w:r>
      <w:r>
        <w:rPr>
          <w:rFonts w:ascii="Arial" w:cs="Arial" w:eastAsia="Arial" w:hAnsi="Arial"/>
          <w:sz w:val="18"/>
          <w:szCs w:val="18"/>
          <w:color w:val="auto"/>
        </w:rPr>
        <w:t xml:space="preserve"> </w:t>
      </w:r>
      <w:r>
        <w:rPr>
          <w:rFonts w:ascii="Arial" w:cs="Arial" w:eastAsia="Arial" w:hAnsi="Arial"/>
          <w:sz w:val="18"/>
          <w:szCs w:val="18"/>
          <w:b w:val="1"/>
          <w:bCs w:val="1"/>
          <w:color w:val="auto"/>
        </w:rPr>
        <w:t>PROVISION HERE]</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Incentive Stock Option Agreement, 2017 Stock Option and Grant Plan</w:t>
      </w:r>
    </w:p>
    <w:p>
      <w:pPr>
        <w:sectPr>
          <w:pgSz w:w="11900" w:h="16838" w:orient="portrait"/>
          <w:cols w:equalWidth="0" w:num="1">
            <w:col w:w="10940"/>
          </w:cols>
          <w:pgMar w:left="440" w:top="270" w:right="519" w:bottom="1440" w:gutter="0" w:footer="0" w:header="0"/>
        </w:sectPr>
      </w:pPr>
    </w:p>
    <w:bookmarkStart w:id="56" w:name="page57"/>
    <w:bookmarkEnd w:id="56"/>
    <w:p>
      <w:pPr>
        <w:ind w:left="3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INCENTIVE STOCK OPTION AGREEMENT</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Grant Notice and the Plan.</w:t>
      </w:r>
    </w:p>
    <w:p>
      <w:pPr>
        <w:spacing w:after="0" w:line="237" w:lineRule="exact"/>
        <w:rPr>
          <w:sz w:val="20"/>
          <w:szCs w:val="20"/>
          <w:color w:val="auto"/>
        </w:rPr>
      </w:pPr>
    </w:p>
    <w:p>
      <w:pPr>
        <w:ind w:left="620" w:hanging="184"/>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225" w:lineRule="exact"/>
        <w:rPr>
          <w:rFonts w:ascii="Arial" w:cs="Arial" w:eastAsia="Arial" w:hAnsi="Arial"/>
          <w:sz w:val="18"/>
          <w:szCs w:val="18"/>
          <w:color w:val="auto"/>
        </w:rPr>
      </w:pPr>
    </w:p>
    <w:p>
      <w:pPr>
        <w:ind w:right="140" w:firstLine="987"/>
        <w:spacing w:after="0" w:line="277" w:lineRule="auto"/>
        <w:tabs>
          <w:tab w:leader="none" w:pos="1246"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This Stock Option shall vest and become exercisable in accordance with the Vesting Schedule set forth in the Grant Notice.</w:t>
      </w:r>
    </w:p>
    <w:p>
      <w:pPr>
        <w:spacing w:after="0" w:line="248" w:lineRule="exact"/>
        <w:rPr>
          <w:rFonts w:ascii="Arial" w:cs="Arial" w:eastAsia="Arial" w:hAnsi="Arial"/>
          <w:sz w:val="16"/>
          <w:szCs w:val="16"/>
          <w:color w:val="auto"/>
        </w:rPr>
      </w:pPr>
    </w:p>
    <w:p>
      <w:pPr>
        <w:ind w:firstLine="987"/>
        <w:spacing w:after="0" w:line="263" w:lineRule="auto"/>
        <w:tabs>
          <w:tab w:leader="none" w:pos="123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75" w:lineRule="exact"/>
        <w:rPr>
          <w:rFonts w:ascii="Arial" w:cs="Arial" w:eastAsia="Arial" w:hAnsi="Arial"/>
          <w:sz w:val="18"/>
          <w:szCs w:val="18"/>
          <w:color w:val="auto"/>
        </w:rPr>
      </w:pPr>
    </w:p>
    <w:p>
      <w:pPr>
        <w:jc w:val="both"/>
        <w:ind w:left="980" w:right="20" w:firstLine="408"/>
        <w:spacing w:after="0" w:line="311" w:lineRule="auto"/>
        <w:tabs>
          <w:tab w:leader="none" w:pos="1596"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40" w:lineRule="exact"/>
        <w:rPr>
          <w:rFonts w:ascii="Arial" w:cs="Arial" w:eastAsia="Arial" w:hAnsi="Arial"/>
          <w:sz w:val="16"/>
          <w:szCs w:val="16"/>
          <w:color w:val="auto"/>
        </w:rPr>
      </w:pPr>
    </w:p>
    <w:p>
      <w:pPr>
        <w:jc w:val="both"/>
        <w:ind w:left="980" w:right="160" w:firstLine="408"/>
        <w:spacing w:after="0" w:line="301" w:lineRule="auto"/>
        <w:tabs>
          <w:tab w:leader="none" w:pos="1646"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6"/>
          <w:szCs w:val="16"/>
          <w:u w:val="single" w:color="auto"/>
          <w:color w:val="auto"/>
        </w:rPr>
        <w:t>provided however</w:t>
      </w:r>
      <w:r>
        <w:rPr>
          <w:rFonts w:ascii="Arial" w:cs="Arial" w:eastAsia="Arial" w:hAnsi="Arial"/>
          <w:sz w:val="16"/>
          <w:szCs w:val="16"/>
          <w:color w:val="auto"/>
        </w:rPr>
        <w:t>, if the Optionee’s Service Relationship is terminated for Cause, this Stock Option shall terminate immediately upon the date of such termination.</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440" w:top="270" w:right="619" w:bottom="1440" w:gutter="0" w:footer="0" w:header="0"/>
        </w:sectPr>
      </w:pPr>
    </w:p>
    <w:bookmarkStart w:id="57" w:name="page58"/>
    <w:bookmarkEnd w:id="57"/>
    <w:p>
      <w:pPr>
        <w:ind w:firstLine="987"/>
        <w:spacing w:after="0" w:line="288" w:lineRule="auto"/>
        <w:tabs>
          <w:tab w:leader="none" w:pos="1246" w:val="left"/>
        </w:tabs>
        <w:numPr>
          <w:ilvl w:val="1"/>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168" w:lineRule="exact"/>
        <w:rPr>
          <w:rFonts w:ascii="Arial" w:cs="Arial" w:eastAsia="Arial" w:hAnsi="Arial"/>
          <w:sz w:val="16"/>
          <w:szCs w:val="16"/>
          <w:color w:val="auto"/>
        </w:rPr>
      </w:pPr>
    </w:p>
    <w:p>
      <w:pPr>
        <w:ind w:left="620" w:hanging="184"/>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Exercise of Stock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5" w:lineRule="auto"/>
        <w:tabs>
          <w:tab w:leader="none" w:pos="1236"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76" w:lineRule="exact"/>
        <w:rPr>
          <w:rFonts w:ascii="Arial" w:cs="Arial" w:eastAsia="Arial" w:hAnsi="Arial"/>
          <w:sz w:val="17"/>
          <w:szCs w:val="17"/>
          <w:color w:val="auto"/>
        </w:rPr>
      </w:pPr>
    </w:p>
    <w:p>
      <w:pPr>
        <w:ind w:left="1240" w:hanging="253"/>
        <w:spacing w:after="0"/>
        <w:tabs>
          <w:tab w:leader="none" w:pos="12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210" w:lineRule="exact"/>
        <w:rPr>
          <w:rFonts w:ascii="Arial" w:cs="Arial" w:eastAsia="Arial" w:hAnsi="Arial"/>
          <w:sz w:val="17"/>
          <w:szCs w:val="17"/>
          <w:color w:val="auto"/>
        </w:rPr>
      </w:pPr>
    </w:p>
    <w:p>
      <w:pPr>
        <w:ind w:right="140" w:firstLine="436"/>
        <w:spacing w:after="0" w:line="277"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170" w:lineRule="exact"/>
        <w:rPr>
          <w:rFonts w:ascii="Arial" w:cs="Arial" w:eastAsia="Arial" w:hAnsi="Arial"/>
          <w:sz w:val="18"/>
          <w:szCs w:val="18"/>
          <w:color w:val="auto"/>
        </w:rPr>
      </w:pPr>
    </w:p>
    <w:p>
      <w:pPr>
        <w:ind w:right="40" w:firstLine="436"/>
        <w:spacing w:after="0" w:line="291"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Transferability of Stock Option</w:t>
      </w:r>
      <w:r>
        <w:rPr>
          <w:rFonts w:ascii="Arial" w:cs="Arial" w:eastAsia="Arial" w:hAnsi="Arial"/>
          <w:sz w:val="16"/>
          <w:szCs w:val="16"/>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8" w:name="page59"/>
    <w:bookmarkEnd w:id="58"/>
    <w:p>
      <w:pPr>
        <w:ind w:left="-100" w:right="180" w:firstLine="436"/>
        <w:spacing w:after="0" w:line="27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170" w:lineRule="exact"/>
        <w:rPr>
          <w:rFonts w:ascii="Arial" w:cs="Arial" w:eastAsia="Arial" w:hAnsi="Arial"/>
          <w:sz w:val="18"/>
          <w:szCs w:val="18"/>
          <w:color w:val="auto"/>
        </w:rPr>
      </w:pPr>
    </w:p>
    <w:p>
      <w:pPr>
        <w:ind w:left="520" w:hanging="184"/>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340" w:firstLine="987"/>
        <w:spacing w:after="0" w:line="342" w:lineRule="auto"/>
        <w:tabs>
          <w:tab w:leader="none" w:pos="1136"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23" w:lineRule="exact"/>
        <w:rPr>
          <w:rFonts w:ascii="Arial" w:cs="Arial" w:eastAsia="Arial" w:hAnsi="Arial"/>
          <w:sz w:val="16"/>
          <w:szCs w:val="16"/>
          <w:color w:val="auto"/>
        </w:rPr>
      </w:pPr>
    </w:p>
    <w:p>
      <w:pPr>
        <w:ind w:left="-100" w:right="20" w:firstLine="987"/>
        <w:spacing w:after="0" w:line="257" w:lineRule="auto"/>
        <w:tabs>
          <w:tab w:leader="none" w:pos="114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87" w:lineRule="exact"/>
        <w:rPr>
          <w:rFonts w:ascii="Arial" w:cs="Arial" w:eastAsia="Arial" w:hAnsi="Arial"/>
          <w:sz w:val="18"/>
          <w:szCs w:val="18"/>
          <w:color w:val="auto"/>
        </w:rPr>
      </w:pPr>
    </w:p>
    <w:p>
      <w:pPr>
        <w:jc w:val="both"/>
        <w:ind w:left="-100" w:firstLine="987"/>
        <w:spacing w:after="0" w:line="342" w:lineRule="auto"/>
        <w:tabs>
          <w:tab w:leader="none" w:pos="1136"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23" w:lineRule="exact"/>
        <w:rPr>
          <w:rFonts w:ascii="Arial" w:cs="Arial" w:eastAsia="Arial" w:hAnsi="Arial"/>
          <w:sz w:val="16"/>
          <w:szCs w:val="16"/>
          <w:color w:val="auto"/>
        </w:rPr>
      </w:pPr>
    </w:p>
    <w:p>
      <w:pPr>
        <w:jc w:val="both"/>
        <w:ind w:left="-100" w:right="80" w:firstLine="987"/>
        <w:spacing w:after="0" w:line="259" w:lineRule="auto"/>
        <w:tabs>
          <w:tab w:leader="none" w:pos="114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6" w:lineRule="exact"/>
        <w:rPr>
          <w:rFonts w:ascii="Arial" w:cs="Arial" w:eastAsia="Arial" w:hAnsi="Arial"/>
          <w:sz w:val="18"/>
          <w:szCs w:val="18"/>
          <w:color w:val="auto"/>
        </w:rPr>
      </w:pPr>
    </w:p>
    <w:p>
      <w:pPr>
        <w:ind w:left="-100" w:right="240" w:firstLine="987"/>
        <w:spacing w:after="0" w:line="277" w:lineRule="auto"/>
        <w:tabs>
          <w:tab w:leader="none" w:pos="113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70" w:lineRule="exact"/>
        <w:rPr>
          <w:rFonts w:ascii="Arial" w:cs="Arial" w:eastAsia="Arial" w:hAnsi="Arial"/>
          <w:sz w:val="18"/>
          <w:szCs w:val="18"/>
          <w:color w:val="auto"/>
        </w:rPr>
      </w:pPr>
    </w:p>
    <w:p>
      <w:pPr>
        <w:ind w:left="-100" w:right="40" w:firstLine="987"/>
        <w:spacing w:after="0" w:line="277" w:lineRule="auto"/>
        <w:tabs>
          <w:tab w:leader="none" w:pos="111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70" w:lineRule="exact"/>
        <w:rPr>
          <w:rFonts w:ascii="Arial" w:cs="Arial" w:eastAsia="Arial" w:hAnsi="Arial"/>
          <w:sz w:val="18"/>
          <w:szCs w:val="18"/>
          <w:color w:val="auto"/>
        </w:rPr>
      </w:pPr>
    </w:p>
    <w:p>
      <w:pPr>
        <w:ind w:left="-100" w:right="20" w:firstLine="987"/>
        <w:spacing w:after="0" w:line="259" w:lineRule="auto"/>
        <w:tabs>
          <w:tab w:leader="none" w:pos="114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86" w:lineRule="exact"/>
        <w:rPr>
          <w:rFonts w:ascii="Arial" w:cs="Arial" w:eastAsia="Arial" w:hAnsi="Arial"/>
          <w:sz w:val="18"/>
          <w:szCs w:val="18"/>
          <w:color w:val="auto"/>
        </w:rPr>
      </w:pPr>
    </w:p>
    <w:p>
      <w:pPr>
        <w:ind w:left="-100" w:right="120" w:firstLine="987"/>
        <w:spacing w:after="0" w:line="263" w:lineRule="auto"/>
        <w:tabs>
          <w:tab w:leader="none" w:pos="114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540" w:top="274" w:right="539" w:bottom="1440" w:gutter="0" w:footer="0" w:header="0"/>
        </w:sectPr>
      </w:pPr>
    </w:p>
    <w:bookmarkStart w:id="59" w:name="page60"/>
    <w:bookmarkEnd w:id="59"/>
    <w:p>
      <w:pPr>
        <w:ind w:left="-20" w:right="840" w:firstLine="987"/>
        <w:spacing w:after="0" w:line="308" w:lineRule="auto"/>
        <w:tabs>
          <w:tab w:leader="none" w:pos="1186"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46" w:lineRule="exact"/>
        <w:rPr>
          <w:rFonts w:ascii="Arial" w:cs="Arial" w:eastAsia="Arial" w:hAnsi="Arial"/>
          <w:sz w:val="17"/>
          <w:szCs w:val="17"/>
          <w:color w:val="auto"/>
        </w:rPr>
      </w:pPr>
    </w:p>
    <w:p>
      <w:pPr>
        <w:jc w:val="both"/>
        <w:ind w:left="-20" w:right="60" w:firstLine="987"/>
        <w:spacing w:after="0" w:line="301" w:lineRule="auto"/>
        <w:tabs>
          <w:tab w:leader="none" w:pos="1186"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constitutes the entire agreement between the parties with respect to this Stock Option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157" w:lineRule="exact"/>
        <w:rPr>
          <w:rFonts w:ascii="Arial" w:cs="Arial" w:eastAsia="Arial" w:hAnsi="Arial"/>
          <w:sz w:val="16"/>
          <w:szCs w:val="16"/>
          <w:color w:val="auto"/>
        </w:rPr>
      </w:pPr>
    </w:p>
    <w:p>
      <w:pPr>
        <w:ind w:left="600" w:hanging="184"/>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right="80" w:firstLine="987"/>
        <w:spacing w:after="0" w:line="257" w:lineRule="auto"/>
        <w:tabs>
          <w:tab w:leader="none" w:pos="1216"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Boston, Massachusetts.</w:t>
      </w:r>
    </w:p>
    <w:p>
      <w:pPr>
        <w:spacing w:after="0" w:line="187" w:lineRule="exact"/>
        <w:rPr>
          <w:rFonts w:ascii="Arial" w:cs="Arial" w:eastAsia="Arial" w:hAnsi="Arial"/>
          <w:sz w:val="18"/>
          <w:szCs w:val="18"/>
          <w:color w:val="auto"/>
        </w:rPr>
      </w:pPr>
    </w:p>
    <w:p>
      <w:pPr>
        <w:ind w:left="-20" w:firstLine="987"/>
        <w:spacing w:after="0" w:line="269" w:lineRule="auto"/>
        <w:tabs>
          <w:tab w:leader="none" w:pos="1226"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85" w:lineRule="exact"/>
        <w:rPr>
          <w:rFonts w:ascii="Arial" w:cs="Arial" w:eastAsia="Arial" w:hAnsi="Arial"/>
          <w:sz w:val="17"/>
          <w:szCs w:val="17"/>
          <w:color w:val="auto"/>
        </w:rPr>
      </w:pPr>
    </w:p>
    <w:p>
      <w:pPr>
        <w:jc w:val="both"/>
        <w:ind w:left="-20" w:right="140" w:firstLine="987"/>
        <w:spacing w:after="0" w:line="279" w:lineRule="auto"/>
        <w:tabs>
          <w:tab w:leader="none" w:pos="1216"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60" w:name="page61"/>
    <w:bookmarkEnd w:id="60"/>
    <w:p>
      <w:pPr>
        <w:ind w:firstLine="987"/>
        <w:spacing w:after="0" w:line="288" w:lineRule="auto"/>
        <w:tabs>
          <w:tab w:leader="none" w:pos="1246"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1" w:name="page62"/>
    <w:bookmarkEnd w:id="61"/>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580390</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871855</wp:posOffset>
            </wp:positionV>
            <wp:extent cx="2794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580390</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871855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[SPOUSE’S CONSENT</w:t>
      </w:r>
      <w:r>
        <w:rPr>
          <w:rFonts w:ascii="Arial" w:cs="Arial" w:eastAsia="Arial" w:hAnsi="Arial"/>
          <w:sz w:val="15"/>
          <w:szCs w:val="15"/>
          <w:color w:val="auto"/>
        </w:rPr>
        <w:t>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acknowledge that I have read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foregoing Incentive Stock Option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understand the contents thereof.</w:t>
      </w:r>
    </w:p>
    <w:p>
      <w:pPr>
        <w:spacing w:after="0" w:line="224"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4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23488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5" w:lineRule="exact"/>
        <w:rPr>
          <w:sz w:val="20"/>
          <w:szCs w:val="20"/>
          <w:color w:val="auto"/>
        </w:rPr>
      </w:pPr>
    </w:p>
    <w:p>
      <w:pPr>
        <w:ind w:left="224" w:hanging="224"/>
        <w:spacing w:after="0" w:line="277" w:lineRule="auto"/>
        <w:tabs>
          <w:tab w:leader="none" w:pos="224" w:val="left"/>
        </w:tabs>
        <w:numPr>
          <w:ilvl w:val="0"/>
          <w:numId w:val="63"/>
        </w:numPr>
        <w:rPr>
          <w:rFonts w:ascii="Arial" w:cs="Arial" w:eastAsia="Arial" w:hAnsi="Arial"/>
          <w:sz w:val="15"/>
          <w:szCs w:val="15"/>
          <w:color w:val="auto"/>
        </w:rPr>
      </w:pPr>
      <w:r>
        <w:rPr>
          <w:rFonts w:ascii="Arial" w:cs="Arial" w:eastAsia="Arial" w:hAnsi="Arial"/>
          <w:sz w:val="18"/>
          <w:szCs w:val="18"/>
          <w:color w:val="auto"/>
        </w:rPr>
        <w:t>A spouse’s consent is recommended only if the Optionee’s state of residence is one of the following community property states: Arizona, California, Idaho, Louisiana, Nevada, New Mexico, Texas, Washington and Wisconsin.</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4"/>
          </w:cols>
          <w:pgMar w:left="436" w:top="274" w:right="559" w:bottom="1440" w:gutter="0" w:footer="0" w:header="0"/>
        </w:sectPr>
      </w:pPr>
    </w:p>
    <w:bookmarkStart w:id="63" w:name="page64"/>
    <w:bookmarkEnd w:id="63"/>
    <w:p>
      <w:pPr>
        <w:jc w:val="right"/>
        <w:ind w:right="10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580390</wp:posOffset>
            </wp:positionV>
            <wp:extent cx="2794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871855</wp:posOffset>
            </wp:positionV>
            <wp:extent cx="27946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74"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Appendix A</w:t>
            </w:r>
          </w:p>
        </w:tc>
        <w:tc>
          <w:tcPr>
            <w:tcW w:w="2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3"/>
        </w:trPr>
        <w:tc>
          <w:tcPr>
            <w:tcW w:w="1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rPr>
              <w:t>STOCK OPTION EXERCISE NOTICE</w:t>
            </w:r>
          </w:p>
        </w:tc>
        <w:tc>
          <w:tcPr>
            <w:tcW w:w="2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5"/>
        </w:trPr>
        <w:tc>
          <w:tcPr>
            <w:tcW w:w="7160" w:type="dxa"/>
            <w:vAlign w:val="bottom"/>
            <w:gridSpan w:val="5"/>
          </w:tcPr>
          <w:p>
            <w:pPr>
              <w:spacing w:after="0"/>
              <w:rPr>
                <w:sz w:val="20"/>
                <w:szCs w:val="20"/>
                <w:color w:val="auto"/>
              </w:rPr>
            </w:pPr>
            <w:r>
              <w:rPr>
                <w:rFonts w:ascii="Arial" w:cs="Arial" w:eastAsia="Arial" w:hAnsi="Arial"/>
                <w:sz w:val="18"/>
                <w:szCs w:val="18"/>
                <w:color w:val="auto"/>
              </w:rPr>
              <w:t>Tango Therapeutics, Inc.</w:t>
            </w:r>
          </w:p>
        </w:tc>
        <w:tc>
          <w:tcPr>
            <w:tcW w:w="2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Attention:  [</w:t>
            </w:r>
          </w:p>
        </w:tc>
        <w:tc>
          <w:tcPr>
            <w:tcW w:w="19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3080" w:type="dxa"/>
            <w:vAlign w:val="bottom"/>
            <w:tcBorders>
              <w:bottom w:val="single" w:sz="8" w:color="auto"/>
            </w:tcBorders>
            <w:gridSpan w:val="2"/>
          </w:tcPr>
          <w:p>
            <w:pPr>
              <w:spacing w:after="0"/>
              <w:rPr>
                <w:sz w:val="18"/>
                <w:szCs w:val="18"/>
                <w:color w:val="auto"/>
              </w:rPr>
            </w:pP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60" w:type="dxa"/>
            <w:vAlign w:val="bottom"/>
            <w:gridSpan w:val="3"/>
          </w:tcPr>
          <w:p>
            <w:pPr>
              <w:spacing w:after="0"/>
              <w:rPr>
                <w:sz w:val="18"/>
                <w:szCs w:val="18"/>
                <w:color w:val="auto"/>
              </w:rPr>
            </w:pPr>
          </w:p>
        </w:tc>
      </w:tr>
      <w:tr>
        <w:trPr>
          <w:trHeight w:val="223"/>
        </w:trPr>
        <w:tc>
          <w:tcPr>
            <w:tcW w:w="3080" w:type="dxa"/>
            <w:vAlign w:val="bottom"/>
            <w:tcBorders>
              <w:bottom w:val="single" w:sz="8" w:color="auto"/>
            </w:tcBorders>
            <w:gridSpan w:val="2"/>
          </w:tcPr>
          <w:p>
            <w:pPr>
              <w:spacing w:after="0"/>
              <w:rPr>
                <w:sz w:val="19"/>
                <w:szCs w:val="19"/>
                <w:color w:val="auto"/>
              </w:rPr>
            </w:pPr>
          </w:p>
        </w:tc>
        <w:tc>
          <w:tcPr>
            <w:tcW w:w="1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60" w:type="dxa"/>
            <w:vAlign w:val="bottom"/>
            <w:gridSpan w:val="3"/>
          </w:tcPr>
          <w:p>
            <w:pPr>
              <w:spacing w:after="0"/>
              <w:rPr>
                <w:sz w:val="19"/>
                <w:szCs w:val="19"/>
                <w:color w:val="auto"/>
              </w:rPr>
            </w:pPr>
          </w:p>
        </w:tc>
      </w:tr>
      <w:tr>
        <w:trPr>
          <w:trHeight w:val="425"/>
        </w:trPr>
        <w:tc>
          <w:tcPr>
            <w:tcW w:w="10920" w:type="dxa"/>
            <w:vAlign w:val="bottom"/>
            <w:gridSpan w:val="7"/>
          </w:tcPr>
          <w:p>
            <w:pPr>
              <w:jc w:val="center"/>
              <w:ind w:left="30"/>
              <w:spacing w:after="0"/>
              <w:rPr>
                <w:sz w:val="20"/>
                <w:szCs w:val="20"/>
                <w:color w:val="auto"/>
              </w:rPr>
            </w:pPr>
            <w:r>
              <w:rPr>
                <w:rFonts w:ascii="Arial" w:cs="Arial" w:eastAsia="Arial" w:hAnsi="Arial"/>
                <w:sz w:val="18"/>
                <w:szCs w:val="18"/>
                <w:color w:val="auto"/>
                <w:w w:val="89"/>
              </w:rPr>
              <w:t>Pursuant to the terms of the grant notice and stock option agreement between the undersigned and Tango Therapeutics, Inc. (the “Company”)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dated</w:t>
            </w:r>
          </w:p>
        </w:tc>
        <w:tc>
          <w:tcPr>
            <w:tcW w:w="8340" w:type="dxa"/>
            <w:vAlign w:val="bottom"/>
            <w:gridSpan w:val="5"/>
          </w:tcPr>
          <w:p>
            <w:pPr>
              <w:ind w:left="200"/>
              <w:spacing w:after="0"/>
              <w:rPr>
                <w:sz w:val="20"/>
                <w:szCs w:val="20"/>
                <w:color w:val="auto"/>
              </w:rPr>
            </w:pPr>
            <w:r>
              <w:rPr>
                <w:rFonts w:ascii="Arial" w:cs="Arial" w:eastAsia="Arial" w:hAnsi="Arial"/>
                <w:sz w:val="18"/>
                <w:szCs w:val="18"/>
                <w:color w:val="auto"/>
                <w:w w:val="96"/>
              </w:rPr>
              <w:t>(the “Agreement”) under the Tango Therapeutics, Inc. 2017 Stock Option and Grant Plan, I, [Insert Name]</w:t>
            </w:r>
          </w:p>
        </w:tc>
        <w:tc>
          <w:tcPr>
            <w:tcW w:w="1400" w:type="dxa"/>
            <w:vAlign w:val="bottom"/>
          </w:tcPr>
          <w:p>
            <w:pPr>
              <w:ind w:left="460"/>
              <w:spacing w:after="0"/>
              <w:rPr>
                <w:sz w:val="20"/>
                <w:szCs w:val="20"/>
                <w:color w:val="auto"/>
              </w:rPr>
            </w:pPr>
            <w:r>
              <w:rPr>
                <w:rFonts w:ascii="Arial" w:cs="Arial" w:eastAsia="Arial" w:hAnsi="Arial"/>
                <w:sz w:val="18"/>
                <w:szCs w:val="18"/>
                <w:color w:val="auto"/>
              </w:rPr>
              <w:t>, hereby</w:t>
            </w:r>
          </w:p>
        </w:tc>
      </w:tr>
      <w:tr>
        <w:trPr>
          <w:trHeight w:val="216"/>
        </w:trPr>
        <w:tc>
          <w:tcPr>
            <w:tcW w:w="7160" w:type="dxa"/>
            <w:vAlign w:val="bottom"/>
            <w:gridSpan w:val="5"/>
          </w:tcPr>
          <w:p>
            <w:pPr>
              <w:spacing w:after="0"/>
              <w:rPr>
                <w:sz w:val="20"/>
                <w:szCs w:val="20"/>
                <w:color w:val="auto"/>
              </w:rPr>
            </w:pPr>
            <w:r>
              <w:rPr>
                <w:rFonts w:ascii="Arial" w:cs="Arial" w:eastAsia="Arial" w:hAnsi="Arial"/>
                <w:sz w:val="18"/>
                <w:szCs w:val="18"/>
                <w:color w:val="auto"/>
                <w:w w:val="95"/>
              </w:rPr>
              <w:t>[Circle One] partially/fully exercise such option by including herein payment in the amount of $</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w w:val="91"/>
              </w:rPr>
              <w:t>representing the purchase price for [Fill in number</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of Shares]</w:t>
            </w:r>
          </w:p>
        </w:tc>
        <w:tc>
          <w:tcPr>
            <w:tcW w:w="5980" w:type="dxa"/>
            <w:vAlign w:val="bottom"/>
            <w:gridSpan w:val="4"/>
          </w:tcPr>
          <w:p>
            <w:pPr>
              <w:ind w:left="540"/>
              <w:spacing w:after="0"/>
              <w:rPr>
                <w:sz w:val="20"/>
                <w:szCs w:val="20"/>
                <w:color w:val="auto"/>
              </w:rPr>
            </w:pPr>
            <w:r>
              <w:rPr>
                <w:rFonts w:ascii="Arial" w:cs="Arial" w:eastAsia="Arial" w:hAnsi="Arial"/>
                <w:sz w:val="18"/>
                <w:szCs w:val="18"/>
                <w:color w:val="auto"/>
              </w:rPr>
              <w:t>Shares. I have chosen the following form(s) of payment:</w:t>
            </w:r>
          </w:p>
        </w:tc>
        <w:tc>
          <w:tcPr>
            <w:tcW w:w="23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160" w:hanging="280"/>
        <w:spacing w:after="0"/>
        <w:tabs>
          <w:tab w:leader="none" w:pos="1160" w:val="left"/>
        </w:tabs>
        <w:numPr>
          <w:ilvl w:val="0"/>
          <w:numId w:val="64"/>
        </w:numPr>
        <w:rPr>
          <w:rFonts w:ascii="MS PGothic" w:cs="MS PGothic" w:eastAsia="MS PGothic" w:hAnsi="MS PGothic"/>
          <w:sz w:val="18"/>
          <w:szCs w:val="18"/>
          <w:color w:val="auto"/>
        </w:rPr>
      </w:pPr>
      <w:r>
        <w:rPr>
          <w:rFonts w:ascii="Arial" w:cs="Arial" w:eastAsia="Arial" w:hAnsi="Arial"/>
          <w:sz w:val="18"/>
          <w:szCs w:val="18"/>
          <w:color w:val="auto"/>
        </w:rPr>
        <w:t>1. Cash</w:t>
      </w:r>
    </w:p>
    <w:p>
      <w:pPr>
        <w:spacing w:after="0" w:line="25" w:lineRule="exact"/>
        <w:rPr>
          <w:rFonts w:ascii="MS PGothic" w:cs="MS PGothic" w:eastAsia="MS PGothic" w:hAnsi="MS PGothic"/>
          <w:sz w:val="18"/>
          <w:szCs w:val="18"/>
          <w:color w:val="auto"/>
        </w:rPr>
      </w:pPr>
    </w:p>
    <w:p>
      <w:pPr>
        <w:ind w:left="1160" w:hanging="280"/>
        <w:spacing w:after="0"/>
        <w:tabs>
          <w:tab w:leader="none" w:pos="1160" w:val="left"/>
        </w:tabs>
        <w:numPr>
          <w:ilvl w:val="0"/>
          <w:numId w:val="64"/>
        </w:numPr>
        <w:rPr>
          <w:rFonts w:ascii="MS PGothic" w:cs="MS PGothic" w:eastAsia="MS PGothic" w:hAnsi="MS PGothic"/>
          <w:sz w:val="18"/>
          <w:szCs w:val="18"/>
          <w:color w:val="auto"/>
        </w:rPr>
      </w:pPr>
      <w:r>
        <w:rPr>
          <w:rFonts w:ascii="Arial" w:cs="Arial" w:eastAsia="Arial" w:hAnsi="Arial"/>
          <w:sz w:val="18"/>
          <w:szCs w:val="18"/>
          <w:color w:val="auto"/>
        </w:rPr>
        <w:t>2. Certified or bank check payable to Tango Therapeutics, Inc.</w:t>
      </w:r>
    </w:p>
    <w:p>
      <w:pPr>
        <w:spacing w:after="0" w:line="9" w:lineRule="exact"/>
        <w:rPr>
          <w:rFonts w:ascii="MS PGothic" w:cs="MS PGothic" w:eastAsia="MS PGothic" w:hAnsi="MS PGothic"/>
          <w:sz w:val="18"/>
          <w:szCs w:val="18"/>
          <w:color w:val="auto"/>
        </w:rPr>
      </w:pPr>
    </w:p>
    <w:p>
      <w:pPr>
        <w:ind w:left="1160" w:hanging="280"/>
        <w:spacing w:after="0"/>
        <w:tabs>
          <w:tab w:leader="none" w:pos="1160" w:val="left"/>
        </w:tabs>
        <w:numPr>
          <w:ilvl w:val="0"/>
          <w:numId w:val="64"/>
        </w:numPr>
        <w:rPr>
          <w:rFonts w:ascii="MS PGothic" w:cs="MS PGothic" w:eastAsia="MS PGothic" w:hAnsi="MS PGothic"/>
          <w:sz w:val="18"/>
          <w:szCs w:val="18"/>
          <w:color w:val="auto"/>
        </w:rPr>
      </w:pPr>
      <w:r>
        <w:rPr>
          <w:rFonts w:ascii="Arial" w:cs="Arial" w:eastAsia="Arial" w:hAnsi="Arial"/>
          <w:sz w:val="18"/>
          <w:szCs w:val="18"/>
          <w:color w:val="auto"/>
        </w:rPr>
        <w:t>3. Other (as referenced in the Agreement and described in the Plan (please describe))</w:t>
      </w:r>
    </w:p>
    <w:p>
      <w:pPr>
        <w:spacing w:after="0" w:line="9" w:lineRule="exact"/>
        <w:rPr>
          <w:rFonts w:ascii="MS PGothic" w:cs="MS PGothic" w:eastAsia="MS PGothic" w:hAnsi="MS PGothic"/>
          <w:sz w:val="18"/>
          <w:szCs w:val="18"/>
          <w:color w:val="auto"/>
        </w:rPr>
      </w:pPr>
    </w:p>
    <w:p>
      <w:pPr>
        <w:ind w:left="4860"/>
        <w:spacing w:after="0"/>
        <w:rPr>
          <w:rFonts w:ascii="MS PGothic" w:cs="MS PGothic" w:eastAsia="MS PGothic" w:hAnsi="MS PGothic"/>
          <w:sz w:val="18"/>
          <w:szCs w:val="18"/>
          <w:color w:val="auto"/>
        </w:rPr>
      </w:pPr>
      <w:r>
        <w:rPr>
          <w:rFonts w:ascii="Arial" w:cs="Arial" w:eastAsia="Arial" w:hAnsi="Arial"/>
          <w:sz w:val="18"/>
          <w:szCs w:val="18"/>
          <w:color w:val="auto"/>
        </w:rPr>
        <w:t>.</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600" w:hanging="212"/>
        <w:spacing w:after="0"/>
        <w:tabs>
          <w:tab w:leader="none" w:pos="1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am purchasing the Shares for my own account for investment only, and not for resale or with a view to the distribution thereof.</w:t>
      </w:r>
    </w:p>
    <w:p>
      <w:pPr>
        <w:spacing w:after="0" w:line="140" w:lineRule="exact"/>
        <w:rPr>
          <w:rFonts w:ascii="Arial" w:cs="Arial" w:eastAsia="Arial" w:hAnsi="Arial"/>
          <w:sz w:val="16"/>
          <w:szCs w:val="16"/>
          <w:color w:val="auto"/>
        </w:rPr>
      </w:pPr>
    </w:p>
    <w:p>
      <w:pPr>
        <w:ind w:left="980" w:firstLine="408"/>
        <w:spacing w:after="0" w:line="263" w:lineRule="auto"/>
        <w:tabs>
          <w:tab w:leader="none" w:pos="16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75" w:lineRule="exact"/>
        <w:rPr>
          <w:rFonts w:ascii="Arial" w:cs="Arial" w:eastAsia="Arial" w:hAnsi="Arial"/>
          <w:sz w:val="18"/>
          <w:szCs w:val="18"/>
          <w:color w:val="auto"/>
        </w:rPr>
      </w:pPr>
    </w:p>
    <w:p>
      <w:pPr>
        <w:ind w:left="980" w:firstLine="408"/>
        <w:spacing w:after="0" w:line="277" w:lineRule="auto"/>
        <w:tabs>
          <w:tab w:leader="none" w:pos="16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980" w:right="500" w:firstLine="408"/>
        <w:spacing w:after="0" w:line="277" w:lineRule="auto"/>
        <w:tabs>
          <w:tab w:leader="none" w:pos="168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can afford a complete loss of the value of the Shares and am able to bear the economic risk of holding such Shares for an indefinite period of time.</w:t>
      </w:r>
    </w:p>
    <w:p>
      <w:pPr>
        <w:spacing w:after="0" w:line="62" w:lineRule="exact"/>
        <w:rPr>
          <w:rFonts w:ascii="Arial" w:cs="Arial" w:eastAsia="Arial" w:hAnsi="Arial"/>
          <w:sz w:val="18"/>
          <w:szCs w:val="18"/>
          <w:color w:val="auto"/>
        </w:rPr>
      </w:pPr>
    </w:p>
    <w:p>
      <w:pPr>
        <w:ind w:left="980" w:right="80" w:firstLine="408"/>
        <w:spacing w:after="0" w:line="279" w:lineRule="auto"/>
        <w:tabs>
          <w:tab w:leader="none" w:pos="1636"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57" w:right="459" w:bottom="1440" w:gutter="0" w:footer="0" w:header="0"/>
        </w:sectPr>
      </w:pPr>
    </w:p>
    <w:bookmarkStart w:id="65" w:name="page66"/>
    <w:bookmarkEnd w:id="65"/>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requirement thereof). I further acknowledge that certificates representing Shares will bear restrictive legends reflecting the foregoing and/or that book entries for uncertificated Shares will include similar restrictive notations.</w:t>
      </w:r>
    </w:p>
    <w:p>
      <w:pPr>
        <w:spacing w:after="0" w:line="62" w:lineRule="exact"/>
        <w:rPr>
          <w:sz w:val="20"/>
          <w:szCs w:val="20"/>
          <w:color w:val="auto"/>
        </w:rPr>
      </w:pPr>
    </w:p>
    <w:p>
      <w:pPr>
        <w:ind w:right="360" w:firstLine="408"/>
        <w:spacing w:after="0" w:line="277" w:lineRule="auto"/>
        <w:tabs>
          <w:tab w:leader="none" w:pos="70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760" w:hanging="352"/>
        <w:spacing w:after="0"/>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left="820" w:hanging="412"/>
        <w:spacing w:after="0"/>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understand and agree that the Company has certain repurchase rights with respect to the Shares pursuant to Section 9(c)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right="560" w:firstLine="408"/>
        <w:spacing w:after="0" w:line="277" w:lineRule="auto"/>
        <w:tabs>
          <w:tab w:leader="none" w:pos="70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288925</wp:posOffset>
            </wp:positionV>
            <wp:extent cx="27946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288925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580390</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871855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14605</wp:posOffset>
            </wp:positionV>
            <wp:extent cx="24860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00"/>
          </w:cols>
          <w:pgMar w:left="1420" w:top="274" w:right="47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NON-QUALIFIED STOCK OPTION GRANT NOTICE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Pursuant to the Tango Therapeutics, Inc. 2017 Stock Option and Grant Plan (the “Plan”), Tango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Name of Optionee:</w:t>
            </w:r>
          </w:p>
        </w:tc>
        <w:tc>
          <w:tcPr>
            <w:tcW w:w="600" w:type="dxa"/>
            <w:vAlign w:val="bottom"/>
          </w:tcPr>
          <w:p>
            <w:pPr>
              <w:spacing w:after="0"/>
              <w:rPr>
                <w:sz w:val="20"/>
                <w:szCs w:val="20"/>
                <w:color w:val="auto"/>
              </w:rPr>
            </w:pPr>
          </w:p>
        </w:tc>
        <w:tc>
          <w:tcPr>
            <w:tcW w:w="7760" w:type="dxa"/>
            <w:vAlign w:val="bottom"/>
          </w:tcPr>
          <w:p>
            <w:pPr>
              <w:ind w:left="560"/>
              <w:spacing w:after="0"/>
              <w:rPr>
                <w:sz w:val="20"/>
                <w:szCs w:val="20"/>
                <w:color w:val="auto"/>
              </w:rPr>
            </w:pPr>
            <w:r>
              <w:rPr>
                <w:rFonts w:ascii="Arial" w:cs="Arial" w:eastAsia="Arial" w:hAnsi="Arial"/>
                <w:sz w:val="18"/>
                <w:szCs w:val="18"/>
                <w:color w:val="auto"/>
              </w:rPr>
              <w:t>(the “Optionee”)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No. of Shares:</w:t>
            </w:r>
          </w:p>
        </w:tc>
        <w:tc>
          <w:tcPr>
            <w:tcW w:w="600" w:type="dxa"/>
            <w:vAlign w:val="bottom"/>
          </w:tcPr>
          <w:p>
            <w:pPr>
              <w:spacing w:after="0"/>
              <w:rPr>
                <w:sz w:val="24"/>
                <w:szCs w:val="24"/>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Shares of Common Stock</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Grant Date:</w:t>
            </w:r>
          </w:p>
        </w:tc>
        <w:tc>
          <w:tcPr>
            <w:tcW w:w="60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600" w:type="dxa"/>
            <w:vAlign w:val="bottom"/>
          </w:tcPr>
          <w:p>
            <w:pPr>
              <w:spacing w:after="0"/>
              <w:rPr>
                <w:sz w:val="24"/>
                <w:szCs w:val="24"/>
                <w:color w:val="auto"/>
              </w:rPr>
            </w:pPr>
          </w:p>
        </w:tc>
        <w:tc>
          <w:tcPr>
            <w:tcW w:w="7760" w:type="dxa"/>
            <w:vAlign w:val="bottom"/>
          </w:tcPr>
          <w:p>
            <w:pPr>
              <w:ind w:left="620"/>
              <w:spacing w:after="0"/>
              <w:rPr>
                <w:sz w:val="20"/>
                <w:szCs w:val="20"/>
                <w:color w:val="auto"/>
              </w:rPr>
            </w:pPr>
            <w:r>
              <w:rPr>
                <w:rFonts w:ascii="Arial" w:cs="Arial" w:eastAsia="Arial" w:hAnsi="Arial"/>
                <w:sz w:val="18"/>
                <w:szCs w:val="18"/>
                <w:color w:val="auto"/>
              </w:rPr>
              <w:t>(the “Vesting Commencement Date”)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Expiration Date:</w:t>
            </w:r>
          </w:p>
        </w:tc>
        <w:tc>
          <w:tcPr>
            <w:tcW w:w="600" w:type="dxa"/>
            <w:vAlign w:val="bottom"/>
          </w:tcPr>
          <w:p>
            <w:pPr>
              <w:spacing w:after="0"/>
              <w:rPr>
                <w:sz w:val="24"/>
                <w:szCs w:val="24"/>
                <w:color w:val="auto"/>
              </w:rPr>
            </w:pPr>
          </w:p>
        </w:tc>
        <w:tc>
          <w:tcPr>
            <w:tcW w:w="7760" w:type="dxa"/>
            <w:vAlign w:val="bottom"/>
          </w:tcPr>
          <w:p>
            <w:pPr>
              <w:ind w:left="560"/>
              <w:spacing w:after="0"/>
              <w:rPr>
                <w:sz w:val="20"/>
                <w:szCs w:val="20"/>
                <w:color w:val="auto"/>
              </w:rPr>
            </w:pPr>
            <w:r>
              <w:rPr>
                <w:rFonts w:ascii="Arial" w:cs="Arial" w:eastAsia="Arial" w:hAnsi="Arial"/>
                <w:sz w:val="18"/>
                <w:szCs w:val="18"/>
                <w:color w:val="auto"/>
              </w:rPr>
              <w:t>(the “Expiration Date”)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Option Exercise Price/Share:</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7760" w:type="dxa"/>
            <w:vAlign w:val="bottom"/>
          </w:tcPr>
          <w:p>
            <w:pPr>
              <w:ind w:left="620"/>
              <w:spacing w:after="0"/>
              <w:rPr>
                <w:sz w:val="20"/>
                <w:szCs w:val="20"/>
                <w:color w:val="auto"/>
              </w:rPr>
            </w:pPr>
            <w:r>
              <w:rPr>
                <w:rFonts w:ascii="Arial" w:cs="Arial" w:eastAsia="Arial" w:hAnsi="Arial"/>
                <w:sz w:val="18"/>
                <w:szCs w:val="18"/>
                <w:color w:val="auto"/>
              </w:rPr>
              <w:t>(the “Option Exercise Price”)</w:t>
            </w:r>
          </w:p>
        </w:tc>
      </w:tr>
      <w:tr>
        <w:trPr>
          <w:trHeight w:val="310"/>
        </w:trPr>
        <w:tc>
          <w:tcPr>
            <w:tcW w:w="2480" w:type="dxa"/>
            <w:vAlign w:val="bottom"/>
          </w:tcPr>
          <w:p>
            <w:pPr>
              <w:spacing w:after="0"/>
              <w:rPr>
                <w:sz w:val="20"/>
                <w:szCs w:val="20"/>
                <w:color w:val="auto"/>
              </w:rPr>
            </w:pPr>
            <w:r>
              <w:rPr>
                <w:rFonts w:ascii="Arial" w:cs="Arial" w:eastAsia="Arial" w:hAnsi="Arial"/>
                <w:sz w:val="18"/>
                <w:szCs w:val="18"/>
                <w:color w:val="auto"/>
              </w:rPr>
              <w:t>Vesting Schedule:</w:t>
            </w: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rPr>
              <w:t>[25] percent of the Shares shall vest and become exercisable on the first anniversary of the Vesting</w:t>
            </w:r>
          </w:p>
        </w:tc>
      </w:tr>
      <w:tr>
        <w:trPr>
          <w:trHeight w:val="216"/>
        </w:trPr>
        <w:tc>
          <w:tcPr>
            <w:tcW w:w="2480" w:type="dxa"/>
            <w:vAlign w:val="bottom"/>
          </w:tcPr>
          <w:p>
            <w:pPr>
              <w:spacing w:after="0"/>
              <w:rPr>
                <w:sz w:val="18"/>
                <w:szCs w:val="18"/>
                <w:color w:val="auto"/>
              </w:rPr>
            </w:pP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w w:val="89"/>
              </w:rPr>
              <w:t>Commencement Date; provided that the Optionee continues to have a Service Relationship with the Company at</w:t>
            </w:r>
          </w:p>
        </w:tc>
      </w:tr>
      <w:tr>
        <w:trPr>
          <w:trHeight w:val="216"/>
        </w:trPr>
        <w:tc>
          <w:tcPr>
            <w:tcW w:w="2480" w:type="dxa"/>
            <w:vAlign w:val="bottom"/>
          </w:tcPr>
          <w:p>
            <w:pPr>
              <w:spacing w:after="0"/>
              <w:rPr>
                <w:sz w:val="18"/>
                <w:szCs w:val="18"/>
                <w:color w:val="auto"/>
              </w:rPr>
            </w:pP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w w:val="91"/>
              </w:rPr>
              <w:t>such time. Thereafter, the remaining [75] percent of the Shares shall vest and become exercisable in [36] equal</w:t>
            </w:r>
          </w:p>
        </w:tc>
      </w:tr>
      <w:tr>
        <w:trPr>
          <w:trHeight w:val="230"/>
        </w:trPr>
        <w:tc>
          <w:tcPr>
            <w:tcW w:w="2480" w:type="dxa"/>
            <w:vAlign w:val="bottom"/>
          </w:tcPr>
          <w:p>
            <w:pPr>
              <w:spacing w:after="0"/>
              <w:rPr>
                <w:sz w:val="20"/>
                <w:szCs w:val="20"/>
                <w:color w:val="auto"/>
              </w:rPr>
            </w:pPr>
          </w:p>
        </w:tc>
        <w:tc>
          <w:tcPr>
            <w:tcW w:w="8360" w:type="dxa"/>
            <w:vAlign w:val="bottom"/>
            <w:gridSpan w:val="2"/>
          </w:tcPr>
          <w:p>
            <w:pPr>
              <w:ind w:left="280"/>
              <w:spacing w:after="0"/>
              <w:rPr>
                <w:sz w:val="20"/>
                <w:szCs w:val="20"/>
                <w:color w:val="auto"/>
              </w:rPr>
            </w:pPr>
            <w:r>
              <w:rPr>
                <w:rFonts w:ascii="Arial" w:cs="Arial" w:eastAsia="Arial" w:hAnsi="Arial"/>
                <w:sz w:val="18"/>
                <w:szCs w:val="18"/>
                <w:color w:val="auto"/>
                <w:w w:val="91"/>
              </w:rPr>
              <w:t>monthly installments following the first anniversary of the Vesting Commencement Date, provided the Optionee</w:t>
            </w:r>
          </w:p>
        </w:tc>
      </w:tr>
    </w:tbl>
    <w:p>
      <w:pPr>
        <w:ind w:left="2760" w:right="180"/>
        <w:spacing w:after="0" w:line="253" w:lineRule="auto"/>
        <w:rPr>
          <w:sz w:val="20"/>
          <w:szCs w:val="20"/>
          <w:color w:val="auto"/>
        </w:rPr>
      </w:pPr>
      <w:r>
        <w:rPr>
          <w:rFonts w:ascii="Arial" w:cs="Arial" w:eastAsia="Arial" w:hAnsi="Arial"/>
          <w:sz w:val="18"/>
          <w:szCs w:val="18"/>
          <w:color w:val="auto"/>
        </w:rPr>
        <w:t xml:space="preserve">continues to have a Service Relationship with the Company on each vesting date. [Notwithstanding anything in the Agreement to the contrary, in the case of a Sale Event, this Stock Option and the Shares shall be treated as provided in Section 3(c) of the Plan] </w:t>
      </w:r>
      <w:r>
        <w:rPr>
          <w:rFonts w:ascii="Arial" w:cs="Arial" w:eastAsia="Arial" w:hAnsi="Arial"/>
          <w:sz w:val="18"/>
          <w:szCs w:val="18"/>
          <w:b w:val="1"/>
          <w:bCs w:val="1"/>
          <w:color w:val="auto"/>
        </w:rPr>
        <w:t>[provided; however INSERT ANY ACCELERATED VESTING</w:t>
      </w:r>
      <w:r>
        <w:rPr>
          <w:rFonts w:ascii="Arial" w:cs="Arial" w:eastAsia="Arial" w:hAnsi="Arial"/>
          <w:sz w:val="18"/>
          <w:szCs w:val="18"/>
          <w:color w:val="auto"/>
        </w:rPr>
        <w:t xml:space="preserve"> </w:t>
      </w:r>
      <w:r>
        <w:rPr>
          <w:rFonts w:ascii="Arial" w:cs="Arial" w:eastAsia="Arial" w:hAnsi="Arial"/>
          <w:sz w:val="18"/>
          <w:szCs w:val="18"/>
          <w:b w:val="1"/>
          <w:bCs w:val="1"/>
          <w:color w:val="auto"/>
        </w:rPr>
        <w:t>PROVISION HERE]</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Non-Qualified Stock Option Agreement, 2017 Stock Option and Grant Plan</w:t>
      </w:r>
    </w:p>
    <w:p>
      <w:pPr>
        <w:sectPr>
          <w:pgSz w:w="11900" w:h="16838" w:orient="portrait"/>
          <w:cols w:equalWidth="0" w:num="1">
            <w:col w:w="10940"/>
          </w:cols>
          <w:pgMar w:left="440" w:top="270" w:right="519" w:bottom="1440" w:gutter="0" w:footer="0" w:header="0"/>
        </w:sectPr>
      </w:pPr>
    </w:p>
    <w:bookmarkStart w:id="67" w:name="page68"/>
    <w:bookmarkEnd w:id="6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Grant Notice and the Plan.</w:t>
      </w:r>
    </w:p>
    <w:p>
      <w:pPr>
        <w:spacing w:after="0" w:line="237" w:lineRule="exact"/>
        <w:rPr>
          <w:sz w:val="20"/>
          <w:szCs w:val="20"/>
          <w:color w:val="auto"/>
        </w:rPr>
      </w:pPr>
    </w:p>
    <w:p>
      <w:pPr>
        <w:ind w:left="620" w:hanging="184"/>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225" w:lineRule="exact"/>
        <w:rPr>
          <w:rFonts w:ascii="Arial" w:cs="Arial" w:eastAsia="Arial" w:hAnsi="Arial"/>
          <w:sz w:val="18"/>
          <w:szCs w:val="18"/>
          <w:color w:val="auto"/>
        </w:rPr>
      </w:pPr>
    </w:p>
    <w:p>
      <w:pPr>
        <w:ind w:right="200" w:firstLine="987"/>
        <w:spacing w:after="0" w:line="277" w:lineRule="auto"/>
        <w:tabs>
          <w:tab w:leader="none" w:pos="1246"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2"/>
          <w:numId w:val="67"/>
        </w:numPr>
        <w:rPr>
          <w:rFonts w:ascii="Arial" w:cs="Arial" w:eastAsia="Arial" w:hAnsi="Arial"/>
          <w:sz w:val="16"/>
          <w:szCs w:val="16"/>
          <w:color w:val="auto"/>
        </w:rPr>
      </w:pPr>
      <w:r>
        <w:rPr>
          <w:rFonts w:ascii="Arial" w:cs="Arial" w:eastAsia="Arial" w:hAnsi="Arial"/>
          <w:sz w:val="16"/>
          <w:szCs w:val="16"/>
          <w:color w:val="auto"/>
        </w:rPr>
        <w:t>This Stock Option shall vest and become exercisable in accordance with the Vesting Schedule set forth in the Grant Notice.</w:t>
      </w:r>
    </w:p>
    <w:p>
      <w:pPr>
        <w:spacing w:after="0" w:line="248" w:lineRule="exact"/>
        <w:rPr>
          <w:rFonts w:ascii="Arial" w:cs="Arial" w:eastAsia="Arial" w:hAnsi="Arial"/>
          <w:sz w:val="16"/>
          <w:szCs w:val="16"/>
          <w:color w:val="auto"/>
        </w:rPr>
      </w:pPr>
    </w:p>
    <w:p>
      <w:pPr>
        <w:ind w:right="60" w:firstLine="987"/>
        <w:spacing w:after="0" w:line="263" w:lineRule="auto"/>
        <w:tabs>
          <w:tab w:leader="none" w:pos="1236"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75" w:lineRule="exact"/>
        <w:rPr>
          <w:rFonts w:ascii="Arial" w:cs="Arial" w:eastAsia="Arial" w:hAnsi="Arial"/>
          <w:sz w:val="18"/>
          <w:szCs w:val="18"/>
          <w:color w:val="auto"/>
        </w:rPr>
      </w:pPr>
    </w:p>
    <w:p>
      <w:pPr>
        <w:jc w:val="both"/>
        <w:ind w:left="980" w:right="80" w:firstLine="408"/>
        <w:spacing w:after="0" w:line="311" w:lineRule="auto"/>
        <w:tabs>
          <w:tab w:leader="none" w:pos="1596"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40" w:lineRule="exact"/>
        <w:rPr>
          <w:rFonts w:ascii="Arial" w:cs="Arial" w:eastAsia="Arial" w:hAnsi="Arial"/>
          <w:sz w:val="16"/>
          <w:szCs w:val="16"/>
          <w:color w:val="auto"/>
        </w:rPr>
      </w:pPr>
    </w:p>
    <w:p>
      <w:pPr>
        <w:jc w:val="both"/>
        <w:ind w:left="980" w:right="220" w:firstLine="408"/>
        <w:spacing w:after="0" w:line="301" w:lineRule="auto"/>
        <w:tabs>
          <w:tab w:leader="none" w:pos="1646"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6"/>
          <w:szCs w:val="16"/>
          <w:u w:val="single" w:color="auto"/>
          <w:color w:val="auto"/>
        </w:rPr>
        <w:t>provided however</w:t>
      </w:r>
      <w:r>
        <w:rPr>
          <w:rFonts w:ascii="Arial" w:cs="Arial" w:eastAsia="Arial" w:hAnsi="Arial"/>
          <w:sz w:val="16"/>
          <w:szCs w:val="16"/>
          <w:color w:val="auto"/>
        </w:rPr>
        <w:t>, if the Optionee’s Service Relationship is terminated for Cause, this Stock Option shall terminate immediately upon the date of such termination.</w:t>
      </w:r>
    </w:p>
    <w:p>
      <w:pPr>
        <w:spacing w:after="0" w:line="157"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0" w:right="559" w:bottom="1440" w:gutter="0" w:footer="0" w:header="0"/>
        </w:sectPr>
      </w:pPr>
    </w:p>
    <w:bookmarkStart w:id="68" w:name="page69"/>
    <w:bookmarkEnd w:id="68"/>
    <w:p>
      <w:pPr>
        <w:ind w:left="620" w:hanging="184"/>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Stock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5" w:lineRule="auto"/>
        <w:tabs>
          <w:tab w:leader="none" w:pos="1236"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76" w:lineRule="exact"/>
        <w:rPr>
          <w:rFonts w:ascii="Arial" w:cs="Arial" w:eastAsia="Arial" w:hAnsi="Arial"/>
          <w:sz w:val="17"/>
          <w:szCs w:val="17"/>
          <w:color w:val="auto"/>
        </w:rPr>
      </w:pPr>
    </w:p>
    <w:p>
      <w:pPr>
        <w:ind w:left="1240" w:hanging="253"/>
        <w:spacing w:after="0"/>
        <w:tabs>
          <w:tab w:leader="none" w:pos="12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210" w:lineRule="exact"/>
        <w:rPr>
          <w:rFonts w:ascii="Arial" w:cs="Arial" w:eastAsia="Arial" w:hAnsi="Arial"/>
          <w:sz w:val="17"/>
          <w:szCs w:val="17"/>
          <w:color w:val="auto"/>
        </w:rPr>
      </w:pPr>
    </w:p>
    <w:p>
      <w:pPr>
        <w:ind w:right="140" w:firstLine="436"/>
        <w:spacing w:after="0" w:line="277"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170" w:lineRule="exact"/>
        <w:rPr>
          <w:rFonts w:ascii="Arial" w:cs="Arial" w:eastAsia="Arial" w:hAnsi="Arial"/>
          <w:sz w:val="18"/>
          <w:szCs w:val="18"/>
          <w:color w:val="auto"/>
        </w:rPr>
      </w:pPr>
    </w:p>
    <w:p>
      <w:pPr>
        <w:ind w:right="40" w:firstLine="436"/>
        <w:spacing w:after="0" w:line="291" w:lineRule="auto"/>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Transferability of Stock Option</w:t>
      </w:r>
      <w:r>
        <w:rPr>
          <w:rFonts w:ascii="Arial" w:cs="Arial" w:eastAsia="Arial" w:hAnsi="Arial"/>
          <w:sz w:val="16"/>
          <w:szCs w:val="16"/>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66" w:lineRule="exact"/>
        <w:rPr>
          <w:rFonts w:ascii="Arial" w:cs="Arial" w:eastAsia="Arial" w:hAnsi="Arial"/>
          <w:sz w:val="16"/>
          <w:szCs w:val="16"/>
          <w:color w:val="auto"/>
        </w:rPr>
      </w:pPr>
    </w:p>
    <w:p>
      <w:pPr>
        <w:ind w:right="260" w:firstLine="436"/>
        <w:spacing w:after="0" w:line="277"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20" w:firstLine="987"/>
        <w:spacing w:after="0" w:line="342" w:lineRule="auto"/>
        <w:tabs>
          <w:tab w:leader="none" w:pos="1236"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23" w:lineRule="exact"/>
        <w:rPr>
          <w:rFonts w:ascii="Arial" w:cs="Arial" w:eastAsia="Arial" w:hAnsi="Arial"/>
          <w:sz w:val="16"/>
          <w:szCs w:val="16"/>
          <w:color w:val="auto"/>
        </w:rPr>
      </w:pPr>
    </w:p>
    <w:p>
      <w:pPr>
        <w:ind w:right="100" w:firstLine="987"/>
        <w:spacing w:after="0" w:line="257" w:lineRule="auto"/>
        <w:tabs>
          <w:tab w:leader="none" w:pos="1246"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9" w:name="page70"/>
    <w:bookmarkEnd w:id="69"/>
    <w:p>
      <w:pPr>
        <w:jc w:val="both"/>
        <w:ind w:left="-100" w:firstLine="987"/>
        <w:spacing w:after="0" w:line="342" w:lineRule="auto"/>
        <w:tabs>
          <w:tab w:leader="none" w:pos="1136"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23" w:lineRule="exact"/>
        <w:rPr>
          <w:rFonts w:ascii="Arial" w:cs="Arial" w:eastAsia="Arial" w:hAnsi="Arial"/>
          <w:sz w:val="16"/>
          <w:szCs w:val="16"/>
          <w:color w:val="auto"/>
        </w:rPr>
      </w:pPr>
    </w:p>
    <w:p>
      <w:pPr>
        <w:jc w:val="both"/>
        <w:ind w:left="-100" w:right="80" w:firstLine="987"/>
        <w:spacing w:after="0" w:line="259" w:lineRule="auto"/>
        <w:tabs>
          <w:tab w:leader="none" w:pos="114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6" w:lineRule="exact"/>
        <w:rPr>
          <w:rFonts w:ascii="Arial" w:cs="Arial" w:eastAsia="Arial" w:hAnsi="Arial"/>
          <w:sz w:val="18"/>
          <w:szCs w:val="18"/>
          <w:color w:val="auto"/>
        </w:rPr>
      </w:pPr>
    </w:p>
    <w:p>
      <w:pPr>
        <w:ind w:left="-100" w:right="240" w:firstLine="987"/>
        <w:spacing w:after="0" w:line="277" w:lineRule="auto"/>
        <w:tabs>
          <w:tab w:leader="none" w:pos="113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70" w:lineRule="exact"/>
        <w:rPr>
          <w:rFonts w:ascii="Arial" w:cs="Arial" w:eastAsia="Arial" w:hAnsi="Arial"/>
          <w:sz w:val="18"/>
          <w:szCs w:val="18"/>
          <w:color w:val="auto"/>
        </w:rPr>
      </w:pPr>
    </w:p>
    <w:p>
      <w:pPr>
        <w:ind w:left="-100" w:right="40" w:firstLine="987"/>
        <w:spacing w:after="0" w:line="277" w:lineRule="auto"/>
        <w:tabs>
          <w:tab w:leader="none" w:pos="111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70" w:lineRule="exact"/>
        <w:rPr>
          <w:rFonts w:ascii="Arial" w:cs="Arial" w:eastAsia="Arial" w:hAnsi="Arial"/>
          <w:sz w:val="18"/>
          <w:szCs w:val="18"/>
          <w:color w:val="auto"/>
        </w:rPr>
      </w:pPr>
    </w:p>
    <w:p>
      <w:pPr>
        <w:ind w:left="-100" w:right="20" w:firstLine="987"/>
        <w:spacing w:after="0" w:line="259" w:lineRule="auto"/>
        <w:tabs>
          <w:tab w:leader="none" w:pos="114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86" w:lineRule="exact"/>
        <w:rPr>
          <w:rFonts w:ascii="Arial" w:cs="Arial" w:eastAsia="Arial" w:hAnsi="Arial"/>
          <w:sz w:val="18"/>
          <w:szCs w:val="18"/>
          <w:color w:val="auto"/>
        </w:rPr>
      </w:pPr>
    </w:p>
    <w:p>
      <w:pPr>
        <w:ind w:left="-100" w:right="120" w:firstLine="987"/>
        <w:spacing w:after="0" w:line="263" w:lineRule="auto"/>
        <w:tabs>
          <w:tab w:leader="none" w:pos="114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83" w:lineRule="exact"/>
        <w:rPr>
          <w:rFonts w:ascii="Arial" w:cs="Arial" w:eastAsia="Arial" w:hAnsi="Arial"/>
          <w:sz w:val="18"/>
          <w:szCs w:val="18"/>
          <w:color w:val="auto"/>
        </w:rPr>
      </w:pPr>
    </w:p>
    <w:p>
      <w:pPr>
        <w:ind w:left="-100" w:right="780" w:firstLine="987"/>
        <w:spacing w:after="0" w:line="308" w:lineRule="auto"/>
        <w:tabs>
          <w:tab w:leader="none" w:pos="1106"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46" w:lineRule="exact"/>
        <w:rPr>
          <w:rFonts w:ascii="Arial" w:cs="Arial" w:eastAsia="Arial" w:hAnsi="Arial"/>
          <w:sz w:val="17"/>
          <w:szCs w:val="17"/>
          <w:color w:val="auto"/>
        </w:rPr>
      </w:pPr>
    </w:p>
    <w:p>
      <w:pPr>
        <w:jc w:val="both"/>
        <w:ind w:left="-100" w:firstLine="987"/>
        <w:spacing w:after="0" w:line="301" w:lineRule="auto"/>
        <w:tabs>
          <w:tab w:leader="none" w:pos="1106"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constitutes the entire agreement between the parties with respect to this Stock Option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157" w:lineRule="exact"/>
        <w:rPr>
          <w:rFonts w:ascii="Arial" w:cs="Arial" w:eastAsia="Arial" w:hAnsi="Arial"/>
          <w:sz w:val="16"/>
          <w:szCs w:val="16"/>
          <w:color w:val="auto"/>
        </w:rPr>
      </w:pPr>
    </w:p>
    <w:p>
      <w:pPr>
        <w:ind w:left="520" w:hanging="184"/>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540" w:firstLine="987"/>
        <w:spacing w:after="0" w:line="277" w:lineRule="auto"/>
        <w:tabs>
          <w:tab w:leader="none" w:pos="11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540" w:top="274" w:right="539" w:bottom="1440" w:gutter="0" w:footer="0" w:header="0"/>
        </w:sectPr>
      </w:pPr>
    </w:p>
    <w:bookmarkStart w:id="70" w:name="page71"/>
    <w:bookmarkEnd w:id="70"/>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Boston, Massachusetts.</w:t>
      </w:r>
    </w:p>
    <w:p>
      <w:pPr>
        <w:spacing w:after="0" w:line="187" w:lineRule="exact"/>
        <w:rPr>
          <w:sz w:val="20"/>
          <w:szCs w:val="20"/>
          <w:color w:val="auto"/>
        </w:rPr>
      </w:pPr>
    </w:p>
    <w:p>
      <w:pPr>
        <w:ind w:right="20" w:firstLine="987"/>
        <w:spacing w:after="0" w:line="269" w:lineRule="auto"/>
        <w:tabs>
          <w:tab w:leader="none" w:pos="124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85" w:lineRule="exact"/>
        <w:rPr>
          <w:rFonts w:ascii="Arial" w:cs="Arial" w:eastAsia="Arial" w:hAnsi="Arial"/>
          <w:sz w:val="17"/>
          <w:szCs w:val="17"/>
          <w:color w:val="auto"/>
        </w:rPr>
      </w:pPr>
    </w:p>
    <w:p>
      <w:pPr>
        <w:jc w:val="both"/>
        <w:ind w:right="160" w:firstLine="987"/>
        <w:spacing w:after="0" w:line="279" w:lineRule="auto"/>
        <w:tabs>
          <w:tab w:leader="none" w:pos="12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1" w:lineRule="exact"/>
        <w:rPr>
          <w:rFonts w:ascii="Arial" w:cs="Arial" w:eastAsia="Arial" w:hAnsi="Arial"/>
          <w:sz w:val="17"/>
          <w:szCs w:val="17"/>
          <w:color w:val="auto"/>
        </w:rPr>
      </w:pPr>
    </w:p>
    <w:p>
      <w:pPr>
        <w:ind w:firstLine="987"/>
        <w:spacing w:after="0" w:line="288" w:lineRule="auto"/>
        <w:tabs>
          <w:tab w:leader="none" w:pos="1246"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71" w:name="page72"/>
    <w:bookmarkEnd w:id="71"/>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72" w:name="page73"/>
    <w:bookmarkEnd w:id="7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[SPOUSE’S CONSENT</w:t>
      </w:r>
      <w:r>
        <w:rPr>
          <w:rFonts w:ascii="Arial" w:cs="Arial" w:eastAsia="Arial" w:hAnsi="Arial"/>
          <w:sz w:val="15"/>
          <w:szCs w:val="15"/>
          <w:color w:val="auto"/>
        </w:rPr>
        <w:t>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acknowledge that I have read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foregoing Non-Qualified Stock Option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understand the contents thereof.</w:t>
      </w:r>
    </w:p>
    <w:p>
      <w:pPr>
        <w:spacing w:after="0" w:line="224" w:lineRule="exact"/>
        <w:rPr>
          <w:sz w:val="20"/>
          <w:szCs w:val="20"/>
          <w:color w:val="auto"/>
        </w:rPr>
      </w:pPr>
    </w:p>
    <w:p>
      <w:pPr>
        <w:ind w:left="31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1999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394" w:lineRule="exact"/>
        <w:rPr>
          <w:sz w:val="20"/>
          <w:szCs w:val="20"/>
          <w:color w:val="auto"/>
        </w:rPr>
      </w:pPr>
    </w:p>
    <w:p>
      <w:pPr>
        <w:ind w:left="224" w:hanging="224"/>
        <w:spacing w:after="0" w:line="277" w:lineRule="auto"/>
        <w:tabs>
          <w:tab w:leader="none" w:pos="224" w:val="left"/>
        </w:tabs>
        <w:numPr>
          <w:ilvl w:val="0"/>
          <w:numId w:val="72"/>
        </w:numPr>
        <w:rPr>
          <w:rFonts w:ascii="Arial" w:cs="Arial" w:eastAsia="Arial" w:hAnsi="Arial"/>
          <w:sz w:val="15"/>
          <w:szCs w:val="15"/>
          <w:color w:val="auto"/>
        </w:rPr>
      </w:pPr>
      <w:r>
        <w:rPr>
          <w:rFonts w:ascii="Arial" w:cs="Arial" w:eastAsia="Arial" w:hAnsi="Arial"/>
          <w:sz w:val="18"/>
          <w:szCs w:val="18"/>
          <w:color w:val="auto"/>
        </w:rPr>
        <w:t>A spouse’s consent is recommended only if the Optionee’s state of residence is one of the following community property states: Arizona, California, Idaho, Louisiana, Nevada, New Mexico, Texas, Washington and Wisconsin.</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4"/>
          </w:cols>
          <w:pgMar w:left="436" w:top="274" w:right="559" w:bottom="1440" w:gutter="0" w:footer="0" w:header="0"/>
        </w:sectPr>
      </w:pPr>
    </w:p>
    <w:bookmarkStart w:id="73" w:name="page74"/>
    <w:bookmarkEnd w:id="73"/>
    <w:p>
      <w:pPr>
        <w:jc w:val="right"/>
        <w:ind w:right="10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220345</wp:posOffset>
            </wp:positionV>
            <wp:extent cx="27946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443230</wp:posOffset>
            </wp:positionV>
            <wp:extent cx="27946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666115</wp:posOffset>
            </wp:positionV>
            <wp:extent cx="27946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74"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6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1"/>
              </w:rPr>
              <w:t>Appendix A</w:t>
            </w:r>
          </w:p>
        </w:tc>
        <w:tc>
          <w:tcPr>
            <w:tcW w:w="2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53"/>
        </w:trPr>
        <w:tc>
          <w:tcPr>
            <w:tcW w:w="1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rPr>
              <w:t>STOCK OPTION EXERCISE NOTICE</w:t>
            </w:r>
          </w:p>
        </w:tc>
        <w:tc>
          <w:tcPr>
            <w:tcW w:w="2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5"/>
        </w:trPr>
        <w:tc>
          <w:tcPr>
            <w:tcW w:w="7200" w:type="dxa"/>
            <w:vAlign w:val="bottom"/>
            <w:gridSpan w:val="5"/>
          </w:tcPr>
          <w:p>
            <w:pPr>
              <w:spacing w:after="0"/>
              <w:rPr>
                <w:sz w:val="20"/>
                <w:szCs w:val="20"/>
                <w:color w:val="auto"/>
              </w:rPr>
            </w:pPr>
            <w:r>
              <w:rPr>
                <w:rFonts w:ascii="Arial" w:cs="Arial" w:eastAsia="Arial" w:hAnsi="Arial"/>
                <w:sz w:val="18"/>
                <w:szCs w:val="18"/>
                <w:color w:val="auto"/>
              </w:rPr>
              <w:t>Tango Therapeutics, Inc.</w:t>
            </w:r>
          </w:p>
        </w:tc>
        <w:tc>
          <w:tcPr>
            <w:tcW w:w="2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Attention:  [</w:t>
            </w:r>
          </w:p>
        </w:tc>
        <w:tc>
          <w:tcPr>
            <w:tcW w:w="19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3080" w:type="dxa"/>
            <w:vAlign w:val="bottom"/>
            <w:tcBorders>
              <w:bottom w:val="single" w:sz="8" w:color="auto"/>
            </w:tcBorders>
            <w:gridSpan w:val="2"/>
          </w:tcPr>
          <w:p>
            <w:pPr>
              <w:spacing w:after="0"/>
              <w:rPr>
                <w:sz w:val="18"/>
                <w:szCs w:val="18"/>
                <w:color w:val="auto"/>
              </w:rPr>
            </w:pP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0" w:type="dxa"/>
            <w:vAlign w:val="bottom"/>
            <w:gridSpan w:val="3"/>
          </w:tcPr>
          <w:p>
            <w:pPr>
              <w:spacing w:after="0"/>
              <w:rPr>
                <w:sz w:val="18"/>
                <w:szCs w:val="18"/>
                <w:color w:val="auto"/>
              </w:rPr>
            </w:pPr>
          </w:p>
        </w:tc>
      </w:tr>
      <w:tr>
        <w:trPr>
          <w:trHeight w:val="223"/>
        </w:trPr>
        <w:tc>
          <w:tcPr>
            <w:tcW w:w="3080" w:type="dxa"/>
            <w:vAlign w:val="bottom"/>
            <w:tcBorders>
              <w:bottom w:val="single" w:sz="8" w:color="auto"/>
            </w:tcBorders>
            <w:gridSpan w:val="2"/>
          </w:tcPr>
          <w:p>
            <w:pPr>
              <w:spacing w:after="0"/>
              <w:rPr>
                <w:sz w:val="19"/>
                <w:szCs w:val="19"/>
                <w:color w:val="auto"/>
              </w:rPr>
            </w:pPr>
          </w:p>
        </w:tc>
        <w:tc>
          <w:tcPr>
            <w:tcW w:w="1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0" w:type="dxa"/>
            <w:vAlign w:val="bottom"/>
            <w:gridSpan w:val="3"/>
          </w:tcPr>
          <w:p>
            <w:pPr>
              <w:spacing w:after="0"/>
              <w:rPr>
                <w:sz w:val="19"/>
                <w:szCs w:val="19"/>
                <w:color w:val="auto"/>
              </w:rPr>
            </w:pPr>
          </w:p>
        </w:tc>
      </w:tr>
      <w:tr>
        <w:trPr>
          <w:trHeight w:val="425"/>
        </w:trPr>
        <w:tc>
          <w:tcPr>
            <w:tcW w:w="10960" w:type="dxa"/>
            <w:vAlign w:val="bottom"/>
            <w:gridSpan w:val="7"/>
          </w:tcPr>
          <w:p>
            <w:pPr>
              <w:jc w:val="center"/>
              <w:spacing w:after="0"/>
              <w:rPr>
                <w:sz w:val="20"/>
                <w:szCs w:val="20"/>
                <w:color w:val="auto"/>
              </w:rPr>
            </w:pPr>
            <w:r>
              <w:rPr>
                <w:rFonts w:ascii="Arial" w:cs="Arial" w:eastAsia="Arial" w:hAnsi="Arial"/>
                <w:sz w:val="18"/>
                <w:szCs w:val="18"/>
                <w:color w:val="auto"/>
                <w:w w:val="89"/>
              </w:rPr>
              <w:t>Pursuant to the terms of the grant notice and stock option agreement between the undersigned and Tango Therapeutics, Inc. (the “Company”)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dated</w:t>
            </w:r>
          </w:p>
        </w:tc>
        <w:tc>
          <w:tcPr>
            <w:tcW w:w="8340" w:type="dxa"/>
            <w:vAlign w:val="bottom"/>
            <w:gridSpan w:val="5"/>
          </w:tcPr>
          <w:p>
            <w:pPr>
              <w:ind w:left="200"/>
              <w:spacing w:after="0"/>
              <w:rPr>
                <w:sz w:val="20"/>
                <w:szCs w:val="20"/>
                <w:color w:val="auto"/>
              </w:rPr>
            </w:pPr>
            <w:r>
              <w:rPr>
                <w:rFonts w:ascii="Arial" w:cs="Arial" w:eastAsia="Arial" w:hAnsi="Arial"/>
                <w:sz w:val="18"/>
                <w:szCs w:val="18"/>
                <w:color w:val="auto"/>
                <w:w w:val="96"/>
              </w:rPr>
              <w:t>(the “Agreement”) under the Tango Therapeutics, Inc. 2017 Stock Option and Grant Plan, I, [Insert Name]</w:t>
            </w:r>
          </w:p>
        </w:tc>
        <w:tc>
          <w:tcPr>
            <w:tcW w:w="1440" w:type="dxa"/>
            <w:vAlign w:val="bottom"/>
          </w:tcPr>
          <w:p>
            <w:pPr>
              <w:ind w:left="460"/>
              <w:spacing w:after="0"/>
              <w:rPr>
                <w:sz w:val="20"/>
                <w:szCs w:val="20"/>
                <w:color w:val="auto"/>
              </w:rPr>
            </w:pPr>
            <w:r>
              <w:rPr>
                <w:rFonts w:ascii="Arial" w:cs="Arial" w:eastAsia="Arial" w:hAnsi="Arial"/>
                <w:sz w:val="18"/>
                <w:szCs w:val="18"/>
                <w:color w:val="auto"/>
              </w:rPr>
              <w:t>, hereby</w:t>
            </w:r>
          </w:p>
        </w:tc>
      </w:tr>
      <w:tr>
        <w:trPr>
          <w:trHeight w:val="216"/>
        </w:trPr>
        <w:tc>
          <w:tcPr>
            <w:tcW w:w="7200" w:type="dxa"/>
            <w:vAlign w:val="bottom"/>
            <w:gridSpan w:val="5"/>
          </w:tcPr>
          <w:p>
            <w:pPr>
              <w:spacing w:after="0"/>
              <w:rPr>
                <w:sz w:val="20"/>
                <w:szCs w:val="20"/>
                <w:color w:val="auto"/>
              </w:rPr>
            </w:pPr>
            <w:r>
              <w:rPr>
                <w:rFonts w:ascii="Arial" w:cs="Arial" w:eastAsia="Arial" w:hAnsi="Arial"/>
                <w:sz w:val="18"/>
                <w:szCs w:val="18"/>
                <w:color w:val="auto"/>
                <w:w w:val="96"/>
              </w:rPr>
              <w:t>[Circle One] partially/fully exercise such option by including herein payment in the amount of $</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w w:val="91"/>
              </w:rPr>
              <w:t>representing the purchase price for [Fill in number</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of Shares]</w:t>
            </w:r>
          </w:p>
        </w:tc>
        <w:tc>
          <w:tcPr>
            <w:tcW w:w="6020" w:type="dxa"/>
            <w:vAlign w:val="bottom"/>
            <w:gridSpan w:val="4"/>
          </w:tcPr>
          <w:p>
            <w:pPr>
              <w:ind w:left="540"/>
              <w:spacing w:after="0"/>
              <w:rPr>
                <w:sz w:val="20"/>
                <w:szCs w:val="20"/>
                <w:color w:val="auto"/>
              </w:rPr>
            </w:pPr>
            <w:r>
              <w:rPr>
                <w:rFonts w:ascii="Arial" w:cs="Arial" w:eastAsia="Arial" w:hAnsi="Arial"/>
                <w:sz w:val="18"/>
                <w:szCs w:val="18"/>
                <w:color w:val="auto"/>
              </w:rPr>
              <w:t>Shares. I have chosen the following form(s) of payment:</w:t>
            </w:r>
          </w:p>
        </w:tc>
        <w:tc>
          <w:tcPr>
            <w:tcW w:w="23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160" w:hanging="280"/>
        <w:spacing w:after="0"/>
        <w:tabs>
          <w:tab w:leader="none" w:pos="1160" w:val="left"/>
        </w:tabs>
        <w:numPr>
          <w:ilvl w:val="0"/>
          <w:numId w:val="73"/>
        </w:numPr>
        <w:rPr>
          <w:rFonts w:ascii="MS PGothic" w:cs="MS PGothic" w:eastAsia="MS PGothic" w:hAnsi="MS PGothic"/>
          <w:sz w:val="18"/>
          <w:szCs w:val="18"/>
          <w:color w:val="auto"/>
        </w:rPr>
      </w:pPr>
      <w:r>
        <w:rPr>
          <w:rFonts w:ascii="Arial" w:cs="Arial" w:eastAsia="Arial" w:hAnsi="Arial"/>
          <w:sz w:val="18"/>
          <w:szCs w:val="18"/>
          <w:color w:val="auto"/>
        </w:rPr>
        <w:t>1. Cash</w:t>
      </w:r>
    </w:p>
    <w:p>
      <w:pPr>
        <w:spacing w:after="0" w:line="25" w:lineRule="exact"/>
        <w:rPr>
          <w:rFonts w:ascii="MS PGothic" w:cs="MS PGothic" w:eastAsia="MS PGothic" w:hAnsi="MS PGothic"/>
          <w:sz w:val="18"/>
          <w:szCs w:val="18"/>
          <w:color w:val="auto"/>
        </w:rPr>
      </w:pPr>
    </w:p>
    <w:p>
      <w:pPr>
        <w:ind w:left="1160" w:hanging="280"/>
        <w:spacing w:after="0"/>
        <w:tabs>
          <w:tab w:leader="none" w:pos="1160" w:val="left"/>
        </w:tabs>
        <w:numPr>
          <w:ilvl w:val="0"/>
          <w:numId w:val="73"/>
        </w:numPr>
        <w:rPr>
          <w:rFonts w:ascii="MS PGothic" w:cs="MS PGothic" w:eastAsia="MS PGothic" w:hAnsi="MS PGothic"/>
          <w:sz w:val="18"/>
          <w:szCs w:val="18"/>
          <w:color w:val="auto"/>
        </w:rPr>
      </w:pPr>
      <w:r>
        <w:rPr>
          <w:rFonts w:ascii="Arial" w:cs="Arial" w:eastAsia="Arial" w:hAnsi="Arial"/>
          <w:sz w:val="18"/>
          <w:szCs w:val="18"/>
          <w:color w:val="auto"/>
        </w:rPr>
        <w:t>2. Certified or bank check payable to Tango Therapeutics, Inc.</w:t>
      </w:r>
    </w:p>
    <w:p>
      <w:pPr>
        <w:spacing w:after="0" w:line="9" w:lineRule="exact"/>
        <w:rPr>
          <w:rFonts w:ascii="MS PGothic" w:cs="MS PGothic" w:eastAsia="MS PGothic" w:hAnsi="MS PGothic"/>
          <w:sz w:val="18"/>
          <w:szCs w:val="18"/>
          <w:color w:val="auto"/>
        </w:rPr>
      </w:pPr>
    </w:p>
    <w:p>
      <w:pPr>
        <w:ind w:left="1160" w:hanging="280"/>
        <w:spacing w:after="0"/>
        <w:tabs>
          <w:tab w:leader="none" w:pos="1160" w:val="left"/>
        </w:tabs>
        <w:numPr>
          <w:ilvl w:val="0"/>
          <w:numId w:val="73"/>
        </w:numPr>
        <w:rPr>
          <w:rFonts w:ascii="MS PGothic" w:cs="MS PGothic" w:eastAsia="MS PGothic" w:hAnsi="MS PGothic"/>
          <w:sz w:val="18"/>
          <w:szCs w:val="18"/>
          <w:color w:val="auto"/>
        </w:rPr>
      </w:pPr>
      <w:r>
        <w:rPr>
          <w:rFonts w:ascii="Arial" w:cs="Arial" w:eastAsia="Arial" w:hAnsi="Arial"/>
          <w:sz w:val="18"/>
          <w:szCs w:val="18"/>
          <w:color w:val="auto"/>
        </w:rPr>
        <w:t>3. Other (as referenced in the Agreement and described in the Plan (please describe))</w:t>
      </w:r>
    </w:p>
    <w:p>
      <w:pPr>
        <w:spacing w:after="0" w:line="9" w:lineRule="exact"/>
        <w:rPr>
          <w:rFonts w:ascii="MS PGothic" w:cs="MS PGothic" w:eastAsia="MS PGothic" w:hAnsi="MS PGothic"/>
          <w:sz w:val="18"/>
          <w:szCs w:val="18"/>
          <w:color w:val="auto"/>
        </w:rPr>
      </w:pPr>
    </w:p>
    <w:p>
      <w:pPr>
        <w:ind w:left="4860"/>
        <w:spacing w:after="0"/>
        <w:rPr>
          <w:rFonts w:ascii="MS PGothic" w:cs="MS PGothic" w:eastAsia="MS PGothic" w:hAnsi="MS PGothic"/>
          <w:sz w:val="18"/>
          <w:szCs w:val="18"/>
          <w:color w:val="auto"/>
        </w:rPr>
      </w:pPr>
      <w:r>
        <w:rPr>
          <w:rFonts w:ascii="Arial" w:cs="Arial" w:eastAsia="Arial" w:hAnsi="Arial"/>
          <w:sz w:val="18"/>
          <w:szCs w:val="18"/>
          <w:color w:val="auto"/>
        </w:rPr>
        <w:t>.</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600" w:hanging="212"/>
        <w:spacing w:after="0"/>
        <w:tabs>
          <w:tab w:leader="none" w:pos="1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am purchasing the Shares for my own account for investment only, and not for resale or with a view to the distribution thereof.</w:t>
      </w:r>
    </w:p>
    <w:p>
      <w:pPr>
        <w:spacing w:after="0" w:line="140" w:lineRule="exact"/>
        <w:rPr>
          <w:rFonts w:ascii="Arial" w:cs="Arial" w:eastAsia="Arial" w:hAnsi="Arial"/>
          <w:sz w:val="16"/>
          <w:szCs w:val="16"/>
          <w:color w:val="auto"/>
        </w:rPr>
      </w:pPr>
    </w:p>
    <w:p>
      <w:pPr>
        <w:ind w:left="980" w:firstLine="408"/>
        <w:spacing w:after="0" w:line="263" w:lineRule="auto"/>
        <w:tabs>
          <w:tab w:leader="none" w:pos="1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75" w:lineRule="exact"/>
        <w:rPr>
          <w:rFonts w:ascii="Arial" w:cs="Arial" w:eastAsia="Arial" w:hAnsi="Arial"/>
          <w:sz w:val="18"/>
          <w:szCs w:val="18"/>
          <w:color w:val="auto"/>
        </w:rPr>
      </w:pPr>
    </w:p>
    <w:p>
      <w:pPr>
        <w:ind w:left="980" w:firstLine="408"/>
        <w:spacing w:after="0" w:line="277" w:lineRule="auto"/>
        <w:tabs>
          <w:tab w:leader="none" w:pos="16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980" w:right="500" w:firstLine="408"/>
        <w:spacing w:after="0" w:line="277" w:lineRule="auto"/>
        <w:tabs>
          <w:tab w:leader="none" w:pos="16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can afford a complete loss of the value of the Shares and am able to bear the economic risk of holding such Shares for an indefinite period of time.</w:t>
      </w:r>
    </w:p>
    <w:p>
      <w:pPr>
        <w:spacing w:after="0" w:line="62" w:lineRule="exact"/>
        <w:rPr>
          <w:rFonts w:ascii="Arial" w:cs="Arial" w:eastAsia="Arial" w:hAnsi="Arial"/>
          <w:sz w:val="18"/>
          <w:szCs w:val="18"/>
          <w:color w:val="auto"/>
        </w:rPr>
      </w:pPr>
    </w:p>
    <w:p>
      <w:pPr>
        <w:ind w:left="980" w:right="80" w:firstLine="408"/>
        <w:spacing w:after="0" w:line="273" w:lineRule="auto"/>
        <w:tabs>
          <w:tab w:leader="none" w:pos="1636"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57" w:right="459" w:bottom="1440" w:gutter="0" w:footer="0" w:header="0"/>
        </w:sectPr>
      </w:pPr>
    </w:p>
    <w:bookmarkStart w:id="75" w:name="page76"/>
    <w:bookmarkEnd w:id="75"/>
    <w:p>
      <w:pPr>
        <w:ind w:right="360" w:firstLine="408"/>
        <w:spacing w:after="0" w:line="277" w:lineRule="auto"/>
        <w:tabs>
          <w:tab w:leader="none" w:pos="706"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have read and understand the Plan and acknowledge and agree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760" w:hanging="352"/>
        <w:spacing w:after="0"/>
        <w:tabs>
          <w:tab w:leader="none" w:pos="7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left="820" w:hanging="412"/>
        <w:spacing w:after="0"/>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understand and agree that the Company has certain repurchase rights with respect to the Shares pursuant to Section 9(c)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right="560" w:firstLine="408"/>
        <w:spacing w:after="0" w:line="277" w:lineRule="auto"/>
        <w:tabs>
          <w:tab w:leader="none" w:pos="70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288925</wp:posOffset>
            </wp:positionV>
            <wp:extent cx="27946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220345</wp:posOffset>
            </wp:positionV>
            <wp:extent cx="2794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443230</wp:posOffset>
            </wp:positionV>
            <wp:extent cx="27946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666115</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00"/>
          </w:cols>
          <w:pgMar w:left="1420" w:top="274" w:right="479" w:bottom="1440" w:gutter="0" w:footer="0" w:header="0"/>
        </w:sectPr>
      </w:pPr>
    </w:p>
    <w:bookmarkStart w:id="76" w:name="page77"/>
    <w:bookmarkEnd w:id="7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AWARD NOTICE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Pursuant to the Tango Therapeutics, Inc. 2017 Stock Option and Grant Plan (the “Plan”), Tango Therapeutics,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w:t>
      </w:r>
      <w:r>
        <w:rPr>
          <w:rFonts w:ascii="Arial" w:cs="Arial" w:eastAsia="Arial" w:hAnsi="Arial"/>
          <w:sz w:val="17"/>
          <w:szCs w:val="17"/>
          <w:b w:val="1"/>
          <w:bCs w:val="1"/>
          <w:color w:val="auto"/>
        </w:rPr>
        <w:t>[ ]</w:t>
      </w:r>
      <w:r>
        <w:rPr>
          <w:rFonts w:ascii="Arial" w:cs="Arial" w:eastAsia="Arial" w:hAnsi="Arial"/>
          <w:sz w:val="17"/>
          <w:szCs w:val="17"/>
          <w:color w:val="auto"/>
        </w:rPr>
        <w:t xml:space="preserve"> in full payment for the 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Name of Grantee:</w:t>
            </w:r>
          </w:p>
        </w:tc>
        <w:tc>
          <w:tcPr>
            <w:tcW w:w="4300" w:type="dxa"/>
            <w:vAlign w:val="bottom"/>
            <w:gridSpan w:val="2"/>
          </w:tcPr>
          <w:p>
            <w:pPr>
              <w:jc w:val="right"/>
              <w:ind w:right="2177"/>
              <w:spacing w:after="0"/>
              <w:rPr>
                <w:sz w:val="20"/>
                <w:szCs w:val="20"/>
                <w:color w:val="auto"/>
              </w:rPr>
            </w:pPr>
            <w:r>
              <w:rPr>
                <w:rFonts w:ascii="Arial" w:cs="Arial" w:eastAsia="Arial" w:hAnsi="Arial"/>
                <w:sz w:val="18"/>
                <w:szCs w:val="18"/>
                <w:color w:val="auto"/>
              </w:rPr>
              <w:t>(the “Grantee”)</w:t>
            </w: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No. of Shares:</w:t>
            </w:r>
          </w:p>
        </w:tc>
        <w:tc>
          <w:tcPr>
            <w:tcW w:w="4300" w:type="dxa"/>
            <w:vAlign w:val="bottom"/>
            <w:gridSpan w:val="2"/>
          </w:tcPr>
          <w:p>
            <w:pPr>
              <w:jc w:val="right"/>
              <w:ind w:right="737"/>
              <w:spacing w:after="0"/>
              <w:rPr>
                <w:sz w:val="20"/>
                <w:szCs w:val="20"/>
                <w:color w:val="auto"/>
              </w:rPr>
            </w:pPr>
            <w:r>
              <w:rPr>
                <w:rFonts w:ascii="Arial" w:cs="Arial" w:eastAsia="Arial" w:hAnsi="Arial"/>
                <w:sz w:val="18"/>
                <w:szCs w:val="18"/>
                <w:color w:val="auto"/>
              </w:rPr>
              <w:t>Shares of Common Stock (the “Shares”)</w:t>
            </w: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Grant Date:</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940" w:type="dxa"/>
            <w:vAlign w:val="bottom"/>
          </w:tcPr>
          <w:p>
            <w:pPr>
              <w:jc w:val="right"/>
              <w:ind w:right="2577"/>
              <w:spacing w:after="0"/>
              <w:rPr>
                <w:sz w:val="20"/>
                <w:szCs w:val="20"/>
                <w:color w:val="auto"/>
              </w:rPr>
            </w:pPr>
            <w:r>
              <w:rPr>
                <w:rFonts w:ascii="Arial" w:cs="Arial" w:eastAsia="Arial" w:hAnsi="Arial"/>
                <w:sz w:val="15"/>
                <w:szCs w:val="15"/>
                <w:color w:val="auto"/>
              </w:rPr>
              <w:t>1</w:t>
            </w: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Date of Purchase of Shares: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24"/>
                <w:szCs w:val="24"/>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w w:val="99"/>
              </w:rPr>
              <w:t>(the “Vesting Commencement Date”)</w:t>
            </w:r>
          </w:p>
        </w:tc>
      </w:tr>
    </w:tbl>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Per Share Purchase Price:</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w w:val="90"/>
              </w:rPr>
              <w:t>(the “Per Share Purchase Price”)</w:t>
            </w:r>
          </w:p>
        </w:tc>
        <w:tc>
          <w:tcPr>
            <w:tcW w:w="5360" w:type="dxa"/>
            <w:vAlign w:val="bottom"/>
          </w:tcPr>
          <w:p>
            <w:pPr>
              <w:spacing w:after="0"/>
              <w:rPr>
                <w:sz w:val="20"/>
                <w:szCs w:val="20"/>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Vesting Schedule:</w:t>
            </w:r>
          </w:p>
        </w:tc>
        <w:tc>
          <w:tcPr>
            <w:tcW w:w="8700" w:type="dxa"/>
            <w:vAlign w:val="bottom"/>
            <w:gridSpan w:val="3"/>
          </w:tcPr>
          <w:p>
            <w:pPr>
              <w:ind w:left="460"/>
              <w:spacing w:after="0"/>
              <w:rPr>
                <w:sz w:val="20"/>
                <w:szCs w:val="20"/>
                <w:color w:val="auto"/>
              </w:rPr>
            </w:pPr>
            <w:r>
              <w:rPr>
                <w:rFonts w:ascii="Arial" w:cs="Arial" w:eastAsia="Arial" w:hAnsi="Arial"/>
                <w:sz w:val="18"/>
                <w:szCs w:val="18"/>
                <w:color w:val="auto"/>
                <w:w w:val="89"/>
              </w:rPr>
              <w:t>[25] percent of the Shares shall vest on the first anniversary of the Vesting Commencement Date; provided that the</w:t>
            </w:r>
          </w:p>
        </w:tc>
      </w:tr>
      <w:tr>
        <w:trPr>
          <w:trHeight w:val="216"/>
        </w:trPr>
        <w:tc>
          <w:tcPr>
            <w:tcW w:w="2300" w:type="dxa"/>
            <w:vAlign w:val="bottom"/>
          </w:tcPr>
          <w:p>
            <w:pPr>
              <w:spacing w:after="0"/>
              <w:rPr>
                <w:sz w:val="18"/>
                <w:szCs w:val="18"/>
                <w:color w:val="auto"/>
              </w:rPr>
            </w:pPr>
          </w:p>
        </w:tc>
        <w:tc>
          <w:tcPr>
            <w:tcW w:w="8700" w:type="dxa"/>
            <w:vAlign w:val="bottom"/>
            <w:gridSpan w:val="3"/>
          </w:tcPr>
          <w:p>
            <w:pPr>
              <w:ind w:left="460"/>
              <w:spacing w:after="0"/>
              <w:rPr>
                <w:sz w:val="20"/>
                <w:szCs w:val="20"/>
                <w:color w:val="auto"/>
              </w:rPr>
            </w:pPr>
            <w:r>
              <w:rPr>
                <w:rFonts w:ascii="Arial" w:cs="Arial" w:eastAsia="Arial" w:hAnsi="Arial"/>
                <w:sz w:val="18"/>
                <w:szCs w:val="18"/>
                <w:color w:val="auto"/>
                <w:w w:val="92"/>
              </w:rPr>
              <w:t>Grantee continues to have a Service Relationship with the Company at such time. Thereafter, the remaining [75]</w:t>
            </w:r>
          </w:p>
        </w:tc>
      </w:tr>
      <w:tr>
        <w:trPr>
          <w:trHeight w:val="216"/>
        </w:trPr>
        <w:tc>
          <w:tcPr>
            <w:tcW w:w="2300" w:type="dxa"/>
            <w:vAlign w:val="bottom"/>
          </w:tcPr>
          <w:p>
            <w:pPr>
              <w:spacing w:after="0"/>
              <w:rPr>
                <w:sz w:val="18"/>
                <w:szCs w:val="18"/>
                <w:color w:val="auto"/>
              </w:rPr>
            </w:pPr>
          </w:p>
        </w:tc>
        <w:tc>
          <w:tcPr>
            <w:tcW w:w="8700" w:type="dxa"/>
            <w:vAlign w:val="bottom"/>
            <w:gridSpan w:val="3"/>
          </w:tcPr>
          <w:p>
            <w:pPr>
              <w:ind w:left="460"/>
              <w:spacing w:after="0"/>
              <w:rPr>
                <w:sz w:val="20"/>
                <w:szCs w:val="20"/>
                <w:color w:val="auto"/>
              </w:rPr>
            </w:pPr>
            <w:r>
              <w:rPr>
                <w:rFonts w:ascii="Arial" w:cs="Arial" w:eastAsia="Arial" w:hAnsi="Arial"/>
                <w:sz w:val="18"/>
                <w:szCs w:val="18"/>
                <w:color w:val="auto"/>
                <w:w w:val="93"/>
              </w:rPr>
              <w:t>percent of the Shares shall vest in [36] equal monthly installments following the first anniversary of the Vesting</w:t>
            </w:r>
          </w:p>
        </w:tc>
      </w:tr>
      <w:tr>
        <w:trPr>
          <w:trHeight w:val="216"/>
        </w:trPr>
        <w:tc>
          <w:tcPr>
            <w:tcW w:w="2300" w:type="dxa"/>
            <w:vAlign w:val="bottom"/>
          </w:tcPr>
          <w:p>
            <w:pPr>
              <w:spacing w:after="0"/>
              <w:rPr>
                <w:sz w:val="18"/>
                <w:szCs w:val="18"/>
                <w:color w:val="auto"/>
              </w:rPr>
            </w:pPr>
          </w:p>
        </w:tc>
        <w:tc>
          <w:tcPr>
            <w:tcW w:w="3340" w:type="dxa"/>
            <w:vAlign w:val="bottom"/>
            <w:gridSpan w:val="2"/>
          </w:tcPr>
          <w:p>
            <w:pPr>
              <w:ind w:left="460"/>
              <w:spacing w:after="0"/>
              <w:rPr>
                <w:sz w:val="20"/>
                <w:szCs w:val="20"/>
                <w:color w:val="auto"/>
              </w:rPr>
            </w:pPr>
            <w:r>
              <w:rPr>
                <w:rFonts w:ascii="Arial" w:cs="Arial" w:eastAsia="Arial" w:hAnsi="Arial"/>
                <w:sz w:val="18"/>
                <w:szCs w:val="18"/>
                <w:color w:val="auto"/>
              </w:rPr>
              <w:t>Commencement Date until [</w:t>
            </w:r>
          </w:p>
        </w:tc>
        <w:tc>
          <w:tcPr>
            <w:tcW w:w="5360" w:type="dxa"/>
            <w:vAlign w:val="bottom"/>
          </w:tcPr>
          <w:p>
            <w:pPr>
              <w:ind w:left="60"/>
              <w:spacing w:after="0"/>
              <w:rPr>
                <w:sz w:val="20"/>
                <w:szCs w:val="20"/>
                <w:color w:val="auto"/>
              </w:rPr>
            </w:pPr>
            <w:r>
              <w:rPr>
                <w:rFonts w:ascii="Arial" w:cs="Arial" w:eastAsia="Arial" w:hAnsi="Arial"/>
                <w:sz w:val="18"/>
                <w:szCs w:val="18"/>
                <w:color w:val="auto"/>
                <w:w w:val="94"/>
              </w:rPr>
              <w:t>], on which date, subject to the vesting conditions herein, all remaining</w:t>
            </w:r>
          </w:p>
        </w:tc>
      </w:tr>
      <w:tr>
        <w:trPr>
          <w:trHeight w:val="230"/>
        </w:trPr>
        <w:tc>
          <w:tcPr>
            <w:tcW w:w="2300" w:type="dxa"/>
            <w:vAlign w:val="bottom"/>
          </w:tcPr>
          <w:p>
            <w:pPr>
              <w:spacing w:after="0"/>
              <w:rPr>
                <w:sz w:val="20"/>
                <w:szCs w:val="20"/>
                <w:color w:val="auto"/>
              </w:rPr>
            </w:pPr>
          </w:p>
        </w:tc>
        <w:tc>
          <w:tcPr>
            <w:tcW w:w="8700" w:type="dxa"/>
            <w:vAlign w:val="bottom"/>
            <w:gridSpan w:val="3"/>
          </w:tcPr>
          <w:p>
            <w:pPr>
              <w:ind w:left="460"/>
              <w:spacing w:after="0"/>
              <w:rPr>
                <w:sz w:val="20"/>
                <w:szCs w:val="20"/>
                <w:color w:val="auto"/>
              </w:rPr>
            </w:pPr>
            <w:r>
              <w:rPr>
                <w:rFonts w:ascii="Arial" w:cs="Arial" w:eastAsia="Arial" w:hAnsi="Arial"/>
                <w:sz w:val="18"/>
                <w:szCs w:val="18"/>
                <w:color w:val="auto"/>
                <w:w w:val="91"/>
              </w:rPr>
              <w:t>Shares shall vest, provided the Grantee continues to have a Service Relationship with the Company at such time.</w:t>
            </w:r>
          </w:p>
        </w:tc>
      </w:tr>
    </w:tbl>
    <w:p>
      <w:pPr>
        <w:ind w:left="2764" w:right="240"/>
        <w:spacing w:after="0" w:line="260" w:lineRule="auto"/>
        <w:rPr>
          <w:sz w:val="20"/>
          <w:szCs w:val="20"/>
          <w:color w:val="auto"/>
        </w:rPr>
      </w:pPr>
      <w:r>
        <w:rPr>
          <w:rFonts w:ascii="Arial" w:cs="Arial" w:eastAsia="Arial" w:hAnsi="Arial"/>
          <w:sz w:val="18"/>
          <w:szCs w:val="18"/>
          <w:color w:val="auto"/>
        </w:rPr>
        <w:t>Notwithstanding anything in the Agreement to the contrary in the case of a Sale Event, the Shares of Restricted Stock shall be treated as provided in Section 3(c) of the Plan.</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Attachments: Restricted Stock Agreement, 2017 Stock Option and Grant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224" w:hanging="224"/>
        <w:spacing w:after="0"/>
        <w:tabs>
          <w:tab w:leader="none" w:pos="224" w:val="left"/>
        </w:tabs>
        <w:numPr>
          <w:ilvl w:val="0"/>
          <w:numId w:val="76"/>
        </w:numPr>
        <w:rPr>
          <w:rFonts w:ascii="Arial" w:cs="Arial" w:eastAsia="Arial" w:hAnsi="Arial"/>
          <w:sz w:val="15"/>
          <w:szCs w:val="15"/>
          <w:color w:val="auto"/>
        </w:rPr>
      </w:pPr>
      <w:r>
        <w:rPr>
          <w:rFonts w:ascii="Arial" w:cs="Arial" w:eastAsia="Arial" w:hAnsi="Arial"/>
          <w:sz w:val="18"/>
          <w:szCs w:val="18"/>
          <w:color w:val="auto"/>
        </w:rPr>
        <w:t>83(b) Election must be made within 30 days of the date of sale or grant.</w:t>
      </w:r>
    </w:p>
    <w:p>
      <w:pPr>
        <w:sectPr>
          <w:pgSz w:w="11900" w:h="16838" w:orient="portrait"/>
          <w:cols w:equalWidth="0" w:num="1">
            <w:col w:w="11004"/>
          </w:cols>
          <w:pgMar w:left="436" w:top="270" w:right="4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Award Notice and the Plan.</w:t>
      </w:r>
    </w:p>
    <w:p>
      <w:pPr>
        <w:spacing w:after="0" w:line="237" w:lineRule="exact"/>
        <w:rPr>
          <w:sz w:val="20"/>
          <w:szCs w:val="20"/>
          <w:color w:val="auto"/>
        </w:rPr>
      </w:pPr>
    </w:p>
    <w:p>
      <w:pPr>
        <w:ind w:left="580" w:hanging="184"/>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Purchase and Sale of Shares; Vesting; Investment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360" w:firstLine="987"/>
        <w:spacing w:after="0" w:line="277" w:lineRule="auto"/>
        <w:tabs>
          <w:tab w:leader="none" w:pos="119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The Company hereby sells to the Grantee, and the Grantee hereby purchases from the Company, the number of Shares set forth in the Award Notice for the Per Share Purchase Price.</w:t>
      </w:r>
    </w:p>
    <w:p>
      <w:pPr>
        <w:spacing w:after="0" w:line="170" w:lineRule="exact"/>
        <w:rPr>
          <w:rFonts w:ascii="Arial" w:cs="Arial" w:eastAsia="Arial" w:hAnsi="Arial"/>
          <w:sz w:val="18"/>
          <w:szCs w:val="18"/>
          <w:color w:val="auto"/>
        </w:rPr>
      </w:pPr>
    </w:p>
    <w:p>
      <w:pPr>
        <w:ind w:left="-40" w:right="20" w:firstLine="987"/>
        <w:spacing w:after="0" w:line="342" w:lineRule="auto"/>
        <w:tabs>
          <w:tab w:leader="none" w:pos="1206"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23" w:lineRule="exact"/>
        <w:rPr>
          <w:rFonts w:ascii="Arial" w:cs="Arial" w:eastAsia="Arial" w:hAnsi="Arial"/>
          <w:sz w:val="16"/>
          <w:szCs w:val="16"/>
          <w:color w:val="auto"/>
        </w:rPr>
      </w:pPr>
    </w:p>
    <w:p>
      <w:pPr>
        <w:ind w:left="-40" w:right="200" w:firstLine="987"/>
        <w:spacing w:after="0" w:line="277" w:lineRule="auto"/>
        <w:tabs>
          <w:tab w:leader="none" w:pos="119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In connection with the purchase and sale of the Shares contemplated by Section 1(a) above, the Grantee hereby represents and warrants to the Company as follows:</w:t>
      </w:r>
    </w:p>
    <w:p>
      <w:pPr>
        <w:spacing w:after="0" w:line="62" w:lineRule="exact"/>
        <w:rPr>
          <w:rFonts w:ascii="Arial" w:cs="Arial" w:eastAsia="Arial" w:hAnsi="Arial"/>
          <w:sz w:val="18"/>
          <w:szCs w:val="18"/>
          <w:color w:val="auto"/>
        </w:rPr>
      </w:pPr>
    </w:p>
    <w:p>
      <w:pPr>
        <w:ind w:left="940" w:right="160" w:firstLine="408"/>
        <w:spacing w:after="0" w:line="277" w:lineRule="auto"/>
        <w:tabs>
          <w:tab w:leader="none" w:pos="1556"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Grantee is purchasing the Shares for the Grantee’s own account for investment only, and not for resale or with a view to the distribution thereof.</w:t>
      </w:r>
    </w:p>
    <w:p>
      <w:pPr>
        <w:spacing w:after="0" w:line="62" w:lineRule="exact"/>
        <w:rPr>
          <w:rFonts w:ascii="Arial" w:cs="Arial" w:eastAsia="Arial" w:hAnsi="Arial"/>
          <w:sz w:val="18"/>
          <w:szCs w:val="18"/>
          <w:color w:val="auto"/>
        </w:rPr>
      </w:pPr>
    </w:p>
    <w:p>
      <w:pPr>
        <w:ind w:left="940" w:right="200" w:firstLine="408"/>
        <w:spacing w:after="0" w:line="263" w:lineRule="auto"/>
        <w:tabs>
          <w:tab w:leader="none" w:pos="1606"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75" w:lineRule="exact"/>
        <w:rPr>
          <w:rFonts w:ascii="Arial" w:cs="Arial" w:eastAsia="Arial" w:hAnsi="Arial"/>
          <w:sz w:val="18"/>
          <w:szCs w:val="18"/>
          <w:color w:val="auto"/>
        </w:rPr>
      </w:pPr>
    </w:p>
    <w:p>
      <w:pPr>
        <w:ind w:left="940" w:right="200" w:firstLine="408"/>
        <w:spacing w:after="0" w:line="277" w:lineRule="auto"/>
        <w:tabs>
          <w:tab w:leader="none" w:pos="1656"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940" w:right="220" w:firstLine="408"/>
        <w:spacing w:after="0" w:line="277" w:lineRule="auto"/>
        <w:tabs>
          <w:tab w:leader="none" w:pos="1646"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Grantee can afford a complete loss of the value of the Shares and is able to bear the economic risk of holding such Shares for an indefinite period.</w:t>
      </w:r>
    </w:p>
    <w:p>
      <w:pPr>
        <w:spacing w:after="0" w:line="62" w:lineRule="exact"/>
        <w:rPr>
          <w:rFonts w:ascii="Arial" w:cs="Arial" w:eastAsia="Arial" w:hAnsi="Arial"/>
          <w:sz w:val="18"/>
          <w:szCs w:val="18"/>
          <w:color w:val="auto"/>
        </w:rPr>
      </w:pPr>
    </w:p>
    <w:p>
      <w:pPr>
        <w:ind w:left="940" w:firstLine="408"/>
        <w:spacing w:after="0" w:line="255" w:lineRule="auto"/>
        <w:tabs>
          <w:tab w:leader="none" w:pos="1596"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0" w:right="479" w:bottom="1440" w:gutter="0" w:footer="0" w:header="0"/>
        </w:sectPr>
      </w:pPr>
    </w:p>
    <w:bookmarkStart w:id="78" w:name="page79"/>
    <w:bookmarkEnd w:id="78"/>
    <w:p>
      <w:pPr>
        <w:ind w:left="960" w:right="320" w:firstLine="408"/>
        <w:spacing w:after="0" w:line="277" w:lineRule="auto"/>
        <w:tabs>
          <w:tab w:leader="none" w:pos="1666" w:val="left"/>
        </w:tabs>
        <w:numPr>
          <w:ilvl w:val="2"/>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Grantee has read and understands the Plan and acknowledges and agrees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960" w:right="700" w:firstLine="408"/>
        <w:spacing w:after="0" w:line="277" w:lineRule="auto"/>
        <w:tabs>
          <w:tab w:leader="none" w:pos="1716"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Grantee understands and agrees that the Company has a right of first refusal with respect to the Shares pursuant to Section 9(b) of the Plan.</w:t>
      </w:r>
    </w:p>
    <w:p>
      <w:pPr>
        <w:spacing w:after="0" w:line="62" w:lineRule="exact"/>
        <w:rPr>
          <w:rFonts w:ascii="Arial" w:cs="Arial" w:eastAsia="Arial" w:hAnsi="Arial"/>
          <w:sz w:val="18"/>
          <w:szCs w:val="18"/>
          <w:color w:val="auto"/>
        </w:rPr>
      </w:pPr>
    </w:p>
    <w:p>
      <w:pPr>
        <w:ind w:left="960" w:right="480" w:firstLine="408"/>
        <w:spacing w:after="0" w:line="277" w:lineRule="auto"/>
        <w:tabs>
          <w:tab w:leader="none" w:pos="1766"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Grantee understands and agree that the Company has certain repurchase rights with respect to the Shares pursuant to Section 9(c) of the Plan.</w:t>
      </w:r>
    </w:p>
    <w:p>
      <w:pPr>
        <w:spacing w:after="0" w:line="62" w:lineRule="exact"/>
        <w:rPr>
          <w:rFonts w:ascii="Arial" w:cs="Arial" w:eastAsia="Arial" w:hAnsi="Arial"/>
          <w:sz w:val="18"/>
          <w:szCs w:val="18"/>
          <w:color w:val="auto"/>
        </w:rPr>
      </w:pPr>
    </w:p>
    <w:p>
      <w:pPr>
        <w:ind w:left="960" w:right="180" w:firstLine="408"/>
        <w:spacing w:after="0" w:line="277" w:lineRule="auto"/>
        <w:tabs>
          <w:tab w:leader="none" w:pos="1666"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170" w:lineRule="exact"/>
        <w:rPr>
          <w:rFonts w:ascii="Arial" w:cs="Arial" w:eastAsia="Arial" w:hAnsi="Arial"/>
          <w:sz w:val="18"/>
          <w:szCs w:val="18"/>
          <w:color w:val="auto"/>
        </w:rPr>
      </w:pPr>
    </w:p>
    <w:p>
      <w:pPr>
        <w:ind w:left="-20" w:firstLine="436"/>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Repurchase Right</w:t>
      </w:r>
      <w:r>
        <w:rPr>
          <w:rFonts w:ascii="Arial" w:cs="Arial" w:eastAsia="Arial" w:hAnsi="Arial"/>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170" w:lineRule="exact"/>
        <w:rPr>
          <w:rFonts w:ascii="Arial" w:cs="Arial" w:eastAsia="Arial" w:hAnsi="Arial"/>
          <w:sz w:val="18"/>
          <w:szCs w:val="18"/>
          <w:color w:val="auto"/>
        </w:rPr>
      </w:pPr>
    </w:p>
    <w:p>
      <w:pPr>
        <w:ind w:left="-20" w:right="460" w:firstLine="436"/>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(whether or not vested) shall be subject to certain transfer restrictions and other limitations including, without limitation, the provisions contained in Section 9 of the Plan</w:t>
      </w:r>
    </w:p>
    <w:p>
      <w:pPr>
        <w:spacing w:after="0" w:line="170" w:lineRule="exact"/>
        <w:rPr>
          <w:rFonts w:ascii="Arial" w:cs="Arial" w:eastAsia="Arial" w:hAnsi="Arial"/>
          <w:sz w:val="18"/>
          <w:szCs w:val="18"/>
          <w:color w:val="auto"/>
        </w:rPr>
      </w:pPr>
    </w:p>
    <w:p>
      <w:pPr>
        <w:ind w:left="-20" w:right="120" w:firstLine="436"/>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Restricted Stock Award shall be subject to and governed by all the terms and conditions of the Plan.</w:t>
      </w:r>
    </w:p>
    <w:p>
      <w:pPr>
        <w:spacing w:after="0" w:line="170" w:lineRule="exact"/>
        <w:rPr>
          <w:rFonts w:ascii="Arial" w:cs="Arial" w:eastAsia="Arial" w:hAnsi="Arial"/>
          <w:sz w:val="18"/>
          <w:szCs w:val="18"/>
          <w:color w:val="auto"/>
        </w:rPr>
      </w:pPr>
    </w:p>
    <w:p>
      <w:pPr>
        <w:ind w:left="600" w:hanging="184"/>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00" w:firstLine="987"/>
        <w:spacing w:after="0" w:line="259" w:lineRule="auto"/>
        <w:tabs>
          <w:tab w:leader="none" w:pos="1216"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Record Owner; Dividends</w:t>
      </w:r>
      <w:r>
        <w:rPr>
          <w:rFonts w:ascii="Arial" w:cs="Arial" w:eastAsia="Arial" w:hAnsi="Arial"/>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is under no duty to declare any such dividends or to make any such distribution.</w:t>
      </w:r>
    </w:p>
    <w:p>
      <w:pPr>
        <w:spacing w:after="0" w:line="186" w:lineRule="exact"/>
        <w:rPr>
          <w:rFonts w:ascii="Arial" w:cs="Arial" w:eastAsia="Arial" w:hAnsi="Arial"/>
          <w:sz w:val="18"/>
          <w:szCs w:val="18"/>
          <w:color w:val="auto"/>
        </w:rPr>
      </w:pPr>
    </w:p>
    <w:p>
      <w:pPr>
        <w:ind w:left="-20" w:right="20" w:firstLine="987"/>
        <w:spacing w:after="0" w:line="259" w:lineRule="auto"/>
        <w:tabs>
          <w:tab w:leader="none" w:pos="1226"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w:t>
      </w:r>
    </w:p>
    <w:p>
      <w:pPr>
        <w:spacing w:after="0" w:line="186" w:lineRule="exact"/>
        <w:rPr>
          <w:rFonts w:ascii="Arial" w:cs="Arial" w:eastAsia="Arial" w:hAnsi="Arial"/>
          <w:sz w:val="18"/>
          <w:szCs w:val="18"/>
          <w:color w:val="auto"/>
        </w:rPr>
      </w:pPr>
    </w:p>
    <w:p>
      <w:pPr>
        <w:ind w:left="-20" w:right="400" w:firstLine="987"/>
        <w:spacing w:after="0" w:line="342" w:lineRule="auto"/>
        <w:tabs>
          <w:tab w:leader="none" w:pos="1216"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79" w:name="page80"/>
    <w:bookmarkEnd w:id="79"/>
    <w:p>
      <w:pPr>
        <w:ind w:right="100" w:firstLine="987"/>
        <w:spacing w:after="0" w:line="342" w:lineRule="auto"/>
        <w:tabs>
          <w:tab w:leader="none" w:pos="124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23" w:lineRule="exact"/>
        <w:rPr>
          <w:rFonts w:ascii="Arial" w:cs="Arial" w:eastAsia="Arial" w:hAnsi="Arial"/>
          <w:sz w:val="16"/>
          <w:szCs w:val="16"/>
          <w:color w:val="auto"/>
        </w:rPr>
      </w:pPr>
    </w:p>
    <w:p>
      <w:pPr>
        <w:jc w:val="both"/>
        <w:ind w:right="160" w:firstLine="987"/>
        <w:spacing w:after="0" w:line="259"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6" w:lineRule="exact"/>
        <w:rPr>
          <w:rFonts w:ascii="Arial" w:cs="Arial" w:eastAsia="Arial" w:hAnsi="Arial"/>
          <w:sz w:val="18"/>
          <w:szCs w:val="18"/>
          <w:color w:val="auto"/>
        </w:rPr>
      </w:pPr>
    </w:p>
    <w:p>
      <w:pPr>
        <w:ind w:right="340" w:firstLine="987"/>
        <w:spacing w:after="0" w:line="277" w:lineRule="auto"/>
        <w:tabs>
          <w:tab w:leader="none" w:pos="121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70"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70" w:lineRule="exact"/>
        <w:rPr>
          <w:rFonts w:ascii="Arial" w:cs="Arial" w:eastAsia="Arial" w:hAnsi="Arial"/>
          <w:sz w:val="18"/>
          <w:szCs w:val="18"/>
          <w:color w:val="auto"/>
        </w:rPr>
      </w:pPr>
    </w:p>
    <w:p>
      <w:pPr>
        <w:ind w:firstLine="987"/>
        <w:spacing w:after="0" w:line="259"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86" w:lineRule="exact"/>
        <w:rPr>
          <w:rFonts w:ascii="Arial" w:cs="Arial" w:eastAsia="Arial" w:hAnsi="Arial"/>
          <w:sz w:val="18"/>
          <w:szCs w:val="18"/>
          <w:color w:val="auto"/>
        </w:rPr>
      </w:pPr>
    </w:p>
    <w:p>
      <w:pPr>
        <w:jc w:val="both"/>
        <w:ind w:right="240" w:firstLine="987"/>
        <w:spacing w:after="0" w:line="263" w:lineRule="auto"/>
        <w:tabs>
          <w:tab w:leader="none" w:pos="120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83" w:lineRule="exact"/>
        <w:rPr>
          <w:rFonts w:ascii="Arial" w:cs="Arial" w:eastAsia="Arial" w:hAnsi="Arial"/>
          <w:sz w:val="18"/>
          <w:szCs w:val="18"/>
          <w:color w:val="auto"/>
        </w:rPr>
      </w:pPr>
    </w:p>
    <w:p>
      <w:pPr>
        <w:ind w:right="860" w:firstLine="987"/>
        <w:spacing w:after="0" w:line="308" w:lineRule="auto"/>
        <w:tabs>
          <w:tab w:leader="none" w:pos="120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46" w:lineRule="exact"/>
        <w:rPr>
          <w:rFonts w:ascii="Arial" w:cs="Arial" w:eastAsia="Arial" w:hAnsi="Arial"/>
          <w:sz w:val="17"/>
          <w:szCs w:val="17"/>
          <w:color w:val="auto"/>
        </w:rPr>
      </w:pPr>
    </w:p>
    <w:p>
      <w:pPr>
        <w:ind w:right="80" w:firstLine="987"/>
        <w:spacing w:after="0" w:line="279" w:lineRule="auto"/>
        <w:tabs>
          <w:tab w:leader="none" w:pos="124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Award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0" w:name="page81"/>
    <w:bookmarkEnd w:id="80"/>
    <w:p>
      <w:pPr>
        <w:ind w:left="620" w:hanging="184"/>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7"/>
        <w:spacing w:after="0" w:line="257" w:lineRule="auto"/>
        <w:tabs>
          <w:tab w:leader="none" w:pos="1236" w:val="left"/>
        </w:tabs>
        <w:numPr>
          <w:ilvl w:val="1"/>
          <w:numId w:val="81"/>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1 - 16, and judgment upon the award rendered by the arbitrators may be entered by any court having jurisdiction thereof. The place of arbitration shall be Boston, Massachusetts.</w:t>
      </w:r>
    </w:p>
    <w:p>
      <w:pPr>
        <w:spacing w:after="0" w:line="187" w:lineRule="exact"/>
        <w:rPr>
          <w:rFonts w:ascii="Arial" w:cs="Arial" w:eastAsia="Arial" w:hAnsi="Arial"/>
          <w:sz w:val="18"/>
          <w:szCs w:val="18"/>
          <w:color w:val="auto"/>
        </w:rPr>
      </w:pPr>
    </w:p>
    <w:p>
      <w:pPr>
        <w:ind w:right="20" w:firstLine="987"/>
        <w:spacing w:after="0" w:line="269" w:lineRule="auto"/>
        <w:tabs>
          <w:tab w:leader="none" w:pos="1246"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85" w:lineRule="exact"/>
        <w:rPr>
          <w:rFonts w:ascii="Arial" w:cs="Arial" w:eastAsia="Arial" w:hAnsi="Arial"/>
          <w:sz w:val="17"/>
          <w:szCs w:val="17"/>
          <w:color w:val="auto"/>
        </w:rPr>
      </w:pPr>
    </w:p>
    <w:p>
      <w:pPr>
        <w:ind w:right="160" w:firstLine="987"/>
        <w:spacing w:after="0" w:line="279" w:lineRule="auto"/>
        <w:tabs>
          <w:tab w:leader="none" w:pos="1236"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1" w:lineRule="exact"/>
        <w:rPr>
          <w:rFonts w:ascii="Arial" w:cs="Arial" w:eastAsia="Arial" w:hAnsi="Arial"/>
          <w:sz w:val="17"/>
          <w:szCs w:val="17"/>
          <w:color w:val="auto"/>
        </w:rPr>
      </w:pPr>
    </w:p>
    <w:p>
      <w:pPr>
        <w:ind w:firstLine="987"/>
        <w:spacing w:after="0" w:line="288" w:lineRule="auto"/>
        <w:tabs>
          <w:tab w:leader="none" w:pos="1246" w:val="left"/>
        </w:tabs>
        <w:numPr>
          <w:ilvl w:val="1"/>
          <w:numId w:val="81"/>
        </w:numPr>
        <w:rPr>
          <w:rFonts w:ascii="Arial" w:cs="Arial" w:eastAsia="Arial" w:hAnsi="Arial"/>
          <w:sz w:val="16"/>
          <w:szCs w:val="16"/>
          <w:color w:val="auto"/>
        </w:rPr>
      </w:pPr>
      <w:r>
        <w:rPr>
          <w:rFonts w:ascii="Arial" w:cs="Arial" w:eastAsia="Arial" w:hAnsi="Arial"/>
          <w:sz w:val="16"/>
          <w:szCs w:val="16"/>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1" w:name="page82"/>
    <w:bookmarkEnd w:id="81"/>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Restricted Stock Agreement is hereby accepted and the terms and conditions thereof are hereby agreed to by the undersigned as of the date of purchase of Shares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OF THIS AGREEMENT, are hereby agreed to, by the undersigned as of the date first above written.</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82" w:name="page83"/>
    <w:bookmarkEnd w:id="8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[SPOUSE’S CONSENT</w:t>
      </w:r>
      <w:r>
        <w:rPr>
          <w:rFonts w:ascii="Arial" w:cs="Arial" w:eastAsia="Arial" w:hAnsi="Arial"/>
          <w:sz w:val="15"/>
          <w:szCs w:val="15"/>
          <w:color w:val="auto"/>
        </w:rPr>
        <w:t>2</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acknowledge that I have read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foregoing Restricted Stock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understand the contents thereof.</w:t>
      </w:r>
    </w:p>
    <w:p>
      <w:pPr>
        <w:spacing w:after="0" w:line="224" w:lineRule="exact"/>
        <w:rPr>
          <w:sz w:val="20"/>
          <w:szCs w:val="20"/>
          <w:color w:val="auto"/>
        </w:rPr>
      </w:pPr>
    </w:p>
    <w:p>
      <w:pPr>
        <w:ind w:left="31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19996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1999615" cy="8890"/>
                    </a:xfrm>
                    <a:prstGeom prst="rect">
                      <a:avLst/>
                    </a:prstGeom>
                    <a:noFill/>
                  </pic:spPr>
                </pic:pic>
              </a:graphicData>
            </a:graphic>
          </wp:anchor>
        </w:drawing>
      </w:r>
    </w:p>
    <w:p>
      <w:pPr>
        <w:spacing w:after="0" w:line="394" w:lineRule="exact"/>
        <w:rPr>
          <w:sz w:val="20"/>
          <w:szCs w:val="20"/>
          <w:color w:val="auto"/>
        </w:rPr>
      </w:pPr>
    </w:p>
    <w:p>
      <w:pPr>
        <w:ind w:left="224" w:hanging="224"/>
        <w:spacing w:after="0" w:line="277" w:lineRule="auto"/>
        <w:tabs>
          <w:tab w:leader="none" w:pos="224" w:val="left"/>
        </w:tabs>
        <w:numPr>
          <w:ilvl w:val="0"/>
          <w:numId w:val="82"/>
        </w:numPr>
        <w:rPr>
          <w:rFonts w:ascii="Arial" w:cs="Arial" w:eastAsia="Arial" w:hAnsi="Arial"/>
          <w:sz w:val="15"/>
          <w:szCs w:val="15"/>
          <w:color w:val="auto"/>
        </w:rPr>
      </w:pPr>
      <w:r>
        <w:rPr>
          <w:rFonts w:ascii="Arial" w:cs="Arial" w:eastAsia="Arial" w:hAnsi="Arial"/>
          <w:sz w:val="18"/>
          <w:szCs w:val="18"/>
          <w:color w:val="auto"/>
        </w:rPr>
        <w:t>A spouse’s consent is required only if the Grantee’s state of residence is one of the following community property states: Arizona, California, Idaho, Louisiana, New Mexico, Nevada, Texas, Washington and Wisconsin.</w:t>
      </w:r>
    </w:p>
    <w:p>
      <w:pPr>
        <w:spacing w:after="0" w:line="10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7</w:t>
      </w:r>
    </w:p>
    <w:sectPr>
      <w:pgSz w:w="11900" w:h="16838" w:orient="portrait"/>
      <w:cols w:equalWidth="0" w:num="1">
        <w:col w:w="10904"/>
      </w:cols>
      <w:pgMar w:left="436"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1)"/>
      <w:numFmt w:val="lowerLetter"/>
      <w:start w:val="1"/>
    </w:lvl>
  </w:abstractNum>
  <w:abstractNum w:abstractNumId="2">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A487CB0"/>
    <w:multiLevelType w:val="hybridMultilevel"/>
    <w:lvl w:ilvl="0">
      <w:lvlJc w:val="left"/>
      <w:lvlText w:val="%1"/>
      <w:numFmt w:val="lowerLetter"/>
      <w:start w:val="1"/>
    </w:lvl>
    <w:lvl w:ilvl="1">
      <w:lvlJc w:val="left"/>
      <w:lvlText w:val="(%2)"/>
      <w:numFmt w:val="decimal"/>
      <w:start w:val="2"/>
    </w:lvl>
  </w:abstractNum>
  <w:abstractNum w:abstractNumId="4">
    <w:nsid w:val="1D4ED43B"/>
    <w:multiLevelType w:val="hybridMultilevel"/>
    <w:lvl w:ilvl="0">
      <w:lvlJc w:val="left"/>
      <w:lvlText w:val="(%1)"/>
      <w:numFmt w:val="lowerLetter"/>
      <w:start w:val="2"/>
    </w:lvl>
    <w:lvl w:ilvl="1">
      <w:lvlJc w:val="left"/>
      <w:lvlText w:val="%2"/>
      <w:numFmt w:val="decimal"/>
      <w:start w:val="1"/>
    </w:lvl>
  </w:abstractNum>
  <w:abstractNum w:abstractNumId="5">
    <w:nsid w:val="725A06FB"/>
    <w:multiLevelType w:val="hybridMultilevel"/>
    <w:lvl w:ilvl="0">
      <w:lvlJc w:val="left"/>
      <w:lvlText w:val="(%1)"/>
      <w:numFmt w:val="lowerLetter"/>
      <w:start w:val="3"/>
    </w:lvl>
  </w:abstractNum>
  <w:abstractNum w:abstractNumId="6">
    <w:nsid w:val="2CD89A32"/>
    <w:multiLevelType w:val="hybridMultilevel"/>
    <w:lvl w:ilvl="0">
      <w:lvlJc w:val="left"/>
      <w:lvlText w:val="(%1)"/>
      <w:numFmt w:val="lowerLetter"/>
      <w:start w:val="1"/>
    </w:lvl>
    <w:lvl w:ilvl="1">
      <w:lvlJc w:val="left"/>
      <w:lvlText w:val="(%2)"/>
      <w:numFmt w:val="decimal"/>
      <w:start w:val="1"/>
    </w:lvl>
  </w:abstractNum>
  <w:abstractNum w:abstractNumId="7">
    <w:nsid w:val="57E4CCAF"/>
    <w:multiLevelType w:val="hybridMultilevel"/>
    <w:lvl w:ilvl="0">
      <w:lvlJc w:val="left"/>
      <w:lvlText w:val="(%1)"/>
      <w:numFmt w:val="upperLetter"/>
      <w:start w:val="1"/>
    </w:lvl>
  </w:abstractNum>
  <w:abstractNum w:abstractNumId="8">
    <w:nsid w:val="7A6D8D3C"/>
    <w:multiLevelType w:val="hybridMultilevel"/>
    <w:lvl w:ilvl="0">
      <w:lvlJc w:val="left"/>
      <w:lvlText w:val="(%1)"/>
      <w:numFmt w:val="upperLetter"/>
      <w:start w:val="4"/>
    </w:lvl>
  </w:abstractNum>
  <w:abstractNum w:abstractNumId="9">
    <w:nsid w:val="4B588F54"/>
    <w:multiLevelType w:val="hybridMultilevel"/>
    <w:lvl w:ilvl="0">
      <w:lvlJc w:val="left"/>
      <w:lvlText w:val="(%1)"/>
      <w:numFmt w:val="decimal"/>
      <w:start w:val="3"/>
    </w:lvl>
  </w:abstractNum>
  <w:abstractNum w:abstractNumId="10">
    <w:nsid w:val="542289EC"/>
    <w:multiLevelType w:val="hybridMultilevel"/>
    <w:lvl w:ilvl="0">
      <w:lvlJc w:val="left"/>
      <w:lvlText w:val="(%1)"/>
      <w:numFmt w:val="lowerLetter"/>
      <w:start w:val="2"/>
    </w:lvl>
    <w:lvl w:ilvl="1">
      <w:lvlJc w:val="left"/>
      <w:lvlText w:val="(%2)"/>
      <w:numFmt w:val="decimal"/>
      <w:start w:val="1"/>
    </w:lvl>
  </w:abstractNum>
  <w:abstractNum w:abstractNumId="11">
    <w:nsid w:val="6DE91B18"/>
    <w:multiLevelType w:val="hybridMultilevel"/>
    <w:lvl w:ilvl="0">
      <w:lvlJc w:val="left"/>
      <w:lvlText w:val="(%1)"/>
      <w:numFmt w:val="lowerLetter"/>
      <w:start w:val="1"/>
    </w:lvl>
  </w:abstractNum>
  <w:abstractNum w:abstractNumId="12">
    <w:nsid w:val="38437FDB"/>
    <w:multiLevelType w:val="hybridMultilevel"/>
    <w:lvl w:ilvl="0">
      <w:lvlJc w:val="left"/>
      <w:lvlText w:val="%1"/>
      <w:numFmt w:val="lowerLetter"/>
      <w:start w:val="1"/>
    </w:lvl>
    <w:lvl w:ilvl="1">
      <w:lvlJc w:val="left"/>
      <w:lvlText w:val="(%2)"/>
      <w:numFmt w:val="lowerLetter"/>
      <w:start w:val="5"/>
    </w:lvl>
  </w:abstractNum>
  <w:abstractNum w:abstractNumId="13">
    <w:nsid w:val="7644A45C"/>
    <w:multiLevelType w:val="hybridMultilevel"/>
    <w:lvl w:ilvl="0">
      <w:lvlJc w:val="left"/>
      <w:lvlText w:val="(%1)"/>
      <w:numFmt w:val="lowerLetter"/>
      <w:start w:val="35"/>
    </w:lvl>
    <w:lvl w:ilvl="1">
      <w:lvlJc w:val="left"/>
      <w:lvlText w:val="%2"/>
      <w:numFmt w:val="lowerLetter"/>
      <w:start w:val="1"/>
    </w:lvl>
  </w:abstractNum>
  <w:abstractNum w:abstractNumId="14">
    <w:nsid w:val="32FFF902"/>
    <w:multiLevelType w:val="hybridMultilevel"/>
    <w:lvl w:ilvl="0">
      <w:lvlJc w:val="left"/>
      <w:lvlText w:val="(%1)"/>
      <w:numFmt w:val="lowerLetter"/>
      <w:start w:val="1"/>
    </w:lvl>
  </w:abstractNum>
  <w:abstractNum w:abstractNumId="15">
    <w:nsid w:val="684A481A"/>
    <w:multiLevelType w:val="hybridMultilevel"/>
    <w:lvl w:ilvl="0">
      <w:lvlJc w:val="left"/>
      <w:lvlText w:val="(%1)"/>
      <w:numFmt w:val="lowerLetter"/>
      <w:start w:val="8"/>
    </w:lvl>
  </w:abstractNum>
  <w:abstractNum w:abstractNumId="16">
    <w:nsid w:val="579478FE"/>
    <w:multiLevelType w:val="hybridMultilevel"/>
    <w:lvl w:ilvl="0">
      <w:lvlJc w:val="left"/>
      <w:lvlText w:val="(%1)"/>
      <w:numFmt w:val="lowerLetter"/>
      <w:start w:val="1"/>
    </w:lvl>
    <w:lvl w:ilvl="1">
      <w:lvlJc w:val="left"/>
      <w:lvlText w:val="(%2)"/>
      <w:numFmt w:val="decimal"/>
      <w:start w:val="1"/>
    </w:lvl>
  </w:abstractNum>
  <w:abstractNum w:abstractNumId="17">
    <w:nsid w:val="749ABB43"/>
    <w:multiLevelType w:val="hybridMultilevel"/>
    <w:lvl w:ilvl="0">
      <w:lvlJc w:val="left"/>
      <w:lvlText w:val="(%1)"/>
      <w:numFmt w:val="decimal"/>
      <w:start w:val="3"/>
    </w:lvl>
  </w:abstractNum>
  <w:abstractNum w:abstractNumId="18">
    <w:nsid w:val="3DC240FB"/>
    <w:multiLevelType w:val="hybridMultilevel"/>
    <w:lvl w:ilvl="0">
      <w:lvlJc w:val="left"/>
      <w:lvlText w:val="(%1)"/>
      <w:numFmt w:val="lowerLetter"/>
      <w:start w:val="1"/>
    </w:lvl>
  </w:abstractNum>
  <w:abstractNum w:abstractNumId="19">
    <w:nsid w:val="1BA026FA"/>
    <w:multiLevelType w:val="hybridMultilevel"/>
    <w:lvl w:ilvl="0">
      <w:lvlJc w:val="left"/>
      <w:lvlText w:val="(%1)"/>
      <w:numFmt w:val="lowerLetter"/>
      <w:start w:val="1"/>
    </w:lvl>
  </w:abstractNum>
  <w:abstractNum w:abstractNumId="20">
    <w:nsid w:val="79A1DEAA"/>
    <w:multiLevelType w:val="hybridMultilevel"/>
    <w:lvl w:ilvl="0">
      <w:lvlJc w:val="left"/>
      <w:lvlText w:val="(%1)"/>
      <w:numFmt w:val="lowerLetter"/>
      <w:start w:val="2"/>
    </w:lvl>
  </w:abstractNum>
  <w:abstractNum w:abstractNumId="21">
    <w:nsid w:val="75C6C33A"/>
    <w:multiLevelType w:val="hybridMultilevel"/>
    <w:lvl w:ilvl="0">
      <w:lvlJc w:val="left"/>
      <w:lvlText w:val="(%1)"/>
      <w:numFmt w:val="lowerLetter"/>
      <w:start w:val="1"/>
    </w:lvl>
  </w:abstractNum>
  <w:abstractNum w:abstractNumId="22">
    <w:nsid w:val="12E685FB"/>
    <w:multiLevelType w:val="hybridMultilevel"/>
    <w:lvl w:ilvl="0">
      <w:lvlJc w:val="left"/>
      <w:lvlText w:val="(%1)"/>
      <w:numFmt w:val="lowerRoman"/>
      <w:start w:val="1"/>
    </w:lvl>
  </w:abstractNum>
  <w:abstractNum w:abstractNumId="23">
    <w:nsid w:val="70C6A529"/>
    <w:multiLevelType w:val="hybridMultilevel"/>
    <w:lvl w:ilvl="0">
      <w:lvlJc w:val="left"/>
      <w:lvlText w:val="(%1)"/>
      <w:numFmt w:val="lowerRoman"/>
      <w:start w:val="3"/>
    </w:lvl>
  </w:abstractNum>
  <w:abstractNum w:abstractNumId="24">
    <w:nsid w:val="520EEDD1"/>
    <w:multiLevelType w:val="hybridMultilevel"/>
    <w:lvl w:ilvl="0">
      <w:lvlJc w:val="left"/>
      <w:lvlText w:val="(%1)"/>
      <w:numFmt w:val="lowerLetter"/>
      <w:start w:val="1"/>
    </w:lvl>
  </w:abstractNum>
  <w:abstractNum w:abstractNumId="25">
    <w:nsid w:val="374A3FE6"/>
    <w:multiLevelType w:val="hybridMultilevel"/>
    <w:lvl w:ilvl="0">
      <w:lvlJc w:val="left"/>
      <w:lvlText w:val="(%1)"/>
      <w:numFmt w:val="lowerLetter"/>
      <w:start w:val="2"/>
    </w:lvl>
  </w:abstractNum>
  <w:abstractNum w:abstractNumId="26">
    <w:nsid w:val="4F4EF005"/>
    <w:multiLevelType w:val="hybridMultilevel"/>
    <w:lvl w:ilvl="0">
      <w:lvlJc w:val="left"/>
      <w:lvlText w:val="(%1)"/>
      <w:numFmt w:val="upperLetter"/>
      <w:start w:val="2"/>
    </w:lvl>
  </w:abstractNum>
  <w:abstractNum w:abstractNumId="27">
    <w:nsid w:val="23F9C13C"/>
    <w:multiLevelType w:val="hybridMultilevel"/>
    <w:lvl w:ilvl="0">
      <w:lvlJc w:val="left"/>
      <w:lvlText w:val="(%1)"/>
      <w:numFmt w:val="lowerLetter"/>
      <w:start w:val="1"/>
    </w:lvl>
  </w:abstractNum>
  <w:abstractNum w:abstractNumId="28">
    <w:nsid w:val="649BB77C"/>
    <w:multiLevelType w:val="hybridMultilevel"/>
    <w:lvl w:ilvl="0">
      <w:lvlJc w:val="left"/>
      <w:lvlText w:val="(%1)"/>
      <w:numFmt w:val="lowerLetter"/>
      <w:start w:val="2"/>
    </w:lvl>
    <w:lvl w:ilvl="1">
      <w:lvlJc w:val="left"/>
      <w:lvlText w:val="(%2)"/>
      <w:numFmt w:val="lowerRoman"/>
      <w:start w:val="1"/>
    </w:lvl>
  </w:abstractNum>
  <w:abstractNum w:abstractNumId="29">
    <w:nsid w:val="275AC794"/>
    <w:multiLevelType w:val="hybridMultilevel"/>
    <w:lvl w:ilvl="0">
      <w:lvlJc w:val="left"/>
      <w:lvlText w:val="(%1)"/>
      <w:numFmt w:val="lowerLetter"/>
      <w:start w:val="3"/>
    </w:lvl>
  </w:abstractNum>
  <w:abstractNum w:abstractNumId="30">
    <w:nsid w:val="39386575"/>
    <w:multiLevelType w:val="hybridMultilevel"/>
    <w:lvl w:ilvl="0">
      <w:lvlJc w:val="left"/>
      <w:lvlText w:val="(%1)"/>
      <w:numFmt w:val="lowerLetter"/>
      <w:start w:val="4"/>
    </w:lvl>
  </w:abstractNum>
  <w:abstractNum w:abstractNumId="31">
    <w:nsid w:val="1CF10FD8"/>
    <w:multiLevelType w:val="hybridMultilevel"/>
    <w:lvl w:ilvl="0">
      <w:lvlJc w:val="left"/>
      <w:lvlText w:val="(%1)"/>
      <w:numFmt w:val="lowerLetter"/>
      <w:start w:val="1"/>
    </w:lvl>
  </w:abstractNum>
  <w:abstractNum w:abstractNumId="32">
    <w:nsid w:val="180115B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3">
    <w:nsid w:val="235BA861"/>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34">
    <w:nsid w:val="47398C89"/>
    <w:multiLevelType w:val="hybridMultilevel"/>
    <w:lvl w:ilvl="0">
      <w:lvlJc w:val="left"/>
      <w:lvlText w:val="(%1)"/>
      <w:numFmt w:val="lowerRoman"/>
      <w:start w:val="2"/>
    </w:lvl>
    <w:lvl w:ilvl="1">
      <w:lvlJc w:val="left"/>
      <w:lvlText w:val="(%2)"/>
      <w:numFmt w:val="upperLetter"/>
      <w:start w:val="1"/>
    </w:lvl>
  </w:abstractNum>
  <w:abstractNum w:abstractNumId="35">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
    <w:nsid w:val="15B5AF5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37">
    <w:nsid w:val="741226BB"/>
    <w:multiLevelType w:val="hybridMultilevel"/>
    <w:lvl w:ilvl="0">
      <w:lvlJc w:val="left"/>
      <w:lvlText w:val="(%1)"/>
      <w:numFmt w:val="upperLetter"/>
      <w:start w:val="2"/>
    </w:lvl>
  </w:abstractNum>
  <w:abstractNum w:abstractNumId="38">
    <w:nsid w:val="D34B6A8"/>
    <w:multiLevelType w:val="hybridMultilevel"/>
    <w:lvl w:ilvl="0">
      <w:lvlJc w:val="left"/>
      <w:lvlText w:val="(%1)"/>
      <w:numFmt w:val="lowerRoman"/>
      <w:start w:val="3"/>
    </w:lvl>
  </w:abstractNum>
  <w:abstractNum w:abstractNumId="39">
    <w:nsid w:val="10233C99"/>
    <w:multiLevelType w:val="hybridMultilevel"/>
    <w:lvl w:ilvl="0">
      <w:lvlJc w:val="left"/>
      <w:lvlText w:val="%1"/>
      <w:numFmt w:val="lowerLetter"/>
      <w:start w:val="1"/>
    </w:lvl>
    <w:lvl w:ilvl="1">
      <w:lvlJc w:val="left"/>
      <w:lvlText w:val="(%2)"/>
      <w:numFmt w:val="lowerLetter"/>
      <w:start w:val="2"/>
    </w:lvl>
  </w:abstractNum>
  <w:abstractNum w:abstractNumId="40">
    <w:nsid w:val="3F6AB60F"/>
    <w:multiLevelType w:val="hybridMultilevel"/>
    <w:lvl w:ilvl="0">
      <w:lvlJc w:val="left"/>
      <w:lvlText w:val="(%1)"/>
      <w:numFmt w:val="lowerLetter"/>
      <w:start w:val="35"/>
    </w:lvl>
    <w:lvl w:ilvl="1">
      <w:lvlJc w:val="left"/>
      <w:lvlText w:val="%2"/>
      <w:numFmt w:val="lowerLetter"/>
      <w:start w:val="1"/>
    </w:lvl>
  </w:abstractNum>
  <w:abstractNum w:abstractNumId="41">
    <w:nsid w:val="61574095"/>
    <w:multiLevelType w:val="hybridMultilevel"/>
    <w:lvl w:ilvl="0">
      <w:lvlJc w:val="left"/>
      <w:lvlText w:val="(%1)"/>
      <w:numFmt w:val="lowerLetter"/>
      <w:start w:val="1"/>
    </w:lvl>
  </w:abstractNum>
  <w:abstractNum w:abstractNumId="42">
    <w:nsid w:val="7E0C57B1"/>
    <w:multiLevelType w:val="hybridMultilevel"/>
    <w:lvl w:ilvl="0">
      <w:lvlJc w:val="left"/>
      <w:lvlText w:val="(%1)"/>
      <w:numFmt w:val="lowerLetter"/>
      <w:start w:val="2"/>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2"/>
    </w:lvl>
  </w:abstractNum>
  <w:abstractNum w:abstractNumId="45">
    <w:nsid w:val="310C50B3"/>
    <w:multiLevelType w:val="hybridMultilevel"/>
    <w:lvl w:ilvl="0">
      <w:lvlJc w:val="left"/>
      <w:lvlText w:val="(%1)"/>
      <w:numFmt w:val="lowerLetter"/>
      <w:start w:val="1"/>
    </w:lvl>
    <w:lvl w:ilvl="1">
      <w:lvlJc w:val="left"/>
      <w:lvlText w:val="(%2)"/>
      <w:numFmt w:val="lowerRoman"/>
      <w:start w:val="1"/>
    </w:lvl>
  </w:abstractNum>
  <w:abstractNum w:abstractNumId="46">
    <w:nsid w:val="5FF87E05"/>
    <w:multiLevelType w:val="hybridMultilevel"/>
    <w:lvl w:ilvl="0">
      <w:lvlJc w:val="left"/>
      <w:lvlText w:val="%1"/>
      <w:numFmt w:val="lowerLetter"/>
      <w:start w:val="1"/>
    </w:lvl>
    <w:lvl w:ilvl="1">
      <w:lvlJc w:val="left"/>
      <w:lvlText w:val="(%2)"/>
      <w:numFmt w:val="upperLetter"/>
      <w:start w:val="1"/>
    </w:lvl>
  </w:abstractNum>
  <w:abstractNum w:abstractNumId="47">
    <w:nsid w:val="2F305DEF"/>
    <w:multiLevelType w:val="hybridMultilevel"/>
    <w:lvl w:ilvl="0">
      <w:lvlJc w:val="left"/>
      <w:lvlText w:val="(%1)"/>
      <w:numFmt w:val="lowerLetter"/>
      <w:start w:val="2"/>
    </w:lvl>
    <w:lvl w:ilvl="1">
      <w:lvlJc w:val="left"/>
      <w:lvlText w:val="%2"/>
      <w:numFmt w:val="upperLetter"/>
      <w:start w:val="1"/>
    </w:lvl>
  </w:abstractNum>
  <w:abstractNum w:abstractNumId="48">
    <w:nsid w:val="25A70BF7"/>
    <w:multiLevelType w:val="hybridMultilevel"/>
    <w:lvl w:ilvl="0">
      <w:lvlJc w:val="left"/>
      <w:lvlText w:val="(%1)"/>
      <w:numFmt w:val="lowerLetter"/>
      <w:start w:val="3"/>
    </w:lvl>
    <w:lvl w:ilvl="1">
      <w:lvlJc w:val="left"/>
      <w:lvlText w:val="(%2)"/>
      <w:numFmt w:val="lowerRoman"/>
      <w:start w:val="1"/>
    </w:lvl>
  </w:abstractNum>
  <w:abstractNum w:abstractNumId="49">
    <w:nsid w:val="1DBABF00"/>
    <w:multiLevelType w:val="hybridMultilevel"/>
    <w:lvl w:ilvl="0">
      <w:lvlJc w:val="left"/>
      <w:lvlText w:val="(%1)"/>
      <w:numFmt w:val="lowerLetter"/>
      <w:start w:val="2"/>
    </w:lvl>
    <w:lvl w:ilvl="1">
      <w:lvlJc w:val="left"/>
      <w:lvlText w:val="(%2)"/>
      <w:numFmt w:val="lowerLetter"/>
      <w:start w:val="5"/>
    </w:lvl>
    <w:lvl w:ilvl="2">
      <w:lvlJc w:val="left"/>
      <w:lvlText w:val="(%3)"/>
      <w:numFmt w:val="lowerRoman"/>
      <w:start w:val="1"/>
    </w:lvl>
  </w:abstractNum>
  <w:abstractNum w:abstractNumId="50">
    <w:nsid w:val="4AD084E9"/>
    <w:multiLevelType w:val="hybridMultilevel"/>
    <w:lvl w:ilvl="0">
      <w:lvlJc w:val="left"/>
      <w:lvlText w:val="(%1)"/>
      <w:numFmt w:val="lowerLetter"/>
      <w:start w:val="6"/>
    </w:lvl>
  </w:abstractNum>
  <w:abstractNum w:abstractNumId="51">
    <w:nsid w:val="1F48EAA1"/>
    <w:multiLevelType w:val="hybridMultilevel"/>
    <w:lvl w:ilvl="0">
      <w:lvlJc w:val="left"/>
      <w:lvlText w:val="(%1)"/>
      <w:numFmt w:val="lowerLetter"/>
      <w:start w:val="1"/>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3"/>
    </w:lvl>
  </w:abstractNum>
  <w:abstractNum w:abstractNumId="54">
    <w:nsid w:val="100F8FCA"/>
    <w:multiLevelType w:val="hybridMultilevel"/>
    <w:lvl w:ilvl="0">
      <w:lvlJc w:val="left"/>
      <w:lvlText w:val="(%1)"/>
      <w:numFmt w:val="lowerLetter"/>
      <w:start w:val="7"/>
    </w:lvl>
  </w:abstractNum>
  <w:abstractNum w:abstractNumId="55">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15014ACB"/>
    <w:multiLevelType w:val="hybridMultilevel"/>
    <w:lvl w:ilvl="0">
      <w:lvlJc w:val="left"/>
      <w:lvlText w:val="%1"/>
      <w:numFmt w:val="decimal"/>
      <w:start w:val="1"/>
    </w:lvl>
    <w:lvl w:ilvl="1">
      <w:lvlJc w:val="left"/>
      <w:lvlText w:val="(%2)"/>
      <w:numFmt w:val="lowerLetter"/>
      <w:start w:val="4"/>
    </w:lvl>
  </w:abstractNum>
  <w:abstractNum w:abstractNumId="57">
    <w:nsid w:val="5F5E7FD0"/>
    <w:multiLevelType w:val="hybridMultilevel"/>
    <w:lvl w:ilvl="0">
      <w:lvlJc w:val="left"/>
      <w:lvlText w:val="%1."/>
      <w:numFmt w:val="decimal"/>
      <w:start w:val="2"/>
    </w:lvl>
    <w:lvl w:ilvl="1">
      <w:lvlJc w:val="left"/>
      <w:lvlText w:val="(%2)"/>
      <w:numFmt w:val="lowerLetter"/>
      <w:start w:val="1"/>
    </w:lvl>
  </w:abstractNum>
  <w:abstractNum w:abstractNumId="58">
    <w:nsid w:val="98A3148"/>
    <w:multiLevelType w:val="hybridMultilevel"/>
    <w:lvl w:ilvl="0">
      <w:lvlJc w:val="left"/>
      <w:lvlText w:val="%1."/>
      <w:numFmt w:val="decimal"/>
      <w:start w:val="5"/>
    </w:lvl>
    <w:lvl w:ilvl="1">
      <w:lvlJc w:val="left"/>
      <w:lvlText w:val="(%2)"/>
      <w:numFmt w:val="lowerLetter"/>
      <w:start w:val="1"/>
    </w:lvl>
  </w:abstractNum>
  <w:abstractNum w:abstractNumId="59">
    <w:nsid w:val="799D0247"/>
    <w:multiLevelType w:val="hybridMultilevel"/>
    <w:lvl w:ilvl="0">
      <w:lvlJc w:val="left"/>
      <w:lvlText w:val="%1"/>
      <w:numFmt w:val="decimal"/>
      <w:start w:val="1"/>
    </w:lvl>
    <w:lvl w:ilvl="1">
      <w:lvlJc w:val="left"/>
      <w:lvlText w:val="(%2)"/>
      <w:numFmt w:val="lowerLetter"/>
      <w:start w:val="9"/>
    </w:lvl>
  </w:abstractNum>
  <w:abstractNum w:abstractNumId="60">
    <w:nsid w:val="6B94764"/>
    <w:multiLevelType w:val="hybridMultilevel"/>
    <w:lvl w:ilvl="0">
      <w:lvlJc w:val="left"/>
      <w:lvlText w:val="%1."/>
      <w:numFmt w:val="decimal"/>
      <w:start w:val="7"/>
    </w:lvl>
    <w:lvl w:ilvl="1">
      <w:lvlJc w:val="left"/>
      <w:lvlText w:val="(%2)"/>
      <w:numFmt w:val="lowerLetter"/>
      <w:start w:val="1"/>
    </w:lvl>
  </w:abstractNum>
  <w:abstractNum w:abstractNumId="61">
    <w:nsid w:val="42C296BD"/>
    <w:multiLevelType w:val="hybridMultilevel"/>
    <w:lvl w:ilvl="0">
      <w:lvlJc w:val="left"/>
      <w:lvlText w:val="(%1)"/>
      <w:numFmt w:val="lowerLetter"/>
      <w:start w:val="4"/>
    </w:lvl>
  </w:abstractNum>
  <w:abstractNum w:abstractNumId="62">
    <w:nsid w:val="168E121F"/>
    <w:multiLevelType w:val="hybridMultilevel"/>
    <w:lvl w:ilvl="0">
      <w:lvlJc w:val="left"/>
      <w:lvlText w:val="1"/>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lowerRoman"/>
      <w:start w:val="1"/>
    </w:lvl>
  </w:abstractNum>
  <w:abstractNum w:abstractNumId="65">
    <w:nsid w:val="5DC79EA8"/>
    <w:multiLevelType w:val="hybridMultilevel"/>
    <w:lvl w:ilvl="0">
      <w:lvlJc w:val="left"/>
      <w:lvlText w:val="(%1)"/>
      <w:numFmt w:val="lowerRoman"/>
      <w:start w:val="6"/>
    </w:lvl>
  </w:abstractNum>
  <w:abstractNum w:abstractNumId="66">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7BD3EE7B"/>
    <w:multiLevelType w:val="hybridMultilevel"/>
    <w:lvl w:ilvl="0">
      <w:lvlJc w:val="left"/>
      <w:lvlText w:val="%1."/>
      <w:numFmt w:val="decimal"/>
      <w:start w:val="2"/>
    </w:lvl>
    <w:lvl w:ilvl="1">
      <w:lvlJc w:val="left"/>
      <w:lvlText w:val="(%2)"/>
      <w:numFmt w:val="lowerLetter"/>
      <w:start w:val="1"/>
    </w:lvl>
  </w:abstractNum>
  <w:abstractNum w:abstractNumId="68">
    <w:nsid w:val="51D9C564"/>
    <w:multiLevelType w:val="hybridMultilevel"/>
    <w:lvl w:ilvl="0">
      <w:lvlJc w:val="left"/>
      <w:lvlText w:val="%1"/>
      <w:numFmt w:val="decimal"/>
      <w:start w:val="1"/>
    </w:lvl>
    <w:lvl w:ilvl="1">
      <w:lvlJc w:val="left"/>
      <w:lvlText w:val="(%2)"/>
      <w:numFmt w:val="lowerLetter"/>
      <w:start w:val="3"/>
    </w:lvl>
  </w:abstractNum>
  <w:abstractNum w:abstractNumId="69">
    <w:nsid w:val="613EFDC5"/>
    <w:multiLevelType w:val="hybridMultilevel"/>
    <w:lvl w:ilvl="0">
      <w:lvlJc w:val="left"/>
      <w:lvlText w:val="%1."/>
      <w:numFmt w:val="decimal"/>
      <w:start w:val="7"/>
    </w:lvl>
    <w:lvl w:ilvl="1">
      <w:lvlJc w:val="left"/>
      <w:lvlText w:val="(%2)"/>
      <w:numFmt w:val="lowerLetter"/>
      <w:start w:val="1"/>
    </w:lvl>
  </w:abstractNum>
  <w:abstractNum w:abstractNumId="70">
    <w:nsid w:val="BF72B14"/>
    <w:multiLevelType w:val="hybridMultilevel"/>
    <w:lvl w:ilvl="0">
      <w:lvlJc w:val="left"/>
      <w:lvlText w:val="(%1)"/>
      <w:numFmt w:val="lowerLetter"/>
      <w:start w:val="2"/>
    </w:lvl>
  </w:abstractNum>
  <w:abstractNum w:abstractNumId="71">
    <w:nsid w:val="11447B73"/>
    <w:multiLevelType w:val="hybridMultilevel"/>
    <w:lvl w:ilvl="0">
      <w:lvlJc w:val="left"/>
      <w:lvlText w:val="1"/>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lowerRoman"/>
      <w:start w:val="1"/>
    </w:lvl>
  </w:abstractNum>
  <w:abstractNum w:abstractNumId="74">
    <w:nsid w:val="8F2B15E"/>
    <w:multiLevelType w:val="hybridMultilevel"/>
    <w:lvl w:ilvl="0">
      <w:lvlJc w:val="left"/>
      <w:lvlText w:val="(%1)"/>
      <w:numFmt w:val="lowerRoman"/>
      <w:start w:val="6"/>
    </w:lvl>
  </w:abstractNum>
  <w:abstractNum w:abstractNumId="75">
    <w:nsid w:val="1A32234B"/>
    <w:multiLevelType w:val="hybridMultilevel"/>
    <w:lvl w:ilvl="0">
      <w:lvlJc w:val="left"/>
      <w:lvlText w:val="1"/>
      <w:numFmt w:val="bullet"/>
      <w:start w:val="1"/>
    </w:lvl>
  </w:abstractNum>
  <w:abstractNum w:abstractNumId="76">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78">
    <w:nsid w:val="4962813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9">
    <w:nsid w:val="60B6DF70"/>
    <w:multiLevelType w:val="hybridMultilevel"/>
    <w:lvl w:ilvl="0">
      <w:lvlJc w:val="left"/>
      <w:lvlText w:val="(%1)"/>
      <w:numFmt w:val="lowerLetter"/>
      <w:start w:val="4"/>
    </w:lvl>
  </w:abstractNum>
  <w:abstractNum w:abstractNumId="80">
    <w:nsid w:val="6A5EE64"/>
    <w:multiLevelType w:val="hybridMultilevel"/>
    <w:lvl w:ilvl="0">
      <w:lvlJc w:val="left"/>
      <w:lvlText w:val="%1."/>
      <w:numFmt w:val="decimal"/>
      <w:start w:val="6"/>
    </w:lvl>
    <w:lvl w:ilvl="1">
      <w:lvlJc w:val="left"/>
      <w:lvlText w:val="(%2)"/>
      <w:numFmt w:val="lowerLetter"/>
      <w:start w:val="1"/>
    </w:lvl>
  </w:abstractNum>
  <w:abstractNum w:abstractNumId="81">
    <w:nsid w:val="1433062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30"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8" Type="http://schemas.openxmlformats.org/officeDocument/2006/relationships/hyperlink" Target="http://www.sec.gov/Archives/edgar/data/1819133/000119312521294419/d234582d424b3.htm" TargetMode="External"/><Relationship Id="rId19" Type="http://schemas.openxmlformats.org/officeDocument/2006/relationships/hyperlink" Target="http://www.sec.gov/Archives/edgar/data/1819133/000121390021019249/f10k2020_bctgacq.htm" TargetMode="External"/><Relationship Id="rId20" Type="http://schemas.openxmlformats.org/officeDocument/2006/relationships/hyperlink" Target="http://www.sec.gov/Archives/edgar/data/1819133/000121390021026397/f10q0321_bctgacquisition.htm" TargetMode="External"/><Relationship Id="rId21" Type="http://schemas.openxmlformats.org/officeDocument/2006/relationships/hyperlink" Target="http://www.sec.gov/ix?doc=/Archives/edgar/data/1819133/000121390021040828/f10q0621_bctgacquisition.htm" TargetMode="External"/><Relationship Id="rId22" Type="http://schemas.openxmlformats.org/officeDocument/2006/relationships/hyperlink" Target="http://www.sec.gov/Archives/edgar/data/1819133/000121390021021456/ea139433-8k_bctgacq.htm" TargetMode="External"/><Relationship Id="rId23" Type="http://schemas.openxmlformats.org/officeDocument/2006/relationships/hyperlink" Target="http://www.sec.gov/ix?doc=/Archives/edgar/data/1819133/000119312521246234/d203347d8k.htm" TargetMode="External"/><Relationship Id="rId24" Type="http://schemas.openxmlformats.org/officeDocument/2006/relationships/hyperlink" Target="http://www.sec.gov/Archives/edgar/data/1819133/000121390020024994/ea126358-8a12b_bctgacquis.htm" TargetMode="External"/><Relationship Id="rId27" Type="http://schemas.openxmlformats.org/officeDocument/2006/relationships/hyperlink" Target="http://www.sec.gov/Archives/edgar/data/1819133/000119312521269987/d118907dex31.htm" TargetMode="External"/><Relationship Id="rId28" Type="http://schemas.openxmlformats.org/officeDocument/2006/relationships/hyperlink" Target="http://www.sec.gov/Archives/edgar/data/1819133/000121390021037131/ea144230ex4-5_bctgacq.htm" TargetMode="External"/><Relationship Id="rId29" Type="http://schemas.openxmlformats.org/officeDocument/2006/relationships/hyperlink" Target="http://www.sec.gov/Archives/edgar/data/1819133/000119312521246234/d203347dex104.htm" TargetMode="External"/><Relationship Id="rId31" Type="http://schemas.openxmlformats.org/officeDocument/2006/relationships/hyperlink" Target="http://www.sec.gov/Archives/edgar/data/1819133/000119312521246234/d203347dex105.htm" TargetMode="External"/><Relationship Id="rId32" Type="http://schemas.openxmlformats.org/officeDocument/2006/relationships/hyperlink" Target="http://www.sec.gov/Archives/edgar/data/1819133/000119312521246234/d20334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2021-10-14T16:32:47Z</dcterms:created>
  <dcterms:modified xsi:type="dcterms:W3CDTF">2021-10-14T16:32:47Z</dcterms:modified>
</cp:coreProperties>
</file>