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Tango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 (the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87583X109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CALIFORNIA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2,199,950.00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2,199,950.00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2,199,950.00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Institutional Partners,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CALIFORNIA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2,922,242.00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2,922,242.00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2,922,242.00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Institutional Partners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CALIFORNIA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710,502.00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710,502.00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710,502.00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Institutional Partners III, L.P.</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496,032.00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496,032.00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496,032.00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Four Crossings Institutional Partners V,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605,612.00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spacing w:after="0" w:line="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605,612.00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605,612.00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Offshore Investors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87"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5,280,943.00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5,280,943.00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5,280,943.00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87"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87" w:orient="portrait"/>
          <w:cols w:equalWidth="0" w:num="1">
            <w:col w:w="10099"/>
          </w:cols>
          <w:pgMar w:left="360" w:top="112" w:right="1440" w:bottom="0" w:gutter="0" w:footer="0" w:header="0"/>
          <w:type w:val="continuous"/>
        </w:sectPr>
      </w:pPr>
    </w:p>
    <w:p>
      <w:pPr>
        <w:spacing w:after="0" w:line="31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9"/>
          <w:szCs w:val="19"/>
          <w:color w:val="auto"/>
        </w:rPr>
        <w:t>87583X109</w:t>
      </w:r>
    </w:p>
    <w:p>
      <w:pPr>
        <w:sectPr>
          <w:pgSz w:w="11900" w:h="16887" w:orient="portrait"/>
          <w:cols w:equalWidth="0" w:num="1">
            <w:col w:w="10099"/>
          </w:cols>
          <w:pgMar w:left="360" w:top="112" w:right="1440" w:bottom="0" w:gutter="0" w:footer="0" w:header="0"/>
          <w:type w:val="continuous"/>
        </w:sectPr>
      </w:pPr>
    </w:p>
    <w:bookmarkStart w:id="5" w:name="page6"/>
    <w:bookmarkEnd w:id="5"/>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(AM) Investors,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89"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359,837.00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359,837.00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359,837.00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89"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F5 Master 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89" w:orient="portrait"/>
          <w:cols w:equalWidth="0" w:num="1">
            <w:col w:w="10099"/>
          </w:cols>
          <w:pgMar w:left="360" w:top="108"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556,097.00</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3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556,097.00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556,097.00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Healthcare Partners Master,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330,000.00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330,000.00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Partners,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12,905,118.00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12,905,118.00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12,905,118.00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Institutional (GP) V,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0099"/>
          </w:cols>
          <w:pgMar w:left="360" w:top="355" w:right="1440" w:bottom="0" w:gutter="0" w:footer="0" w:header="0"/>
          <w:type w:val="continuous"/>
        </w:sectPr>
      </w:pPr>
    </w:p>
    <w:bookmarkStart w:id="8" w:name="page9"/>
    <w:bookmarkEnd w:id="8"/>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605,612.00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605,612.00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605,612.00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11"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F5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556,097.00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556,097.00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556,097.00</w:t>
      </w:r>
    </w:p>
    <w:p>
      <w:pPr>
        <w:sectPr>
          <w:pgSz w:w="11900" w:h="16911" w:orient="portrait"/>
          <w:cols w:equalWidth="0" w:num="1">
            <w:col w:w="10099"/>
          </w:cols>
          <w:pgMar w:left="360" w:top="111" w:right="1440" w:bottom="0" w:gutter="0" w:footer="0" w:header="0"/>
          <w:type w:val="continuous"/>
        </w:sectPr>
      </w:pPr>
    </w:p>
    <w:bookmarkStart w:id="9" w:name="page10"/>
    <w:bookmarkEnd w:id="9"/>
    <w:p>
      <w:pPr>
        <w:jc w:val="right"/>
        <w:ind w:right="1399"/>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Healthcare Partners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40"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330,000.00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330,000.00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40"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ectPr>
          <w:pgSz w:w="11900" w:h="16838" w:orient="portrait"/>
          <w:cols w:equalWidth="0" w:num="1">
            <w:col w:w="10099"/>
          </w:cols>
          <w:pgMar w:left="360" w:top="140"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20" w:hanging="1112"/>
        <w:spacing w:after="0"/>
        <w:tabs>
          <w:tab w:leader="none" w:pos="112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Names of Reporting Persons</w:t>
      </w:r>
    </w:p>
    <w:p>
      <w:pPr>
        <w:sectPr>
          <w:pgSz w:w="11900" w:h="16838" w:orient="portrait"/>
          <w:cols w:equalWidth="0" w:num="1">
            <w:col w:w="10099"/>
          </w:cols>
          <w:pgMar w:left="360" w:top="140" w:right="1440" w:bottom="0" w:gutter="0" w:footer="0" w:header="0"/>
          <w:type w:val="continuous"/>
        </w:sectPr>
      </w:pPr>
    </w:p>
    <w:bookmarkStart w:id="10" w:name="page11"/>
    <w:bookmarkEnd w:id="10"/>
    <w:p>
      <w:pPr>
        <w:ind w:left="1120"/>
        <w:spacing w:after="0"/>
        <w:rPr>
          <w:sz w:val="20"/>
          <w:szCs w:val="20"/>
          <w:color w:val="auto"/>
        </w:rPr>
      </w:pPr>
      <w:r>
        <w:rPr>
          <w:rFonts w:ascii="Times New Roman" w:cs="Times New Roman" w:eastAsia="Times New Roman" w:hAnsi="Times New Roman"/>
          <w:sz w:val="22"/>
          <w:szCs w:val="22"/>
          <w:color w:val="auto"/>
        </w:rPr>
        <w:t>Dapice Joshua J.</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13,461,215.00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13,461,215.00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13,461,215.00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Dreyfuss, Philip 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380" w:type="dxa"/>
            <w:vAlign w:val="bottom"/>
            <w:vMerge w:val="restart"/>
          </w:tcPr>
          <w:p>
            <w:pPr>
              <w:jc w:val="right"/>
              <w:ind w:right="2032"/>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13,461,215.00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380" w:type="dxa"/>
            <w:vAlign w:val="bottom"/>
            <w:vMerge w:val="restart"/>
          </w:tcPr>
          <w:p>
            <w:pPr>
              <w:jc w:val="right"/>
              <w:ind w:right="2032"/>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099"/>
          </w:cols>
          <w:pgMar w:left="360" w:top="112" w:right="1440" w:bottom="0" w:gutter="0" w:footer="0" w:header="0"/>
          <w:type w:val="continuous"/>
        </w:sectPr>
      </w:pPr>
    </w:p>
    <w:p>
      <w:pPr>
        <w:ind w:left="140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0099"/>
          </w:cols>
          <w:pgMar w:left="360" w:top="112" w:right="1440" w:bottom="0" w:gutter="0" w:footer="0" w:header="0"/>
          <w:type w:val="continuous"/>
        </w:sectPr>
      </w:pPr>
    </w:p>
    <w:bookmarkStart w:id="11" w:name="page12"/>
    <w:bookmarkEnd w:id="11"/>
    <w:p>
      <w:pPr>
        <w:ind w:left="1400" w:right="7059" w:hanging="231"/>
        <w:spacing w:after="0" w:line="259" w:lineRule="auto"/>
        <w:tabs>
          <w:tab w:leader="none" w:pos="14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w:t>
      </w:r>
    </w:p>
    <w:p>
      <w:pPr>
        <w:spacing w:after="0" w:line="18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13,461,215.00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13,461,215.00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9.99 %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Dunn Hannah E.</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51"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13,461,215.00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13,461,215.00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13,461,215.00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ectPr>
          <w:pgSz w:w="11900" w:h="16838" w:orient="portrait"/>
          <w:cols w:equalWidth="0" w:num="2">
            <w:col w:w="1060" w:space="60"/>
            <w:col w:w="8979"/>
          </w:cols>
          <w:pgMar w:left="360" w:top="112" w:right="1440" w:bottom="451" w:gutter="0" w:footer="0" w:header="0"/>
          <w:type w:val="continuous"/>
        </w:sectPr>
      </w:pPr>
    </w:p>
    <w:bookmarkStart w:id="12" w:name="page13"/>
    <w:bookmarkEnd w:id="12"/>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Fried, Richard B</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Gehani, Varun 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110" w:right="1440"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13,461,215.00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13,461,215.00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13,461,215.00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Giauque, Nicolas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FRANCE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13,461,215.00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13,461,215.00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13,461,215.00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2" w:right="1440" w:bottom="0" w:gutter="0" w:footer="0" w:header="0"/>
          <w:type w:val="continuous"/>
        </w:sectPr>
      </w:pPr>
    </w:p>
    <w:bookmarkStart w:id="14" w:name="page15"/>
    <w:bookmarkEnd w:id="14"/>
    <w:p>
      <w:pPr>
        <w:ind w:left="1120"/>
        <w:spacing w:after="0"/>
        <w:rPr>
          <w:sz w:val="20"/>
          <w:szCs w:val="20"/>
          <w:color w:val="auto"/>
        </w:rPr>
      </w:pPr>
      <w:r>
        <w:rPr>
          <w:rFonts w:ascii="Times New Roman" w:cs="Times New Roman" w:eastAsia="Times New Roman" w:hAnsi="Times New Roman"/>
          <w:sz w:val="22"/>
          <w:szCs w:val="22"/>
          <w:color w:val="auto"/>
        </w:rPr>
        <w:t>9.99 %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Husen, Avner A.</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13,461,215.00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13,461,215.00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13,461,215.00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2"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Kim, David T.</w:t>
      </w:r>
    </w:p>
    <w:p>
      <w:pPr>
        <w:spacing w:after="0" w:line="20" w:lineRule="exact"/>
        <w:rPr>
          <w:sz w:val="20"/>
          <w:szCs w:val="20"/>
          <w:color w:val="auto"/>
        </w:rPr>
      </w:pPr>
    </w:p>
    <w:p>
      <w:pPr>
        <w:ind w:left="1120" w:hanging="1112"/>
        <w:spacing w:after="0"/>
        <w:tabs>
          <w:tab w:leader="none" w:pos="112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327" w:gutter="0" w:footer="0" w:header="0"/>
          <w:type w:val="continuous"/>
        </w:sectPr>
      </w:pPr>
    </w:p>
    <w:bookmarkStart w:id="15" w:name="page16"/>
    <w:bookmarkEnd w:id="15"/>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13,461,215.00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13,461,215.00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13,461,215.00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Linn, Michael 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13,461,215.00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16" w:name="page17"/>
    <w:bookmarkEnd w:id="16"/>
    <w:p>
      <w:pPr>
        <w:spacing w:after="0" w:line="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13,461,215.00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13,461,215.00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9.99 %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Luo Patrick (Cheng)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87"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13,461,215.00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13,461,215.00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13,461,215.00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87"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87" w:orient="portrait"/>
          <w:cols w:equalWidth="0" w:num="1">
            <w:col w:w="10099"/>
          </w:cols>
          <w:pgMar w:left="360" w:top="112" w:right="1440" w:bottom="0" w:gutter="0" w:footer="0" w:header="0"/>
          <w:type w:val="continuous"/>
        </w:sectPr>
      </w:pPr>
    </w:p>
    <w:p>
      <w:pPr>
        <w:spacing w:after="0" w:line="31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9"/>
          <w:szCs w:val="19"/>
          <w:color w:val="auto"/>
        </w:rPr>
        <w:t>87583X109</w:t>
      </w:r>
    </w:p>
    <w:p>
      <w:pPr>
        <w:sectPr>
          <w:pgSz w:w="11900" w:h="16887" w:orient="portrait"/>
          <w:cols w:equalWidth="0" w:num="1">
            <w:col w:w="10099"/>
          </w:cols>
          <w:pgMar w:left="360" w:top="112" w:right="1440" w:bottom="0" w:gutter="0" w:footer="0" w:header="0"/>
          <w:type w:val="continuous"/>
        </w:sectPr>
      </w:pPr>
    </w:p>
    <w:bookmarkStart w:id="17" w:name="page18"/>
    <w:bookmarkEnd w:id="17"/>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Patel, Rajiv A.</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90"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90"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Roberts, Jr., Thomas 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90" w:orient="portrait"/>
          <w:cols w:equalWidth="0" w:num="1">
            <w:col w:w="10099"/>
          </w:cols>
          <w:pgMar w:left="360" w:top="108" w:right="1440" w:bottom="0" w:gutter="0" w:footer="0" w:header="0"/>
          <w:type w:val="continuous"/>
        </w:sectPr>
      </w:pPr>
    </w:p>
    <w:bookmarkStart w:id="18" w:name="page19"/>
    <w:bookmarkEnd w:id="18"/>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13,461,215.00</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5"/>
        </w:trPr>
        <w:tc>
          <w:tcPr>
            <w:tcW w:w="13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13,461,215.00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13,461,215.00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9.99 %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Saito Edric 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13,461,215.00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13,461,215.00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13,461,215.00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60" w:orient="portrait"/>
          <w:cols w:equalWidth="0" w:num="2">
            <w:col w:w="1060" w:space="60"/>
            <w:col w:w="8979"/>
          </w:cols>
          <w:pgMar w:left="360" w:top="102" w:right="1440" w:bottom="0" w:gutter="0" w:footer="0" w:header="0"/>
          <w:type w:val="continuous"/>
        </w:sectPr>
      </w:pPr>
    </w:p>
    <w:bookmarkStart w:id="19" w:name="page20"/>
    <w:bookmarkEnd w:id="19"/>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Seybold, William</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Short Daniel 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0099"/>
          </w:cols>
          <w:pgMar w:left="360" w:top="355" w:right="1440" w:bottom="0" w:gutter="0" w:footer="0" w:header="0"/>
          <w:type w:val="continuous"/>
        </w:sectPr>
      </w:pPr>
    </w:p>
    <w:bookmarkStart w:id="20" w:name="page21"/>
    <w:bookmarkEnd w:id="20"/>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13,461,215.00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13,461,215.00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13,461,215.00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11"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Spokes, Andrew J. M.</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KINGDOM</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13,461,215.00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13,461,215.00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13,461,215.00</w:t>
      </w:r>
    </w:p>
    <w:p>
      <w:pPr>
        <w:sectPr>
          <w:pgSz w:w="11900" w:h="16911" w:orient="portrait"/>
          <w:cols w:equalWidth="0" w:num="1">
            <w:col w:w="10099"/>
          </w:cols>
          <w:pgMar w:left="360" w:top="111" w:right="1440" w:bottom="0" w:gutter="0" w:footer="0" w:header="0"/>
          <w:type w:val="continuous"/>
        </w:sectPr>
      </w:pPr>
    </w:p>
    <w:bookmarkStart w:id="21" w:name="page22"/>
    <w:bookmarkEnd w:id="21"/>
    <w:p>
      <w:pPr>
        <w:jc w:val="right"/>
        <w:ind w:right="1399"/>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9.99 %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Warren, John 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40"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13,461,215.00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13,461,215.00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13,461,215.00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40"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ectPr>
          <w:pgSz w:w="11900" w:h="16838" w:orient="portrait"/>
          <w:cols w:equalWidth="0" w:num="1">
            <w:col w:w="10099"/>
          </w:cols>
          <w:pgMar w:left="360" w:top="140"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20" w:hanging="1112"/>
        <w:spacing w:after="0"/>
        <w:tabs>
          <w:tab w:leader="none" w:pos="11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Names of Reporting Persons</w:t>
      </w:r>
    </w:p>
    <w:p>
      <w:pPr>
        <w:sectPr>
          <w:pgSz w:w="11900" w:h="16838" w:orient="portrait"/>
          <w:cols w:equalWidth="0" w:num="1">
            <w:col w:w="10099"/>
          </w:cols>
          <w:pgMar w:left="360" w:top="140" w:right="1440" w:bottom="0" w:gutter="0" w:footer="0" w:header="0"/>
          <w:type w:val="continuous"/>
        </w:sectPr>
      </w:pPr>
    </w:p>
    <w:bookmarkStart w:id="22" w:name="page23"/>
    <w:bookmarkEnd w:id="22"/>
    <w:p>
      <w:pPr>
        <w:ind w:left="1120"/>
        <w:spacing w:after="0"/>
        <w:rPr>
          <w:sz w:val="20"/>
          <w:szCs w:val="20"/>
          <w:color w:val="auto"/>
        </w:rPr>
      </w:pPr>
      <w:r>
        <w:rPr>
          <w:rFonts w:ascii="Times New Roman" w:cs="Times New Roman" w:eastAsia="Times New Roman" w:hAnsi="Times New Roman"/>
          <w:sz w:val="22"/>
          <w:szCs w:val="22"/>
          <w:color w:val="auto"/>
        </w:rPr>
        <w:t>Wehrly, Mark C.</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060"/>
          </w:cols>
          <w:pgMar w:left="360" w:top="111" w:right="47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13,461,215.00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13,461,215.00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13,461,215.00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940"/>
          </w:cols>
          <w:pgMar w:left="360" w:top="111" w:right="479"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Tango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Brookline Ave., Suite 901, Boston, Massachusetts, 02215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pacing w:after="0" w:line="233" w:lineRule="exact"/>
        <w:rPr>
          <w:rFonts w:ascii="Times New Roman" w:cs="Times New Roman" w:eastAsia="Times New Roman" w:hAnsi="Times New Roman"/>
          <w:sz w:val="22"/>
          <w:szCs w:val="22"/>
          <w:color w:val="auto"/>
        </w:rPr>
      </w:pPr>
    </w:p>
    <w:p>
      <w:pPr>
        <w:ind w:left="920"/>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This Amendment No. 3 to Schedule 13G (this "Amendment") is filed by the entities and persons listed below, all of whom together are referred to herein as the "Reporting Persons." (i) Farallon Capital Partners, L.P., a California limited partnership ("FCP"), with respect to the Shares held by it and the Shares that it currently has the right to acquire upon the exercise of Warrants (as defined in Item 4); (ii) Farallon Capital Institutional Partners, L.P., a California limited partnership ("FCIP"), with respect to the Shares held by it and the Shares that it currently has the right to acquire upon the exercise of Warrants; (iii) Farallon Capital Institutional Partners II, L.P., a California limited partnership ("FCIP II"), with respect to the Shares held by it and the Shares that it currently has the right to acquire upon the exercise of Warrants; (iv) Farallon Capital Institutional Partners III, L.P., a Delaware limited partnership ("FCIP III"), with respect to the Shares held by it and the Shares that it currently has the right to acquire upon the exercise of Warrants; (v) Four Crossings Institutional Partners V, L.P., a Delaware limited partnership ("FCIP V"), with respect to the Shares held by it and the Shares that it currently has the right to acquire upon the exercise of Warrants; (vi) Farallon Capital Offshore Investors II, L.P., a Cayman Islands exempted limited partnership ("FCOI II"), with respect to the Shares held by it and the Shares that it currently has the right to acquire upon the exercise of Warrants; (vii) Farallon Capital (AM) Investors, L.P., a Delaware limited partnership ("FCAMI"), with respect to the</w:t>
      </w:r>
    </w:p>
    <w:p>
      <w:pPr>
        <w:sectPr>
          <w:pgSz w:w="11900" w:h="16838" w:orient="portrait"/>
          <w:cols w:equalWidth="0" w:num="1">
            <w:col w:w="11060"/>
          </w:cols>
          <w:pgMar w:left="360" w:top="111" w:right="479" w:bottom="0" w:gutter="0" w:footer="0" w:header="0"/>
          <w:type w:val="continuous"/>
        </w:sectPr>
      </w:pPr>
    </w:p>
    <w:bookmarkStart w:id="23" w:name="page24"/>
    <w:bookmarkEnd w:id="23"/>
    <w:p>
      <w:pPr>
        <w:ind w:left="920"/>
        <w:spacing w:after="0" w:line="231" w:lineRule="auto"/>
        <w:rPr>
          <w:sz w:val="20"/>
          <w:szCs w:val="20"/>
          <w:color w:val="auto"/>
        </w:rPr>
      </w:pPr>
      <w:r>
        <w:rPr>
          <w:rFonts w:ascii="Times New Roman" w:cs="Times New Roman" w:eastAsia="Times New Roman" w:hAnsi="Times New Roman"/>
          <w:sz w:val="22"/>
          <w:szCs w:val="22"/>
          <w:color w:val="auto"/>
        </w:rPr>
        <w:t>Shares held by it and the Shares that it currently has the right to acquire upon the exercise of Warrants; (viii) Farallon Capital F5 Master I, L.P., a Cayman Islands exempted limited partnership ("F5MI"), with respect to the Shares held by it and the Shares that it currently has the right to acquire upon the exercise of Warrants; and (ix) Farallon Healthcare Partners Master, L.P., a Cayman Islands exempted limited partnership ("FHPM"), with respect to the Shares held by it. FCP, FCIP, FCIP II, FCIP III, FCIP V, FCOI II, FCAMI, F5MI and FHPM are together referred to herein as the "Farallon Funds." (x) Farallon Partners, L.L.C., a Delaware limited liability company (the "Farallon General Partner"), which is the general partner of each of FCP, FCIP, FCIP II, FCIP III, FCOI II and FCAMI and the sole member of each of the FCIP V General Partner (as defined below) and the FHPM General Partner (as defined below), with respect to the Shares held by each of the Farallon Funds other than F5MI and the Shares that each of the Farallon Funds other than F5MI currently has the right to acquire upon the exercise of Warrants. (xi) Farallon Institutional (GP) V, L.L.C., a Delaware limited liability company (the "FCIP V General Partner"), which is the general partner of FCIP V, with respect to the Shares held by FCIP V and the Shares that FCIP V currently has the right to acquire upon the exercise of Warrants. (xii) Farallon F5 (GP), L.L.C., a Delaware limited liability company (the "F5MI General Partner"), which is the general partner of F5MI, with respect to the Shares held by F5MI and the Shares that F5MI currently has the right to acquire upon the exercise of Warrants. (xiii) Farallon Healthcare Partners (GP), L.L.C., a Delaware limited liability company (the "FHPM General Partner"), which is the general partner of FHPM, with respect to the Shares held by FHPM. (xiv) The following persons, each of whom is a managing member or senior managing member, as the case may be, of the Farallon General Partner and a manager or senior manager, as the case may be, of the FCIP V General Partner, the F5MI General Partner and the FHPM General Partner, with respect to the Shares held by the Farallon Funds and the Shares that the Farallon Funds currently have the right to acquire upon the exercise of Warrants: Joshua J. Dapice ("Dapice"); Philip D. Dreyfuss ("Dreyfuss"); Hannah E. Dunn ("Dunn"); Varun N. Gehani ("Gehani"); Nicolas Giauque ("Giauque"); Avner A. Husen ("Husen"); David T. Kim ("Kim"); Michael G. Linn ("Linn"); Patrick (Cheng) Luo ("Luo"); Thomas G. Roberts, Jr. ("Roberts"); Edric C. Saito ("Saito"); Daniel S. Short ("Short"); Andrew J. M. Spokes ("Spokes"); John R. Warren ("Warren"); and Mark C. Wehrly ("Wehrly"). Dapice, Dreyfuss, Dunn, Gehani, Giauque, Husen, Kim, Linn, Luo, Roberts, Saito, Short, Spokes, Warren and Wehrly are together referred to herein as the "Farallon Individual Reporting Persons." This Amendment reports that effective January 1, 2026, Husen became a member of the Farallon General Partner, a manager of the FCIP V General Partner, a manager of the F5MI General Partner and a manager of the FHPM General Partner. Accordingly, as of that date, Husen may be deemed a beneficial owner of the Shares held by the Farallon Funds and the Shares that the Farallon Funds currently have the right to acquire upon the exercise of Warrants. This Amendment also reports that effective December 31, 2025, each of Richard B. Fried ("Fried"), Rajiv A. Patel ("Patel") and William Seybold ("Seybold") ceased to be a member of the Farallon General Partner, a manager of the FCIP V General Partner, a manager of the F5MI General Partner and a manager of the FHPM General Partner. Accordingly, as of that date, each of Fried, Patel and Seybold may no longer be deemed a beneficial owner of the Shares held by the Farallon Funds or the Shares that the Farallon Funds currently have the right to acquire upon the exercise of Warrants.</w:t>
      </w:r>
    </w:p>
    <w:p>
      <w:pPr>
        <w:spacing w:after="0" w:line="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right="360" w:hanging="912"/>
        <w:spacing w:after="0" w:line="185" w:lineRule="auto"/>
        <w:tabs>
          <w:tab w:leader="none" w:pos="920" w:val="left"/>
        </w:tabs>
        <w:numPr>
          <w:ilvl w:val="0"/>
          <w:numId w:val="30"/>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of the Reporting Persons is c/o Farallon Capital Management, L.L.C., One Maritime Plaza, Suite 2100, San Francisco, California 94111.</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40" w:hanging="912"/>
        <w:spacing w:after="0" w:line="193" w:lineRule="auto"/>
        <w:tabs>
          <w:tab w:leader="none" w:pos="920" w:val="left"/>
        </w:tabs>
        <w:numPr>
          <w:ilvl w:val="0"/>
          <w:numId w:val="3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citizenship of each of the Farallon Funds, the Farallon General Partner, the FCIP V General Partner, the F5MI General Partner and the FHPM General Partner is set forth above. Each of the Farallon Individual Reporting Persons, other than Giauque, Luo and Spokes, is a citizen of the United States. Giauque is a citizen of France. Luo is a citizen of China. Spokes is a citizen of the United Kingdom.</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 (the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87583X109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Â§Â§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Â§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Â§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Â§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31"/>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Â§ 240.13d-1(b)(1)(ii)(J). If filing as a non-U.S. institution in</w:t>
      </w:r>
    </w:p>
    <w:p>
      <w:pPr>
        <w:sectPr>
          <w:pgSz w:w="11900" w:h="16838" w:orient="portrait"/>
          <w:cols w:equalWidth="0" w:num="1">
            <w:col w:w="11120"/>
          </w:cols>
          <w:pgMar w:left="360" w:top="111" w:right="419" w:bottom="0" w:gutter="0" w:footer="0" w:header="0"/>
        </w:sectPr>
      </w:pPr>
    </w:p>
    <w:bookmarkStart w:id="24" w:name="page25"/>
    <w:bookmarkEnd w:id="24"/>
    <w:p>
      <w:pPr>
        <w:spacing w:after="0" w:line="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accordance with Â§ 240.13d-1(b)(1)(ii)(J),</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line="243" w:lineRule="auto"/>
        <w:rPr>
          <w:sz w:val="20"/>
          <w:szCs w:val="20"/>
          <w:color w:val="auto"/>
        </w:rPr>
      </w:pPr>
      <w:r>
        <w:rPr>
          <w:rFonts w:ascii="Times New Roman" w:cs="Times New Roman" w:eastAsia="Times New Roman" w:hAnsi="Times New Roman"/>
          <w:sz w:val="21"/>
          <w:szCs w:val="21"/>
          <w:color w:val="auto"/>
        </w:rPr>
        <w:t>The information required by Items 4(a) - (c) and set forth in Rows 5 through 11 of the cover page for each Reporting Person is incorporated herein by reference for each such Reporting Person. As of the date requiring the filing of this report, the Farallon Funds hold an aggregate of: (i) 13,391,411 Shares; and (ii) 2,159,792 Pre-Funded Common Stock Purchase Warrants (the "Warrants"), each of which is exercisable, subject to the Beneficial Ownership Limitation (as defined below), to purchase one Share. The terms of the Warrants provide that Warrants may not be exercised to the extent that, after giving effect to such exercise, the Reporting Persons would beneficially own, as determined in accordance with Section 13(d) of the Securities Exchange Act of 1934, as amended, more than 9.99% of the Shares then issued and outstanding (the "Beneficial Ownership Limitation"). As of the date requiring the filing of this report, the Beneficial Ownership Limitation permits the Farallon Funds to exercise Warrants for an aggregate of not more than 69,804 Shares. Accordingly, in providing the beneficial ownership information set forth herein, the Reporting Persons have assumed that the aggregate remaining 2,089,988 Warrants held by the Farallon Funds are not exercisable within 60 days of the date hereof and therefore do not confer beneficial ownership of the underlying Shares. The Shares and Warrants reported hereby for the Farallon Funds are held directly by the Farallon Funds. The</w:t>
      </w:r>
    </w:p>
    <w:p>
      <w:pPr>
        <w:spacing w:after="0" w:line="5" w:lineRule="exact"/>
        <w:rPr>
          <w:sz w:val="20"/>
          <w:szCs w:val="20"/>
          <w:color w:val="auto"/>
        </w:rPr>
      </w:pPr>
    </w:p>
    <w:p>
      <w:pPr>
        <w:ind w:left="920" w:right="20" w:hanging="912"/>
        <w:spacing w:after="0" w:line="231" w:lineRule="auto"/>
        <w:tabs>
          <w:tab w:leader="none" w:pos="9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Farallon General Partner, as the general partner of FCP, FCIP, FCIP II, FCIP III, FCOI II and FCAMI and the sole member of the FCIP V General Partner and the FHPM General Partner, may be deemed to be a beneficial owner of all such Shares held by the Farallon Funds other than F5MI and the Shares that the Farallon Funds other than F5MI have the right to acquire upon the exercise of Warrants. The FCIP V General Partner, as the general partner of FCIP V, may be deemed to be a beneficial owner of all such Shares held by FCIP V and the Shares that FCIP V has the right to acquire upon the exercise of Warrants. The F5MI General Partner, as the general partner of F5MI, may be deemed to be a beneficial owner of all such Shares held by F5MI and the Shares that F5MI has the right to acquire upon the exercise of Warrants. The FHPM General Partner, as the general partner of FHPM, may be deemed to be a beneficial owner of all such Shares held by FHPM. Each of the Farallon Individual Reporting Persons, as a managing member or senior managing member, as the case may be, of the Farallon General Partner and a manager or senior manager, as the case may be, of the FCIP V General Partner, the F5MI General Partner and the FHPM General Partner, in each case with the power to exercise investment discretion, may be deemed to be a beneficial owner of all such Shares held by the Farallon Funds and the Shares that the Farallon Funds have the right to acquire upon the exercise of Warrants. Each of the Farallon General Partner, the FCIP V General Partner, the F5MI General Partner, the FHPM General Partner and the Farallon Individual Reporting Persons hereby disclaims any beneficial ownership of any such Shares.</w:t>
      </w:r>
    </w:p>
    <w:p>
      <w:pPr>
        <w:spacing w:after="0" w:line="22"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100" w:hanging="912"/>
        <w:spacing w:after="0" w:line="185" w:lineRule="auto"/>
        <w:tabs>
          <w:tab w:leader="none" w:pos="920" w:val="left"/>
        </w:tabs>
        <w:numPr>
          <w:ilvl w:val="0"/>
          <w:numId w:val="3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Items 4(a) - (c) and set forth in Rows 5 through 11 of the cover page for each Reporting Person is incorporated herein by reference for each such Reporting Person.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10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4(a) - (c) and set forth in Rows 5 through 11 of the cover page for each Reporting Person is incorporated herein by reference for each such Reporting Person.</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10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4(a) - (c) and set forth in Rows 5 through 11 of the cover page for each Reporting Person is incorporated herein by reference for each such Reporting Person.</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10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4(a) - (c) and set forth in Rows 5 through 11 of the cover page for each Reporting Person is incorporated herein by reference for each such Reporting Person.</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10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4(a) - (c) and set forth in Rows 5 through 11 of the cover page for each Reporting Person is incorporated herein by reference for each such Reporting Person.</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87" w:orient="portrait"/>
          <w:cols w:equalWidth="0" w:num="1">
            <w:col w:w="11100"/>
          </w:cols>
          <w:pgMar w:left="360" w:top="111" w:right="439" w:bottom="0" w:gutter="0" w:footer="0" w:header="0"/>
        </w:sectPr>
      </w:pPr>
    </w:p>
    <w:bookmarkStart w:id="25" w:name="page26"/>
    <w:bookmarkEnd w:id="25"/>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Â§240.13d-1(b)(1)(ii)(J), so indicate under Item 3(j) and attach an exhibit stating the identity and Item 3 classification of each member of the group. If a group has filed this schedule pursuant to Â§240.13d-1(c) or Â§240.13d-1(d),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The Reporting Persons are filing this Schedule 13G pursuant to Section 240.13d-1(c). The Reporting Persons neither disclaim nor affirm the existence of a group among them. Each Reporting Person is a beneficial owner only of the securities reported by it on its cover page.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53"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Farallon Capital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Hannah E. Dunn, Managing Member of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02/06/2026</w:t>
      </w:r>
    </w:p>
    <w:p>
      <w:pPr>
        <w:spacing w:after="0" w:line="1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Farallon Capital Institutional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Hannah E. Dunn, Managing Member of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02/06/2026</w:t>
      </w:r>
    </w:p>
    <w:p>
      <w:pPr>
        <w:spacing w:after="0" w:line="15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Farallon Capital Institutional Partners 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Hannah E. Dunn, Managing Member of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02/06/2026</w:t>
      </w:r>
    </w:p>
    <w:p>
      <w:pPr>
        <w:spacing w:after="0" w:line="15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Farallon Capital Institutional Partners III,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Hannah E. Dunn, Managing Member of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02/06/2026</w:t>
      </w:r>
    </w:p>
    <w:p>
      <w:pPr>
        <w:spacing w:after="0" w:line="15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Four Crossings Institutional Partners V, L.P.</w:t>
      </w:r>
    </w:p>
    <w:p>
      <w:pPr>
        <w:spacing w:after="0" w:line="152" w:lineRule="exact"/>
        <w:rPr>
          <w:sz w:val="20"/>
          <w:szCs w:val="20"/>
          <w:color w:val="auto"/>
        </w:rPr>
      </w:pPr>
    </w:p>
    <w:p>
      <w:pPr>
        <w:ind w:left="5520"/>
        <w:spacing w:after="0"/>
        <w:tabs>
          <w:tab w:leader="none" w:pos="6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Name/Title: Hannah E. Dunn, Manager of its General Partner</w:t>
      </w:r>
    </w:p>
    <w:p>
      <w:pPr>
        <w:spacing w:after="0" w:line="44" w:lineRule="exact"/>
        <w:rPr>
          <w:sz w:val="20"/>
          <w:szCs w:val="20"/>
          <w:color w:val="auto"/>
        </w:rPr>
      </w:pPr>
    </w:p>
    <w:p>
      <w:pPr>
        <w:ind w:left="5520"/>
        <w:spacing w:after="0"/>
        <w:tabs>
          <w:tab w:leader="none" w:pos="6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02/06/2026</w:t>
      </w:r>
    </w:p>
    <w:p>
      <w:pPr>
        <w:spacing w:after="0" w:line="1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Farallon Capital Offshore Investors 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Hannah E. Dunn, Managing Member of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02/06/2026</w:t>
      </w:r>
    </w:p>
    <w:p>
      <w:pPr>
        <w:sectPr>
          <w:pgSz w:w="11900" w:h="16838" w:orient="portrait"/>
          <w:cols w:equalWidth="0" w:num="1">
            <w:col w:w="11140"/>
          </w:cols>
          <w:pgMar w:left="360" w:top="153" w:right="399" w:bottom="0" w:gutter="0" w:footer="0" w:header="0"/>
          <w:type w:val="continuous"/>
        </w:sectPr>
      </w:pPr>
    </w:p>
    <w:bookmarkStart w:id="26" w:name="page27"/>
    <w:bookmarkEnd w:id="26"/>
    <w:p>
      <w:pPr>
        <w:ind w:left="2340"/>
        <w:spacing w:after="0"/>
        <w:rPr>
          <w:sz w:val="20"/>
          <w:szCs w:val="20"/>
          <w:color w:val="auto"/>
        </w:rPr>
      </w:pPr>
      <w:r>
        <w:rPr>
          <w:rFonts w:ascii="Times New Roman" w:cs="Times New Roman" w:eastAsia="Times New Roman" w:hAnsi="Times New Roman"/>
          <w:sz w:val="22"/>
          <w:szCs w:val="22"/>
          <w:color w:val="auto"/>
        </w:rPr>
        <w:t>Farallon Capital (AM) Investors, L.P.</w:t>
      </w:r>
    </w:p>
    <w:p>
      <w:pPr>
        <w:spacing w:after="0" w:line="153"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Hannah E. Dunn, Managing Member of its</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02/06/2026</w:t>
      </w:r>
    </w:p>
    <w:p>
      <w:pPr>
        <w:spacing w:after="0" w:line="15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Farallon Capital F5 Master I, L.P.</w:t>
      </w:r>
    </w:p>
    <w:p>
      <w:pPr>
        <w:spacing w:after="0" w:line="152"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1"/>
          <w:szCs w:val="21"/>
          <w:color w:val="auto"/>
        </w:rPr>
        <w:t>Name/Title: Hannah E. Dunn, Manager of its General Partner</w:t>
      </w:r>
    </w:p>
    <w:p>
      <w:pPr>
        <w:spacing w:after="0" w:line="56"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02/06/2026</w:t>
      </w:r>
    </w:p>
    <w:p>
      <w:pPr>
        <w:spacing w:after="0" w:line="1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Farallon Healthcare Partners Master, L.P.</w:t>
      </w:r>
    </w:p>
    <w:p>
      <w:pPr>
        <w:spacing w:after="0" w:line="152"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1"/>
          <w:szCs w:val="21"/>
          <w:color w:val="auto"/>
        </w:rPr>
        <w:t>Name/Title: Hannah E. Dunn, Manager of its General Partner</w:t>
      </w:r>
    </w:p>
    <w:p>
      <w:pPr>
        <w:spacing w:after="0" w:line="56"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02/06/2026</w:t>
      </w:r>
    </w:p>
    <w:p>
      <w:pPr>
        <w:spacing w:after="0" w:line="1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Farallon Partners, L.L.C.</w:t>
      </w:r>
    </w:p>
    <w:p>
      <w:pPr>
        <w:spacing w:after="0" w:line="152" w:lineRule="exact"/>
        <w:rPr>
          <w:sz w:val="20"/>
          <w:szCs w:val="20"/>
          <w:color w:val="auto"/>
        </w:rPr>
      </w:pPr>
    </w:p>
    <w:p>
      <w:pPr>
        <w:ind w:left="3420"/>
        <w:spacing w:after="0"/>
        <w:tabs>
          <w:tab w:leader="none" w:pos="4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Name/Title: Hannah E. Dunn, Managing Member</w:t>
      </w:r>
    </w:p>
    <w:p>
      <w:pPr>
        <w:spacing w:after="0" w:line="44" w:lineRule="exact"/>
        <w:rPr>
          <w:sz w:val="20"/>
          <w:szCs w:val="20"/>
          <w:color w:val="auto"/>
        </w:rPr>
      </w:pPr>
    </w:p>
    <w:p>
      <w:pPr>
        <w:ind w:left="3420"/>
        <w:spacing w:after="0"/>
        <w:tabs>
          <w:tab w:leader="none" w:pos="4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02/06/2026</w:t>
      </w:r>
    </w:p>
    <w:p>
      <w:pPr>
        <w:spacing w:after="0" w:line="15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Farallon Institutional (GP) V, L.L.C.</w:t>
      </w:r>
    </w:p>
    <w:p>
      <w:pPr>
        <w:spacing w:after="0" w:line="152"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Name/Title: Hannah E. Dunn, Manager</w:t>
      </w:r>
    </w:p>
    <w:p>
      <w:pPr>
        <w:spacing w:after="0" w:line="44"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02/06/2026</w:t>
      </w:r>
    </w:p>
    <w:p>
      <w:pPr>
        <w:spacing w:after="0" w:line="1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Farallon F5 (GP), L.L.C.</w:t>
      </w:r>
    </w:p>
    <w:p>
      <w:pPr>
        <w:spacing w:after="0" w:line="152"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Name/Title: Hannah E. Dunn, Manager</w:t>
      </w:r>
    </w:p>
    <w:p>
      <w:pPr>
        <w:spacing w:after="0" w:line="44"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02/06/2026</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Farallon Healthcare Partners (GP), L.L.C.</w:t>
      </w:r>
    </w:p>
    <w:p>
      <w:pPr>
        <w:spacing w:after="0" w:line="152"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Name/Title: Hannah E. Dunn, Manager</w:t>
      </w:r>
    </w:p>
    <w:p>
      <w:pPr>
        <w:spacing w:after="0" w:line="44"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02/06/2026</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Dapice Joshua J.</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Hannah E. Dunn, as attorney-in-fact</w:t>
      </w:r>
    </w:p>
    <w:p>
      <w:pPr>
        <w:spacing w:after="0" w:line="44"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02/06/2026</w:t>
      </w:r>
    </w:p>
    <w:p>
      <w:pPr>
        <w:spacing w:after="0" w:line="15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Dreyfuss, Philip D.</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Hannah E. Dunn, as attorney-in-fact</w:t>
      </w:r>
    </w:p>
    <w:p>
      <w:pPr>
        <w:spacing w:after="0" w:line="44"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02/06/2026</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Dunn Hannah E.</w:t>
      </w:r>
    </w:p>
    <w:p>
      <w:pPr>
        <w:spacing w:after="0" w:line="152" w:lineRule="exact"/>
        <w:rPr>
          <w:sz w:val="20"/>
          <w:szCs w:val="20"/>
          <w:color w:val="auto"/>
        </w:rPr>
      </w:pPr>
    </w:p>
    <w:p>
      <w:pPr>
        <w:ind w:left="1920"/>
        <w:spacing w:after="0"/>
        <w:tabs>
          <w:tab w:leader="none" w:pos="2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Name/Title: Hannah E. Dunn</w:t>
      </w:r>
    </w:p>
    <w:p>
      <w:pPr>
        <w:spacing w:after="0" w:line="44" w:lineRule="exact"/>
        <w:rPr>
          <w:sz w:val="20"/>
          <w:szCs w:val="20"/>
          <w:color w:val="auto"/>
        </w:rPr>
      </w:pPr>
    </w:p>
    <w:p>
      <w:pPr>
        <w:ind w:left="1920"/>
        <w:spacing w:after="0"/>
        <w:tabs>
          <w:tab w:leader="none" w:pos="2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02/06/2026</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Fried, Richard B</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Hannah E. Dunn, as attorney-in-fact</w:t>
      </w:r>
    </w:p>
    <w:p>
      <w:pPr>
        <w:spacing w:after="0" w:line="44"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02/06/2026</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Gehani, Varun N.</w:t>
      </w:r>
    </w:p>
    <w:p>
      <w:pPr>
        <w:spacing w:after="0" w:line="152" w:lineRule="exact"/>
        <w:rPr>
          <w:sz w:val="20"/>
          <w:szCs w:val="20"/>
          <w:color w:val="auto"/>
        </w:rPr>
      </w:pPr>
    </w:p>
    <w:p>
      <w:pPr>
        <w:jc w:val="center"/>
        <w:ind w:right="320"/>
        <w:spacing w:after="0"/>
        <w:tabs>
          <w:tab w:leader="none" w:pos="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ectPr>
          <w:pgSz w:w="11900" w:h="16838" w:orient="portrait"/>
          <w:cols w:equalWidth="0" w:num="1">
            <w:col w:w="9760"/>
          </w:cols>
          <w:pgMar w:left="1440" w:top="111" w:right="699" w:bottom="0" w:gutter="0" w:footer="0" w:header="0"/>
        </w:sectPr>
      </w:pPr>
    </w:p>
    <w:bookmarkStart w:id="27" w:name="page28"/>
    <w:bookmarkEnd w:id="27"/>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02/06/2026</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Giauque, Nicolas</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02/06/2026</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Husen, Avner A.</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02/06/2026</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Kim, David T.</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02/06/2026</w:t>
      </w:r>
    </w:p>
    <w:p>
      <w:pPr>
        <w:spacing w:after="0" w:line="15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Linn, Michael G.</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02/06/2026</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Luo Patrick (Cheng)</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02/06/2026</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Patel, Rajiv A.</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02/06/2026</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Roberts, Jr., Thomas G.</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02/06/2026</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Saito Edric C.</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02/06/2026</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Seybold, William</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02/06/2026</w:t>
      </w:r>
    </w:p>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Short Daniel S.</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02/06/2026</w:t>
      </w:r>
    </w:p>
    <w:p>
      <w:pPr>
        <w:spacing w:after="0" w:line="15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Spokes, Andrew J. M.</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02/06/2026</w:t>
      </w:r>
    </w:p>
    <w:p>
      <w:pPr>
        <w:spacing w:after="0" w:line="1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Warren, John R.</w:t>
      </w:r>
    </w:p>
    <w:p>
      <w:pPr>
        <w:sectPr>
          <w:pgSz w:w="11900" w:h="16838" w:orient="portrait"/>
          <w:cols w:equalWidth="0" w:num="1">
            <w:col w:w="9019"/>
          </w:cols>
          <w:pgMar w:left="1440" w:top="111" w:right="1440" w:bottom="0" w:gutter="0" w:footer="0" w:header="0"/>
        </w:sectPr>
      </w:pPr>
    </w:p>
    <w:bookmarkStart w:id="28" w:name="page29"/>
    <w:bookmarkEnd w:id="28"/>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02/06/2026</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Wehrly, Mark C.</w:t>
      </w:r>
    </w:p>
    <w:p>
      <w:pPr>
        <w:spacing w:after="0" w:line="152"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02/06/2026</w:t>
      </w:r>
    </w:p>
    <w:p>
      <w:pPr>
        <w:spacing w:after="0" w:line="10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1. Joint Acquisition Statement Pursuant to Section 240.13d-1(k)</w:t>
      </w:r>
    </w:p>
    <w:p>
      <w:pPr>
        <w:sectPr>
          <w:pgSz w:w="11900" w:h="16838" w:orient="portrait"/>
          <w:cols w:equalWidth="0" w:num="1">
            <w:col w:w="10099"/>
          </w:cols>
          <w:pgMar w:left="360" w:top="111" w:right="1440"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20"/>
          <w:szCs w:val="20"/>
          <w:color w:val="auto"/>
        </w:rPr>
        <w:t>EXHIBIT 1</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to</w:t>
      </w:r>
    </w:p>
    <w:p>
      <w:pPr>
        <w:ind w:left="9820"/>
        <w:spacing w:after="0"/>
        <w:rPr>
          <w:sz w:val="20"/>
          <w:szCs w:val="20"/>
          <w:color w:val="auto"/>
        </w:rPr>
      </w:pPr>
      <w:r>
        <w:rPr>
          <w:rFonts w:ascii="Times New Roman" w:cs="Times New Roman" w:eastAsia="Times New Roman" w:hAnsi="Times New Roman"/>
          <w:sz w:val="19"/>
          <w:szCs w:val="19"/>
          <w:color w:val="auto"/>
        </w:rPr>
        <w:t>SCHEDULE 13G</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JOINT ACQUISITION STATEMENT</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PURSUANT TO SECTION 240.13d-1(k)</w:t>
      </w:r>
    </w:p>
    <w:p>
      <w:pPr>
        <w:spacing w:after="0" w:line="2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her or it contained therein, but shall not be responsible for the completeness and accuracy of the information concerning the other entities or persons, except to the extent that he, she or it knows or has reason to believe that such information is inaccurate.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February 6,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Hannah E.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FARALLON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its own behalf and</w:t>
      </w:r>
    </w:p>
    <w:p>
      <w:pPr>
        <w:spacing w:after="0"/>
        <w:rPr>
          <w:sz w:val="20"/>
          <w:szCs w:val="20"/>
          <w:color w:val="auto"/>
        </w:rPr>
      </w:pPr>
      <w:r>
        <w:rPr>
          <w:rFonts w:ascii="Times New Roman" w:cs="Times New Roman" w:eastAsia="Times New Roman" w:hAnsi="Times New Roman"/>
          <w:sz w:val="20"/>
          <w:szCs w:val="20"/>
          <w:color w:val="auto"/>
        </w:rPr>
        <w:t>As the General Partner of</w:t>
      </w:r>
    </w:p>
    <w:p>
      <w:pPr>
        <w:spacing w:after="0"/>
        <w:rPr>
          <w:sz w:val="20"/>
          <w:szCs w:val="20"/>
          <w:color w:val="auto"/>
        </w:rPr>
      </w:pPr>
      <w:r>
        <w:rPr>
          <w:rFonts w:ascii="Times New Roman" w:cs="Times New Roman" w:eastAsia="Times New Roman" w:hAnsi="Times New Roman"/>
          <w:sz w:val="20"/>
          <w:szCs w:val="20"/>
          <w:color w:val="auto"/>
        </w:rPr>
        <w:t>FARALLON CAPITAL PARTNERS, L.P.,</w:t>
      </w:r>
    </w:p>
    <w:p>
      <w:pPr>
        <w:spacing w:after="0"/>
        <w:rPr>
          <w:sz w:val="20"/>
          <w:szCs w:val="20"/>
          <w:color w:val="auto"/>
        </w:rPr>
      </w:pPr>
      <w:r>
        <w:rPr>
          <w:rFonts w:ascii="Times New Roman" w:cs="Times New Roman" w:eastAsia="Times New Roman" w:hAnsi="Times New Roman"/>
          <w:sz w:val="20"/>
          <w:szCs w:val="20"/>
          <w:color w:val="auto"/>
        </w:rPr>
        <w:t>FARALLON CAPITAL INSTITUTIONAL PARTNERS, L.P.,</w:t>
      </w:r>
    </w:p>
    <w:p>
      <w:pPr>
        <w:spacing w:after="0"/>
        <w:rPr>
          <w:sz w:val="20"/>
          <w:szCs w:val="20"/>
          <w:color w:val="auto"/>
        </w:rPr>
      </w:pPr>
      <w:r>
        <w:rPr>
          <w:rFonts w:ascii="Times New Roman" w:cs="Times New Roman" w:eastAsia="Times New Roman" w:hAnsi="Times New Roman"/>
          <w:sz w:val="20"/>
          <w:szCs w:val="20"/>
          <w:color w:val="auto"/>
        </w:rPr>
        <w:t>FARALLON CAPITAL INSTITUTIONAL PARTNERS II, L.P.,</w:t>
      </w:r>
    </w:p>
    <w:p>
      <w:pPr>
        <w:spacing w:after="0"/>
        <w:rPr>
          <w:sz w:val="20"/>
          <w:szCs w:val="20"/>
          <w:color w:val="auto"/>
        </w:rPr>
      </w:pPr>
      <w:r>
        <w:rPr>
          <w:rFonts w:ascii="Times New Roman" w:cs="Times New Roman" w:eastAsia="Times New Roman" w:hAnsi="Times New Roman"/>
          <w:sz w:val="20"/>
          <w:szCs w:val="20"/>
          <w:color w:val="auto"/>
        </w:rPr>
        <w:t>FARALLON CAPITAL INSTITUTIONAL PARTNERS III, L.P.,</w:t>
      </w:r>
    </w:p>
    <w:p>
      <w:pPr>
        <w:spacing w:after="0"/>
        <w:rPr>
          <w:sz w:val="20"/>
          <w:szCs w:val="20"/>
          <w:color w:val="auto"/>
        </w:rPr>
      </w:pPr>
      <w:r>
        <w:rPr>
          <w:rFonts w:ascii="Times New Roman" w:cs="Times New Roman" w:eastAsia="Times New Roman" w:hAnsi="Times New Roman"/>
          <w:sz w:val="20"/>
          <w:szCs w:val="20"/>
          <w:color w:val="auto"/>
        </w:rPr>
        <w:t>FARALLON CAPITAL OFFSHORE INVESTORS II, L.P. and</w:t>
      </w:r>
    </w:p>
    <w:p>
      <w:pPr>
        <w:spacing w:after="0"/>
        <w:rPr>
          <w:sz w:val="20"/>
          <w:szCs w:val="20"/>
          <w:color w:val="auto"/>
        </w:rPr>
      </w:pPr>
      <w:r>
        <w:rPr>
          <w:rFonts w:ascii="Times New Roman" w:cs="Times New Roman" w:eastAsia="Times New Roman" w:hAnsi="Times New Roman"/>
          <w:sz w:val="20"/>
          <w:szCs w:val="20"/>
          <w:color w:val="auto"/>
        </w:rPr>
        <w:t>FARALLON CAPITAL (AM) INVESTORS, L.P.</w:t>
      </w:r>
    </w:p>
    <w:p>
      <w:pPr>
        <w:spacing w:after="0"/>
        <w:rPr>
          <w:sz w:val="20"/>
          <w:szCs w:val="20"/>
          <w:color w:val="auto"/>
        </w:rPr>
      </w:pPr>
      <w:r>
        <w:rPr>
          <w:rFonts w:ascii="Times New Roman" w:cs="Times New Roman" w:eastAsia="Times New Roman" w:hAnsi="Times New Roman"/>
          <w:sz w:val="20"/>
          <w:szCs w:val="20"/>
          <w:color w:val="auto"/>
        </w:rPr>
        <w:t>By Hannah E. Dunn,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Hannah E.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FARALLON INSTITUTIONAL (GP) 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its own behalf and</w:t>
      </w:r>
    </w:p>
    <w:p>
      <w:pPr>
        <w:spacing w:after="0"/>
        <w:rPr>
          <w:sz w:val="20"/>
          <w:szCs w:val="20"/>
          <w:color w:val="auto"/>
        </w:rPr>
      </w:pPr>
      <w:r>
        <w:rPr>
          <w:rFonts w:ascii="Times New Roman" w:cs="Times New Roman" w:eastAsia="Times New Roman" w:hAnsi="Times New Roman"/>
          <w:sz w:val="20"/>
          <w:szCs w:val="20"/>
          <w:color w:val="auto"/>
        </w:rPr>
        <w:t>As the General Partner of</w:t>
      </w:r>
    </w:p>
    <w:p>
      <w:pPr>
        <w:spacing w:after="0"/>
        <w:rPr>
          <w:sz w:val="20"/>
          <w:szCs w:val="20"/>
          <w:color w:val="auto"/>
        </w:rPr>
      </w:pPr>
      <w:r>
        <w:rPr>
          <w:rFonts w:ascii="Times New Roman" w:cs="Times New Roman" w:eastAsia="Times New Roman" w:hAnsi="Times New Roman"/>
          <w:sz w:val="20"/>
          <w:szCs w:val="20"/>
          <w:color w:val="auto"/>
        </w:rPr>
        <w:t>FOUR CROSSINGS INSTITUTIONAL PARTNERS V, L.P.</w:t>
      </w:r>
    </w:p>
    <w:p>
      <w:pPr>
        <w:spacing w:after="0"/>
        <w:rPr>
          <w:sz w:val="20"/>
          <w:szCs w:val="20"/>
          <w:color w:val="auto"/>
        </w:rPr>
      </w:pPr>
      <w:r>
        <w:rPr>
          <w:rFonts w:ascii="Times New Roman" w:cs="Times New Roman" w:eastAsia="Times New Roman" w:hAnsi="Times New Roman"/>
          <w:sz w:val="20"/>
          <w:szCs w:val="20"/>
          <w:color w:val="auto"/>
        </w:rPr>
        <w:t>By Hannah E. Dunn, Manager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Hannah E.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FARALLON F5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its own behalf and</w:t>
      </w:r>
    </w:p>
    <w:p>
      <w:pPr>
        <w:spacing w:after="0"/>
        <w:rPr>
          <w:sz w:val="20"/>
          <w:szCs w:val="20"/>
          <w:color w:val="auto"/>
        </w:rPr>
      </w:pPr>
      <w:r>
        <w:rPr>
          <w:rFonts w:ascii="Times New Roman" w:cs="Times New Roman" w:eastAsia="Times New Roman" w:hAnsi="Times New Roman"/>
          <w:sz w:val="20"/>
          <w:szCs w:val="20"/>
          <w:color w:val="auto"/>
        </w:rPr>
        <w:t>As the General Partner of</w:t>
      </w:r>
    </w:p>
    <w:p>
      <w:pPr>
        <w:spacing w:after="0"/>
        <w:rPr>
          <w:sz w:val="20"/>
          <w:szCs w:val="20"/>
          <w:color w:val="auto"/>
        </w:rPr>
      </w:pPr>
      <w:r>
        <w:rPr>
          <w:rFonts w:ascii="Times New Roman" w:cs="Times New Roman" w:eastAsia="Times New Roman" w:hAnsi="Times New Roman"/>
          <w:sz w:val="20"/>
          <w:szCs w:val="20"/>
          <w:color w:val="auto"/>
        </w:rPr>
        <w:t>FARALLON CAPITAL F5 MASTER I, L.P.</w:t>
      </w:r>
    </w:p>
    <w:p>
      <w:pPr>
        <w:spacing w:after="0"/>
        <w:rPr>
          <w:sz w:val="20"/>
          <w:szCs w:val="20"/>
          <w:color w:val="auto"/>
        </w:rPr>
      </w:pPr>
      <w:r>
        <w:rPr>
          <w:rFonts w:ascii="Times New Roman" w:cs="Times New Roman" w:eastAsia="Times New Roman" w:hAnsi="Times New Roman"/>
          <w:sz w:val="20"/>
          <w:szCs w:val="20"/>
          <w:color w:val="auto"/>
        </w:rPr>
        <w:t>By Hannah E. Dunn, Manager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Hannah E.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FARALLON HEALTHCARE PARTNERS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its own behalf and</w:t>
      </w:r>
    </w:p>
    <w:p>
      <w:pPr>
        <w:spacing w:after="0"/>
        <w:rPr>
          <w:sz w:val="20"/>
          <w:szCs w:val="20"/>
          <w:color w:val="auto"/>
        </w:rPr>
      </w:pPr>
      <w:r>
        <w:rPr>
          <w:rFonts w:ascii="Times New Roman" w:cs="Times New Roman" w:eastAsia="Times New Roman" w:hAnsi="Times New Roman"/>
          <w:sz w:val="20"/>
          <w:szCs w:val="20"/>
          <w:color w:val="auto"/>
        </w:rPr>
        <w:t>As the General Partner of</w:t>
      </w:r>
    </w:p>
    <w:p>
      <w:pPr>
        <w:spacing w:after="0"/>
        <w:rPr>
          <w:sz w:val="20"/>
          <w:szCs w:val="20"/>
          <w:color w:val="auto"/>
        </w:rPr>
      </w:pPr>
      <w:r>
        <w:rPr>
          <w:rFonts w:ascii="Times New Roman" w:cs="Times New Roman" w:eastAsia="Times New Roman" w:hAnsi="Times New Roman"/>
          <w:sz w:val="20"/>
          <w:szCs w:val="20"/>
          <w:color w:val="auto"/>
        </w:rPr>
        <w:t>FARALLON HEALTHCARE PARTNERS MASTER, L.P.</w:t>
      </w:r>
    </w:p>
    <w:p>
      <w:pPr>
        <w:spacing w:after="0"/>
        <w:rPr>
          <w:sz w:val="20"/>
          <w:szCs w:val="20"/>
          <w:color w:val="auto"/>
        </w:rPr>
      </w:pPr>
      <w:r>
        <w:rPr>
          <w:rFonts w:ascii="Times New Roman" w:cs="Times New Roman" w:eastAsia="Times New Roman" w:hAnsi="Times New Roman"/>
          <w:sz w:val="20"/>
          <w:szCs w:val="20"/>
          <w:color w:val="auto"/>
        </w:rPr>
        <w:t>By Hannah E. Dunn, Manager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Hannah E.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Hannah E. Dunn, individually and as attorney-in-fact for each of Joshua J. Dapice, Philip D. Dreyfuss, Varun N. Gehani, Nicolas Giauque, Avner A. Husen, David T. Kim, Michael G. Linn, Patrick (Cheng) Luo, Thomas G. Roberts, Jr., Edric C. Saito, Daniel S. Short, Andrew J. M. Spokes, John R. Warren and Mark C. Wehrly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5E45D32"/>
    <w:multiLevelType w:val="hybridMultilevel"/>
    <w:lvl w:ilvl="0">
      <w:lvlJc w:val="left"/>
      <w:lvlText w:val="2"/>
      <w:numFmt w:val="bullet"/>
      <w:start w:val="1"/>
    </w:lvl>
  </w:abstractNum>
  <w:abstractNum w:abstractNumId="1">
    <w:nsid w:val="519B500D"/>
    <w:multiLevelType w:val="hybridMultilevel"/>
    <w:lvl w:ilvl="0">
      <w:lvlJc w:val="left"/>
      <w:lvlText w:val="3"/>
      <w:numFmt w:val="bullet"/>
      <w:start w:val="1"/>
    </w:lvl>
  </w:abstractNum>
  <w:abstractNum w:abstractNumId="2">
    <w:nsid w:val="431BD7B7"/>
    <w:multiLevelType w:val="hybridMultilevel"/>
    <w:lvl w:ilvl="0">
      <w:lvlJc w:val="left"/>
      <w:lvlText w:val="2"/>
      <w:numFmt w:val="bullet"/>
      <w:start w:val="1"/>
    </w:lvl>
  </w:abstractNum>
  <w:abstractNum w:abstractNumId="3">
    <w:nsid w:val="3F2DBA31"/>
    <w:multiLevelType w:val="hybridMultilevel"/>
    <w:lvl w:ilvl="0">
      <w:lvlJc w:val="left"/>
      <w:lvlText w:val="2"/>
      <w:numFmt w:val="bullet"/>
      <w:start w:val="1"/>
    </w:lvl>
  </w:abstractNum>
  <w:abstractNum w:abstractNumId="4">
    <w:nsid w:val="7C83E458"/>
    <w:multiLevelType w:val="hybridMultilevel"/>
    <w:lvl w:ilvl="0">
      <w:lvlJc w:val="left"/>
      <w:lvlText w:val="3"/>
      <w:numFmt w:val="bullet"/>
      <w:start w:val="1"/>
    </w:lvl>
  </w:abstractNum>
  <w:abstractNum w:abstractNumId="5">
    <w:nsid w:val="257130A3"/>
    <w:multiLevelType w:val="hybridMultilevel"/>
    <w:lvl w:ilvl="0">
      <w:lvlJc w:val="left"/>
      <w:lvlText w:val="2"/>
      <w:numFmt w:val="bullet"/>
      <w:start w:val="1"/>
    </w:lvl>
  </w:abstractNum>
  <w:abstractNum w:abstractNumId="6">
    <w:nsid w:val="62BBD95A"/>
    <w:multiLevelType w:val="hybridMultilevel"/>
    <w:lvl w:ilvl="0">
      <w:lvlJc w:val="left"/>
      <w:lvlText w:val="3"/>
      <w:numFmt w:val="bullet"/>
      <w:start w:val="1"/>
    </w:lvl>
  </w:abstractNum>
  <w:abstractNum w:abstractNumId="7">
    <w:nsid w:val="436C6125"/>
    <w:multiLevelType w:val="hybridMultilevel"/>
    <w:lvl w:ilvl="0">
      <w:lvlJc w:val="left"/>
      <w:lvlText w:val="2"/>
      <w:numFmt w:val="bullet"/>
      <w:start w:val="1"/>
    </w:lvl>
  </w:abstractNum>
  <w:abstractNum w:abstractNumId="8">
    <w:nsid w:val="628C895D"/>
    <w:multiLevelType w:val="hybridMultilevel"/>
    <w:lvl w:ilvl="0">
      <w:lvlJc w:val="left"/>
      <w:lvlText w:val="3"/>
      <w:numFmt w:val="bullet"/>
      <w:start w:val="1"/>
    </w:lvl>
  </w:abstractNum>
  <w:abstractNum w:abstractNumId="9">
    <w:nsid w:val="333AB105"/>
    <w:multiLevelType w:val="hybridMultilevel"/>
    <w:lvl w:ilvl="0">
      <w:lvlJc w:val="left"/>
      <w:lvlText w:val="2"/>
      <w:numFmt w:val="bullet"/>
      <w:start w:val="1"/>
    </w:lvl>
  </w:abstractNum>
  <w:abstractNum w:abstractNumId="10">
    <w:nsid w:val="721DA317"/>
    <w:multiLevelType w:val="hybridMultilevel"/>
    <w:lvl w:ilvl="0">
      <w:lvlJc w:val="left"/>
      <w:lvlText w:val="3"/>
      <w:numFmt w:val="bullet"/>
      <w:start w:val="1"/>
    </w:lvl>
  </w:abstractNum>
  <w:abstractNum w:abstractNumId="11">
    <w:nsid w:val="2443A858"/>
    <w:multiLevelType w:val="hybridMultilevel"/>
    <w:lvl w:ilvl="0">
      <w:lvlJc w:val="left"/>
      <w:lvlText w:val="1"/>
      <w:numFmt w:val="bullet"/>
      <w:start w:val="1"/>
    </w:lvl>
  </w:abstractNum>
  <w:abstractNum w:abstractNumId="12">
    <w:nsid w:val="2D1D5AE9"/>
    <w:multiLevelType w:val="hybridMultilevel"/>
    <w:lvl w:ilvl="0">
      <w:lvlJc w:val="left"/>
      <w:lvlText w:val="2"/>
      <w:numFmt w:val="bullet"/>
      <w:start w:val="1"/>
    </w:lvl>
  </w:abstractNum>
  <w:abstractNum w:abstractNumId="13">
    <w:nsid w:val="6763845E"/>
    <w:multiLevelType w:val="hybridMultilevel"/>
    <w:lvl w:ilvl="0">
      <w:lvlJc w:val="left"/>
      <w:lvlText w:val="3"/>
      <w:numFmt w:val="bullet"/>
      <w:start w:val="1"/>
    </w:lvl>
  </w:abstractNum>
  <w:abstractNum w:abstractNumId="14">
    <w:nsid w:val="75A2A8D4"/>
    <w:multiLevelType w:val="hybridMultilevel"/>
    <w:lvl w:ilvl="0">
      <w:lvlJc w:val="left"/>
      <w:lvlText w:val="8"/>
      <w:numFmt w:val="bullet"/>
      <w:start w:val="1"/>
    </w:lvl>
  </w:abstractNum>
  <w:abstractNum w:abstractNumId="15">
    <w:nsid w:val="8EDBDAB"/>
    <w:multiLevelType w:val="hybridMultilevel"/>
    <w:lvl w:ilvl="0">
      <w:lvlJc w:val="left"/>
      <w:lvlText w:val="2"/>
      <w:numFmt w:val="bullet"/>
      <w:start w:val="1"/>
    </w:lvl>
  </w:abstractNum>
  <w:abstractNum w:abstractNumId="16">
    <w:nsid w:val="79838CB2"/>
    <w:multiLevelType w:val="hybridMultilevel"/>
    <w:lvl w:ilvl="0">
      <w:lvlJc w:val="left"/>
      <w:lvlText w:val="3"/>
      <w:numFmt w:val="bullet"/>
      <w:start w:val="1"/>
    </w:lvl>
  </w:abstractNum>
  <w:abstractNum w:abstractNumId="17">
    <w:nsid w:val="4353D0CD"/>
    <w:multiLevelType w:val="hybridMultilevel"/>
    <w:lvl w:ilvl="0">
      <w:lvlJc w:val="left"/>
      <w:lvlText w:val="2"/>
      <w:numFmt w:val="bullet"/>
      <w:start w:val="1"/>
    </w:lvl>
  </w:abstractNum>
  <w:abstractNum w:abstractNumId="18">
    <w:nsid w:val="B03E0C6"/>
    <w:multiLevelType w:val="hybridMultilevel"/>
    <w:lvl w:ilvl="0">
      <w:lvlJc w:val="left"/>
      <w:lvlText w:val="2"/>
      <w:numFmt w:val="bullet"/>
      <w:start w:val="1"/>
    </w:lvl>
  </w:abstractNum>
  <w:abstractNum w:abstractNumId="19">
    <w:nsid w:val="189A769B"/>
    <w:multiLevelType w:val="hybridMultilevel"/>
    <w:lvl w:ilvl="0">
      <w:lvlJc w:val="left"/>
      <w:lvlText w:val="3"/>
      <w:numFmt w:val="bullet"/>
      <w:start w:val="1"/>
    </w:lvl>
  </w:abstractNum>
  <w:abstractNum w:abstractNumId="20">
    <w:nsid w:val="54E49EB4"/>
    <w:multiLevelType w:val="hybridMultilevel"/>
    <w:lvl w:ilvl="0">
      <w:lvlJc w:val="left"/>
      <w:lvlText w:val="2"/>
      <w:numFmt w:val="bullet"/>
      <w:start w:val="1"/>
    </w:lvl>
  </w:abstractNum>
  <w:abstractNum w:abstractNumId="21">
    <w:nsid w:val="71F32454"/>
    <w:multiLevelType w:val="hybridMultilevel"/>
    <w:lvl w:ilvl="0">
      <w:lvlJc w:val="left"/>
      <w:lvlText w:val="3"/>
      <w:numFmt w:val="bullet"/>
      <w:start w:val="1"/>
    </w:lvl>
  </w:abstractNum>
  <w:abstractNum w:abstractNumId="22">
    <w:nsid w:val="2CA88611"/>
    <w:multiLevelType w:val="hybridMultilevel"/>
    <w:lvl w:ilvl="0">
      <w:lvlJc w:val="left"/>
      <w:lvlText w:val="2"/>
      <w:numFmt w:val="bullet"/>
      <w:start w:val="1"/>
    </w:lvl>
  </w:abstractNum>
  <w:abstractNum w:abstractNumId="23">
    <w:nsid w:val="836C40E"/>
    <w:multiLevelType w:val="hybridMultilevel"/>
    <w:lvl w:ilvl="0">
      <w:lvlJc w:val="left"/>
      <w:lvlText w:val="3"/>
      <w:numFmt w:val="bullet"/>
      <w:start w:val="1"/>
    </w:lvl>
  </w:abstractNum>
  <w:abstractNum w:abstractNumId="24">
    <w:nsid w:val="2901D82"/>
    <w:multiLevelType w:val="hybridMultilevel"/>
    <w:lvl w:ilvl="0">
      <w:lvlJc w:val="left"/>
      <w:lvlText w:val="2"/>
      <w:numFmt w:val="bullet"/>
      <w:start w:val="1"/>
    </w:lvl>
  </w:abstractNum>
  <w:abstractNum w:abstractNumId="25">
    <w:nsid w:val="3A95F874"/>
    <w:multiLevelType w:val="hybridMultilevel"/>
    <w:lvl w:ilvl="0">
      <w:lvlJc w:val="left"/>
      <w:lvlText w:val="3"/>
      <w:numFmt w:val="bullet"/>
      <w:start w:val="1"/>
    </w:lvl>
  </w:abstractNum>
  <w:abstractNum w:abstractNumId="26">
    <w:nsid w:val="8138641"/>
    <w:multiLevelType w:val="hybridMultilevel"/>
    <w:lvl w:ilvl="0">
      <w:lvlJc w:val="left"/>
      <w:lvlText w:val="1"/>
      <w:numFmt w:val="bullet"/>
      <w:start w:val="1"/>
    </w:lvl>
  </w:abstractNum>
  <w:abstractNum w:abstractNumId="27">
    <w:nsid w:val="1E7FF521"/>
    <w:multiLevelType w:val="hybridMultilevel"/>
    <w:lvl w:ilvl="0">
      <w:lvlJc w:val="left"/>
      <w:lvlText w:val="2"/>
      <w:numFmt w:val="bullet"/>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lowerLetter"/>
      <w:start w:val="2"/>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lowerLetter"/>
      <w:start w:val="11"/>
    </w:lvl>
  </w:abstractNum>
  <w:abstractNum w:abstractNumId="32">
    <w:nsid w:val="4516DD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2026-02-06T15:14:57Z</dcterms:created>
  <dcterms:modified xsi:type="dcterms:W3CDTF">2026-02-06T15:14:57Z</dcterms:modified>
</cp:coreProperties>
</file>