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SCHEDULE 13G</w:t>
      </w:r>
    </w:p>
    <w:p>
      <w:pPr>
        <w:spacing w:after="0" w:line="2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TANGO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87583X109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10,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980" w:hanging="32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980" w:hanging="324"/>
        <w:spacing w:after="0"/>
        <w:tabs>
          <w:tab w:leader="none" w:pos="980" w:val="left"/>
        </w:tabs>
        <w:numPr>
          <w:ilvl w:val="1"/>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513"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CUSIP No. 87583X109</w:t>
      </w:r>
    </w:p>
    <w:p>
      <w:pPr>
        <w:spacing w:after="0" w:line="243" w:lineRule="exact"/>
        <w:rPr>
          <w:sz w:val="20"/>
          <w:szCs w:val="20"/>
          <w:color w:val="auto"/>
        </w:rPr>
      </w:pPr>
    </w:p>
    <w:p>
      <w:pPr>
        <w:ind w:left="800" w:hanging="681"/>
        <w:spacing w:after="0"/>
        <w:tabs>
          <w:tab w:leader="none" w:pos="8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N</w:t>
      </w:r>
      <w:r>
        <w:rPr>
          <w:rFonts w:ascii="Arial" w:cs="Arial" w:eastAsia="Arial" w:hAnsi="Arial"/>
          <w:sz w:val="12"/>
          <w:szCs w:val="12"/>
          <w:color w:val="auto"/>
        </w:rPr>
        <w:t>AME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4011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011930"/>
                    </a:xfrm>
                    <a:prstGeom prst="rect">
                      <a:avLst/>
                    </a:prstGeom>
                    <a:noFill/>
                  </pic:spPr>
                </pic:pic>
              </a:graphicData>
            </a:graphic>
          </wp:anchor>
        </w:drawing>
      </w:r>
    </w:p>
    <w:p>
      <w:pPr>
        <w:spacing w:after="0" w:line="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Gilead Sciences, Inc.</w:t>
      </w:r>
    </w:p>
    <w:p>
      <w:pPr>
        <w:spacing w:after="0" w:line="103" w:lineRule="exact"/>
        <w:rPr>
          <w:sz w:val="20"/>
          <w:szCs w:val="20"/>
          <w:color w:val="auto"/>
        </w:rPr>
      </w:pPr>
    </w:p>
    <w:p>
      <w:pPr>
        <w:ind w:left="800" w:hanging="681"/>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THE</w:t>
      </w:r>
      <w:r>
        <w:rPr>
          <w:rFonts w:ascii="Arial" w:cs="Arial" w:eastAsia="Arial" w:hAnsi="Arial"/>
          <w:sz w:val="18"/>
          <w:szCs w:val="18"/>
          <w:color w:val="auto"/>
        </w:rPr>
        <w:t xml:space="preserve"> A</w:t>
      </w:r>
      <w:r>
        <w:rPr>
          <w:rFonts w:ascii="Arial" w:cs="Arial" w:eastAsia="Arial" w:hAnsi="Arial"/>
          <w:sz w:val="12"/>
          <w:szCs w:val="12"/>
          <w:color w:val="auto"/>
        </w:rPr>
        <w:t>PPROPRIATE</w:t>
      </w:r>
      <w:r>
        <w:rPr>
          <w:rFonts w:ascii="Arial" w:cs="Arial" w:eastAsia="Arial" w:hAnsi="Arial"/>
          <w:sz w:val="18"/>
          <w:szCs w:val="18"/>
          <w:color w:val="auto"/>
        </w:rPr>
        <w:t xml:space="preserve"> B</w:t>
      </w:r>
      <w:r>
        <w:rPr>
          <w:rFonts w:ascii="Arial" w:cs="Arial" w:eastAsia="Arial" w:hAnsi="Arial"/>
          <w:sz w:val="12"/>
          <w:szCs w:val="12"/>
          <w:color w:val="auto"/>
        </w:rPr>
        <w:t>OX IF A</w:t>
      </w:r>
      <w:r>
        <w:rPr>
          <w:rFonts w:ascii="Arial" w:cs="Arial" w:eastAsia="Arial" w:hAnsi="Arial"/>
          <w:sz w:val="18"/>
          <w:szCs w:val="18"/>
          <w:color w:val="auto"/>
        </w:rPr>
        <w:t xml:space="preserve"> M</w:t>
      </w:r>
      <w:r>
        <w:rPr>
          <w:rFonts w:ascii="Arial" w:cs="Arial" w:eastAsia="Arial" w:hAnsi="Arial"/>
          <w:sz w:val="12"/>
          <w:szCs w:val="12"/>
          <w:color w:val="auto"/>
        </w:rPr>
        <w:t>EMBER OF A</w:t>
      </w:r>
      <w:r>
        <w:rPr>
          <w:rFonts w:ascii="Arial" w:cs="Arial" w:eastAsia="Arial" w:hAnsi="Arial"/>
          <w:sz w:val="18"/>
          <w:szCs w:val="18"/>
          <w:color w:val="auto"/>
        </w:rPr>
        <w:t xml:space="preserve"> G</w:t>
      </w:r>
      <w:r>
        <w:rPr>
          <w:rFonts w:ascii="Arial" w:cs="Arial" w:eastAsia="Arial" w:hAnsi="Arial"/>
          <w:sz w:val="12"/>
          <w:szCs w:val="12"/>
          <w:color w:val="auto"/>
        </w:rPr>
        <w:t>ROUP</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18"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A</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6" w:lineRule="exact"/>
        <w:rPr>
          <w:sz w:val="20"/>
          <w:szCs w:val="20"/>
          <w:color w:val="auto"/>
        </w:rPr>
      </w:pPr>
    </w:p>
    <w:p>
      <w:pPr>
        <w:ind w:left="80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B</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01" w:lineRule="exact"/>
        <w:rPr>
          <w:sz w:val="20"/>
          <w:szCs w:val="20"/>
          <w:color w:val="auto"/>
        </w:rPr>
      </w:pPr>
    </w:p>
    <w:p>
      <w:pPr>
        <w:ind w:left="800" w:hanging="681"/>
        <w:spacing w:after="0"/>
        <w:tabs>
          <w:tab w:leader="none" w:pos="80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SEC U</w:t>
      </w:r>
      <w:r>
        <w:rPr>
          <w:rFonts w:ascii="Arial" w:cs="Arial" w:eastAsia="Arial" w:hAnsi="Arial"/>
          <w:sz w:val="12"/>
          <w:szCs w:val="12"/>
          <w:color w:val="auto"/>
        </w:rPr>
        <w:t>SE</w:t>
      </w:r>
      <w:r>
        <w:rPr>
          <w:rFonts w:ascii="Arial" w:cs="Arial" w:eastAsia="Arial" w:hAnsi="Arial"/>
          <w:sz w:val="18"/>
          <w:szCs w:val="18"/>
          <w:color w:val="auto"/>
        </w:rPr>
        <w:t xml:space="preserve"> O</w:t>
      </w:r>
      <w:r>
        <w:rPr>
          <w:rFonts w:ascii="Arial" w:cs="Arial" w:eastAsia="Arial" w:hAnsi="Arial"/>
          <w:sz w:val="12"/>
          <w:szCs w:val="12"/>
          <w:color w:val="auto"/>
        </w:rPr>
        <w:t>NLY</w:t>
      </w:r>
    </w:p>
    <w:p>
      <w:pPr>
        <w:spacing w:after="0" w:line="117" w:lineRule="exact"/>
        <w:rPr>
          <w:sz w:val="20"/>
          <w:szCs w:val="20"/>
          <w:color w:val="auto"/>
        </w:rPr>
      </w:pPr>
    </w:p>
    <w:p>
      <w:pPr>
        <w:ind w:left="800" w:hanging="681"/>
        <w:spacing w:after="0"/>
        <w:tabs>
          <w:tab w:leader="none" w:pos="80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ITIZENSHIP OR</w:t>
      </w:r>
      <w:r>
        <w:rPr>
          <w:rFonts w:ascii="Arial" w:cs="Arial" w:eastAsia="Arial" w:hAnsi="Arial"/>
          <w:sz w:val="18"/>
          <w:szCs w:val="18"/>
          <w:color w:val="auto"/>
        </w:rPr>
        <w:t xml:space="preserve"> P</w:t>
      </w:r>
      <w:r>
        <w:rPr>
          <w:rFonts w:ascii="Arial" w:cs="Arial" w:eastAsia="Arial" w:hAnsi="Arial"/>
          <w:sz w:val="12"/>
          <w:szCs w:val="12"/>
          <w:color w:val="auto"/>
        </w:rPr>
        <w:t>LACE OF</w:t>
      </w:r>
      <w:r>
        <w:rPr>
          <w:rFonts w:ascii="Arial" w:cs="Arial" w:eastAsia="Arial" w:hAnsi="Arial"/>
          <w:sz w:val="18"/>
          <w:szCs w:val="18"/>
          <w:color w:val="auto"/>
        </w:rPr>
        <w:t xml:space="preserve"> O</w:t>
      </w:r>
      <w:r>
        <w:rPr>
          <w:rFonts w:ascii="Arial" w:cs="Arial" w:eastAsia="Arial" w:hAnsi="Arial"/>
          <w:sz w:val="12"/>
          <w:szCs w:val="12"/>
          <w:color w:val="auto"/>
        </w:rPr>
        <w:t>RGANIZATION</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Delaware</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00" w:type="dxa"/>
            <w:vAlign w:val="bottom"/>
            <w:tcBorders>
              <w:top w:val="single" w:sz="8" w:color="auto"/>
              <w:right w:val="single" w:sz="8" w:color="auto"/>
            </w:tcBorders>
          </w:tcPr>
          <w:p>
            <w:pPr>
              <w:spacing w:after="0"/>
              <w:rPr>
                <w:sz w:val="18"/>
                <w:szCs w:val="18"/>
                <w:color w:val="auto"/>
              </w:rPr>
            </w:pPr>
          </w:p>
        </w:tc>
        <w:tc>
          <w:tcPr>
            <w:tcW w:w="640" w:type="dxa"/>
            <w:vAlign w:val="bottom"/>
            <w:tcBorders>
              <w:top w:val="single" w:sz="8" w:color="auto"/>
              <w:right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5</w:t>
            </w:r>
          </w:p>
        </w:tc>
        <w:tc>
          <w:tcPr>
            <w:tcW w:w="90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234"/>
        </w:trPr>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640" w:type="dxa"/>
            <w:vAlign w:val="bottom"/>
            <w:tcBorders>
              <w:right w:val="single" w:sz="8" w:color="auto"/>
            </w:tcBorders>
          </w:tcPr>
          <w:p>
            <w:pPr>
              <w:spacing w:after="0"/>
              <w:rPr>
                <w:sz w:val="20"/>
                <w:szCs w:val="20"/>
                <w:color w:val="auto"/>
              </w:rPr>
            </w:pPr>
          </w:p>
        </w:tc>
        <w:tc>
          <w:tcPr>
            <w:tcW w:w="9000" w:type="dxa"/>
            <w:vAlign w:val="bottom"/>
          </w:tcPr>
          <w:p>
            <w:pPr>
              <w:ind w:left="100"/>
              <w:spacing w:after="0"/>
              <w:rPr>
                <w:sz w:val="20"/>
                <w:szCs w:val="20"/>
                <w:color w:val="auto"/>
              </w:rPr>
            </w:pPr>
            <w:r>
              <w:rPr>
                <w:rFonts w:ascii="Arial" w:cs="Arial" w:eastAsia="Arial" w:hAnsi="Arial"/>
                <w:sz w:val="18"/>
                <w:szCs w:val="18"/>
                <w:b w:val="1"/>
                <w:bCs w:val="1"/>
                <w:color w:val="auto"/>
              </w:rPr>
              <w:t>4,854,443</w:t>
            </w:r>
          </w:p>
        </w:tc>
        <w:tc>
          <w:tcPr>
            <w:tcW w:w="0" w:type="dxa"/>
            <w:vAlign w:val="bottom"/>
          </w:tcPr>
          <w:p>
            <w:pPr>
              <w:spacing w:after="0"/>
              <w:rPr>
                <w:sz w:val="1"/>
                <w:szCs w:val="1"/>
                <w:color w:val="auto"/>
              </w:rPr>
            </w:pPr>
          </w:p>
        </w:tc>
      </w:tr>
      <w:tr>
        <w:trPr>
          <w:trHeight w:val="95"/>
        </w:trPr>
        <w:tc>
          <w:tcPr>
            <w:tcW w:w="1600" w:type="dxa"/>
            <w:vAlign w:val="bottom"/>
            <w:tcBorders>
              <w:right w:val="single" w:sz="8" w:color="auto"/>
            </w:tcBorders>
            <w:vMerge w:val="continue"/>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c>
          <w:tcPr>
            <w:tcW w:w="9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8"/>
        </w:trPr>
        <w:tc>
          <w:tcPr>
            <w:tcW w:w="160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b w:val="1"/>
                <w:bCs w:val="1"/>
                <w:color w:val="auto"/>
                <w:w w:val="95"/>
              </w:rPr>
              <w:t>SHARES</w:t>
            </w:r>
          </w:p>
        </w:tc>
        <w:tc>
          <w:tcPr>
            <w:tcW w:w="640" w:type="dxa"/>
            <w:vAlign w:val="bottom"/>
            <w:tcBorders>
              <w:right w:val="single" w:sz="8" w:color="auto"/>
            </w:tcBorders>
          </w:tcPr>
          <w:p>
            <w:pPr>
              <w:jc w:val="right"/>
              <w:ind w:right="370"/>
              <w:spacing w:after="0" w:line="177" w:lineRule="exact"/>
              <w:rPr>
                <w:sz w:val="20"/>
                <w:szCs w:val="20"/>
                <w:color w:val="auto"/>
              </w:rPr>
            </w:pPr>
            <w:r>
              <w:rPr>
                <w:rFonts w:ascii="Arial" w:cs="Arial" w:eastAsia="Arial" w:hAnsi="Arial"/>
                <w:sz w:val="18"/>
                <w:szCs w:val="18"/>
                <w:b w:val="1"/>
                <w:bCs w:val="1"/>
                <w:color w:val="auto"/>
              </w:rPr>
              <w:t>6</w:t>
            </w:r>
          </w:p>
        </w:tc>
        <w:tc>
          <w:tcPr>
            <w:tcW w:w="9000" w:type="dxa"/>
            <w:vAlign w:val="bottom"/>
          </w:tcPr>
          <w:p>
            <w:pPr>
              <w:ind w:left="100"/>
              <w:spacing w:after="0" w:line="177"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V</w:t>
            </w:r>
            <w:r>
              <w:rPr>
                <w:rFonts w:ascii="Arial" w:cs="Arial" w:eastAsia="Arial" w:hAnsi="Arial"/>
                <w:sz w:val="12"/>
                <w:szCs w:val="12"/>
                <w:color w:val="auto"/>
              </w:rPr>
              <w:t>OTING</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216"/>
        </w:trPr>
        <w:tc>
          <w:tcPr>
            <w:tcW w:w="160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640" w:type="dxa"/>
            <w:vAlign w:val="bottom"/>
            <w:tcBorders>
              <w:right w:val="single" w:sz="8" w:color="auto"/>
            </w:tcBorders>
          </w:tcPr>
          <w:p>
            <w:pPr>
              <w:spacing w:after="0"/>
              <w:rPr>
                <w:sz w:val="18"/>
                <w:szCs w:val="18"/>
                <w:color w:val="auto"/>
              </w:rPr>
            </w:pPr>
          </w:p>
        </w:tc>
        <w:tc>
          <w:tcPr>
            <w:tcW w:w="900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26"/>
        </w:trPr>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640" w:type="dxa"/>
            <w:vAlign w:val="bottom"/>
            <w:tcBorders>
              <w:bottom w:val="single" w:sz="8" w:color="auto"/>
              <w:right w:val="single" w:sz="8" w:color="auto"/>
            </w:tcBorders>
          </w:tcPr>
          <w:p>
            <w:pPr>
              <w:spacing w:after="0"/>
              <w:rPr>
                <w:sz w:val="10"/>
                <w:szCs w:val="10"/>
                <w:color w:val="auto"/>
              </w:rPr>
            </w:pPr>
          </w:p>
        </w:tc>
        <w:tc>
          <w:tcPr>
            <w:tcW w:w="9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00" w:type="dxa"/>
            <w:vAlign w:val="bottom"/>
            <w:tcBorders>
              <w:right w:val="single" w:sz="8" w:color="auto"/>
            </w:tcBorders>
            <w:vMerge w:val="continue"/>
          </w:tcPr>
          <w:p>
            <w:pPr>
              <w:spacing w:after="0"/>
              <w:rPr>
                <w:sz w:val="6"/>
                <w:szCs w:val="6"/>
                <w:color w:val="auto"/>
              </w:rPr>
            </w:pPr>
          </w:p>
        </w:tc>
        <w:tc>
          <w:tcPr>
            <w:tcW w:w="640" w:type="dxa"/>
            <w:vAlign w:val="bottom"/>
            <w:tcBorders>
              <w:right w:val="single" w:sz="8" w:color="auto"/>
            </w:tcBorders>
            <w:vMerge w:val="restart"/>
          </w:tcPr>
          <w:p>
            <w:pPr>
              <w:jc w:val="right"/>
              <w:ind w:right="370"/>
              <w:spacing w:after="0" w:line="191" w:lineRule="exact"/>
              <w:rPr>
                <w:sz w:val="20"/>
                <w:szCs w:val="20"/>
                <w:color w:val="auto"/>
              </w:rPr>
            </w:pPr>
            <w:r>
              <w:rPr>
                <w:rFonts w:ascii="Arial" w:cs="Arial" w:eastAsia="Arial" w:hAnsi="Arial"/>
                <w:sz w:val="18"/>
                <w:szCs w:val="18"/>
                <w:b w:val="1"/>
                <w:bCs w:val="1"/>
                <w:color w:val="auto"/>
              </w:rPr>
              <w:t>7</w:t>
            </w:r>
          </w:p>
        </w:tc>
        <w:tc>
          <w:tcPr>
            <w:tcW w:w="9000" w:type="dxa"/>
            <w:vAlign w:val="bottom"/>
            <w:vMerge w:val="restart"/>
          </w:tcPr>
          <w:p>
            <w:pPr>
              <w:ind w:left="100"/>
              <w:spacing w:after="0" w:line="191"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OLE</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122"/>
        </w:trPr>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EACH</w:t>
            </w:r>
          </w:p>
        </w:tc>
        <w:tc>
          <w:tcPr>
            <w:tcW w:w="640" w:type="dxa"/>
            <w:vAlign w:val="bottom"/>
            <w:tcBorders>
              <w:right w:val="single" w:sz="8" w:color="auto"/>
            </w:tcBorders>
            <w:vMerge w:val="continue"/>
          </w:tcPr>
          <w:p>
            <w:pPr>
              <w:spacing w:after="0"/>
              <w:rPr>
                <w:sz w:val="10"/>
                <w:szCs w:val="10"/>
                <w:color w:val="auto"/>
              </w:rPr>
            </w:pPr>
          </w:p>
        </w:tc>
        <w:tc>
          <w:tcPr>
            <w:tcW w:w="9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600" w:type="dxa"/>
            <w:vAlign w:val="bottom"/>
            <w:tcBorders>
              <w:right w:val="single" w:sz="8" w:color="auto"/>
            </w:tcBorders>
            <w:vMerge w:val="continue"/>
          </w:tcPr>
          <w:p>
            <w:pPr>
              <w:spacing w:after="0"/>
              <w:rPr>
                <w:sz w:val="8"/>
                <w:szCs w:val="8"/>
                <w:color w:val="auto"/>
              </w:rPr>
            </w:pPr>
          </w:p>
        </w:tc>
        <w:tc>
          <w:tcPr>
            <w:tcW w:w="640" w:type="dxa"/>
            <w:vAlign w:val="bottom"/>
            <w:tcBorders>
              <w:right w:val="single" w:sz="8" w:color="auto"/>
            </w:tcBorders>
          </w:tcPr>
          <w:p>
            <w:pPr>
              <w:spacing w:after="0"/>
              <w:rPr>
                <w:sz w:val="8"/>
                <w:szCs w:val="8"/>
                <w:color w:val="auto"/>
              </w:rPr>
            </w:pPr>
          </w:p>
        </w:tc>
        <w:tc>
          <w:tcPr>
            <w:tcW w:w="90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4,854,443</w:t>
            </w:r>
          </w:p>
        </w:tc>
        <w:tc>
          <w:tcPr>
            <w:tcW w:w="0" w:type="dxa"/>
            <w:vAlign w:val="bottom"/>
          </w:tcPr>
          <w:p>
            <w:pPr>
              <w:spacing w:after="0"/>
              <w:rPr>
                <w:sz w:val="1"/>
                <w:szCs w:val="1"/>
                <w:color w:val="auto"/>
              </w:rPr>
            </w:pPr>
          </w:p>
        </w:tc>
      </w:tr>
      <w:tr>
        <w:trPr>
          <w:trHeight w:val="140"/>
        </w:trPr>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640" w:type="dxa"/>
            <w:vAlign w:val="bottom"/>
            <w:tcBorders>
              <w:right w:val="single" w:sz="8" w:color="auto"/>
            </w:tcBorders>
          </w:tcPr>
          <w:p>
            <w:pPr>
              <w:spacing w:after="0"/>
              <w:rPr>
                <w:sz w:val="12"/>
                <w:szCs w:val="12"/>
                <w:color w:val="auto"/>
              </w:rPr>
            </w:pPr>
          </w:p>
        </w:tc>
        <w:tc>
          <w:tcPr>
            <w:tcW w:w="9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600" w:type="dxa"/>
            <w:vAlign w:val="bottom"/>
            <w:tcBorders>
              <w:right w:val="single" w:sz="8" w:color="auto"/>
            </w:tcBorders>
            <w:vMerge w:val="continue"/>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c>
          <w:tcPr>
            <w:tcW w:w="9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600" w:type="dxa"/>
            <w:vAlign w:val="bottom"/>
            <w:tcBorders>
              <w:right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PERSON WITH</w:t>
            </w:r>
          </w:p>
        </w:tc>
        <w:tc>
          <w:tcPr>
            <w:tcW w:w="640" w:type="dxa"/>
            <w:vAlign w:val="bottom"/>
            <w:tcBorders>
              <w:right w:val="single" w:sz="8" w:color="auto"/>
            </w:tcBorders>
          </w:tcPr>
          <w:p>
            <w:pPr>
              <w:jc w:val="right"/>
              <w:ind w:right="370"/>
              <w:spacing w:after="0" w:line="191" w:lineRule="exact"/>
              <w:rPr>
                <w:sz w:val="20"/>
                <w:szCs w:val="20"/>
                <w:color w:val="auto"/>
              </w:rPr>
            </w:pPr>
            <w:r>
              <w:rPr>
                <w:rFonts w:ascii="Arial" w:cs="Arial" w:eastAsia="Arial" w:hAnsi="Arial"/>
                <w:sz w:val="18"/>
                <w:szCs w:val="18"/>
                <w:b w:val="1"/>
                <w:bCs w:val="1"/>
                <w:color w:val="auto"/>
              </w:rPr>
              <w:t>8</w:t>
            </w:r>
          </w:p>
        </w:tc>
        <w:tc>
          <w:tcPr>
            <w:tcW w:w="9000" w:type="dxa"/>
            <w:vAlign w:val="bottom"/>
          </w:tcPr>
          <w:p>
            <w:pPr>
              <w:ind w:left="100"/>
              <w:spacing w:after="0" w:line="191" w:lineRule="exact"/>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HARED</w:t>
            </w:r>
            <w:r>
              <w:rPr>
                <w:rFonts w:ascii="Arial" w:cs="Arial" w:eastAsia="Arial" w:hAnsi="Arial"/>
                <w:sz w:val="18"/>
                <w:szCs w:val="18"/>
                <w:color w:val="auto"/>
              </w:rPr>
              <w:t xml:space="preserve"> D</w:t>
            </w:r>
            <w:r>
              <w:rPr>
                <w:rFonts w:ascii="Arial" w:cs="Arial" w:eastAsia="Arial" w:hAnsi="Arial"/>
                <w:sz w:val="12"/>
                <w:szCs w:val="12"/>
                <w:color w:val="auto"/>
              </w:rPr>
              <w:t>ISPOSITIVE</w:t>
            </w:r>
            <w:r>
              <w:rPr>
                <w:rFonts w:ascii="Arial" w:cs="Arial" w:eastAsia="Arial" w:hAnsi="Arial"/>
                <w:sz w:val="18"/>
                <w:szCs w:val="18"/>
                <w:color w:val="auto"/>
              </w:rPr>
              <w:t xml:space="preserve"> P</w:t>
            </w:r>
            <w:r>
              <w:rPr>
                <w:rFonts w:ascii="Arial" w:cs="Arial" w:eastAsia="Arial" w:hAnsi="Arial"/>
                <w:sz w:val="12"/>
                <w:szCs w:val="12"/>
                <w:color w:val="auto"/>
              </w:rPr>
              <w:t>OWER</w:t>
            </w:r>
          </w:p>
        </w:tc>
        <w:tc>
          <w:tcPr>
            <w:tcW w:w="0" w:type="dxa"/>
            <w:vAlign w:val="bottom"/>
          </w:tcPr>
          <w:p>
            <w:pPr>
              <w:spacing w:after="0"/>
              <w:rPr>
                <w:sz w:val="1"/>
                <w:szCs w:val="1"/>
                <w:color w:val="auto"/>
              </w:rPr>
            </w:pPr>
          </w:p>
        </w:tc>
      </w:tr>
      <w:tr>
        <w:trPr>
          <w:trHeight w:val="234"/>
        </w:trPr>
        <w:tc>
          <w:tcPr>
            <w:tcW w:w="1600" w:type="dxa"/>
            <w:vAlign w:val="bottom"/>
            <w:tcBorders>
              <w:right w:val="single" w:sz="8" w:color="auto"/>
            </w:tcBorders>
          </w:tcPr>
          <w:p>
            <w:pPr>
              <w:spacing w:after="0"/>
              <w:rPr>
                <w:sz w:val="20"/>
                <w:szCs w:val="20"/>
                <w:color w:val="auto"/>
              </w:rPr>
            </w:pPr>
          </w:p>
        </w:tc>
        <w:tc>
          <w:tcPr>
            <w:tcW w:w="640" w:type="dxa"/>
            <w:vAlign w:val="bottom"/>
            <w:tcBorders>
              <w:right w:val="single" w:sz="8" w:color="auto"/>
            </w:tcBorders>
          </w:tcPr>
          <w:p>
            <w:pPr>
              <w:spacing w:after="0"/>
              <w:rPr>
                <w:sz w:val="20"/>
                <w:szCs w:val="20"/>
                <w:color w:val="auto"/>
              </w:rPr>
            </w:pPr>
          </w:p>
        </w:tc>
        <w:tc>
          <w:tcPr>
            <w:tcW w:w="900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94"/>
        </w:trPr>
        <w:tc>
          <w:tcPr>
            <w:tcW w:w="1600" w:type="dxa"/>
            <w:vAlign w:val="bottom"/>
            <w:tcBorders>
              <w:bottom w:val="single" w:sz="8" w:color="auto"/>
              <w:right w:val="single" w:sz="8" w:color="auto"/>
            </w:tcBorders>
          </w:tcPr>
          <w:p>
            <w:pPr>
              <w:spacing w:after="0"/>
              <w:rPr>
                <w:sz w:val="8"/>
                <w:szCs w:val="8"/>
                <w:color w:val="auto"/>
              </w:rPr>
            </w:pPr>
          </w:p>
        </w:tc>
        <w:tc>
          <w:tcPr>
            <w:tcW w:w="640" w:type="dxa"/>
            <w:vAlign w:val="bottom"/>
            <w:tcBorders>
              <w:bottom w:val="single" w:sz="8" w:color="auto"/>
              <w:right w:val="single" w:sz="8" w:color="auto"/>
            </w:tcBorders>
          </w:tcPr>
          <w:p>
            <w:pPr>
              <w:spacing w:after="0"/>
              <w:rPr>
                <w:sz w:val="8"/>
                <w:szCs w:val="8"/>
                <w:color w:val="auto"/>
              </w:rPr>
            </w:pPr>
          </w:p>
        </w:tc>
        <w:tc>
          <w:tcPr>
            <w:tcW w:w="9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ind w:left="800" w:hanging="681"/>
        <w:spacing w:after="0"/>
        <w:tabs>
          <w:tab w:leader="none" w:pos="80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w:t>
      </w:r>
      <w:r>
        <w:rPr>
          <w:rFonts w:ascii="Arial" w:cs="Arial" w:eastAsia="Arial" w:hAnsi="Arial"/>
          <w:sz w:val="18"/>
          <w:szCs w:val="18"/>
          <w:color w:val="auto"/>
        </w:rPr>
        <w:t xml:space="preserve"> B</w:t>
      </w:r>
      <w:r>
        <w:rPr>
          <w:rFonts w:ascii="Arial" w:cs="Arial" w:eastAsia="Arial" w:hAnsi="Arial"/>
          <w:sz w:val="12"/>
          <w:szCs w:val="12"/>
          <w:color w:val="auto"/>
        </w:rPr>
        <w:t>ENEFICIALLY</w:t>
      </w:r>
      <w:r>
        <w:rPr>
          <w:rFonts w:ascii="Arial" w:cs="Arial" w:eastAsia="Arial" w:hAnsi="Arial"/>
          <w:sz w:val="18"/>
          <w:szCs w:val="18"/>
          <w:color w:val="auto"/>
        </w:rPr>
        <w:t xml:space="preserve"> O</w:t>
      </w:r>
      <w:r>
        <w:rPr>
          <w:rFonts w:ascii="Arial" w:cs="Arial" w:eastAsia="Arial" w:hAnsi="Arial"/>
          <w:sz w:val="12"/>
          <w:szCs w:val="12"/>
          <w:color w:val="auto"/>
        </w:rPr>
        <w:t>WNED BY</w:t>
      </w:r>
      <w:r>
        <w:rPr>
          <w:rFonts w:ascii="Arial" w:cs="Arial" w:eastAsia="Arial" w:hAnsi="Arial"/>
          <w:sz w:val="18"/>
          <w:szCs w:val="18"/>
          <w:color w:val="auto"/>
        </w:rPr>
        <w:t xml:space="preserve"> E</w:t>
      </w:r>
      <w:r>
        <w:rPr>
          <w:rFonts w:ascii="Arial" w:cs="Arial" w:eastAsia="Arial" w:hAnsi="Arial"/>
          <w:sz w:val="12"/>
          <w:szCs w:val="12"/>
          <w:color w:val="auto"/>
        </w:rPr>
        <w:t>ACH</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p>
    <w:p>
      <w:pPr>
        <w:spacing w:after="0" w:line="9"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4,854,443</w:t>
      </w:r>
    </w:p>
    <w:p>
      <w:pPr>
        <w:spacing w:after="0" w:line="70" w:lineRule="exact"/>
        <w:rPr>
          <w:sz w:val="20"/>
          <w:szCs w:val="20"/>
          <w:color w:val="auto"/>
        </w:rPr>
      </w:pPr>
    </w:p>
    <w:p>
      <w:pPr>
        <w:ind w:left="800" w:hanging="681"/>
        <w:spacing w:after="0" w:line="207" w:lineRule="exact"/>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C</w:t>
      </w:r>
      <w:r>
        <w:rPr>
          <w:rFonts w:ascii="Arial" w:cs="Arial" w:eastAsia="Arial" w:hAnsi="Arial"/>
          <w:sz w:val="12"/>
          <w:szCs w:val="12"/>
          <w:color w:val="auto"/>
        </w:rPr>
        <w:t>HECK IF THE</w:t>
      </w:r>
      <w:r>
        <w:rPr>
          <w:rFonts w:ascii="Arial" w:cs="Arial" w:eastAsia="Arial" w:hAnsi="Arial"/>
          <w:sz w:val="18"/>
          <w:szCs w:val="18"/>
          <w:color w:val="auto"/>
        </w:rPr>
        <w:t xml:space="preserve"> A</w:t>
      </w:r>
      <w:r>
        <w:rPr>
          <w:rFonts w:ascii="Arial" w:cs="Arial" w:eastAsia="Arial" w:hAnsi="Arial"/>
          <w:sz w:val="12"/>
          <w:szCs w:val="12"/>
          <w:color w:val="auto"/>
        </w:rPr>
        <w:t>GGREGATE</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 E</w:t>
      </w:r>
      <w:r>
        <w:rPr>
          <w:rFonts w:ascii="Arial" w:cs="Arial" w:eastAsia="Arial" w:hAnsi="Arial"/>
          <w:sz w:val="12"/>
          <w:szCs w:val="12"/>
          <w:color w:val="auto"/>
        </w:rPr>
        <w:t>XCLUDES</w:t>
      </w:r>
      <w:r>
        <w:rPr>
          <w:rFonts w:ascii="Arial" w:cs="Arial" w:eastAsia="Arial" w:hAnsi="Arial"/>
          <w:sz w:val="18"/>
          <w:szCs w:val="18"/>
          <w:color w:val="auto"/>
        </w:rPr>
        <w:t xml:space="preserve"> C</w:t>
      </w:r>
      <w:r>
        <w:rPr>
          <w:rFonts w:ascii="Arial" w:cs="Arial" w:eastAsia="Arial" w:hAnsi="Arial"/>
          <w:sz w:val="12"/>
          <w:szCs w:val="12"/>
          <w:color w:val="auto"/>
        </w:rPr>
        <w:t>ERTAIN</w:t>
      </w:r>
      <w:r>
        <w:rPr>
          <w:rFonts w:ascii="Arial" w:cs="Arial" w:eastAsia="Arial" w:hAnsi="Arial"/>
          <w:sz w:val="18"/>
          <w:szCs w:val="18"/>
          <w:color w:val="auto"/>
        </w:rPr>
        <w:t xml:space="preserve"> S</w:t>
      </w:r>
      <w:r>
        <w:rPr>
          <w:rFonts w:ascii="Arial" w:cs="Arial" w:eastAsia="Arial" w:hAnsi="Arial"/>
          <w:sz w:val="12"/>
          <w:szCs w:val="12"/>
          <w:color w:val="auto"/>
        </w:rPr>
        <w:t>HARES</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49" w:lineRule="exact"/>
        <w:rPr>
          <w:rFonts w:ascii="Arial" w:cs="Arial" w:eastAsia="Arial" w:hAnsi="Arial"/>
          <w:sz w:val="18"/>
          <w:szCs w:val="18"/>
          <w:b w:val="1"/>
          <w:bCs w:val="1"/>
          <w:color w:val="auto"/>
        </w:rPr>
      </w:pPr>
    </w:p>
    <w:p>
      <w:pPr>
        <w:ind w:left="800" w:hanging="681"/>
        <w:spacing w:after="0"/>
        <w:tabs>
          <w:tab w:leader="none" w:pos="80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P</w:t>
      </w:r>
      <w:r>
        <w:rPr>
          <w:rFonts w:ascii="Arial" w:cs="Arial" w:eastAsia="Arial" w:hAnsi="Arial"/>
          <w:sz w:val="12"/>
          <w:szCs w:val="12"/>
          <w:color w:val="auto"/>
        </w:rPr>
        <w:t>ERCENT OF</w:t>
      </w:r>
      <w:r>
        <w:rPr>
          <w:rFonts w:ascii="Arial" w:cs="Arial" w:eastAsia="Arial" w:hAnsi="Arial"/>
          <w:sz w:val="18"/>
          <w:szCs w:val="18"/>
          <w:color w:val="auto"/>
        </w:rPr>
        <w:t xml:space="preserve"> C</w:t>
      </w:r>
      <w:r>
        <w:rPr>
          <w:rFonts w:ascii="Arial" w:cs="Arial" w:eastAsia="Arial" w:hAnsi="Arial"/>
          <w:sz w:val="12"/>
          <w:szCs w:val="12"/>
          <w:color w:val="auto"/>
        </w:rPr>
        <w:t>LASS</w:t>
      </w:r>
      <w:r>
        <w:rPr>
          <w:rFonts w:ascii="Arial" w:cs="Arial" w:eastAsia="Arial" w:hAnsi="Arial"/>
          <w:sz w:val="18"/>
          <w:szCs w:val="18"/>
          <w:color w:val="auto"/>
        </w:rPr>
        <w:t xml:space="preserve"> R</w:t>
      </w:r>
      <w:r>
        <w:rPr>
          <w:rFonts w:ascii="Arial" w:cs="Arial" w:eastAsia="Arial" w:hAnsi="Arial"/>
          <w:sz w:val="12"/>
          <w:szCs w:val="12"/>
          <w:color w:val="auto"/>
        </w:rPr>
        <w:t>EPRESENTED BY</w:t>
      </w:r>
      <w:r>
        <w:rPr>
          <w:rFonts w:ascii="Arial" w:cs="Arial" w:eastAsia="Arial" w:hAnsi="Arial"/>
          <w:sz w:val="18"/>
          <w:szCs w:val="18"/>
          <w:color w:val="auto"/>
        </w:rPr>
        <w:t xml:space="preserve"> A</w:t>
      </w:r>
      <w:r>
        <w:rPr>
          <w:rFonts w:ascii="Arial" w:cs="Arial" w:eastAsia="Arial" w:hAnsi="Arial"/>
          <w:sz w:val="12"/>
          <w:szCs w:val="12"/>
          <w:color w:val="auto"/>
        </w:rPr>
        <w:t>MOUNT IN</w:t>
      </w:r>
      <w:r>
        <w:rPr>
          <w:rFonts w:ascii="Arial" w:cs="Arial" w:eastAsia="Arial" w:hAnsi="Arial"/>
          <w:sz w:val="18"/>
          <w:szCs w:val="18"/>
          <w:color w:val="auto"/>
        </w:rPr>
        <w:t xml:space="preserve"> R</w:t>
      </w:r>
      <w:r>
        <w:rPr>
          <w:rFonts w:ascii="Arial" w:cs="Arial" w:eastAsia="Arial" w:hAnsi="Arial"/>
          <w:sz w:val="12"/>
          <w:szCs w:val="12"/>
          <w:color w:val="auto"/>
        </w:rPr>
        <w:t>OW</w:t>
      </w:r>
      <w:r>
        <w:rPr>
          <w:rFonts w:ascii="Arial" w:cs="Arial" w:eastAsia="Arial" w:hAnsi="Arial"/>
          <w:sz w:val="18"/>
          <w:szCs w:val="18"/>
          <w:color w:val="auto"/>
        </w:rPr>
        <w:t xml:space="preserve"> (9)</w:t>
      </w:r>
    </w:p>
    <w:p>
      <w:pPr>
        <w:spacing w:after="0" w:line="23"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 xml:space="preserve">5.5% </w:t>
      </w:r>
      <w:r>
        <w:rPr>
          <w:rFonts w:ascii="Arial" w:cs="Arial" w:eastAsia="Arial" w:hAnsi="Arial"/>
          <w:sz w:val="29"/>
          <w:szCs w:val="29"/>
          <w:b w:val="1"/>
          <w:bCs w:val="1"/>
          <w:color w:val="auto"/>
          <w:vertAlign w:val="superscript"/>
        </w:rPr>
        <w:t>(1)</w:t>
      </w:r>
    </w:p>
    <w:p>
      <w:pPr>
        <w:spacing w:after="0" w:line="33" w:lineRule="exact"/>
        <w:rPr>
          <w:sz w:val="20"/>
          <w:szCs w:val="20"/>
          <w:color w:val="auto"/>
        </w:rPr>
      </w:pPr>
    </w:p>
    <w:p>
      <w:pPr>
        <w:ind w:left="800" w:hanging="681"/>
        <w:spacing w:after="0"/>
        <w:tabs>
          <w:tab w:leader="none" w:pos="80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T</w:t>
      </w:r>
      <w:r>
        <w:rPr>
          <w:rFonts w:ascii="Arial" w:cs="Arial" w:eastAsia="Arial" w:hAnsi="Arial"/>
          <w:sz w:val="12"/>
          <w:szCs w:val="12"/>
          <w:color w:val="auto"/>
        </w:rPr>
        <w:t>YPE OF</w:t>
      </w:r>
      <w:r>
        <w:rPr>
          <w:rFonts w:ascii="Arial" w:cs="Arial" w:eastAsia="Arial" w:hAnsi="Arial"/>
          <w:sz w:val="18"/>
          <w:szCs w:val="18"/>
          <w:color w:val="auto"/>
        </w:rPr>
        <w:t xml:space="preserve"> R</w:t>
      </w:r>
      <w:r>
        <w:rPr>
          <w:rFonts w:ascii="Arial" w:cs="Arial" w:eastAsia="Arial" w:hAnsi="Arial"/>
          <w:sz w:val="12"/>
          <w:szCs w:val="12"/>
          <w:color w:val="auto"/>
        </w:rPr>
        <w:t>EPORTING</w:t>
      </w:r>
      <w:r>
        <w:rPr>
          <w:rFonts w:ascii="Arial" w:cs="Arial" w:eastAsia="Arial" w:hAnsi="Arial"/>
          <w:sz w:val="18"/>
          <w:szCs w:val="18"/>
          <w:color w:val="auto"/>
        </w:rPr>
        <w:t xml:space="preserve"> P</w:t>
      </w:r>
      <w:r>
        <w:rPr>
          <w:rFonts w:ascii="Arial" w:cs="Arial" w:eastAsia="Arial" w:hAnsi="Arial"/>
          <w:sz w:val="12"/>
          <w:szCs w:val="12"/>
          <w:color w:val="auto"/>
        </w:rPr>
        <w:t>ERSON</w:t>
      </w:r>
      <w:r>
        <w:rPr>
          <w:rFonts w:ascii="Arial" w:cs="Arial" w:eastAsia="Arial" w:hAnsi="Arial"/>
          <w:sz w:val="18"/>
          <w:szCs w:val="18"/>
          <w:color w:val="auto"/>
        </w:rPr>
        <w:t xml:space="preserve"> (S</w:t>
      </w:r>
      <w:r>
        <w:rPr>
          <w:rFonts w:ascii="Arial" w:cs="Arial" w:eastAsia="Arial" w:hAnsi="Arial"/>
          <w:sz w:val="12"/>
          <w:szCs w:val="12"/>
          <w:color w:val="auto"/>
        </w:rPr>
        <w:t>EE</w:t>
      </w:r>
      <w:r>
        <w:rPr>
          <w:rFonts w:ascii="Arial" w:cs="Arial" w:eastAsia="Arial" w:hAnsi="Arial"/>
          <w:sz w:val="18"/>
          <w:szCs w:val="18"/>
          <w:color w:val="auto"/>
        </w:rPr>
        <w:t xml:space="preserve"> I</w:t>
      </w:r>
      <w:r>
        <w:rPr>
          <w:rFonts w:ascii="Arial" w:cs="Arial" w:eastAsia="Arial" w:hAnsi="Arial"/>
          <w:sz w:val="12"/>
          <w:szCs w:val="12"/>
          <w:color w:val="auto"/>
        </w:rPr>
        <w:t>NSTRUCTIONS</w:t>
      </w:r>
      <w:r>
        <w:rPr>
          <w:rFonts w:ascii="Arial" w:cs="Arial" w:eastAsia="Arial" w:hAnsi="Arial"/>
          <w:sz w:val="18"/>
          <w:szCs w:val="18"/>
          <w:color w:val="auto"/>
        </w:rPr>
        <w:t>)</w:t>
      </w:r>
    </w:p>
    <w:p>
      <w:pPr>
        <w:spacing w:after="0" w:line="7" w:lineRule="exact"/>
        <w:rPr>
          <w:sz w:val="20"/>
          <w:szCs w:val="20"/>
          <w:color w:val="auto"/>
        </w:rPr>
      </w:pPr>
    </w:p>
    <w:p>
      <w:pPr>
        <w:ind w:left="800"/>
        <w:spacing w:after="0"/>
        <w:rPr>
          <w:sz w:val="20"/>
          <w:szCs w:val="20"/>
          <w:color w:val="auto"/>
        </w:rPr>
      </w:pPr>
      <w:r>
        <w:rPr>
          <w:rFonts w:ascii="Arial" w:cs="Arial" w:eastAsia="Arial" w:hAnsi="Arial"/>
          <w:sz w:val="18"/>
          <w:szCs w:val="18"/>
          <w:b w:val="1"/>
          <w:bCs w:val="1"/>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17830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366" w:lineRule="exact"/>
        <w:rPr>
          <w:sz w:val="20"/>
          <w:szCs w:val="20"/>
          <w:color w:val="auto"/>
        </w:rPr>
      </w:pPr>
    </w:p>
    <w:p>
      <w:pPr>
        <w:ind w:right="200" w:firstLine="8"/>
        <w:spacing w:after="0" w:line="232" w:lineRule="auto"/>
        <w:tabs>
          <w:tab w:leader="none" w:pos="220" w:val="left"/>
        </w:tabs>
        <w:numPr>
          <w:ilvl w:val="0"/>
          <w:numId w:val="11"/>
        </w:numPr>
        <w:rPr>
          <w:rFonts w:ascii="Arial" w:cs="Arial" w:eastAsia="Arial" w:hAnsi="Arial"/>
          <w:sz w:val="25"/>
          <w:szCs w:val="25"/>
          <w:color w:val="auto"/>
          <w:vertAlign w:val="superscript"/>
        </w:rPr>
      </w:pPr>
      <w:r>
        <w:rPr>
          <w:rFonts w:ascii="Arial" w:cs="Arial" w:eastAsia="Arial" w:hAnsi="Arial"/>
          <w:sz w:val="15"/>
          <w:szCs w:val="15"/>
          <w:color w:val="auto"/>
        </w:rPr>
        <w:t>Percentage based on 87,474,258 shares of Common Stock outstanding as of August 10, 2021, as disclosed in the Issuer’s Current Report on Form 8-K (“Form 8-K”) filed with the U.S. Securities and Exchange Commission (“SEC”) on August 13,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140" w:hanging="66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Tango Therapeutics, Inc. (the “Issuer”)</w:t>
      </w:r>
    </w:p>
    <w:p>
      <w:pPr>
        <w:spacing w:after="0" w:line="225" w:lineRule="exact"/>
        <w:rPr>
          <w:rFonts w:ascii="Arial" w:cs="Arial" w:eastAsia="Arial" w:hAnsi="Arial"/>
          <w:sz w:val="18"/>
          <w:szCs w:val="18"/>
          <w:color w:val="auto"/>
        </w:rPr>
      </w:pPr>
    </w:p>
    <w:p>
      <w:pPr>
        <w:ind w:left="1140" w:hanging="666"/>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100 Binney St., Suite 700</w:t>
      </w:r>
    </w:p>
    <w:p>
      <w:pPr>
        <w:spacing w:after="0" w:line="23"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Cambridge, Massachusetts 02142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140" w:right="8240" w:hanging="666"/>
        <w:spacing w:after="0" w:line="563" w:lineRule="auto"/>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Names of Persons Filing Gilead Sciences, Inc.</w:t>
      </w:r>
    </w:p>
    <w:p>
      <w:pPr>
        <w:ind w:left="1140" w:hanging="666"/>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333 Lakeside Drive</w:t>
      </w:r>
    </w:p>
    <w:p>
      <w:pPr>
        <w:spacing w:after="0" w:line="23" w:lineRule="exact"/>
        <w:rPr>
          <w:rFonts w:ascii="Arial" w:cs="Arial" w:eastAsia="Arial" w:hAnsi="Arial"/>
          <w:sz w:val="18"/>
          <w:szCs w:val="18"/>
          <w:color w:val="auto"/>
        </w:rPr>
      </w:pPr>
    </w:p>
    <w:p>
      <w:pPr>
        <w:ind w:left="1140"/>
        <w:spacing w:after="0"/>
        <w:rPr>
          <w:rFonts w:ascii="Arial" w:cs="Arial" w:eastAsia="Arial" w:hAnsi="Arial"/>
          <w:sz w:val="18"/>
          <w:szCs w:val="18"/>
          <w:color w:val="auto"/>
        </w:rPr>
      </w:pPr>
      <w:r>
        <w:rPr>
          <w:rFonts w:ascii="Arial" w:cs="Arial" w:eastAsia="Arial" w:hAnsi="Arial"/>
          <w:sz w:val="18"/>
          <w:szCs w:val="18"/>
          <w:color w:val="auto"/>
        </w:rPr>
        <w:t>Foster City</w:t>
      </w:r>
      <w:r>
        <w:rPr>
          <w:rFonts w:ascii="Arial" w:cs="Arial" w:eastAsia="Arial" w:hAnsi="Arial"/>
          <w:sz w:val="18"/>
          <w:szCs w:val="18"/>
          <w:b w:val="1"/>
          <w:bCs w:val="1"/>
          <w:color w:val="auto"/>
        </w:rPr>
        <w:t>,</w:t>
      </w:r>
      <w:r>
        <w:rPr>
          <w:rFonts w:ascii="Arial" w:cs="Arial" w:eastAsia="Arial" w:hAnsi="Arial"/>
          <w:sz w:val="18"/>
          <w:szCs w:val="18"/>
          <w:color w:val="auto"/>
        </w:rPr>
        <w:t xml:space="preserve"> California 94404</w:t>
      </w:r>
    </w:p>
    <w:p>
      <w:pPr>
        <w:spacing w:after="0" w:line="210" w:lineRule="exact"/>
        <w:rPr>
          <w:rFonts w:ascii="Arial" w:cs="Arial" w:eastAsia="Arial" w:hAnsi="Arial"/>
          <w:sz w:val="18"/>
          <w:szCs w:val="18"/>
          <w:color w:val="auto"/>
        </w:rPr>
      </w:pPr>
    </w:p>
    <w:p>
      <w:pPr>
        <w:ind w:left="1140" w:right="9200" w:hanging="666"/>
        <w:spacing w:after="0" w:line="563" w:lineRule="auto"/>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Citizenship Delaware</w:t>
      </w:r>
    </w:p>
    <w:p>
      <w:pPr>
        <w:ind w:left="1140" w:right="7600" w:hanging="666"/>
        <w:spacing w:after="0" w:line="563" w:lineRule="auto"/>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Title of Class of Securities Common Stock, $0.001 par value</w:t>
      </w:r>
    </w:p>
    <w:p>
      <w:pPr>
        <w:ind w:left="1140" w:right="8880" w:hanging="666"/>
        <w:spacing w:after="0" w:line="560" w:lineRule="auto"/>
        <w:tabs>
          <w:tab w:leader="none" w:pos="11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CUSIP Number 87583X109</w:t>
      </w:r>
    </w:p>
    <w:p>
      <w:pPr>
        <w:spacing w:after="0" w:line="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color w:val="auto"/>
        </w:rPr>
        <w:t>If this statement is filed pursuant to §§ 240.13d-1(b) or 240.13d-2(b) or (c), check whether the person filing is a:</w:t>
      </w:r>
    </w:p>
    <w:p>
      <w:pPr>
        <w:spacing w:after="0" w:line="196" w:lineRule="exact"/>
        <w:rPr>
          <w:sz w:val="20"/>
          <w:szCs w:val="20"/>
          <w:color w:val="auto"/>
        </w:rPr>
      </w:pPr>
    </w:p>
    <w:p>
      <w:pPr>
        <w:ind w:left="1480" w:hanging="338"/>
        <w:spacing w:after="0" w:line="207" w:lineRule="exact"/>
        <w:tabs>
          <w:tab w:leader="none" w:pos="148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480" w:hanging="338"/>
        <w:spacing w:after="0" w:line="207" w:lineRule="exact"/>
        <w:tabs>
          <w:tab w:leader="none" w:pos="148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480" w:hanging="338"/>
        <w:spacing w:after="0" w:line="207" w:lineRule="exact"/>
        <w:tabs>
          <w:tab w:leader="none" w:pos="148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225" w:lineRule="exact"/>
        <w:rPr>
          <w:rFonts w:ascii="Arial" w:cs="Arial" w:eastAsia="Arial" w:hAnsi="Arial"/>
          <w:sz w:val="18"/>
          <w:szCs w:val="18"/>
          <w:color w:val="auto"/>
        </w:rPr>
      </w:pPr>
    </w:p>
    <w:p>
      <w:pPr>
        <w:ind w:left="1480" w:hanging="338"/>
        <w:spacing w:after="0" w:line="207" w:lineRule="exact"/>
        <w:tabs>
          <w:tab w:leader="none" w:pos="148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480" w:hanging="338"/>
        <w:spacing w:after="0" w:line="207" w:lineRule="exact"/>
        <w:tabs>
          <w:tab w:leader="none" w:pos="148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 240.13d-1(b)(1)(ii)(E);</w:t>
      </w:r>
    </w:p>
    <w:p>
      <w:pPr>
        <w:spacing w:after="0" w:line="225" w:lineRule="exact"/>
        <w:rPr>
          <w:rFonts w:ascii="Arial" w:cs="Arial" w:eastAsia="Arial" w:hAnsi="Arial"/>
          <w:sz w:val="18"/>
          <w:szCs w:val="18"/>
          <w:color w:val="auto"/>
        </w:rPr>
      </w:pPr>
    </w:p>
    <w:p>
      <w:pPr>
        <w:ind w:left="1480" w:hanging="338"/>
        <w:spacing w:after="0" w:line="207" w:lineRule="exact"/>
        <w:tabs>
          <w:tab w:leader="none" w:pos="148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 240.13d-1(b)(1)(ii)(F);</w:t>
      </w:r>
    </w:p>
    <w:p>
      <w:pPr>
        <w:spacing w:after="0" w:line="225" w:lineRule="exact"/>
        <w:rPr>
          <w:rFonts w:ascii="Arial" w:cs="Arial" w:eastAsia="Arial" w:hAnsi="Arial"/>
          <w:sz w:val="18"/>
          <w:szCs w:val="18"/>
          <w:color w:val="auto"/>
        </w:rPr>
      </w:pPr>
    </w:p>
    <w:p>
      <w:pPr>
        <w:ind w:left="1480" w:hanging="338"/>
        <w:spacing w:after="0" w:line="207" w:lineRule="exact"/>
        <w:tabs>
          <w:tab w:leader="none" w:pos="148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 240.13d-1(b)(1)(ii)(G);</w:t>
      </w:r>
    </w:p>
    <w:p>
      <w:pPr>
        <w:spacing w:after="0" w:line="225" w:lineRule="exact"/>
        <w:rPr>
          <w:rFonts w:ascii="Arial" w:cs="Arial" w:eastAsia="Arial" w:hAnsi="Arial"/>
          <w:sz w:val="18"/>
          <w:szCs w:val="18"/>
          <w:color w:val="auto"/>
        </w:rPr>
      </w:pPr>
    </w:p>
    <w:p>
      <w:pPr>
        <w:ind w:left="1480" w:hanging="338"/>
        <w:spacing w:after="0" w:line="207" w:lineRule="exact"/>
        <w:tabs>
          <w:tab w:leader="none" w:pos="148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225" w:lineRule="exact"/>
        <w:rPr>
          <w:rFonts w:ascii="Arial" w:cs="Arial" w:eastAsia="Arial" w:hAnsi="Arial"/>
          <w:sz w:val="18"/>
          <w:szCs w:val="18"/>
          <w:color w:val="auto"/>
        </w:rPr>
      </w:pPr>
    </w:p>
    <w:p>
      <w:pPr>
        <w:ind w:left="1820" w:right="100" w:hanging="678"/>
        <w:spacing w:after="0" w:line="239" w:lineRule="exact"/>
        <w:tabs>
          <w:tab w:leader="none" w:pos="1482"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480" w:hanging="338"/>
        <w:spacing w:after="0" w:line="207" w:lineRule="exact"/>
        <w:tabs>
          <w:tab w:leader="none" w:pos="1480"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 240.13d-1(b)(1)(ii)(J);</w:t>
      </w:r>
    </w:p>
    <w:p>
      <w:pPr>
        <w:spacing w:after="0" w:line="225" w:lineRule="exact"/>
        <w:rPr>
          <w:rFonts w:ascii="Arial" w:cs="Arial" w:eastAsia="Arial" w:hAnsi="Arial"/>
          <w:sz w:val="18"/>
          <w:szCs w:val="18"/>
          <w:color w:val="auto"/>
        </w:rPr>
      </w:pPr>
    </w:p>
    <w:p>
      <w:pPr>
        <w:ind w:left="1820" w:hanging="678"/>
        <w:spacing w:after="0" w:line="239" w:lineRule="exact"/>
        <w:tabs>
          <w:tab w:leader="none" w:pos="1482"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 240.13d-1(b)(1)(ii)(K). If filing as a non-U.S. institution in accordance with § 240.13d-1(b)(1)(ii)(J), please specify the type of institution:</w:t>
      </w:r>
    </w:p>
    <w:p>
      <w:pPr>
        <w:spacing w:after="0" w:line="1" w:lineRule="exact"/>
        <w:rPr>
          <w:rFonts w:ascii="Arial" w:cs="Arial" w:eastAsia="Arial" w:hAnsi="Arial"/>
          <w:sz w:val="18"/>
          <w:szCs w:val="18"/>
          <w:color w:val="auto"/>
        </w:rPr>
      </w:pPr>
    </w:p>
    <w:p>
      <w:pPr>
        <w:ind w:left="1820"/>
        <w:spacing w:after="0"/>
        <w:rPr>
          <w:rFonts w:ascii="Arial" w:cs="Arial" w:eastAsia="Arial" w:hAnsi="Arial"/>
          <w:sz w:val="18"/>
          <w:szCs w:val="18"/>
          <w:color w:val="auto"/>
        </w:rPr>
      </w:pPr>
      <w:r>
        <w:rPr>
          <w:rFonts w:ascii="Arial" w:cs="Arial" w:eastAsia="Arial" w:hAnsi="Arial"/>
          <w:sz w:val="18"/>
          <w:szCs w:val="18"/>
          <w:color w:val="auto"/>
        </w:rPr>
        <w:t>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3" w:name="page4"/>
    <w:bookmarkEnd w:id="3"/>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580" w:right="7600" w:hanging="438"/>
        <w:spacing w:after="0" w:line="500" w:lineRule="auto"/>
        <w:tabs>
          <w:tab w:leader="none" w:pos="15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Amount beneficially owned: 4,854,443</w:t>
      </w:r>
    </w:p>
    <w:p>
      <w:pPr>
        <w:spacing w:after="0" w:line="1" w:lineRule="exact"/>
        <w:rPr>
          <w:rFonts w:ascii="Arial" w:cs="Arial" w:eastAsia="Arial" w:hAnsi="Arial"/>
          <w:sz w:val="18"/>
          <w:szCs w:val="18"/>
          <w:color w:val="auto"/>
        </w:rPr>
      </w:pPr>
    </w:p>
    <w:p>
      <w:pPr>
        <w:ind w:left="1580" w:hanging="393"/>
        <w:spacing w:after="0"/>
        <w:tabs>
          <w:tab w:leader="none" w:pos="1580" w:val="left"/>
        </w:tabs>
        <w:numPr>
          <w:ilvl w:val="1"/>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9"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29"/>
          <w:szCs w:val="29"/>
          <w:color w:val="auto"/>
          <w:vertAlign w:val="superscript"/>
        </w:rPr>
        <w:t>(1)</w:t>
      </w:r>
    </w:p>
    <w:p>
      <w:pPr>
        <w:spacing w:after="0" w:line="135" w:lineRule="exact"/>
        <w:rPr>
          <w:sz w:val="20"/>
          <w:szCs w:val="20"/>
          <w:color w:val="auto"/>
        </w:rPr>
      </w:pPr>
    </w:p>
    <w:p>
      <w:pPr>
        <w:ind w:left="1580" w:hanging="438"/>
        <w:spacing w:after="0"/>
        <w:tabs>
          <w:tab w:leader="none" w:pos="15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Gilead Sciences, Inc. has:</w:t>
      </w:r>
    </w:p>
    <w:p>
      <w:pPr>
        <w:spacing w:after="0" w:line="225" w:lineRule="exact"/>
        <w:rPr>
          <w:rFonts w:ascii="Arial" w:cs="Arial" w:eastAsia="Arial" w:hAnsi="Arial"/>
          <w:sz w:val="18"/>
          <w:szCs w:val="18"/>
          <w:color w:val="auto"/>
        </w:rPr>
      </w:pPr>
    </w:p>
    <w:p>
      <w:pPr>
        <w:ind w:left="2040" w:right="6340" w:hanging="453"/>
        <w:spacing w:after="0" w:line="500" w:lineRule="auto"/>
        <w:tabs>
          <w:tab w:leader="none" w:pos="2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 4,854,443</w:t>
      </w:r>
    </w:p>
    <w:p>
      <w:pPr>
        <w:spacing w:after="0" w:line="1" w:lineRule="exact"/>
        <w:rPr>
          <w:rFonts w:ascii="Arial" w:cs="Arial" w:eastAsia="Arial" w:hAnsi="Arial"/>
          <w:sz w:val="18"/>
          <w:szCs w:val="18"/>
          <w:color w:val="auto"/>
        </w:rPr>
      </w:pPr>
    </w:p>
    <w:p>
      <w:pPr>
        <w:ind w:left="2040" w:right="6160" w:hanging="453"/>
        <w:spacing w:after="0" w:line="500" w:lineRule="auto"/>
        <w:tabs>
          <w:tab w:leader="none" w:pos="2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1" w:lineRule="exact"/>
        <w:rPr>
          <w:rFonts w:ascii="Arial" w:cs="Arial" w:eastAsia="Arial" w:hAnsi="Arial"/>
          <w:sz w:val="18"/>
          <w:szCs w:val="18"/>
          <w:color w:val="auto"/>
        </w:rPr>
      </w:pPr>
    </w:p>
    <w:p>
      <w:pPr>
        <w:ind w:left="2040" w:right="5440" w:hanging="453"/>
        <w:spacing w:after="0" w:line="500" w:lineRule="auto"/>
        <w:tabs>
          <w:tab w:leader="none" w:pos="2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4,854,443</w:t>
      </w:r>
    </w:p>
    <w:p>
      <w:pPr>
        <w:spacing w:after="0" w:line="1" w:lineRule="exact"/>
        <w:rPr>
          <w:rFonts w:ascii="Arial" w:cs="Arial" w:eastAsia="Arial" w:hAnsi="Arial"/>
          <w:sz w:val="18"/>
          <w:szCs w:val="18"/>
          <w:color w:val="auto"/>
        </w:rPr>
      </w:pPr>
    </w:p>
    <w:p>
      <w:pPr>
        <w:ind w:left="2040" w:right="5260" w:hanging="453"/>
        <w:spacing w:after="0" w:line="500" w:lineRule="auto"/>
        <w:tabs>
          <w:tab w:leader="none" w:pos="2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 w:lineRule="exact"/>
        <w:rPr>
          <w:sz w:val="20"/>
          <w:szCs w:val="20"/>
          <w:color w:val="auto"/>
        </w:rPr>
      </w:pPr>
    </w:p>
    <w:p>
      <w:pPr>
        <w:ind w:left="2040" w:right="300" w:hanging="453"/>
        <w:spacing w:after="0" w:line="277" w:lineRule="auto"/>
        <w:tabs>
          <w:tab w:leader="none" w:pos="2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Percentage based on 87,474,258 shares of Common Stock outstanding as of August 10, 2021, as disclosed in the Form 8-K filed with the SEC on August 13,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ind w:left="60"/>
              <w:spacing w:after="0"/>
              <w:rPr>
                <w:sz w:val="20"/>
                <w:szCs w:val="20"/>
                <w:color w:val="auto"/>
              </w:rPr>
            </w:pPr>
            <w:r>
              <w:rPr>
                <w:rFonts w:ascii="Arial" w:cs="Arial" w:eastAsia="Arial" w:hAnsi="Arial"/>
                <w:sz w:val="18"/>
                <w:szCs w:val="18"/>
                <w:b w:val="1"/>
                <w:bCs w:val="1"/>
                <w:color w:val="auto"/>
              </w:rPr>
              <w:t>Item 5.</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Ownership of Five Percent or Less of a Class.</w:t>
            </w:r>
          </w:p>
        </w:tc>
      </w:tr>
      <w:tr>
        <w:trPr>
          <w:trHeight w:val="385"/>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w w:val="90"/>
              </w:rPr>
              <w:t>If this statement is being filed to report the fact that as of the date hereof the reporting person has ceased to be the beneficial owner of more</w:t>
            </w:r>
          </w:p>
        </w:tc>
      </w:tr>
      <w:tr>
        <w:trPr>
          <w:trHeight w:val="283"/>
        </w:trPr>
        <w:tc>
          <w:tcPr>
            <w:tcW w:w="880" w:type="dxa"/>
            <w:vAlign w:val="bottom"/>
          </w:tcPr>
          <w:p>
            <w:pPr>
              <w:spacing w:after="0"/>
              <w:rPr>
                <w:sz w:val="24"/>
                <w:szCs w:val="24"/>
                <w:color w:val="auto"/>
              </w:rPr>
            </w:pPr>
          </w:p>
        </w:tc>
        <w:tc>
          <w:tcPr>
            <w:tcW w:w="10360" w:type="dxa"/>
            <w:vAlign w:val="bottom"/>
          </w:tcPr>
          <w:p>
            <w:pPr>
              <w:ind w:left="260"/>
              <w:spacing w:after="0" w:line="207" w:lineRule="exact"/>
              <w:rPr>
                <w:sz w:val="20"/>
                <w:szCs w:val="20"/>
                <w:color w:val="auto"/>
              </w:rPr>
            </w:pPr>
            <w:r>
              <w:rPr>
                <w:rFonts w:ascii="Arial" w:cs="Arial" w:eastAsia="Arial" w:hAnsi="Arial"/>
                <w:sz w:val="18"/>
                <w:szCs w:val="18"/>
                <w:color w:val="auto"/>
              </w:rPr>
              <w:t xml:space="preserve">than 5 percent of the class of securities, check the following </w:t>
            </w:r>
            <w:r>
              <w:rPr>
                <w:rFonts w:ascii="MS PGothic" w:cs="MS PGothic" w:eastAsia="MS PGothic" w:hAnsi="MS PGothic"/>
                <w:sz w:val="18"/>
                <w:szCs w:val="18"/>
                <w:color w:val="auto"/>
              </w:rPr>
              <w:t>☐</w:t>
            </w:r>
          </w:p>
        </w:tc>
      </w:tr>
      <w:tr>
        <w:trPr>
          <w:trHeight w:val="412"/>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432"/>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N/A</w:t>
            </w:r>
          </w:p>
        </w:tc>
      </w:tr>
      <w:tr>
        <w:trPr>
          <w:trHeight w:val="414"/>
        </w:trPr>
        <w:tc>
          <w:tcPr>
            <w:tcW w:w="88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w w:val="97"/>
              </w:rPr>
              <w:t>Identification and Classification of the Subsidiary Which Acquired the Security Being Reported on By the Parent Holding</w:t>
            </w:r>
          </w:p>
        </w:tc>
      </w:tr>
      <w:tr>
        <w:trPr>
          <w:trHeight w:val="234"/>
        </w:trPr>
        <w:tc>
          <w:tcPr>
            <w:tcW w:w="88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Company or Control Person.</w:t>
            </w:r>
          </w:p>
        </w:tc>
      </w:tr>
      <w:tr>
        <w:trPr>
          <w:trHeight w:val="432"/>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N/A</w:t>
            </w: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Identification and Classification of Members of the Group.</w:t>
            </w:r>
          </w:p>
        </w:tc>
      </w:tr>
      <w:tr>
        <w:trPr>
          <w:trHeight w:val="432"/>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N/A</w:t>
            </w: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Notice of Dissolution of Group.</w:t>
            </w:r>
          </w:p>
        </w:tc>
      </w:tr>
      <w:tr>
        <w:trPr>
          <w:trHeight w:val="432"/>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N/A</w:t>
            </w:r>
          </w:p>
        </w:tc>
      </w:tr>
      <w:tr>
        <w:trPr>
          <w:trHeight w:val="432"/>
        </w:trPr>
        <w:tc>
          <w:tcPr>
            <w:tcW w:w="8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r>
      <w:tr>
        <w:trPr>
          <w:trHeight w:val="418"/>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w w:val="92"/>
              </w:rPr>
              <w:t>By signing below I certify that, to the best of my knowledge and belief, the securities referred to above were not acquired and are not held</w:t>
            </w:r>
          </w:p>
        </w:tc>
      </w:tr>
      <w:tr>
        <w:trPr>
          <w:trHeight w:val="216"/>
        </w:trPr>
        <w:tc>
          <w:tcPr>
            <w:tcW w:w="88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w w:val="92"/>
              </w:rPr>
              <w:t>for the purpose of or with the effect of changing or influencing the control of the issuer of the securities and were not acquired and are not</w:t>
            </w:r>
          </w:p>
        </w:tc>
      </w:tr>
      <w:tr>
        <w:trPr>
          <w:trHeight w:val="216"/>
        </w:trPr>
        <w:tc>
          <w:tcPr>
            <w:tcW w:w="88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w w:val="92"/>
              </w:rPr>
              <w:t>held in connection with or as a participant in any transaction having that purpose or effect, other than activities solely in connection with a</w:t>
            </w:r>
          </w:p>
        </w:tc>
      </w:tr>
      <w:tr>
        <w:trPr>
          <w:trHeight w:val="230"/>
        </w:trPr>
        <w:tc>
          <w:tcPr>
            <w:tcW w:w="88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nomination under § 240.14a-11.</w:t>
            </w:r>
          </w:p>
        </w:tc>
      </w:tr>
      <w:tr>
        <w:trPr>
          <w:trHeight w:val="648"/>
        </w:trPr>
        <w:tc>
          <w:tcPr>
            <w:tcW w:w="880" w:type="dxa"/>
            <w:vAlign w:val="bottom"/>
            <w:tcBorders>
              <w:bottom w:val="single" w:sz="8" w:color="auto"/>
            </w:tcBorders>
          </w:tcPr>
          <w:p>
            <w:pPr>
              <w:spacing w:after="0"/>
              <w:rPr>
                <w:sz w:val="24"/>
                <w:szCs w:val="24"/>
                <w:color w:val="auto"/>
              </w:rPr>
            </w:pPr>
          </w:p>
        </w:tc>
        <w:tc>
          <w:tcPr>
            <w:tcW w:w="10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7"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9, 2021</w:t>
      </w:r>
    </w:p>
    <w:p>
      <w:pPr>
        <w:spacing w:after="0" w:line="221"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Gilead Sciences, Inc.</w:t>
      </w:r>
    </w:p>
    <w:p>
      <w:pPr>
        <w:spacing w:after="0" w:line="200" w:lineRule="exact"/>
        <w:rPr>
          <w:sz w:val="20"/>
          <w:szCs w:val="20"/>
          <w:color w:val="auto"/>
        </w:rPr>
      </w:pPr>
    </w:p>
    <w:p>
      <w:pPr>
        <w:spacing w:after="0" w:line="245" w:lineRule="exact"/>
        <w:rPr>
          <w:sz w:val="20"/>
          <w:szCs w:val="20"/>
          <w:color w:val="auto"/>
        </w:rPr>
      </w:pPr>
    </w:p>
    <w:p>
      <w:pPr>
        <w:ind w:left="5640"/>
        <w:spacing w:after="0"/>
        <w:tabs>
          <w:tab w:leader="none" w:pos="6060" w:val="left"/>
        </w:tabs>
        <w:rPr>
          <w:sz w:val="20"/>
          <w:szCs w:val="20"/>
          <w:color w:val="auto"/>
        </w:rPr>
      </w:pPr>
      <w:r>
        <w:rPr>
          <w:rFonts w:ascii="Arial" w:cs="Arial" w:eastAsia="Arial" w:hAnsi="Arial"/>
          <w:sz w:val="18"/>
          <w:szCs w:val="18"/>
          <w:color w:val="auto"/>
        </w:rPr>
        <w:t>By:</w:t>
        <w:tab/>
        <w:t>/s/ Andrew Dickinson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Andrew D. Dickinson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60"/>
      </w:cols>
      <w:pgMar w:left="320" w:top="33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lvl w:ilvl="1">
      <w:lvlJc w:val="left"/>
      <w:lvlText w:val="☐"/>
      <w:numFmt w:val="bullet"/>
      <w:start w:val="1"/>
    </w:lvl>
  </w:abstractNum>
  <w:abstractNum w:abstractNumId="3">
    <w:nsid w:val="216231B"/>
    <w:multiLevelType w:val="hybridMultilevel"/>
    <w:lvl w:ilvl="0">
      <w:lvlJc w:val="left"/>
      <w:lvlText w:val="1"/>
      <w:numFmt w:val="bullet"/>
      <w:start w:val="1"/>
    </w:lvl>
  </w:abstractNum>
  <w:abstractNum w:abstractNumId="4">
    <w:nsid w:val="1F16E9E8"/>
    <w:multiLevelType w:val="hybridMultilevel"/>
    <w:lvl w:ilvl="0">
      <w:lvlJc w:val="left"/>
      <w:lvlText w:val="2"/>
      <w:numFmt w:val="bullet"/>
      <w:start w:val="1"/>
    </w:lvl>
  </w:abstractNum>
  <w:abstractNum w:abstractNumId="5">
    <w:nsid w:val="1190CDE7"/>
    <w:multiLevelType w:val="hybridMultilevel"/>
    <w:lvl w:ilvl="0">
      <w:lvlJc w:val="left"/>
      <w:lvlText w:val="3"/>
      <w:numFmt w:val="bullet"/>
      <w:start w:val="1"/>
    </w:lvl>
  </w:abstractNum>
  <w:abstractNum w:abstractNumId="6">
    <w:nsid w:val="66EF438D"/>
    <w:multiLevelType w:val="hybridMultilevel"/>
    <w:lvl w:ilvl="0">
      <w:lvlJc w:val="left"/>
      <w:lvlText w:val="4"/>
      <w:numFmt w:val="bullet"/>
      <w:start w:val="1"/>
    </w:lvl>
  </w:abstractNum>
  <w:abstractNum w:abstractNumId="7">
    <w:nsid w:val="140E0F76"/>
    <w:multiLevelType w:val="hybridMultilevel"/>
    <w:lvl w:ilvl="0">
      <w:lvlJc w:val="left"/>
      <w:lvlText w:val="9"/>
      <w:numFmt w:val="bullet"/>
      <w:start w:val="1"/>
    </w:lvl>
  </w:abstractNum>
  <w:abstractNum w:abstractNumId="8">
    <w:nsid w:val="3352255A"/>
    <w:multiLevelType w:val="hybridMultilevel"/>
    <w:lvl w:ilvl="0">
      <w:lvlJc w:val="left"/>
      <w:lvlText w:val="%1"/>
      <w:numFmt w:val="decimal"/>
      <w:start w:val="10"/>
    </w:lvl>
  </w:abstractNum>
  <w:abstractNum w:abstractNumId="9">
    <w:nsid w:val="109CF92E"/>
    <w:multiLevelType w:val="hybridMultilevel"/>
    <w:lvl w:ilvl="0">
      <w:lvlJc w:val="left"/>
      <w:lvlText w:val="%1"/>
      <w:numFmt w:val="decimal"/>
      <w:start w:val="12"/>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lowerLetter"/>
      <w:start w:val="1"/>
    </w:lvl>
  </w:abstractNum>
  <w:abstractNum w:abstractNumId="14">
    <w:nsid w:val="6B68079A"/>
    <w:multiLevelType w:val="hybridMultilevel"/>
    <w:lvl w:ilvl="0">
      <w:lvlJc w:val="left"/>
      <w:lvlText w:val="(%1)"/>
      <w:numFmt w:val="lowerLetter"/>
      <w:start w:val="1"/>
    </w:lvl>
    <w:lvl w:ilvl="1">
      <w:lvlJc w:val="left"/>
      <w:lvlText w:val="(%2)"/>
      <w:numFmt w:val="lowerLetter"/>
      <w:start w:val="2"/>
    </w:lvl>
  </w:abstractNum>
  <w:abstractNum w:abstractNumId="15">
    <w:nsid w:val="4E6AFB66"/>
    <w:multiLevelType w:val="hybridMultilevel"/>
    <w:lvl w:ilvl="0">
      <w:lvlJc w:val="left"/>
      <w:lvlText w:val="(%1)"/>
      <w:numFmt w:val="lowerLetter"/>
      <w:start w:val="3"/>
    </w:lvl>
    <w:lvl w:ilvl="1">
      <w:lvlJc w:val="left"/>
      <w:lvlText w:val="(%2)"/>
      <w:numFmt w:val="lowerRoman"/>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2021-09-10T11:19:35Z</dcterms:created>
  <dcterms:modified xsi:type="dcterms:W3CDTF">2021-09-10T11:19:35Z</dcterms:modified>
</cp:coreProperties>
</file>