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5,905,349.00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5,905,349.00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5.45 %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5,905,349.00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5,905,349.00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79"/>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22"/>
          <w:szCs w:val="22"/>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Tango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87583X109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108,394,190 shares of Common Stock outstanding as of May 5, 2025, as reported in the Company's Quarterly Report on Form 10-Q for the quarterly period ended March 31, 2025, filed with the Securities and Exchange Commission on May 12,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ectPr>
          <w:pgSz w:w="11900" w:h="16838" w:orient="portrait"/>
          <w:cols w:equalWidth="0" w:num="1">
            <w:col w:w="11120"/>
          </w:cols>
          <w:pgMar w:left="360" w:top="355"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ectPr>
          <w:pgSz w:w="11900" w:h="16838" w:orient="portrait"/>
          <w:cols w:equalWidth="0" w:num="1">
            <w:col w:w="11140"/>
          </w:cols>
          <w:pgMar w:left="360" w:top="409" w:right="399" w:bottom="0" w:gutter="0" w:footer="0" w:header="0"/>
          <w:type w:val="continuous"/>
        </w:sectPr>
      </w:pPr>
    </w:p>
    <w:bookmarkStart w:id="5" w:name="page6"/>
    <w:bookmarkEnd w:id="5"/>
    <w:p>
      <w:pPr>
        <w:jc w:val="both"/>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12,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Phillip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2025-08-12T08:08:48Z</dcterms:created>
  <dcterms:modified xsi:type="dcterms:W3CDTF">2025-08-12T08:08:48Z</dcterms:modified>
</cp:coreProperties>
</file>