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8,536,196.00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8,536,196.00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8,536,196.00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These securities are held of record by TCG Crossover II (as defined in Item 2(a)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134,593,998 shares of Common Stock outstanding as reported by the Issuer (as defined in Item 1(a) below) in its quarterly report filed with the Securities and Exchange Commission (the Commission) on November 4, 2025 (the Form 10-Q).</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8,536,196.00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60"/>
          </w:cols>
          <w:pgMar w:left="320" w:top="166" w:right="41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8,536,196.00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8,536,196.00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securities are held of record by TCG Crossover II. TCG Crossover GP II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134,593,998 shares of Common Stock outstanding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Chen Yu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8,536,196.00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8,536,196.00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8,536,196.00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10040"/>
          </w:cols>
          <w:pgMar w:left="320" w:top="111" w:right="379" w:bottom="0"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securities are held of record by TCG Crossover II. TCG Crossover GP II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134,593,998 shares of Common Stock outstanding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spacing w:after="0" w:line="247" w:lineRule="auto"/>
        <w:rPr>
          <w:sz w:val="20"/>
          <w:szCs w:val="20"/>
          <w:color w:val="auto"/>
        </w:rPr>
      </w:pPr>
      <w:r>
        <w:rPr>
          <w:rFonts w:ascii="Times New Roman" w:cs="Times New Roman" w:eastAsia="Times New Roman" w:hAnsi="Times New Roman"/>
          <w:sz w:val="21"/>
          <w:szCs w:val="21"/>
          <w:color w:val="auto"/>
        </w:rPr>
        <w:t>This Amendment No. 1 (Amendment No. 1) amends and supplements the Schedule 13G initially filed with the Commission on November 20, 2024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w:t>
      </w:r>
    </w:p>
    <w:p>
      <w:pPr>
        <w:spacing w:after="0" w:line="2" w:lineRule="exact"/>
        <w:rPr>
          <w:sz w:val="20"/>
          <w:szCs w:val="20"/>
          <w:color w:val="auto"/>
        </w:rPr>
      </w:pPr>
    </w:p>
    <w:p>
      <w:pPr>
        <w:ind w:left="960" w:right="160" w:hanging="912"/>
        <w:spacing w:after="0" w:line="232"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1 have the meanings ascribed to them in the Original Schedule 13G.</w:t>
      </w:r>
    </w:p>
    <w:p>
      <w:pPr>
        <w:spacing w:after="0" w:line="19"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320" w:hanging="912"/>
        <w:spacing w:after="0"/>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245 Lytton Ave., Suite 350, Palo Alto, CA 94301.</w:t>
      </w:r>
    </w:p>
    <w:p>
      <w:pPr>
        <w:spacing w:after="0" w:line="91"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10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0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200"/>
          </w:cols>
          <w:pgMar w:left="320" w:top="351" w:right="379" w:bottom="0" w:gutter="0" w:footer="0" w:header="0"/>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8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 9 of the cover page for each Reporting Person and the corresponding comments. Each of the Reporting Persons disclaims beneficial ownership as to such securities, except to the extent of his or its pecuniary interest therein.</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8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 11 of the cover page for each Reporting Person and the corresponding comments. Each of the Reporting Persons disclaims beneficial ownership as to such securities, except to the extent of his or its pecuniary interest therein.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See Row 5 of the cover page for each Reporting Person and the corresponding comments. Each of the Reporting Persons disclaims beneficial ownership as to such securities, except to the extent of his or its pecuniary interest therein.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See Row 6 of the cover page for each Reporting Person and the corresponding comments. Each of the Reporting Persons disclaims beneficial ownership as to such securities, except to the extent of his or its pecuniary interest therein.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See Row 7 of the cover page for each Reporting Person and the corresponding comments. Each of the Reporting Persons disclaims beneficial ownership as to such securities, except to the extent of his or its pecuniary interest therein.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See Row 8 of the cover page for each Reporting Person and the corresponding comments. Each of the Reporting Persons disclaims beneficial ownership as to such securities, except to the extent of his or its pecuniary interest therein.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1"/>
          <w:szCs w:val="21"/>
          <w:color w:val="auto"/>
        </w:rPr>
        <w:t>Under certain circumstances set forth in the limited partnership agreements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409" w:right="399" w:bottom="0" w:gutter="0" w:footer="0" w:header="0"/>
          <w:type w:val="continuous"/>
        </w:sectPr>
      </w:pPr>
    </w:p>
    <w:bookmarkStart w:id="5" w:name="page6"/>
    <w:bookmarkEnd w:id="5"/>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Chen Yu</w:t>
      </w:r>
    </w:p>
    <w:p>
      <w:pPr>
        <w:spacing w:after="0" w:line="152"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Craig Skaling, as Attorney-in-Fact for Chen Yu</w:t>
      </w:r>
    </w:p>
    <w:p>
      <w:pPr>
        <w:spacing w:after="0" w:line="44"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2025-11-14T15:32:42Z</dcterms:created>
  <dcterms:modified xsi:type="dcterms:W3CDTF">2025-11-14T15:32:42Z</dcterms:modified>
</cp:coreProperties>
</file>