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August 31,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333-240237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 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BCTG ACQUISITION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85-1195036</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11682 El Camino Real, Suite 320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400-3112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Aaron I. Davis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11682 El Camino Real, Suite 320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400-3112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tbl>
      <w:tblPr>
        <w:tblLayout w:type="fixed"/>
        <w:tblInd w:w="1460" w:type="dxa"/>
        <w:tblCellMar>
          <w:top w:w="0" w:type="dxa"/>
          <w:left w:w="0" w:type="dxa"/>
          <w:bottom w:w="0" w:type="dxa"/>
          <w:right w:w="0" w:type="dxa"/>
        </w:tblCellMar>
      </w:tblPr>
      <w:tr>
        <w:trPr>
          <w:trHeight w:val="230"/>
        </w:trPr>
        <w:tc>
          <w:tcPr>
            <w:tcW w:w="2960" w:type="dxa"/>
            <w:vAlign w:val="bottom"/>
            <w:vMerge w:val="restart"/>
          </w:tcPr>
          <w:p>
            <w:pPr>
              <w:jc w:val="center"/>
              <w:ind w:right="750"/>
              <w:spacing w:after="0"/>
              <w:rPr>
                <w:sz w:val="20"/>
                <w:szCs w:val="20"/>
                <w:color w:val="auto"/>
              </w:rPr>
            </w:pPr>
            <w:r>
              <w:rPr>
                <w:rFonts w:ascii="Arial" w:cs="Arial" w:eastAsia="Arial" w:hAnsi="Arial"/>
                <w:sz w:val="18"/>
                <w:szCs w:val="18"/>
                <w:b w:val="1"/>
                <w:bCs w:val="1"/>
                <w:color w:val="auto"/>
                <w:w w:val="90"/>
              </w:rPr>
              <w:t>Mitchell S. Nussbaum</w:t>
            </w:r>
          </w:p>
        </w:tc>
        <w:tc>
          <w:tcPr>
            <w:tcW w:w="5360" w:type="dxa"/>
            <w:vAlign w:val="bottom"/>
          </w:tcPr>
          <w:p>
            <w:pPr>
              <w:ind w:left="840"/>
              <w:spacing w:after="0"/>
              <w:rPr>
                <w:sz w:val="20"/>
                <w:szCs w:val="20"/>
                <w:color w:val="auto"/>
              </w:rPr>
            </w:pPr>
            <w:r>
              <w:rPr>
                <w:rFonts w:ascii="Arial" w:cs="Arial" w:eastAsia="Arial" w:hAnsi="Arial"/>
                <w:sz w:val="18"/>
                <w:szCs w:val="18"/>
                <w:i w:val="1"/>
                <w:iCs w:val="1"/>
                <w:color w:val="auto"/>
              </w:rPr>
              <w:t>Copies to:</w:t>
            </w:r>
          </w:p>
        </w:tc>
        <w:tc>
          <w:tcPr>
            <w:tcW w:w="0" w:type="dxa"/>
            <w:vAlign w:val="bottom"/>
          </w:tcPr>
          <w:p>
            <w:pPr>
              <w:spacing w:after="0"/>
              <w:rPr>
                <w:sz w:val="1"/>
                <w:szCs w:val="1"/>
                <w:color w:val="auto"/>
              </w:rPr>
            </w:pPr>
          </w:p>
        </w:tc>
      </w:tr>
      <w:tr>
        <w:trPr>
          <w:trHeight w:val="198"/>
        </w:trPr>
        <w:tc>
          <w:tcPr>
            <w:tcW w:w="2960" w:type="dxa"/>
            <w:vAlign w:val="bottom"/>
            <w:vMerge w:val="continue"/>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Giovanni Caruso</w:t>
            </w:r>
          </w:p>
        </w:tc>
        <w:tc>
          <w:tcPr>
            <w:tcW w:w="5360" w:type="dxa"/>
            <w:vAlign w:val="bottom"/>
          </w:tcPr>
          <w:p>
            <w:pPr>
              <w:jc w:val="center"/>
              <w:ind w:left="3110"/>
              <w:spacing w:after="0"/>
              <w:rPr>
                <w:sz w:val="20"/>
                <w:szCs w:val="20"/>
                <w:color w:val="auto"/>
              </w:rPr>
            </w:pPr>
            <w:r>
              <w:rPr>
                <w:rFonts w:ascii="Arial" w:cs="Arial" w:eastAsia="Arial" w:hAnsi="Arial"/>
                <w:sz w:val="18"/>
                <w:szCs w:val="18"/>
                <w:b w:val="1"/>
                <w:bCs w:val="1"/>
                <w:color w:val="auto"/>
                <w:w w:val="93"/>
              </w:rPr>
              <w:t>Christian O. Nagler</w:t>
            </w:r>
          </w:p>
        </w:tc>
        <w:tc>
          <w:tcPr>
            <w:tcW w:w="0" w:type="dxa"/>
            <w:vAlign w:val="bottom"/>
          </w:tcPr>
          <w:p>
            <w:pPr>
              <w:spacing w:after="0"/>
              <w:rPr>
                <w:sz w:val="1"/>
                <w:szCs w:val="1"/>
                <w:color w:val="auto"/>
              </w:rPr>
            </w:pPr>
          </w:p>
        </w:tc>
      </w:tr>
      <w:tr>
        <w:trPr>
          <w:trHeight w:val="216"/>
        </w:trPr>
        <w:tc>
          <w:tcPr>
            <w:tcW w:w="2960" w:type="dxa"/>
            <w:vAlign w:val="bottom"/>
          </w:tcPr>
          <w:p>
            <w:pPr>
              <w:jc w:val="center"/>
              <w:ind w:right="770"/>
              <w:spacing w:after="0"/>
              <w:rPr>
                <w:sz w:val="20"/>
                <w:szCs w:val="20"/>
                <w:color w:val="auto"/>
              </w:rPr>
            </w:pPr>
            <w:r>
              <w:rPr>
                <w:rFonts w:ascii="Arial" w:cs="Arial" w:eastAsia="Arial" w:hAnsi="Arial"/>
                <w:sz w:val="18"/>
                <w:szCs w:val="18"/>
                <w:b w:val="1"/>
                <w:bCs w:val="1"/>
                <w:color w:val="auto"/>
                <w:w w:val="95"/>
              </w:rPr>
              <w:t>Loeb &amp; Loeb LLP</w:t>
            </w:r>
          </w:p>
        </w:tc>
        <w:tc>
          <w:tcPr>
            <w:tcW w:w="5360" w:type="dxa"/>
            <w:vAlign w:val="bottom"/>
          </w:tcPr>
          <w:p>
            <w:pPr>
              <w:jc w:val="center"/>
              <w:ind w:left="3110"/>
              <w:spacing w:after="0"/>
              <w:rPr>
                <w:sz w:val="20"/>
                <w:szCs w:val="20"/>
                <w:color w:val="auto"/>
              </w:rPr>
            </w:pPr>
            <w:r>
              <w:rPr>
                <w:rFonts w:ascii="Arial" w:cs="Arial" w:eastAsia="Arial" w:hAnsi="Arial"/>
                <w:sz w:val="18"/>
                <w:szCs w:val="18"/>
                <w:b w:val="1"/>
                <w:bCs w:val="1"/>
                <w:color w:val="auto"/>
                <w:w w:val="98"/>
              </w:rPr>
              <w:t>Kirkland &amp; Ellis LLP</w:t>
            </w:r>
          </w:p>
        </w:tc>
        <w:tc>
          <w:tcPr>
            <w:tcW w:w="0" w:type="dxa"/>
            <w:vAlign w:val="bottom"/>
          </w:tcPr>
          <w:p>
            <w:pPr>
              <w:spacing w:after="0"/>
              <w:rPr>
                <w:sz w:val="1"/>
                <w:szCs w:val="1"/>
                <w:color w:val="auto"/>
              </w:rPr>
            </w:pPr>
          </w:p>
        </w:tc>
      </w:tr>
      <w:tr>
        <w:trPr>
          <w:trHeight w:val="216"/>
        </w:trPr>
        <w:tc>
          <w:tcPr>
            <w:tcW w:w="29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345 Park Avenue</w:t>
            </w:r>
          </w:p>
        </w:tc>
        <w:tc>
          <w:tcPr>
            <w:tcW w:w="5360" w:type="dxa"/>
            <w:vAlign w:val="bottom"/>
          </w:tcPr>
          <w:p>
            <w:pPr>
              <w:jc w:val="center"/>
              <w:ind w:left="3090"/>
              <w:spacing w:after="0"/>
              <w:rPr>
                <w:sz w:val="20"/>
                <w:szCs w:val="20"/>
                <w:color w:val="auto"/>
              </w:rPr>
            </w:pPr>
            <w:r>
              <w:rPr>
                <w:rFonts w:ascii="Arial" w:cs="Arial" w:eastAsia="Arial" w:hAnsi="Arial"/>
                <w:sz w:val="18"/>
                <w:szCs w:val="18"/>
                <w:b w:val="1"/>
                <w:bCs w:val="1"/>
                <w:color w:val="auto"/>
                <w:w w:val="88"/>
              </w:rPr>
              <w:t>601 Lexington Avenue</w:t>
            </w:r>
          </w:p>
        </w:tc>
        <w:tc>
          <w:tcPr>
            <w:tcW w:w="0" w:type="dxa"/>
            <w:vAlign w:val="bottom"/>
          </w:tcPr>
          <w:p>
            <w:pPr>
              <w:spacing w:after="0"/>
              <w:rPr>
                <w:sz w:val="1"/>
                <w:szCs w:val="1"/>
                <w:color w:val="auto"/>
              </w:rPr>
            </w:pPr>
          </w:p>
        </w:tc>
      </w:tr>
      <w:tr>
        <w:trPr>
          <w:trHeight w:val="216"/>
        </w:trPr>
        <w:tc>
          <w:tcPr>
            <w:tcW w:w="29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New York, New York 10154</w:t>
            </w:r>
          </w:p>
        </w:tc>
        <w:tc>
          <w:tcPr>
            <w:tcW w:w="5360" w:type="dxa"/>
            <w:vAlign w:val="bottom"/>
          </w:tcPr>
          <w:p>
            <w:pPr>
              <w:jc w:val="center"/>
              <w:ind w:left="3110"/>
              <w:spacing w:after="0"/>
              <w:rPr>
                <w:sz w:val="20"/>
                <w:szCs w:val="20"/>
                <w:color w:val="auto"/>
              </w:rPr>
            </w:pPr>
            <w:r>
              <w:rPr>
                <w:rFonts w:ascii="Arial" w:cs="Arial" w:eastAsia="Arial" w:hAnsi="Arial"/>
                <w:sz w:val="18"/>
                <w:szCs w:val="18"/>
                <w:b w:val="1"/>
                <w:bCs w:val="1"/>
                <w:color w:val="auto"/>
                <w:w w:val="92"/>
              </w:rPr>
              <w:t>New York, New York 10022</w:t>
            </w:r>
          </w:p>
        </w:tc>
        <w:tc>
          <w:tcPr>
            <w:tcW w:w="0" w:type="dxa"/>
            <w:vAlign w:val="bottom"/>
          </w:tcPr>
          <w:p>
            <w:pPr>
              <w:spacing w:after="0"/>
              <w:rPr>
                <w:sz w:val="1"/>
                <w:szCs w:val="1"/>
                <w:color w:val="auto"/>
              </w:rPr>
            </w:pPr>
          </w:p>
        </w:tc>
      </w:tr>
      <w:tr>
        <w:trPr>
          <w:trHeight w:val="216"/>
        </w:trPr>
        <w:tc>
          <w:tcPr>
            <w:tcW w:w="2960" w:type="dxa"/>
            <w:vAlign w:val="bottom"/>
          </w:tcPr>
          <w:p>
            <w:pPr>
              <w:jc w:val="center"/>
              <w:ind w:right="750"/>
              <w:spacing w:after="0"/>
              <w:rPr>
                <w:sz w:val="20"/>
                <w:szCs w:val="20"/>
                <w:color w:val="auto"/>
              </w:rPr>
            </w:pPr>
            <w:r>
              <w:rPr>
                <w:rFonts w:ascii="Arial" w:cs="Arial" w:eastAsia="Arial" w:hAnsi="Arial"/>
                <w:sz w:val="18"/>
                <w:szCs w:val="18"/>
                <w:b w:val="1"/>
                <w:bCs w:val="1"/>
                <w:color w:val="auto"/>
                <w:w w:val="90"/>
              </w:rPr>
              <w:t>(212) 407-4000</w:t>
            </w:r>
          </w:p>
        </w:tc>
        <w:tc>
          <w:tcPr>
            <w:tcW w:w="5360" w:type="dxa"/>
            <w:vAlign w:val="bottom"/>
          </w:tcPr>
          <w:p>
            <w:pPr>
              <w:jc w:val="center"/>
              <w:ind w:left="3110"/>
              <w:spacing w:after="0"/>
              <w:rPr>
                <w:sz w:val="20"/>
                <w:szCs w:val="20"/>
                <w:color w:val="auto"/>
              </w:rPr>
            </w:pPr>
            <w:r>
              <w:rPr>
                <w:rFonts w:ascii="Arial" w:cs="Arial" w:eastAsia="Arial" w:hAnsi="Arial"/>
                <w:sz w:val="18"/>
                <w:szCs w:val="18"/>
                <w:b w:val="1"/>
                <w:bCs w:val="1"/>
                <w:color w:val="auto"/>
                <w:w w:val="90"/>
              </w:rPr>
              <w:t>(212) 446-4660</w:t>
            </w:r>
          </w:p>
        </w:tc>
        <w:tc>
          <w:tcPr>
            <w:tcW w:w="0" w:type="dxa"/>
            <w:vAlign w:val="bottom"/>
          </w:tcPr>
          <w:p>
            <w:pPr>
              <w:spacing w:after="0"/>
              <w:rPr>
                <w:sz w:val="1"/>
                <w:szCs w:val="1"/>
                <w:color w:val="auto"/>
              </w:rPr>
            </w:pPr>
          </w:p>
        </w:tc>
      </w:tr>
      <w:tr>
        <w:trPr>
          <w:trHeight w:val="234"/>
        </w:trPr>
        <w:tc>
          <w:tcPr>
            <w:tcW w:w="2960" w:type="dxa"/>
            <w:vAlign w:val="bottom"/>
          </w:tcPr>
          <w:p>
            <w:pPr>
              <w:jc w:val="center"/>
              <w:ind w:right="710"/>
              <w:spacing w:after="0"/>
              <w:rPr>
                <w:sz w:val="20"/>
                <w:szCs w:val="20"/>
                <w:color w:val="auto"/>
              </w:rPr>
            </w:pPr>
            <w:r>
              <w:rPr>
                <w:rFonts w:ascii="Arial" w:cs="Arial" w:eastAsia="Arial" w:hAnsi="Arial"/>
                <w:sz w:val="18"/>
                <w:szCs w:val="18"/>
                <w:b w:val="1"/>
                <w:bCs w:val="1"/>
                <w:color w:val="auto"/>
                <w:w w:val="90"/>
              </w:rPr>
              <w:t>(212) 407-4990 — Facsimile</w:t>
            </w:r>
          </w:p>
        </w:tc>
        <w:tc>
          <w:tcPr>
            <w:tcW w:w="5360" w:type="dxa"/>
            <w:vAlign w:val="bottom"/>
          </w:tcPr>
          <w:p>
            <w:pPr>
              <w:jc w:val="center"/>
              <w:ind w:left="3150"/>
              <w:spacing w:after="0"/>
              <w:rPr>
                <w:sz w:val="20"/>
                <w:szCs w:val="20"/>
                <w:color w:val="auto"/>
              </w:rPr>
            </w:pPr>
            <w:r>
              <w:rPr>
                <w:rFonts w:ascii="Arial" w:cs="Arial" w:eastAsia="Arial" w:hAnsi="Arial"/>
                <w:sz w:val="18"/>
                <w:szCs w:val="18"/>
                <w:b w:val="1"/>
                <w:bCs w:val="1"/>
                <w:color w:val="auto"/>
                <w:w w:val="90"/>
              </w:rPr>
              <w:t>(212) 446-4900 — Facsimile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of this offering.</w:t>
      </w:r>
    </w:p>
    <w:p>
      <w:pPr>
        <w:spacing w:after="0" w:line="229"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76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640" w:type="dxa"/>
            <w:vAlign w:val="bottom"/>
            <w:gridSpan w:val="5"/>
          </w:tcPr>
          <w:p>
            <w:pPr>
              <w:jc w:val="right"/>
              <w:spacing w:after="0"/>
              <w:rPr>
                <w:sz w:val="20"/>
                <w:szCs w:val="20"/>
                <w:color w:val="auto"/>
              </w:rPr>
            </w:pPr>
            <w:r>
              <w:rPr>
                <w:rFonts w:ascii="Arial" w:cs="Arial" w:eastAsia="Arial" w:hAnsi="Arial"/>
                <w:sz w:val="18"/>
                <w:szCs w:val="18"/>
                <w:b w:val="1"/>
                <w:bCs w:val="1"/>
                <w:color w:val="auto"/>
              </w:rPr>
              <w:t>CALCULATION OF REGISTRATION FEE</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3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Proposed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3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1"/>
        </w:trPr>
        <w:tc>
          <w:tcPr>
            <w:tcW w:w="37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Offering 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Being</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per</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Offering</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Registration</w:t>
            </w:r>
          </w:p>
        </w:tc>
      </w:tr>
      <w:tr>
        <w:trPr>
          <w:trHeight w:val="277"/>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Title of Each Class of Security being registered</w:t>
            </w:r>
          </w:p>
        </w:tc>
        <w:tc>
          <w:tcPr>
            <w:tcW w:w="2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Registered</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10"/>
              <w:spacing w:after="0" w:line="270" w:lineRule="exact"/>
              <w:rPr>
                <w:sz w:val="20"/>
                <w:szCs w:val="20"/>
                <w:color w:val="auto"/>
              </w:rPr>
            </w:pPr>
            <w:r>
              <w:rPr>
                <w:rFonts w:ascii="Arial" w:cs="Arial" w:eastAsia="Arial" w:hAnsi="Arial"/>
                <w:sz w:val="18"/>
                <w:szCs w:val="18"/>
                <w:b w:val="1"/>
                <w:bCs w:val="1"/>
                <w:color w:val="auto"/>
                <w:w w:val="86"/>
              </w:rPr>
              <w:t>Security</w:t>
            </w:r>
            <w:r>
              <w:rPr>
                <w:rFonts w:ascii="Arial" w:cs="Arial" w:eastAsia="Arial" w:hAnsi="Arial"/>
                <w:sz w:val="29"/>
                <w:szCs w:val="29"/>
                <w:b w:val="1"/>
                <w:bCs w:val="1"/>
                <w:color w:val="auto"/>
                <w:w w:val="86"/>
                <w:vertAlign w:val="superscript"/>
              </w:rPr>
              <w:t>(1)</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31"/>
                <w:szCs w:val="31"/>
                <w:b w:val="1"/>
                <w:bCs w:val="1"/>
                <w:color w:val="auto"/>
                <w:w w:val="87"/>
                <w:vertAlign w:val="subscript"/>
              </w:rPr>
              <w:t>Price</w:t>
            </w:r>
            <w:r>
              <w:rPr>
                <w:rFonts w:ascii="Arial" w:cs="Arial" w:eastAsia="Arial" w:hAnsi="Arial"/>
                <w:sz w:val="14"/>
                <w:szCs w:val="14"/>
                <w:b w:val="1"/>
                <w:bCs w:val="1"/>
                <w:color w:val="auto"/>
                <w:w w:val="87"/>
              </w:rPr>
              <w:t>(1)(2)</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c>
          <w:tcPr>
            <w:tcW w:w="220" w:type="dxa"/>
            <w:vAlign w:val="bottom"/>
            <w:tcBorders>
              <w:bottom w:val="single" w:sz="8" w:color="CCEEFF"/>
            </w:tcBorders>
          </w:tcPr>
          <w:p>
            <w:pPr>
              <w:spacing w:after="0"/>
              <w:rPr>
                <w:sz w:val="24"/>
                <w:szCs w:val="24"/>
                <w:color w:val="auto"/>
              </w:rPr>
            </w:pPr>
          </w:p>
        </w:tc>
      </w:tr>
      <w:tr>
        <w:trPr>
          <w:trHeight w:val="257"/>
        </w:trPr>
        <w:tc>
          <w:tcPr>
            <w:tcW w:w="3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Common stock, $0.0001 par value </w:t>
            </w:r>
            <w:r>
              <w:rPr>
                <w:rFonts w:ascii="Arial" w:cs="Arial" w:eastAsia="Arial" w:hAnsi="Arial"/>
                <w:sz w:val="29"/>
                <w:szCs w:val="29"/>
                <w:color w:val="auto"/>
                <w:vertAlign w:val="superscript"/>
              </w:rPr>
              <w:t>(2)</w:t>
            </w:r>
          </w:p>
        </w:tc>
        <w:tc>
          <w:tcPr>
            <w:tcW w:w="3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14,375,000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$ 143,750,000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18,658.75(3)</w:t>
            </w:r>
          </w:p>
        </w:tc>
      </w:tr>
    </w:tbl>
    <w:p>
      <w:pPr>
        <w:spacing w:after="0" w:line="20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457(o) under the Securities Act of 1933, as amended.</w:t>
      </w:r>
    </w:p>
    <w:p>
      <w:pPr>
        <w:spacing w:after="0" w:line="34"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the aggregate of 12,500,000 shares to be issued to public stockholders in the public offering, and 1,875,000 shares which may be issued upon exercise of a 45-day option granted to the Underwriter to cover over-allotments, if any.</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spacing w:after="0"/>
        <w:tabs>
          <w:tab w:leader="none" w:pos="6660" w:val="left"/>
        </w:tabs>
        <w:rPr>
          <w:sz w:val="20"/>
          <w:szCs w:val="20"/>
          <w:color w:val="auto"/>
        </w:rPr>
      </w:pPr>
      <w:r>
        <w:rPr>
          <w:rFonts w:ascii="Arial" w:cs="Arial" w:eastAsia="Arial" w:hAnsi="Arial"/>
          <w:sz w:val="18"/>
          <w:szCs w:val="18"/>
          <w:b w:val="1"/>
          <w:bCs w:val="1"/>
          <w:color w:val="FF0000"/>
        </w:rPr>
        <w:t>PRELIMINARY PROSPECTUS</w:t>
      </w:r>
      <w:r>
        <w:rPr>
          <w:sz w:val="20"/>
          <w:szCs w:val="20"/>
          <w:color w:val="auto"/>
        </w:rPr>
        <w:tab/>
      </w:r>
      <w:r>
        <w:rPr>
          <w:rFonts w:ascii="Arial" w:cs="Arial" w:eastAsia="Arial" w:hAnsi="Arial"/>
          <w:sz w:val="17"/>
          <w:szCs w:val="17"/>
          <w:b w:val="1"/>
          <w:bCs w:val="1"/>
          <w:color w:val="FF0000"/>
        </w:rPr>
        <w:t>SUBJECT TO COMPLETION, DATED AUGUST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 SHARES OF COMMON STOCK</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BCTG Acquisition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Although we are not limited to a particular industry or geographic region for purposes of consummating an initial business combination, we intend to focus on businesses that have their primary operations located in North America and Europe in the biotechnology industry.</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is the initial public offering of our common stock, $0.0001 par value, at an initial public offering price of $10.00 per share. Unlike certain other SPAC initial public offerings, investors in this offering will not receive warrants that would become exercisable following completion of our initial business combination.</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granted SVB Leerink LLC a 45-day option to purchase up to an additional 1,875,000 shares (over and above the 12,500,000 shares referred to above) solely to cover over-allotments, if any.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provide the holders of our outstanding shares of common stock that were sold in this offering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in this offering, which we refer to as our “public shares.”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24 months to consummate our initial business combination.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BCTG Holdings, LLC, our sponsor, has committed to purchase from us an aggregate of 450,000 shares of common stock (or 487,500 shares if the underwriter’s over-allotment option is exercised in full) at a price of $10.00 per share ($4,500,000 in the aggregate, or $4,875,000 in the aggregate if the underwriter’s over-allotment option is exercised in full), in a private placement that will close simultaneously with the closing of this offering (the “Private Placement Shares”).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sponsor has entered into an agreement with us to purchase an aggregate of 2,500,000 shares of common stock for an aggregate purchase price of $25,000,000, or $10.00 per share, prior to, concurrently with, or following the closing of our business combination in a private placement. The shares of common stock issuable pursuant to the forward purchase agreement will be identical to the shares of common stock being sold in this offering, except that the holders thereof will have certain registration rights as described herein. The capital from such transaction may be used as part of the consideration to the sellers in our initial business combination, and any excess capital from such private placement would be used for working capital in the post-transaction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324"/>
        <w:spacing w:after="0" w:line="263" w:lineRule="auto"/>
        <w:rPr>
          <w:sz w:val="20"/>
          <w:szCs w:val="20"/>
          <w:color w:val="auto"/>
        </w:rPr>
      </w:pPr>
      <w:r>
        <w:rPr>
          <w:rFonts w:ascii="Arial" w:cs="Arial" w:eastAsia="Arial" w:hAnsi="Arial"/>
          <w:sz w:val="18"/>
          <w:szCs w:val="18"/>
          <w:color w:val="auto"/>
        </w:rPr>
        <w:t>On June 4, 2020, BCTG Holdings, LLC, our sponsor, purchased 3,593,750 shares, which we refer to herein as “founder shares” or “insider shares,” for an aggregate purchase price of $25,000. The founder shares include an aggregate of up to 468,750 shares that are subject to forfeiture to the extent that the underwriter’s over-allotment option is not exercised in full or in part.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is presently no public market for our common stock. We have applied to have our common stock listed on the Nasdaq Capital Market, or Nasdaq, under the symbol “BCTG” on or promptly after the date of this prospectus.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will therefore be subject to reduced public company reporting requirements.</w:t>
      </w:r>
    </w:p>
    <w:p>
      <w:pPr>
        <w:spacing w:after="0" w:line="16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Investing in our common stock involves a high degree of risk. See “Risk Factors” beginning on page 19 of this prospectus for a discussion of information that should be considered in connection with an investment in our common stock.</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Underwriting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Proceeds,</w:t>
            </w:r>
          </w:p>
        </w:tc>
        <w:tc>
          <w:tcPr>
            <w:tcW w:w="0" w:type="dxa"/>
            <w:vAlign w:val="bottom"/>
          </w:tcPr>
          <w:p>
            <w:pPr>
              <w:spacing w:after="0"/>
              <w:rPr>
                <w:sz w:val="1"/>
                <w:szCs w:val="1"/>
                <w:color w:val="auto"/>
              </w:rPr>
            </w:pPr>
          </w:p>
        </w:tc>
      </w:tr>
      <w:tr>
        <w:trPr>
          <w:trHeight w:val="180"/>
        </w:trPr>
        <w:tc>
          <w:tcPr>
            <w:tcW w:w="7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1"/>
              </w:rPr>
              <w:t>Before</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Price to</w:t>
            </w: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Discounts and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Expenses, to</w:t>
            </w:r>
          </w:p>
        </w:tc>
        <w:tc>
          <w:tcPr>
            <w:tcW w:w="0" w:type="dxa"/>
            <w:vAlign w:val="bottom"/>
          </w:tcPr>
          <w:p>
            <w:pPr>
              <w:spacing w:after="0"/>
              <w:rPr>
                <w:sz w:val="1"/>
                <w:szCs w:val="1"/>
                <w:color w:val="auto"/>
              </w:rPr>
            </w:pPr>
          </w:p>
        </w:tc>
      </w:tr>
      <w:tr>
        <w:trPr>
          <w:trHeight w:val="277"/>
        </w:trPr>
        <w:tc>
          <w:tcPr>
            <w:tcW w:w="7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Public</w:t>
            </w:r>
          </w:p>
        </w:tc>
        <w:tc>
          <w:tcPr>
            <w:tcW w:w="1400" w:type="dxa"/>
            <w:vAlign w:val="bottom"/>
            <w:gridSpan w:val="3"/>
          </w:tcPr>
          <w:p>
            <w:pPr>
              <w:spacing w:after="0" w:line="270" w:lineRule="exact"/>
              <w:rPr>
                <w:sz w:val="20"/>
                <w:szCs w:val="20"/>
                <w:color w:val="auto"/>
              </w:rPr>
            </w:pPr>
            <w:r>
              <w:rPr>
                <w:rFonts w:ascii="Arial" w:cs="Arial" w:eastAsia="Arial" w:hAnsi="Arial"/>
                <w:sz w:val="18"/>
                <w:szCs w:val="18"/>
                <w:b w:val="1"/>
                <w:bCs w:val="1"/>
                <w:color w:val="auto"/>
                <w:w w:val="97"/>
              </w:rPr>
              <w:t>Commissions</w:t>
            </w:r>
            <w:r>
              <w:rPr>
                <w:rFonts w:ascii="Arial" w:cs="Arial" w:eastAsia="Arial" w:hAnsi="Arial"/>
                <w:sz w:val="29"/>
                <w:szCs w:val="29"/>
                <w:b w:val="1"/>
                <w:bCs w:val="1"/>
                <w:color w:val="auto"/>
                <w:w w:val="97"/>
                <w:vertAlign w:val="superscript"/>
              </w:rPr>
              <w:t>(1)</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5"/>
              </w:rPr>
              <w:t>us</w:t>
            </w:r>
          </w:p>
        </w:tc>
        <w:tc>
          <w:tcPr>
            <w:tcW w:w="0" w:type="dxa"/>
            <w:vAlign w:val="bottom"/>
          </w:tcPr>
          <w:p>
            <w:pPr>
              <w:spacing w:after="0"/>
              <w:rPr>
                <w:sz w:val="1"/>
                <w:szCs w:val="1"/>
                <w:color w:val="auto"/>
              </w:rPr>
            </w:pPr>
          </w:p>
        </w:tc>
      </w:tr>
      <w:tr>
        <w:trPr>
          <w:trHeight w:val="216"/>
        </w:trPr>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125,000,000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6,875,000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118,125,000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3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$4,375,000, or $0.35 per share, equal to 3.5% of the gross proceeds of this offering (or $5,031,250 if the underwriter’s over-allotment option is exercised in full) payable to the underwriter as deferred underwriting discounts and commissions from the funds to be placed in the trust account described below. Such funds will be released to the underwriter only upon consummation of an initial business combination, as described in this prospectus. If the business combination is not consummated, such deferred discount will be forfeited by the underwriter. The underwriter will not be entitled to any interest accrued on the deferred underwriting discount.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Upon consummation of the offering, $10.00 per share sold to the public in this offering (whether or not the over-allotment option has been exercised in full or part) will be deposited into a United States-based trust account at Morgan Stanley, N.A., with Continental Stock Transfer &amp; Trust Company acting as trustee. Such amount includes $4,375,000, or $0.35 per share (or $5,031,250 if the underwriters’ over-allotment option is exercised in full) payable to the underwriters as deferred underwriting discounts and commissions.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underwriters are offering the common stock on a firm commitment basis. SVB Leerink LLC, acting as the representative of the underwriters,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w w:val="90"/>
              </w:rPr>
              <w:t>expects to deliver the common stock to purchasers on or about</w:t>
            </w:r>
          </w:p>
        </w:tc>
        <w:tc>
          <w:tcPr>
            <w:tcW w:w="6700" w:type="dxa"/>
            <w:vAlign w:val="bottom"/>
          </w:tcPr>
          <w:p>
            <w:pPr>
              <w:jc w:val="right"/>
              <w:ind w:right="5386"/>
              <w:spacing w:after="0"/>
              <w:rPr>
                <w:sz w:val="20"/>
                <w:szCs w:val="20"/>
                <w:color w:val="auto"/>
              </w:rPr>
            </w:pPr>
            <w:r>
              <w:rPr>
                <w:rFonts w:ascii="Arial" w:cs="Arial" w:eastAsia="Arial" w:hAnsi="Arial"/>
                <w:sz w:val="18"/>
                <w:szCs w:val="18"/>
                <w:color w:val="auto"/>
              </w:rPr>
              <w:t>, 2020.</w:t>
            </w:r>
          </w:p>
        </w:tc>
      </w:tr>
      <w:tr>
        <w:trPr>
          <w:trHeight w:val="390"/>
        </w:trPr>
        <w:tc>
          <w:tcPr>
            <w:tcW w:w="4540" w:type="dxa"/>
            <w:vAlign w:val="bottom"/>
          </w:tcPr>
          <w:p>
            <w:pPr>
              <w:spacing w:after="0"/>
              <w:rPr>
                <w:sz w:val="24"/>
                <w:szCs w:val="24"/>
                <w:color w:val="auto"/>
              </w:rPr>
            </w:pPr>
          </w:p>
        </w:tc>
        <w:tc>
          <w:tcPr>
            <w:tcW w:w="6700" w:type="dxa"/>
            <w:vAlign w:val="bottom"/>
          </w:tcPr>
          <w:p>
            <w:pPr>
              <w:jc w:val="center"/>
              <w:ind w:right="4446"/>
              <w:spacing w:after="0"/>
              <w:rPr>
                <w:sz w:val="20"/>
                <w:szCs w:val="20"/>
                <w:color w:val="auto"/>
              </w:rPr>
            </w:pPr>
            <w:r>
              <w:rPr>
                <w:rFonts w:ascii="Arial" w:cs="Arial" w:eastAsia="Arial" w:hAnsi="Arial"/>
                <w:sz w:val="18"/>
                <w:szCs w:val="18"/>
                <w:b w:val="1"/>
                <w:bCs w:val="1"/>
                <w:i w:val="1"/>
                <w:iCs w:val="1"/>
                <w:color w:val="auto"/>
                <w:w w:val="88"/>
              </w:rPr>
              <w:t>Sole Bookrunning Manager</w:t>
            </w:r>
          </w:p>
        </w:tc>
      </w:tr>
      <w:tr>
        <w:trPr>
          <w:trHeight w:val="280"/>
        </w:trPr>
        <w:tc>
          <w:tcPr>
            <w:tcW w:w="4540" w:type="dxa"/>
            <w:vAlign w:val="bottom"/>
          </w:tcPr>
          <w:p>
            <w:pPr>
              <w:spacing w:after="0"/>
              <w:rPr>
                <w:sz w:val="24"/>
                <w:szCs w:val="24"/>
                <w:color w:val="auto"/>
              </w:rPr>
            </w:pPr>
          </w:p>
        </w:tc>
        <w:tc>
          <w:tcPr>
            <w:tcW w:w="6700" w:type="dxa"/>
            <w:vAlign w:val="bottom"/>
          </w:tcPr>
          <w:p>
            <w:pPr>
              <w:jc w:val="center"/>
              <w:ind w:right="4446"/>
              <w:spacing w:after="0"/>
              <w:rPr>
                <w:sz w:val="20"/>
                <w:szCs w:val="20"/>
                <w:color w:val="auto"/>
              </w:rPr>
            </w:pPr>
            <w:r>
              <w:rPr>
                <w:rFonts w:ascii="Arial" w:cs="Arial" w:eastAsia="Arial" w:hAnsi="Arial"/>
                <w:sz w:val="22"/>
                <w:szCs w:val="22"/>
                <w:b w:val="1"/>
                <w:bCs w:val="1"/>
                <w:color w:val="auto"/>
                <w:w w:val="92"/>
              </w:rPr>
              <w:t>SVB Leerink</w:t>
            </w:r>
          </w:p>
        </w:tc>
      </w:tr>
      <w:tr>
        <w:trPr>
          <w:trHeight w:val="422"/>
        </w:trPr>
        <w:tc>
          <w:tcPr>
            <w:tcW w:w="4540" w:type="dxa"/>
            <w:vAlign w:val="bottom"/>
          </w:tcPr>
          <w:p>
            <w:pPr>
              <w:spacing w:after="0"/>
              <w:rPr>
                <w:sz w:val="24"/>
                <w:szCs w:val="24"/>
                <w:color w:val="auto"/>
              </w:rPr>
            </w:pPr>
          </w:p>
        </w:tc>
        <w:tc>
          <w:tcPr>
            <w:tcW w:w="6700" w:type="dxa"/>
            <w:vAlign w:val="bottom"/>
          </w:tcPr>
          <w:p>
            <w:pPr>
              <w:jc w:val="center"/>
              <w:ind w:right="4446"/>
              <w:spacing w:after="0"/>
              <w:rPr>
                <w:sz w:val="20"/>
                <w:szCs w:val="20"/>
                <w:color w:val="auto"/>
              </w:rPr>
            </w:pPr>
            <w:r>
              <w:rPr>
                <w:rFonts w:ascii="Arial" w:cs="Arial" w:eastAsia="Arial" w:hAnsi="Arial"/>
                <w:sz w:val="18"/>
                <w:szCs w:val="18"/>
                <w:b w:val="1"/>
                <w:bCs w:val="1"/>
                <w:color w:val="auto"/>
                <w:w w:val="89"/>
              </w:rPr>
              <w:t>___________, 2020</w:t>
            </w:r>
          </w:p>
        </w:tc>
      </w:tr>
      <w:tr>
        <w:trPr>
          <w:trHeight w:val="682"/>
        </w:trPr>
        <w:tc>
          <w:tcPr>
            <w:tcW w:w="454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40" w:type="dxa"/>
            <w:vAlign w:val="bottom"/>
          </w:tcPr>
          <w:p>
            <w:pPr>
              <w:ind w:left="4440"/>
              <w:spacing w:after="0"/>
              <w:rPr>
                <w:sz w:val="20"/>
                <w:szCs w:val="20"/>
                <w:color w:val="auto"/>
              </w:rPr>
            </w:pPr>
            <w:r>
              <w:rPr>
                <w:rFonts w:ascii="Arial" w:cs="Arial" w:eastAsia="Arial" w:hAnsi="Arial"/>
                <w:sz w:val="18"/>
                <w:szCs w:val="18"/>
                <w:b w:val="1"/>
                <w:bCs w:val="1"/>
                <w:color w:val="auto"/>
              </w:rPr>
              <w:t>BCTG ACQUISITION CORP.</w:t>
            </w:r>
          </w:p>
        </w:tc>
        <w:tc>
          <w:tcPr>
            <w:tcW w:w="1000" w:type="dxa"/>
            <w:vAlign w:val="bottom"/>
          </w:tcPr>
          <w:p>
            <w:pPr>
              <w:spacing w:after="0"/>
              <w:rPr>
                <w:sz w:val="20"/>
                <w:szCs w:val="20"/>
                <w:color w:val="auto"/>
              </w:rPr>
            </w:pPr>
          </w:p>
        </w:tc>
      </w:tr>
      <w:tr>
        <w:trPr>
          <w:trHeight w:val="432"/>
        </w:trPr>
        <w:tc>
          <w:tcPr>
            <w:tcW w:w="102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4"/>
                <w:szCs w:val="24"/>
                <w:color w:val="auto"/>
              </w:rPr>
            </w:pPr>
          </w:p>
        </w:tc>
      </w:tr>
      <w:tr>
        <w:trPr>
          <w:trHeight w:val="452"/>
        </w:trPr>
        <w:tc>
          <w:tcPr>
            <w:tcW w:w="102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SUMMARY FINANCIAL DATA</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CAUTIONARY NOTE REGARDING FORWARD-LOOKING STATEMENTS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USE OF PROCEEDS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DIVIDEND POLICY</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DILUTION</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CAPITALIZATION</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MANAGEMENT’S DISCUSSION AND ANALYSIS OF FINANCIAL CONDITION AND RESULTS OF OPERATIONS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PROPOSED BUSINESS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MANAGEMENT</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PRINCIPAL STOCKHOLDERS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79</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CERTAIN TRANSACTIONS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DESCRIPTION OF SECURITIES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83</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SECURITIES ELIGIBLE FOR FUTURE SALE</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86</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UNDERWRITING (CONFLICTS OF INTEREST)</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88</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LEGAL MATTERS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EXPERTS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92</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WHERE YOU CAN FIND ADDITIONAL INFORMATION</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w:t>
            </w:r>
          </w:p>
        </w:tc>
      </w:tr>
      <w:tr>
        <w:trPr>
          <w:trHeight w:val="230"/>
        </w:trPr>
        <w:tc>
          <w:tcPr>
            <w:tcW w:w="1024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INDEX TO FINANCIAL STATEMENTS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F-1</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6707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0730" cy="6707505"/>
                    </a:xfrm>
                    <a:prstGeom prst="rect">
                      <a:avLst/>
                    </a:prstGeom>
                    <a:noFill/>
                  </pic:spPr>
                </pic:pic>
              </a:graphicData>
            </a:graphic>
          </wp:anchor>
        </w:drawing>
        <w:t>SUMMARY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87" w:lineRule="exact"/>
        <w:rPr>
          <w:sz w:val="20"/>
          <w:szCs w:val="20"/>
          <w:color w:val="auto"/>
        </w:rPr>
      </w:pPr>
    </w:p>
    <w:p>
      <w:pPr>
        <w:ind w:left="660" w:hanging="329"/>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“us” “our” or “our company” refers to BCTG Acquisition Corp.;</w:t>
      </w:r>
    </w:p>
    <w:p>
      <w:pPr>
        <w:spacing w:after="0" w:line="225" w:lineRule="exact"/>
        <w:rPr>
          <w:rFonts w:ascii="Arial" w:cs="Arial" w:eastAsia="Arial" w:hAnsi="Arial"/>
          <w:sz w:val="18"/>
          <w:szCs w:val="18"/>
          <w:i w:val="1"/>
          <w:iCs w:val="1"/>
          <w:color w:val="auto"/>
        </w:rPr>
      </w:pPr>
    </w:p>
    <w:p>
      <w:pPr>
        <w:ind w:left="660" w:hanging="329"/>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“directors” refers to our current directors and director nominees named in this prospectus;</w:t>
      </w:r>
    </w:p>
    <w:p>
      <w:pPr>
        <w:spacing w:after="0" w:line="225" w:lineRule="exact"/>
        <w:rPr>
          <w:rFonts w:ascii="Arial" w:cs="Arial" w:eastAsia="Arial" w:hAnsi="Arial"/>
          <w:sz w:val="18"/>
          <w:szCs w:val="18"/>
          <w:i w:val="1"/>
          <w:iCs w:val="1"/>
          <w:color w:val="auto"/>
        </w:rPr>
      </w:pPr>
    </w:p>
    <w:p>
      <w:pPr>
        <w:ind w:left="660" w:right="20" w:hanging="329"/>
        <w:spacing w:after="0" w:line="27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“initial stockholders” refers to all of our stockholders immediately prior to the date of this prospectus, including our sponsor and officers and directors to the extent they hold such shares;</w:t>
      </w:r>
    </w:p>
    <w:p>
      <w:pPr>
        <w:spacing w:after="0" w:line="170" w:lineRule="exact"/>
        <w:rPr>
          <w:rFonts w:ascii="Arial" w:cs="Arial" w:eastAsia="Arial" w:hAnsi="Arial"/>
          <w:sz w:val="18"/>
          <w:szCs w:val="18"/>
          <w:i w:val="1"/>
          <w:iCs w:val="1"/>
          <w:color w:val="auto"/>
        </w:rPr>
      </w:pPr>
    </w:p>
    <w:p>
      <w:pPr>
        <w:jc w:val="both"/>
        <w:ind w:left="660" w:right="20" w:hanging="329"/>
        <w:spacing w:after="0" w:line="263"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“founder shares” refers to the 3,593,750 shares of common stock initially issued to our sponsor (including up to an aggregate of 468,750 shares of common stock subject to forfeiture to the extent that the underwriter’s over-allotment option is not exercised in full or in part), a portion of which were transferred by our sponsor to certain of our directors, advisors and related companies;</w:t>
      </w:r>
    </w:p>
    <w:p>
      <w:pPr>
        <w:spacing w:after="0" w:line="183" w:lineRule="exact"/>
        <w:rPr>
          <w:rFonts w:ascii="Arial" w:cs="Arial" w:eastAsia="Arial" w:hAnsi="Arial"/>
          <w:sz w:val="18"/>
          <w:szCs w:val="18"/>
          <w:i w:val="1"/>
          <w:iCs w:val="1"/>
          <w:color w:val="auto"/>
        </w:rPr>
      </w:pPr>
    </w:p>
    <w:p>
      <w:pPr>
        <w:ind w:left="660" w:right="20" w:hanging="329"/>
        <w:spacing w:after="0" w:line="27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“private shares” or refers to the shares of common stock we are selling privately to our sponsor and/or its designees upon consummation of this offering;</w:t>
      </w:r>
    </w:p>
    <w:p>
      <w:pPr>
        <w:spacing w:after="0" w:line="170" w:lineRule="exact"/>
        <w:rPr>
          <w:rFonts w:ascii="Arial" w:cs="Arial" w:eastAsia="Arial" w:hAnsi="Arial"/>
          <w:sz w:val="18"/>
          <w:szCs w:val="18"/>
          <w:i w:val="1"/>
          <w:iCs w:val="1"/>
          <w:color w:val="auto"/>
        </w:rPr>
      </w:pPr>
    </w:p>
    <w:p>
      <w:pPr>
        <w:ind w:left="660" w:hanging="329"/>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“sponsor” refers to BCTG Holdings, LLC, a Delaware limited liability company;</w:t>
      </w:r>
    </w:p>
    <w:p>
      <w:pPr>
        <w:spacing w:after="0" w:line="225" w:lineRule="exact"/>
        <w:rPr>
          <w:rFonts w:ascii="Arial" w:cs="Arial" w:eastAsia="Arial" w:hAnsi="Arial"/>
          <w:sz w:val="18"/>
          <w:szCs w:val="18"/>
          <w:i w:val="1"/>
          <w:iCs w:val="1"/>
          <w:color w:val="auto"/>
        </w:rPr>
      </w:pPr>
    </w:p>
    <w:p>
      <w:pPr>
        <w:ind w:left="660" w:hanging="329"/>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or our “management team” refers to our officers and directors;</w:t>
      </w:r>
    </w:p>
    <w:p>
      <w:pPr>
        <w:spacing w:after="0" w:line="225" w:lineRule="exact"/>
        <w:rPr>
          <w:rFonts w:ascii="Arial" w:cs="Arial" w:eastAsia="Arial" w:hAnsi="Arial"/>
          <w:sz w:val="18"/>
          <w:szCs w:val="18"/>
          <w:i w:val="1"/>
          <w:iCs w:val="1"/>
          <w:color w:val="auto"/>
        </w:rPr>
      </w:pPr>
    </w:p>
    <w:p>
      <w:pPr>
        <w:jc w:val="both"/>
        <w:ind w:left="660" w:right="20" w:hanging="329"/>
        <w:spacing w:after="0" w:line="259"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term “public stockholders” means the holders of shares of common stock which are being sold in this public offering, or “public shares,” whether they are purchased in the public offering or in the aftermarket, including any of our initial stockholders to the extent that they purchase such public shares (except that our initial stockholders will not have conversion or tender rights with respect to any public shares they own); and</w:t>
      </w:r>
    </w:p>
    <w:p>
      <w:pPr>
        <w:spacing w:after="0" w:line="186" w:lineRule="exact"/>
        <w:rPr>
          <w:rFonts w:ascii="Arial" w:cs="Arial" w:eastAsia="Arial" w:hAnsi="Arial"/>
          <w:sz w:val="18"/>
          <w:szCs w:val="18"/>
          <w:i w:val="1"/>
          <w:iCs w:val="1"/>
          <w:color w:val="auto"/>
        </w:rPr>
      </w:pPr>
    </w:p>
    <w:p>
      <w:pPr>
        <w:ind w:left="660" w:hanging="329"/>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information in this prospectus assumes that the underwriters will not exercise their over-allotment option.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are a newly organized blank check company incorporated in May 2020 as a Delaware corporation formed for the purpose of effecting a merger, capital stock exchange, asset acquisition, stock purchase, reorganization or similar business combination with one or more businesses, which we refer to throughout this prospectus as our initial business combination. While we may pursue an acquisition opportunity in any business, industry, sector or geographical location, we intend to focus on innovative companies in the biotechnology sector in North America and Europe in order to most effectively leverage our management team’s background and expertise.</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10730" cy="5198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0730" cy="5198745"/>
                    </a:xfrm>
                    <a:prstGeom prst="rect">
                      <a:avLst/>
                    </a:prstGeom>
                    <a:noFill/>
                  </pic:spPr>
                </pic:pic>
              </a:graphicData>
            </a:graphic>
          </wp:anchor>
        </w:drawing>
        <w:t>To date, our efforts have been limited to organizational activities as well as activities related to this offering. We have generated no operating revenues to date, and we do not expect that we will generate operating revenues until we consummate our initial business combination. We have not selected any specific business combination target, and we have not, nor has anyone on our behalf, initiated any substantive discussions, directly or indirectly, with any business combination target.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Sponsor and Competitive Advantages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sponsor is an affiliate of Boxer Capital, LLC, or Boxer Capital, a private biopharmaceutical investment firm based in San Diego, California. Boxer Capital and its affiliated funds manage over $2.2 billion in assets as of July 14, 2020. Boxer Capital was founded in 2005 with approximately $6 million in seed capital from its managing founders and Tavistock Group, which is the family office of Joseph C. Lewis. Since its inception, Boxer Capital has almost exclusively focused on investment in therapeutics. Over 80% of Boxer Capital’s current asset base has been generated by fund performance. Boxer Capital has generated a 7500% cumulative 15-year return with an annualized IRR of 34.3%, including three-, five- and seven-year annualized IRRs of 69.7%, 46.9%, and 51.4%, respectively, since inception in November 2005.</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Today, Tavistock Group remains the majority investor in Boxer Capital and the only significant investor besides the founding management team. Due to its majority ownership by a single investor, Boxer Capital is able to make investment decisions based on long-term value creation without the short-term distractions of fundraising or redemptions. Boxer Capital invests in the entire drug development lifecycle from early-stage preclinical discovery assets to late-stage clinical and commercial stage companies. Aaron Davis, our Chief Executive Officer and Chairman, and Christopher Fuglesang, our President, are among the co-founders of Boxer Capital and serve as its Chief Executive Officer and Managing Director, respectively.</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Boxer Capital’s investment focus is on identifying new therapeutics that will improve patient care and outcomes and investing behind these opportunities to fund their advancement. While more than 75% of Boxer Capital’s invested capital is in public corporations at any given time, the team spends a significant amount of its time reviewing private investment opportunities. Through its experience over many of years investing in therapeutics, Boxer Capital believes that there are important advantages to evaluating companies in the early stage of their development. Investing early allows Boxer Capital to learn about an asset and a management team before they become public and track their growth for subsequent consideration. Many of Boxer Capital’s largest historical and present public positions, such as Avexis, Inc, Beigene Inc., and Blueprint Medicines Corp., were built over time from pre-initial public offering investments utilizing this “crossover investing” approach. Since 2018, Boxer Capital has evaluated hundreds of private companies per year, while investing approximately $300 million in 29 private companies, 18 of which are now publicly traded. In 2020, nine of Boxer Capital’s portfolio companies have closed an initial public offering: Avidity Biosciences, Inc., Black Diamond Therapeutics, Inc., iTeos Therapeutics, Inc., Nurix Pharmaceuticals, Inc., Pandion Therapeutics, Inc., Passage Bio, Inc., Poseida Therapeutics, Inc., Relay Therapeutics, Inc., and Revolution Medicines, Inc. Boxer Capital was the lead investor for the private crossover round in four of these nine initial public offerings and has been the lead investor in nine private financings since 2018. Boxer Capital has invested substantial time and money in new company formation projects centered around licensing promising agents from pharmaceutical companies and pairing these assets with world-class managers and operators to help seed company formation. Boxer Capital has formed and/or recapitalized and rebuilt three publicly traded companies since inception, demonstrating the level of experience and direction the team can provide alongside funding to a potential combination partner.</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1003" w:right="45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10730" cy="6981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0730" cy="6981825"/>
                    </a:xfrm>
                    <a:prstGeom prst="rect">
                      <a:avLst/>
                    </a:prstGeom>
                    <a:noFill/>
                  </pic:spPr>
                </pic:pic>
              </a:graphicData>
            </a:graphic>
          </wp:anchor>
        </w:drawing>
        <w:t>A fundamental area of strength for Boxer Capital has been targeted oncology, having focused on investing in this sector of healthcare for most of the last ten years. For example, Boxer Capital has led an active effort in recapitalizing and repositioning Mirati Therapeutics, Inc. since 2012 when it was MethylGene Inc., playing an important strategic and financial role over the years with its board seat and ownership level to assist the company with its re-focus on an internally developed pipeline of KRAS inhibitor assets, alongside the repositioning of later-stage clinical assets like sitravatinib. Boxer Capital has also made large traditional investments in targeted oncology companies like Immunomedics, Inc., Ignyta Inc. (acquired by Roche in 2017), Loxo Oncology, Inc. (acquired by Eli Lilly and Company in 2019) and Array BioPharma Inc. (acquired by Pfizer in 2019). In addition to investments in already-public companies, Boxer Capital has made multiple investments in private targeted oncology companies that are now among the sector’s most promising public companies, including BeiGene, Inc., Odonate Therapeutics, Inc., SpringWorks Therapeutics, Inc., Revolution Medicines, Inc., Black Diamond Therapeutics, Inc. and Relay Therapeutics, Inc. Over time, with this heavy focus on investing in targeted oncology, Boxer Capital has built a network of research scientists, chemists, physicians, and other experts in areas like manufacturing, intellectual property and food and drug regulations who have expertise in targeted oncology and can be called upon as needed to assist with diligence. To further bolster our support in this area, we have assembled a board of individuals who each have particular expertise in the area of targeted oncology, among other areas. Although we may pursue an acquisition opportunity in any business, industry, or sector, we believe targeted oncology is an area of particular strength where we may have a competitive advantage in finding, evaluating and capitalizing an attractive target company.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team at Boxer Capital is comprised of individuals with backgrounds in finance, drug development, medicine and science. The majority of the team has doctorates in medicine and science, and some have been responsible for multiple Investigational New Drug Applications and New Drug Applications. The in-house team is supplemented by a proprietary network of key opinion leaders, expert consultants, healthcare executives, and biotechnology investors. We believe their holistic approach will enable us to identify and evaluate innovative companies that can address unmet needs in healthcare.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independent directors have very broad experience within targeted oncology, spanning biology, chemistry, preclinical models and translation, clinical enrichment and development strategy, regulatory strategy, manufacturing, intellectual property, operational and management leadership within multiple successful publicly traded and previously acquired oncology companies. Our independent directors have led the discovery and clinical development of multiple targeted oncology drugs treating cancer patients worldwide. As we evaluate prospective candidates for our initial business combination, we believe that their breadth of experience will assist in our ability to source and evaluate prospective business combination candidates. After we execute our initial business combination, we believe their operational and strategic expertise will strongly support the drug development efforts of our target, as well as any potential future acquisitions and strategic transactions.</w:t>
      </w:r>
    </w:p>
    <w:p>
      <w:pPr>
        <w:spacing w:after="0" w:line="17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identifying and capitalizing an attractive target, we believe that the sector expertise and broad relationship network of our management team and board of directors will allow them to add significant value after consummation of an initial transaction by (1) providing strategic guidance on clinical development, competitive positioning, financing and partnerships, (2) assisting in the recruitment of key executives, (3) providing an investor perspective on market information and investor relations and (4) corporate governance and public company readiness.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past performance of the members of our management team, Boxer Capital or its affiliates is not a guarantee that we will be able to identify a suitable candidate for our initial business combination or of success with respect to any business combination we may consummate. You should not rely on the historical record or the performance of our management, Boxer Capital or any of its affiliates’ or managed fund’s performance as indicative of our future performance.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Management and Board of Directors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Aaron I. Davis </w:t>
      </w:r>
      <w:r>
        <w:rPr>
          <w:rFonts w:ascii="Arial" w:cs="Arial" w:eastAsia="Arial" w:hAnsi="Arial"/>
          <w:sz w:val="16"/>
          <w:szCs w:val="16"/>
          <w:color w:val="auto"/>
        </w:rPr>
        <w:t>has served as our Chief Executive Officer and Chairman of our board of directors since May 2020. Mr. Davis co-founded Boxer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LLC (“Boxer Capital”), the healthcare arm of the Tavistock Group, where he has served as portfolio manager since 2005 and as Chief Executive Officer since 2012. At Boxer Capital, Mr. Davis is responsible for identifying, evaluating and structuring investment opportunities in private and public biotechnology companies. Mr. Davis serves as a member of the board of directors of Mirati Therapeutics, Inc. (Nasdaq:MRTX), Odonate Therapeutics, Inc. (Nasdaq:ODT), iTeos Therapeutics, Inc. (Nasdaq:ITOS), and Sojournix, Inc. and serves as the Executive Chairman of CiVi Biopharma Holdings, Inc. Prior to joining the Tavistock Group, Mr. Davis worked in the Global Healthcare Investment Banking and Private Equity Groups at UBS Warburg, LLC. Mr. Davis received an M.A. degree in biotechnology from Columbia University and a B.B.A. degree in finance from Emory University.</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1003" w:right="459" w:bottom="1440" w:gutter="0" w:footer="0" w:header="0"/>
        </w:sectPr>
      </w:pPr>
    </w:p>
    <w:bookmarkStart w:id="8" w:name="page9"/>
    <w:bookmarkEnd w:id="8"/>
    <w:p>
      <w:pPr>
        <w:jc w:val="both"/>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10730" cy="6158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0730" cy="6158865"/>
                    </a:xfrm>
                    <a:prstGeom prst="rect">
                      <a:avLst/>
                    </a:prstGeom>
                    <a:noFill/>
                  </pic:spPr>
                </pic:pic>
              </a:graphicData>
            </a:graphic>
          </wp:anchor>
        </w:drawing>
        <w:t xml:space="preserve">Christopher Fuglesang, Ph.D., J.D., </w:t>
      </w:r>
      <w:r>
        <w:rPr>
          <w:rFonts w:ascii="Arial" w:cs="Arial" w:eastAsia="Arial" w:hAnsi="Arial"/>
          <w:sz w:val="17"/>
          <w:szCs w:val="17"/>
          <w:color w:val="auto"/>
        </w:rPr>
        <w:t>has served as our President and as a member of our board of directors since May 2020. Dr. Fuglesang joined</w:t>
      </w:r>
      <w:r>
        <w:rPr>
          <w:rFonts w:ascii="Arial" w:cs="Arial" w:eastAsia="Arial" w:hAnsi="Arial"/>
          <w:sz w:val="17"/>
          <w:szCs w:val="17"/>
          <w:b w:val="1"/>
          <w:bCs w:val="1"/>
          <w:color w:val="auto"/>
        </w:rPr>
        <w:t xml:space="preserve"> </w:t>
      </w:r>
      <w:r>
        <w:rPr>
          <w:rFonts w:ascii="Arial" w:cs="Arial" w:eastAsia="Arial" w:hAnsi="Arial"/>
          <w:sz w:val="17"/>
          <w:szCs w:val="17"/>
          <w:color w:val="auto"/>
        </w:rPr>
        <w:t>Tavistock Group in 2005 as a vice president and was a co-founder of Boxer Capital, where he has been a managing director since 2012. At Boxer Capital, Dr. Fuglesang assists in managing the firm’s research team, deal structuring and securities compliance. Prior to joining Boxer Capital, Dr. Fuglesang was vice president at Eidogen-Sertanty, Inc., a structural proteomics software company, and an attorney at Perkins Coie LLC. Dr. Fuglesang is a member of the board of directors of Pandion Therapeutics, Inc. (Nasdaq:PAND), CiVi Biopharma Holdings, Inc. and Eidogen-Sertanty, Inc. Dr. Fuglesang served as a member of the board of directors of Kalypsys, Inc. from 2007 to 2013 and of Ambrx Inc. from 2011 to 2015. Dr. Fuglesang received a B.S. in chemistry and physics from the University of California at Los Angeles, a Ph.D. in theoretical chemical physics from the University of California at Los Angeles, and a J.D. from Boston University.</w:t>
      </w:r>
    </w:p>
    <w:p>
      <w:pPr>
        <w:spacing w:after="0" w:line="17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Michael Beauchamp </w:t>
      </w:r>
      <w:r>
        <w:rPr>
          <w:rFonts w:ascii="Arial" w:cs="Arial" w:eastAsia="Arial" w:hAnsi="Arial"/>
          <w:sz w:val="18"/>
          <w:szCs w:val="18"/>
          <w:color w:val="auto"/>
        </w:rPr>
        <w:t>has served as our Chief Financial Officer and Treasurer since May 2020. Mr. Beauchamp has served as Vice President of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at Boxer Capital since January 2016, where he is responsible for the firm’s back office operations, including finance, tax, audit and administration. Prior to joining Boxer Capital, Mr. Beauchamp worked in the assurance practice at PricewaterhouseCoopers from 2012 to 2016. Mr. Beauchamp received a Bachelor of Accountancy degree from the University of San Diego.</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Andrew Ellis, M.D., J.D., </w:t>
      </w:r>
      <w:r>
        <w:rPr>
          <w:rFonts w:ascii="Arial" w:cs="Arial" w:eastAsia="Arial" w:hAnsi="Arial"/>
          <w:sz w:val="18"/>
          <w:szCs w:val="18"/>
          <w:color w:val="auto"/>
        </w:rPr>
        <w:t>has served as our Chief Operating Officer and Secretary since May 2020. Dr. Ellis has served as Senior Counsel and Head of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at Boxer Capital since July 2018, where he is responsible for securities compliance, deal structuring and due diligence for investments in private and public healthcare companies. Prior to joining Boxer Capital, Dr. Ellis was a corporate and securities attorney at Wilson Sonsini Goodrich &amp; Rosati, P.C. from 2013 to 2018, where he worked with life sciences companies and investors on a variety of corporate transactions. Dr. Ellis received an M.D. and general surgery training at Baylor College of Medicine, a J.D. from New York University School of Law, and a B.S. degree in Biology from Baylor University.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Carole L. Nuechterlein, J.D., </w:t>
      </w:r>
      <w:r>
        <w:rPr>
          <w:rFonts w:ascii="Arial" w:cs="Arial" w:eastAsia="Arial" w:hAnsi="Arial"/>
          <w:sz w:val="18"/>
          <w:szCs w:val="18"/>
          <w:color w:val="auto"/>
        </w:rPr>
        <w:t>has agreed to serve on our board of directors following the completion of this offering. Ms. Nuechterlein joined F.</w:t>
      </w:r>
      <w:r>
        <w:rPr>
          <w:rFonts w:ascii="Arial" w:cs="Arial" w:eastAsia="Arial" w:hAnsi="Arial"/>
          <w:sz w:val="18"/>
          <w:szCs w:val="18"/>
          <w:b w:val="1"/>
          <w:bCs w:val="1"/>
          <w:color w:val="auto"/>
        </w:rPr>
        <w:t xml:space="preserve"> </w:t>
      </w:r>
      <w:r>
        <w:rPr>
          <w:rFonts w:ascii="Arial" w:cs="Arial" w:eastAsia="Arial" w:hAnsi="Arial"/>
          <w:sz w:val="18"/>
          <w:szCs w:val="18"/>
          <w:color w:val="auto"/>
        </w:rPr>
        <w:t>Hoffmann-La Roche Ltd. in 2001 and currently serves as a Deputy Director and head of Roche Venture Fund. Prior to that, from 1998 to 2001, Ms. Nuechterlein served as General Counsel for SangStat, Inc., a biopharmaceutical company. Ms. Nuechterlein has served as a member of the board of directors of Millendo Therapeutics, Inc. (Nasdaq:MLND) since March 2017. Ms. Nuechterlein serves and has served as a member of the boards of directors of a number of private biotechnology companies, including Entrada Therapeutics since April 2020, Aligos Therapeutics since August 2018, Vivet Therapeutics SAS since April 2017, CiVi BioPharma, Inc. since March 2017, Mission Therapeutics Ltd. since January 2017, Arch Oncology Inc. since August 2016 and Second Genome, Inc. since April 2016. She also served as a member of the board of directors of AveXis Inc., a biotechnology company (Nasdaq:AVXS), from October 2014 to May 2017. Ms. Nuechterlein received a B.A. from Valparaiso University and a J.D. from University of Michigan.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Richard Heyman, Ph.D., </w:t>
      </w:r>
      <w:r>
        <w:rPr>
          <w:rFonts w:ascii="Arial" w:cs="Arial" w:eastAsia="Arial" w:hAnsi="Arial"/>
          <w:sz w:val="17"/>
          <w:szCs w:val="17"/>
          <w:color w:val="auto"/>
        </w:rPr>
        <w:t>has agreed to serve on our board of directors following the completion of this offering. Dr. Heyman is chairman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and co-founder of Metacrine, Inc., a biotechnology company developing new therapeutics for the treatment of liver and gastrointestinal diseases. He also is on the board of directors of Gritstone Oncology, Inc. (Nasdaq:GRTS) and is the co-founder and chairman of the board of directors of ORIC Pharmaceuticals, Inc. (Nasdaq:ORIC). Previously, Dr. Heyman served as president and chief executive officer of Seragon Pharmaceuticals Inc., or Seragon, a privately-held biotechnology company, which was acquired by Genentech in 2014. Prior to Seragon, he co-founded and served as president and chief executive officer of Aragon Pharmaceuticals, Inc., or Aragon, until it was purchased by Johnson &amp; Johnson in 2013. Dr. Heyman is a venture partner for Arch Ventures and also serves on the boards of directors for private life sciences companies Yumanity Therapeutics, Inc., Vividion Therapeutics, Inc., PMV Pharmaceuticals, Inc. and Amunix Inc. He is Vice Chair of the Board of Trustees at the Salk Institute, on the Board Foundation for the American Association for Cancer Research, or AACR, and on the Board of Visitors at the University of California at San Diego Moores Cancer Center. Dr. Heyman received a B.S. in chemistry from the University of Connecticut and a Ph.D. in pharmacology from the University of Minnesota. He was an NIH post-doctoral fellow and staff scientist at the Salk Institute.</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sectPr>
      </w:pPr>
    </w:p>
    <w:bookmarkStart w:id="9" w:name="page10"/>
    <w:bookmarkEnd w:id="9"/>
    <w:p>
      <w:pPr>
        <w:jc w:val="both"/>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10730" cy="5764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0730" cy="5764530"/>
                    </a:xfrm>
                    <a:prstGeom prst="rect">
                      <a:avLst/>
                    </a:prstGeom>
                    <a:noFill/>
                  </pic:spPr>
                </pic:pic>
              </a:graphicData>
            </a:graphic>
          </wp:anchor>
        </w:drawing>
        <w:t xml:space="preserve">Charles M. Baum, M.D., Ph.D., </w:t>
      </w:r>
      <w:r>
        <w:rPr>
          <w:rFonts w:ascii="Arial" w:cs="Arial" w:eastAsia="Arial" w:hAnsi="Arial"/>
          <w:sz w:val="18"/>
          <w:szCs w:val="18"/>
          <w:color w:val="auto"/>
        </w:rPr>
        <w:t>has agreed to serve on our board of directors following the completion of this offering. Dr. Baum has been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Executive Officer and a member of the board of directors of Mirati Therapeutics, Inc. since November 2012. From June 2003 to September 2012, he was at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he was responsible for the development of several oncology compounds at Schering-Plough Corporation (acquired by Merck). His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has served on the board of directors of Immunomedics, Inc. (Nasdaq:IMMU) since February 2019 and was on the board of directors of Array BioPharma Inc. from 2014 until its acquisition by Pfizer in July 2019. Dr. Baum received his M.D. and Ph.D. (Immunology) degrees from Washington University School of Medicine in St. Louis, Missouri and completed his post-doctoral training at Stanford University.</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Jamie G. Christensen, Ph.D., </w:t>
      </w:r>
      <w:r>
        <w:rPr>
          <w:rFonts w:ascii="Arial" w:cs="Arial" w:eastAsia="Arial" w:hAnsi="Arial"/>
          <w:sz w:val="16"/>
          <w:szCs w:val="16"/>
          <w:color w:val="auto"/>
        </w:rPr>
        <w:t>has agreed to serve on our board of directors following the completion of this offering. Dr. Christensen has been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and Chief Scientific Officer of Mirati Therapeutics, Inc. since June 2013. In his role at Mirati, he is responsible for drug discovery, translational research, drug manufacturing and companion diagnostics research and teams. While at Mirati, Dr. Christensen led activities related to the discovery and advancement of the KRAS G12C inhibitor, MRTX849, as well as the spectrum-selective receptor tyrosine kinase (RTK) inhibitor, sitravatinib, through IND and clinical development. Prior to Mirati, Dr. Christensen most recently was the head of Oncology Precision Medicine and member of the executive leadership team in the Oncology Research Unit at Pfizer. While at Pfizer, Dr Christensen led key aspects of the nonclinical and clinical development of sunitinib (Sutent®), crizotinib (Xalkori®), and palbociclib (Ibrance®). Prior to his time at Pfizer, he held positions at SUGEN/Pharmacia as a Group Leader on the Preclinical Research and Exploratory Development team. Dr. Christensen initiated his industry experience at Warner Lambert/Parke-Davis with research focus in RTK biology and pathway biomarker development in the oncology therapeutic area. Dr. Christensen received his Ph.D. focusing in Molecular Pharmacology from North Carolina State University with dissertation research directed toward characterization of mechanisms of apoptosis dysregulation during the process of carcinogenesis.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Opportunity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biotechnology sector represents a tremendous opportunity for growth, with many promising pre-commercial companies seeking funding and guidance from knowledgeable investment firms. There are multiple trends in the sector that contribute to this growth potential, and we believe they will enable us to identify and acquire an attractive target. These trends include the following:</w:t>
      </w:r>
    </w:p>
    <w:p>
      <w:pPr>
        <w:spacing w:after="0" w:line="211" w:lineRule="exact"/>
        <w:rPr>
          <w:sz w:val="20"/>
          <w:szCs w:val="20"/>
          <w:color w:val="auto"/>
        </w:rPr>
      </w:pPr>
    </w:p>
    <w:p>
      <w:pPr>
        <w:jc w:val="both"/>
        <w:ind w:left="660" w:right="20" w:hanging="329"/>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Rising U.S. healthcare costs</w:t>
      </w:r>
      <w:r>
        <w:rPr>
          <w:rFonts w:ascii="Arial" w:cs="Arial" w:eastAsia="Arial" w:hAnsi="Arial"/>
          <w:sz w:val="17"/>
          <w:szCs w:val="17"/>
          <w:color w:val="auto"/>
        </w:rPr>
        <w:t>. According to the Centers for Medicare and Medicaid Services, or CMS, national healthcare expenditures reached $3.6 trillion in 2018 and accounted for 17.7% of the U.S. GDP. CMS projects that healthcare expenditures will grow at an average rate of 5.4% per year until 2028, when they are predicted to reach $6.2 trillion, or 20% of the U.S. GDP. We believe these budgetary pressures will support the demand for biotechnology companies that create more efficient and effective medical treatments.</w:t>
      </w:r>
    </w:p>
    <w:p>
      <w:pPr>
        <w:spacing w:after="0" w:line="171" w:lineRule="exact"/>
        <w:rPr>
          <w:rFonts w:ascii="Arial" w:cs="Arial" w:eastAsia="Arial" w:hAnsi="Arial"/>
          <w:sz w:val="17"/>
          <w:szCs w:val="17"/>
          <w:color w:val="auto"/>
        </w:rPr>
      </w:pPr>
    </w:p>
    <w:p>
      <w:pPr>
        <w:jc w:val="both"/>
        <w:ind w:left="660" w:right="20" w:hanging="329"/>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Technological progress driving innovation</w:t>
      </w:r>
      <w:r>
        <w:rPr>
          <w:rFonts w:ascii="Arial" w:cs="Arial" w:eastAsia="Arial" w:hAnsi="Arial"/>
          <w:sz w:val="17"/>
          <w:szCs w:val="17"/>
          <w:color w:val="auto"/>
        </w:rPr>
        <w:t>. Biotechnology innovation has accelerated in recent years due to new technology, including advances in computing, artificial intelligence, genetics and cellular engineering. Biotechnology companies have used these tools in many ways, particularly for breakthrough discoveries in the areas of targeted oncology, gene therapy, gene editing and cell therapy. We believe the pace of this advancement can persist and even grow, which could result in many new therapies that address unmet needs.</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sectPr>
      </w:pPr>
    </w:p>
    <w:bookmarkStart w:id="10" w:name="page11"/>
    <w:bookmarkEnd w:id="10"/>
    <w:p>
      <w:pPr>
        <w:jc w:val="both"/>
        <w:ind w:left="660" w:right="20" w:hanging="329"/>
        <w:spacing w:after="0" w:line="27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6758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0730" cy="6758940"/>
                    </a:xfrm>
                    <a:prstGeom prst="rect">
                      <a:avLst/>
                    </a:prstGeom>
                    <a:noFill/>
                  </pic:spPr>
                </pic:pic>
              </a:graphicData>
            </a:graphic>
          </wp:anchor>
        </w:drawing>
        <w:t>Private and public financing activity</w:t>
      </w:r>
      <w:r>
        <w:rPr>
          <w:rFonts w:ascii="Arial" w:cs="Arial" w:eastAsia="Arial" w:hAnsi="Arial"/>
          <w:sz w:val="17"/>
          <w:szCs w:val="17"/>
          <w:color w:val="auto"/>
        </w:rPr>
        <w:t>. The biotechnology IPO “window” has long served as a bellwether for the health of the sector, and recent IPO activity has been strong. According to Renaissance Capital, there were 58 biotechnology IPOs in 2018 and 51 in 2019, raising an aggregate of $6.3 billion and $5.2 billion, respectively. As of July 14, 2020, 29 biotechnology companies have launched successful IPOs year-to-date to raise an aggregate of $4.8 billion. Encouraged by the prospect of a similar result, demand for private financings has also remained strong in 2020. These market dynamics reflect investors’ belief in the long-term growth of the biotechnology industry.</w:t>
      </w:r>
    </w:p>
    <w:p>
      <w:pPr>
        <w:spacing w:after="0" w:line="176" w:lineRule="exact"/>
        <w:rPr>
          <w:rFonts w:ascii="Arial" w:cs="Arial" w:eastAsia="Arial" w:hAnsi="Arial"/>
          <w:sz w:val="17"/>
          <w:szCs w:val="17"/>
          <w:color w:val="auto"/>
        </w:rPr>
      </w:pPr>
    </w:p>
    <w:p>
      <w:pPr>
        <w:jc w:val="both"/>
        <w:ind w:left="660" w:right="20" w:hanging="329"/>
        <w:spacing w:after="0" w:line="27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M&amp;A activity</w:t>
      </w:r>
      <w:r>
        <w:rPr>
          <w:rFonts w:ascii="Arial" w:cs="Arial" w:eastAsia="Arial" w:hAnsi="Arial"/>
          <w:sz w:val="17"/>
          <w:szCs w:val="17"/>
          <w:color w:val="auto"/>
        </w:rPr>
        <w:t>. In recent years, large pharmaceutical companies have increasingly outsourced certain research and development functions by investing in and acquiring companies and assets to supplement their pipelines. 2019 was a particularly strong year for biotechnology mergers and acquisitions, or M&amp;A, with $217.2 billion in M&amp;A deals according to EvaluatePharma. While M&amp;A activity has slowed thus far in 2020, and the full effect of the COVID-19 pandemic is not yet determinable, we believe the need for large pharmaceutical companies to replenish their drug pipelines will persist and will continue to support growth in the biotechnology industry.</w:t>
      </w:r>
    </w:p>
    <w:p>
      <w:pPr>
        <w:spacing w:after="0" w:line="176" w:lineRule="exact"/>
        <w:rPr>
          <w:rFonts w:ascii="Arial" w:cs="Arial" w:eastAsia="Arial" w:hAnsi="Arial"/>
          <w:sz w:val="17"/>
          <w:szCs w:val="17"/>
          <w:color w:val="auto"/>
        </w:rPr>
      </w:pPr>
    </w:p>
    <w:p>
      <w:pPr>
        <w:jc w:val="both"/>
        <w:ind w:left="660" w:right="20" w:hanging="329"/>
        <w:spacing w:after="0" w:line="27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A more accommodating FDA</w:t>
      </w:r>
      <w:r>
        <w:rPr>
          <w:rFonts w:ascii="Arial" w:cs="Arial" w:eastAsia="Arial" w:hAnsi="Arial"/>
          <w:sz w:val="17"/>
          <w:szCs w:val="17"/>
          <w:color w:val="auto"/>
        </w:rPr>
        <w:t>. According to a recent article in Journal of the American Medical Association, the U.S. Food and Drug Administration, or FDA, has approved more drugs on an average annual basis in this decade than in any decade since 1990. A recent article in Nature noted that, after hitting a record-breaking 59 novel drug approvals in 2018, the FDA’s Center for Drug Evaluation and Research, or CDER, approved 48 novel drugs in 2019, which was the third largest number of approvals in the past 25 years. This is due in part to the increased use of special approval and development programs such as fast track designation, breakthrough therapy designation and accelerated approval, but it also reflects the FDA’s increased flexibility as it relates to factors like biomarkers and trial design. A continuance of this trend would support drug development efforts and investment.</w:t>
      </w:r>
    </w:p>
    <w:p>
      <w:pPr>
        <w:spacing w:after="0" w:line="177" w:lineRule="exact"/>
        <w:rPr>
          <w:rFonts w:ascii="Arial" w:cs="Arial" w:eastAsia="Arial" w:hAnsi="Arial"/>
          <w:sz w:val="17"/>
          <w:szCs w:val="17"/>
          <w:color w:val="auto"/>
        </w:rPr>
      </w:pPr>
    </w:p>
    <w:p>
      <w:pPr>
        <w:jc w:val="both"/>
        <w:ind w:left="660" w:right="20" w:hanging="329"/>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Strength despite COVID-19</w:t>
      </w:r>
      <w:r>
        <w:rPr>
          <w:rFonts w:ascii="Arial" w:cs="Arial" w:eastAsia="Arial" w:hAnsi="Arial"/>
          <w:sz w:val="18"/>
          <w:szCs w:val="18"/>
          <w:color w:val="auto"/>
        </w:rPr>
        <w:t>. The Nasdaq Biotech Index (NBI) has outperformed the general market thus far in 2020, with a 12% return for the NBI versus a 1% decline for the S&amp;P 500 as of July 14, 2020. We believe this demand is fueled in part by a renewed focus on the biotechnology sector as a result of the COVID-19 pandemic, which has served as a reminder of the important role biotechnology plays in solving global health problems. We believe this paradigm can serve as an additional tailwind for the growth of promising, innovative biopharmaceutical companies.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becoming publicly traded presents several major benefits for private biotechnology companies, including greater access to capital, more liquid securities and increased customer awareness. Furthermore, we believe an acquisition by a special purpose acquisition company with a respected management team that is well-known to a biotechnology investors and management teams can be a very attractive mechanism for accessing the public markets due to the increased deal certainty, transparency and efficiency it can provide.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Strategy &amp; Investment Criteria</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strategy is to leverage our management team’s expertise and network of key opinion leaders, expert consultants, healthcare executives, biotechnology investors and investment bankers to identify and acquire an attractive target business in the biotechnology industry. We believe that Boxer Capital’s reputation and track record of favorable investments are an additional competitive advantage that will make us an attractive partner for companies in this competitive environment.</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part of our overall strategy, we have identified a set of criteria by which we will evaluate prospective target businesses. While we may enter into a business combination with a company that does not meet all of these criteria, we intend to focus on companies that we believe:</w:t>
      </w:r>
    </w:p>
    <w:p>
      <w:pPr>
        <w:spacing w:after="0" w:line="173" w:lineRule="exact"/>
        <w:rPr>
          <w:sz w:val="20"/>
          <w:szCs w:val="20"/>
          <w:color w:val="auto"/>
        </w:rPr>
      </w:pPr>
    </w:p>
    <w:p>
      <w:pPr>
        <w:ind w:left="660" w:right="20" w:hanging="32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identified a unique mechanism, developed a novel approach to a known mechanism, or made another scientific or technological leap that provides them with a competitive advantage versus current standard of care;</w:t>
      </w:r>
    </w:p>
    <w:p>
      <w:pPr>
        <w:spacing w:after="0" w:line="197" w:lineRule="exact"/>
        <w:rPr>
          <w:rFonts w:ascii="Arial" w:cs="Arial" w:eastAsia="Arial" w:hAnsi="Arial"/>
          <w:sz w:val="18"/>
          <w:szCs w:val="18"/>
          <w:color w:val="auto"/>
        </w:rPr>
      </w:pPr>
    </w:p>
    <w:p>
      <w:pPr>
        <w:ind w:left="660" w:right="20" w:hanging="32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a competent management team with the experience and skillset that is necessary to successfully develop and commercialize promising drug candidates;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1003" w:right="459" w:bottom="1440" w:gutter="0" w:footer="0" w:header="0"/>
        </w:sectPr>
      </w:pPr>
    </w:p>
    <w:bookmarkStart w:id="11" w:name="page12"/>
    <w:bookmarkEnd w:id="11"/>
    <w:p>
      <w:pPr>
        <w:ind w:left="660" w:hanging="3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7290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0730" cy="7290435"/>
                    </a:xfrm>
                    <a:prstGeom prst="rect">
                      <a:avLst/>
                    </a:prstGeom>
                    <a:noFill/>
                  </pic:spPr>
                </pic:pic>
              </a:graphicData>
            </a:graphic>
          </wp:anchor>
        </w:drawing>
        <w:t>are attractively valued due to being overlooked, misunderstood or undercapitalized, leaving ample upside for our stockholders;</w:t>
      </w:r>
    </w:p>
    <w:p>
      <w:pPr>
        <w:spacing w:after="0" w:line="252" w:lineRule="exact"/>
        <w:rPr>
          <w:rFonts w:ascii="Arial" w:cs="Arial" w:eastAsia="Arial" w:hAnsi="Arial"/>
          <w:sz w:val="18"/>
          <w:szCs w:val="18"/>
          <w:color w:val="auto"/>
        </w:rPr>
      </w:pPr>
    </w:p>
    <w:p>
      <w:pPr>
        <w:ind w:left="660" w:hanging="3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have a thesis that can be understood and appreciated by public investors in the current environment; and</w:t>
      </w:r>
    </w:p>
    <w:p>
      <w:pPr>
        <w:spacing w:after="0" w:line="252" w:lineRule="exact"/>
        <w:rPr>
          <w:rFonts w:ascii="Arial" w:cs="Arial" w:eastAsia="Arial" w:hAnsi="Arial"/>
          <w:sz w:val="18"/>
          <w:szCs w:val="18"/>
          <w:color w:val="auto"/>
        </w:rPr>
      </w:pPr>
    </w:p>
    <w:p>
      <w:pPr>
        <w:ind w:left="660" w:hanging="3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benefit from our capital, guidance and network and the public market access we can provide.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criteria are not meant to be exhaustive, and our management team may adopt new or unique criteria over time and depending on each particular situation.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Placements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June 4, 2020, our sponsor purchased 3,593,750 shares, which we refer to throughout this prospectus as the “founder shares” or “insider shares,” for an aggregate purchase price of $25,000. In August 2020, our sponsor transferred an aggregate of 105,000 founder shares to our directors or at their direction, and an aggregate of 75,000 shares to certain persons who will act as our scientific advisors. Such transferred shares will not be subject to forfeiture in the event the underwriter’s over-allotment option is not exercised. The founder shares include an aggregate of up to 468,750 shares held by our sponsor that are subject to forfeiture to the extent that the underwriter’s over-allotment option is not exercised in full or in part, so that our initial stockholders will collectively own 20% of our issued and outstanding shares after this offering (excluding the sale of the private shares and assuming our initial stockholders do not purchase public shares in this offering). None of our initial stockholders has indicated any intention to purchase public shares in this offering.</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founder shares are identical to the public shares. However, our initial stockholders have agreed (A) to vote their founder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of the closing of this offering, unless we provide public stockholders an opportunity to redeem their public shares in conjunction with any such amendment, (C) not to redeem any shares, including founder shares into the right to receive cash from the trust account in connection with a stockholder vote to approve our proposed initial business combination or sell any shares to us in any tender offer in connection with our proposed initial business combination, and (D) that the founder shares shall not participate in any liquidating distribution upon winding up if a business combination is not consummated.</w:t>
      </w:r>
    </w:p>
    <w:p>
      <w:pPr>
        <w:spacing w:after="0" w:line="17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the date of this prospectus, the founder shares will be placed into an escrow account maintained by Continental Stock Transfer &amp; Trust Company acting as escrow agent. Founder shares will not be transferred, assigned, sold or released from escrow until the earlier of (i) 1 year after the date of the consummation of our initial business combination or (ii) the date on which the closing price of our shares of common stock equals or exceeds $12.00 per share (as adjusted for stock splits, stock dividends, reorganizations and recapitalizations) for any 20 trading days within any 30-trading day period commencing at least 150 days after our initial business combination, or earlier if, subsequent to our initial business combination, we consummate a subsequent liquidation, merger, stock exchange or other similar transaction which results in all of our stockholders having the right to exchange their shares of common stock for cash, securities or other property. During the escrow period, the holders of these shares will not be able to sell or transfer their securities except (1) to any persons (including their affiliates and stockholders) participating in the private placement of the private shares, officers, directors, stockholders, employees and members of our sponsor and its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468,750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w:t>
      </w:r>
    </w:p>
    <w:p>
      <w:pPr>
        <w:spacing w:after="0" w:line="17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addition, BCTG Holdings, LLC, our sponsor, has committed to purchase from us an aggregate of 450,000 shares of common stock (or 487,500 shares if the underwriter’s over-allotment option is exercised in full) at a price of $10.00 per share ($4,500,000 in the aggregate, or $4,875,000 in the aggregate if the underwriter’s over-allotment option is exercised in full), in a private placement that will close simultaneously with the closing of this offering.</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1003" w:right="459" w:bottom="1440" w:gutter="0" w:footer="0" w:header="0"/>
        </w:sectPr>
      </w:pPr>
    </w:p>
    <w:bookmarkStart w:id="12" w:name="page13"/>
    <w:bookmarkEnd w:id="12"/>
    <w:p>
      <w:pPr>
        <w:jc w:val="both"/>
        <w:ind w:firstLine="32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7393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0730" cy="7393305"/>
                    </a:xfrm>
                    <a:prstGeom prst="rect">
                      <a:avLst/>
                    </a:prstGeom>
                    <a:noFill/>
                  </pic:spPr>
                </pic:pic>
              </a:graphicData>
            </a:graphic>
          </wp:anchor>
        </w:drawing>
        <w:t>The proceeds from the private placement will be added to the proceeds of this offering and placed in a trust account in the United States with Morgan Stanley, N.A., maintained by Continental Stock Transfer &amp; Trust Company, as trustee. If we do not complete our initial business combination within 24 months, the proceeds from the private placement will be included in the liquidating distribution to the holders of our public shares. The private shares are identical to the shares of common stock sold in this offering.</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sponsor has entered into an agreement with us to purchase an aggregate of 2,500,000 shares of common stock for an aggregate purchase price of $25,000,000, or $10.00 per share of common stock, prior to, concurrently with, or following the closing of our business combination in a private placement. The capital from such transaction may be used as part of the consideration to the sellers in our initial business combination, and any excess capital from such private placement would be used for working capital in the post-transaction company.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17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If public shares of commons stock are purchased by any of our directors, officers or initial stockholders, they will be entitled to funds from the trust account to the same extent as any public stockholder upon our liquidation but will not have redemption rights related thereto.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executive offices are located at 11682 El Camino Real, Suite 320, San Diego, CA 92130, and our telephone number is (858) 400-3112.</w:t>
      </w:r>
    </w:p>
    <w:p>
      <w:pPr>
        <w:spacing w:after="0" w:line="2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June 30, and</w:t>
      </w:r>
    </w:p>
    <w:p>
      <w:pPr>
        <w:spacing w:after="0" w:line="2" w:lineRule="exact"/>
        <w:rPr>
          <w:sz w:val="20"/>
          <w:szCs w:val="20"/>
          <w:color w:val="auto"/>
        </w:rPr>
      </w:pPr>
    </w:p>
    <w:p>
      <w:pPr>
        <w:ind w:right="20" w:firstLine="7"/>
        <w:spacing w:after="0" w:line="260" w:lineRule="auto"/>
        <w:tabs>
          <w:tab w:leader="none" w:pos="26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prior three-year period. References herein to “emerging growth company” will have the meaning associated with it in the JOBS Act.</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 exceeded $100 million during such completed fiscal year and the market value of our common stock held by non-affiliates exceeds $700 million as of the prior June 30.</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1003" w:right="4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5061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0730" cy="5061585"/>
                    </a:xfrm>
                    <a:prstGeom prst="rect">
                      <a:avLst/>
                    </a:prstGeom>
                    <a:noFill/>
                  </pic:spPr>
                </pic:pic>
              </a:graphicData>
            </a:graphic>
          </wp:anchor>
        </w:drawing>
        <w:t>The Offering</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making your decision on whether to invest in our common stock,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19 of this prospectus.</w:t>
      </w:r>
    </w:p>
    <w:p>
      <w:pPr>
        <w:sectPr>
          <w:pgSz w:w="11900" w:h="16838" w:orient="portrait"/>
          <w:cols w:equalWidth="0" w:num="1">
            <w:col w:w="11020"/>
          </w:cols>
          <w:pgMar w:left="420" w:top="999" w:right="45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offered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our securities and proposed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Shares of common stock issued and outstanding before this offering</w:t>
      </w:r>
    </w:p>
    <w:p>
      <w:pPr>
        <w:spacing w:after="0" w:line="162" w:lineRule="exact"/>
        <w:rPr>
          <w:sz w:val="20"/>
          <w:szCs w:val="20"/>
          <w:color w:val="auto"/>
        </w:rPr>
      </w:pPr>
    </w:p>
    <w:p>
      <w:pPr>
        <w:ind w:right="100"/>
        <w:spacing w:after="0" w:line="386" w:lineRule="auto"/>
        <w:rPr>
          <w:sz w:val="20"/>
          <w:szCs w:val="20"/>
          <w:color w:val="auto"/>
        </w:rPr>
      </w:pPr>
      <w:r>
        <w:rPr>
          <w:rFonts w:ascii="Arial" w:cs="Arial" w:eastAsia="Arial" w:hAnsi="Arial"/>
          <w:sz w:val="15"/>
          <w:szCs w:val="15"/>
          <w:b w:val="1"/>
          <w:bCs w:val="1"/>
          <w:color w:val="auto"/>
        </w:rPr>
        <w:t>Shares of common stock to be issued and outstanding after this offering and the sale of private shares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12,500,000 shares of common stock, at $10.00 per share.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anticipate the shares of common stock will be listed on Nasdaq under the symbol “BCTG.”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common stock is expected to begin trading on or promptly after the date of this prospectus.</w:t>
      </w:r>
    </w:p>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We will file a Current Report on Form 8-K with the SEC, including an audited balance sheet, promptly upon the consummation of this offering, which is anticipated to take place two business days from the date the common stock commences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3,593,750</w:t>
      </w:r>
      <w:r>
        <w:rPr>
          <w:rFonts w:ascii="Arial" w:cs="Arial" w:eastAsia="Arial" w:hAnsi="Arial"/>
          <w:sz w:val="29"/>
          <w:szCs w:val="29"/>
          <w:color w:val="auto"/>
          <w:vertAlign w:val="superscript"/>
        </w:rPr>
        <w:t>(1)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16,075,000 shares</w:t>
      </w:r>
      <w:r>
        <w:rPr>
          <w:rFonts w:ascii="Arial" w:cs="Arial" w:eastAsia="Arial" w:hAnsi="Arial"/>
          <w:sz w:val="29"/>
          <w:szCs w:val="29"/>
          <w:color w:val="auto"/>
          <w:vertAlign w:val="superscript"/>
        </w:rPr>
        <w:t>(2)</w:t>
      </w:r>
    </w:p>
    <w:p>
      <w:pPr>
        <w:spacing w:after="0" w:line="135" w:lineRule="exact"/>
        <w:rPr>
          <w:sz w:val="20"/>
          <w:szCs w:val="20"/>
          <w:color w:val="auto"/>
        </w:rPr>
      </w:pPr>
    </w:p>
    <w:p>
      <w:pPr>
        <w:sectPr>
          <w:pgSz w:w="11900" w:h="16838" w:orient="portrait"/>
          <w:cols w:equalWidth="0" w:num="2">
            <w:col w:w="4200" w:space="320"/>
            <w:col w:w="6500"/>
          </w:cols>
          <w:pgMar w:left="420" w:top="999" w:right="459" w:bottom="1440" w:gutter="0" w:footer="0" w:header="0"/>
          <w:type w:val="continuous"/>
        </w:sectPr>
      </w:pPr>
    </w:p>
    <w:p>
      <w:pPr>
        <w:ind w:left="340" w:right="20" w:hanging="333"/>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number includes an aggregate of up to 468,750 shares of common stock held by our sponsor that are subject to forfeiture if the over-allotment option is not fully exercised by the underwriters.</w:t>
      </w:r>
    </w:p>
    <w:p>
      <w:pPr>
        <w:spacing w:after="0" w:line="170" w:lineRule="exact"/>
        <w:rPr>
          <w:rFonts w:ascii="Arial" w:cs="Arial" w:eastAsia="Arial" w:hAnsi="Arial"/>
          <w:sz w:val="18"/>
          <w:szCs w:val="18"/>
          <w:color w:val="auto"/>
        </w:rPr>
      </w:pPr>
    </w:p>
    <w:p>
      <w:pPr>
        <w:ind w:left="340" w:right="20" w:hanging="333"/>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468,750 shares of common stock held by our sponsor have been forfeited. If the over-allotment option is exercised in full, there will be a total of 18,456,250 shares of common stock issued and outstanding.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20"/>
                <w:szCs w:val="20"/>
                <w:color w:val="auto"/>
              </w:rPr>
            </w:pPr>
            <w:r>
              <w:rPr>
                <w:rFonts w:ascii="Arial" w:cs="Arial" w:eastAsia="Arial" w:hAnsi="Arial"/>
                <w:sz w:val="18"/>
                <w:szCs w:val="18"/>
                <w:b w:val="1"/>
                <w:bCs w:val="1"/>
                <w:color w:val="auto"/>
              </w:rPr>
              <w:t>Offering proceeds to be held in trust</w:t>
            </w: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3"/>
              </w:rPr>
              <w:t>$125,000,000 of the net proceeds of this offering (or $143,750,000 if the over-allotment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7"/>
              </w:rPr>
              <w:t>option is exercised in full), including $4,500,000 (or $4,875,000 if the over-allotment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4"/>
              </w:rPr>
              <w:t>option is exercised in full) we will receive from the sale of the private shares, or $10.00</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5"/>
              </w:rPr>
              <w:t>per share sold to the public in this offering, will be placed in a trust account at Morgan</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6"/>
              </w:rPr>
              <w:t>Stanley, N.A., maintained by Continental Stock Transfer &amp; Trust Company, acting as</w:t>
            </w:r>
          </w:p>
        </w:tc>
      </w:tr>
      <w:tr>
        <w:trPr>
          <w:trHeight w:val="230"/>
        </w:trPr>
        <w:tc>
          <w:tcPr>
            <w:tcW w:w="3660" w:type="dxa"/>
            <w:vAlign w:val="bottom"/>
          </w:tcPr>
          <w:p>
            <w:pPr>
              <w:spacing w:after="0"/>
              <w:rPr>
                <w:sz w:val="20"/>
                <w:szCs w:val="20"/>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rPr>
              <w:t>trustee pursuant to an agreement to be signed on the date of this prospectus.</w:t>
            </w:r>
          </w:p>
        </w:tc>
      </w:tr>
      <w:tr>
        <w:trPr>
          <w:trHeight w:val="485"/>
        </w:trPr>
        <w:tc>
          <w:tcPr>
            <w:tcW w:w="3660" w:type="dxa"/>
            <w:vAlign w:val="bottom"/>
          </w:tcPr>
          <w:p>
            <w:pPr>
              <w:spacing w:after="0"/>
              <w:rPr>
                <w:sz w:val="24"/>
                <w:szCs w:val="24"/>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2"/>
              </w:rPr>
              <w:t>Except as set forth below, the proceeds in the trust account will not be released until the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4"/>
              </w:rPr>
              <w:t>earlier of: (1) the completion of an initial business combination within the required time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4"/>
              </w:rPr>
              <w:t>period and (2) our redemption of 100% of the outstanding public shares if we have not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completed a business combination in the required time period. Therefore, unless and until</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2"/>
              </w:rPr>
              <w:t>our initial business combination is consummated, the proceeds held in the trust account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6"/>
              </w:rPr>
              <w:t>will not be available for our use for any expenses related to this offering or expenses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which we may incur related to the investigation and selection of a target business and the</w:t>
            </w:r>
          </w:p>
        </w:tc>
      </w:tr>
      <w:tr>
        <w:trPr>
          <w:trHeight w:val="230"/>
        </w:trPr>
        <w:tc>
          <w:tcPr>
            <w:tcW w:w="3660" w:type="dxa"/>
            <w:vAlign w:val="bottom"/>
          </w:tcPr>
          <w:p>
            <w:pPr>
              <w:spacing w:after="0"/>
              <w:rPr>
                <w:sz w:val="20"/>
                <w:szCs w:val="20"/>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rPr>
              <w:t>negotiation of an agreement to acquire a target business.</w:t>
            </w:r>
          </w:p>
        </w:tc>
      </w:tr>
      <w:tr>
        <w:trPr>
          <w:trHeight w:val="418"/>
        </w:trPr>
        <w:tc>
          <w:tcPr>
            <w:tcW w:w="3660" w:type="dxa"/>
            <w:vAlign w:val="bottom"/>
          </w:tcPr>
          <w:p>
            <w:pPr>
              <w:spacing w:after="0"/>
              <w:rPr>
                <w:sz w:val="24"/>
                <w:szCs w:val="24"/>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Notwithstanding the foregoing, there can be released to us, from time to time, any interest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earned on the funds in the trust account that we may need to pay our tax obligations. With</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this exception, expenses incurred by us may be paid prior to a business combination only</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8"/>
              </w:rPr>
              <w:t>from the net proceeds of this offering not held in the trust account of approximately</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2"/>
              </w:rPr>
              <w:t>$1,250,000 provided, however, that in order to meet our working capital needs following</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rPr>
              <w:t>the consummation of this offering if the funds not held in the trust account are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3"/>
              </w:rPr>
              <w:t>insufficient, our initial stockholders, officers and directors or their affiliates may, but are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1"/>
              </w:rPr>
              <w:t>not obligated to, loan us funds, from time to time or at any time, in whatever amount they</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1"/>
              </w:rPr>
              <w:t>deem reasonable in their sole discretion. Each loan would be evidenced by a promissory</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rPr>
              <w:t>note. The notes would either be paid upon consummation of our initial business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1"/>
              </w:rPr>
              <w:t>combination, without interest, or, at the lender’s discretion, up to $1,500,000 of the notes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8"/>
              </w:rPr>
              <w:t>may be converted upon consummation of our business combination into additional</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6"/>
              </w:rPr>
              <w:t>private shares at a price of $10.00 per share (which, for example, would result in the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holders being issued 50,000 private shares if $500,000 of notes were so converted). Such</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5"/>
              </w:rPr>
              <w:t>private shares will be identical to the private shares to be issued at the closing of this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9"/>
              </w:rPr>
              <w:t>offering. Our stockholders have approved the issuance of the private shares upon</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conversion of such notes, to the extent the holder wishes to so convert them at the time of</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3"/>
              </w:rPr>
              <w:t>the consummation of our initial business combination. If we do not complete a business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2"/>
              </w:rPr>
              <w:t>combination, the loans will only be repaid with funds not held in the trust account, to the</w:t>
            </w:r>
          </w:p>
        </w:tc>
      </w:tr>
      <w:tr>
        <w:trPr>
          <w:trHeight w:val="230"/>
        </w:trPr>
        <w:tc>
          <w:tcPr>
            <w:tcW w:w="3660" w:type="dxa"/>
            <w:vAlign w:val="bottom"/>
          </w:tcPr>
          <w:p>
            <w:pPr>
              <w:spacing w:after="0"/>
              <w:rPr>
                <w:sz w:val="20"/>
                <w:szCs w:val="20"/>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rPr>
              <w:t>extent available.</w:t>
            </w:r>
          </w:p>
        </w:tc>
      </w:tr>
      <w:tr>
        <w:trPr>
          <w:trHeight w:val="458"/>
        </w:trPr>
        <w:tc>
          <w:tcPr>
            <w:tcW w:w="3660" w:type="dxa"/>
            <w:vAlign w:val="bottom"/>
          </w:tcPr>
          <w:p>
            <w:pPr>
              <w:spacing w:after="0"/>
              <w:rPr>
                <w:sz w:val="20"/>
                <w:szCs w:val="20"/>
                <w:color w:val="auto"/>
              </w:rPr>
            </w:pPr>
            <w:r>
              <w:rPr>
                <w:rFonts w:ascii="Arial" w:cs="Arial" w:eastAsia="Arial" w:hAnsi="Arial"/>
                <w:sz w:val="18"/>
                <w:szCs w:val="18"/>
                <w:b w:val="1"/>
                <w:bCs w:val="1"/>
                <w:color w:val="auto"/>
              </w:rPr>
              <w:t>Limited payments to insiders</w:t>
            </w: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8"/>
              </w:rPr>
              <w:t>Prior  to  the  consummation  of  a  business  combination,  there  will  be  no  fees,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0"/>
              </w:rPr>
              <w:t>reimbursements or other cash payments paid to our initial stockholders, officers, directors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9"/>
              </w:rPr>
              <w:t>or their affiliates prior to, or for any services they render in order to effectuate, the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Arial" w:cs="Arial" w:eastAsia="Arial" w:hAnsi="Arial"/>
                <w:sz w:val="18"/>
                <w:szCs w:val="18"/>
                <w:color w:val="auto"/>
                <w:w w:val="92"/>
              </w:rPr>
              <w:t>consummation of a business combination (regardless of the type of transaction that it is)</w:t>
            </w:r>
          </w:p>
        </w:tc>
      </w:tr>
      <w:tr>
        <w:trPr>
          <w:trHeight w:val="230"/>
        </w:trPr>
        <w:tc>
          <w:tcPr>
            <w:tcW w:w="3660" w:type="dxa"/>
            <w:vAlign w:val="bottom"/>
          </w:tcPr>
          <w:p>
            <w:pPr>
              <w:spacing w:after="0"/>
              <w:rPr>
                <w:sz w:val="20"/>
                <w:szCs w:val="20"/>
                <w:color w:val="auto"/>
              </w:rPr>
            </w:pPr>
          </w:p>
        </w:tc>
        <w:tc>
          <w:tcPr>
            <w:tcW w:w="1680" w:type="dxa"/>
            <w:vAlign w:val="bottom"/>
          </w:tcPr>
          <w:p>
            <w:pPr>
              <w:ind w:left="860"/>
              <w:spacing w:after="0"/>
              <w:rPr>
                <w:sz w:val="20"/>
                <w:szCs w:val="20"/>
                <w:color w:val="auto"/>
              </w:rPr>
            </w:pPr>
            <w:r>
              <w:rPr>
                <w:rFonts w:ascii="Arial" w:cs="Arial" w:eastAsia="Arial" w:hAnsi="Arial"/>
                <w:sz w:val="18"/>
                <w:szCs w:val="18"/>
                <w:color w:val="auto"/>
                <w:w w:val="92"/>
              </w:rPr>
              <w:t>other than:</w:t>
            </w:r>
          </w:p>
        </w:tc>
        <w:tc>
          <w:tcPr>
            <w:tcW w:w="566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7340" w:type="dxa"/>
            <w:vAlign w:val="bottom"/>
            <w:gridSpan w:val="2"/>
          </w:tcPr>
          <w:p>
            <w:pPr>
              <w:ind w:left="1400"/>
              <w:spacing w:after="0"/>
              <w:rPr>
                <w:sz w:val="20"/>
                <w:szCs w:val="20"/>
                <w:color w:val="auto"/>
              </w:rPr>
            </w:pPr>
            <w:r>
              <w:rPr>
                <w:rFonts w:ascii="Arial" w:cs="Arial" w:eastAsia="Arial" w:hAnsi="Arial"/>
                <w:sz w:val="18"/>
                <w:szCs w:val="18"/>
                <w:color w:val="auto"/>
              </w:rPr>
              <w:t>●   repayment of loans of up to $300,000 made to us by our sponsor;</w:t>
            </w:r>
          </w:p>
        </w:tc>
      </w:tr>
      <w:tr>
        <w:trPr>
          <w:trHeight w:val="418"/>
        </w:trPr>
        <w:tc>
          <w:tcPr>
            <w:tcW w:w="3660" w:type="dxa"/>
            <w:vAlign w:val="bottom"/>
          </w:tcPr>
          <w:p>
            <w:pPr>
              <w:spacing w:after="0"/>
              <w:rPr>
                <w:sz w:val="24"/>
                <w:szCs w:val="24"/>
                <w:color w:val="auto"/>
              </w:rPr>
            </w:pP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c>
          <w:tcPr>
            <w:tcW w:w="5660" w:type="dxa"/>
            <w:vAlign w:val="bottom"/>
          </w:tcPr>
          <w:p>
            <w:pPr>
              <w:ind w:left="100"/>
              <w:spacing w:after="0"/>
              <w:rPr>
                <w:sz w:val="20"/>
                <w:szCs w:val="20"/>
                <w:color w:val="auto"/>
              </w:rPr>
            </w:pPr>
            <w:r>
              <w:rPr>
                <w:rFonts w:ascii="Arial" w:cs="Arial" w:eastAsia="Arial" w:hAnsi="Arial"/>
                <w:sz w:val="18"/>
                <w:szCs w:val="18"/>
                <w:color w:val="auto"/>
                <w:w w:val="92"/>
              </w:rPr>
              <w:t>payment of $10,000 per month to an affiliate of our sponsor for office space</w:t>
            </w:r>
          </w:p>
        </w:tc>
      </w:tr>
      <w:tr>
        <w:trPr>
          <w:trHeight w:val="230"/>
        </w:trPr>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660" w:type="dxa"/>
            <w:vAlign w:val="bottom"/>
          </w:tcPr>
          <w:p>
            <w:pPr>
              <w:ind w:left="60"/>
              <w:spacing w:after="0"/>
              <w:rPr>
                <w:sz w:val="20"/>
                <w:szCs w:val="20"/>
                <w:color w:val="auto"/>
              </w:rPr>
            </w:pPr>
            <w:r>
              <w:rPr>
                <w:rFonts w:ascii="Arial" w:cs="Arial" w:eastAsia="Arial" w:hAnsi="Arial"/>
                <w:sz w:val="18"/>
                <w:szCs w:val="18"/>
                <w:color w:val="auto"/>
              </w:rPr>
              <w:t>and related services, subject to deferral as described herein;</w:t>
            </w:r>
          </w:p>
        </w:tc>
      </w:tr>
      <w:tr>
        <w:trPr>
          <w:trHeight w:val="418"/>
        </w:trPr>
        <w:tc>
          <w:tcPr>
            <w:tcW w:w="3660" w:type="dxa"/>
            <w:vAlign w:val="bottom"/>
          </w:tcPr>
          <w:p>
            <w:pPr>
              <w:spacing w:after="0"/>
              <w:rPr>
                <w:sz w:val="24"/>
                <w:szCs w:val="24"/>
                <w:color w:val="auto"/>
              </w:rPr>
            </w:pPr>
          </w:p>
        </w:tc>
        <w:tc>
          <w:tcPr>
            <w:tcW w:w="7340" w:type="dxa"/>
            <w:vAlign w:val="bottom"/>
            <w:gridSpan w:val="2"/>
          </w:tcPr>
          <w:p>
            <w:pPr>
              <w:ind w:left="1400"/>
              <w:spacing w:after="0"/>
              <w:rPr>
                <w:sz w:val="20"/>
                <w:szCs w:val="20"/>
                <w:color w:val="auto"/>
              </w:rPr>
            </w:pPr>
            <w:r>
              <w:rPr>
                <w:rFonts w:ascii="Arial" w:cs="Arial" w:eastAsia="Arial" w:hAnsi="Arial"/>
                <w:sz w:val="18"/>
                <w:szCs w:val="18"/>
                <w:color w:val="auto"/>
                <w:w w:val="93"/>
              </w:rPr>
              <w:t>●   repayment of loans which may be made by our insiders, officers, directors or</w:t>
            </w:r>
          </w:p>
        </w:tc>
      </w:tr>
      <w:tr>
        <w:trPr>
          <w:trHeight w:val="216"/>
        </w:trPr>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60" w:type="dxa"/>
            <w:vAlign w:val="bottom"/>
          </w:tcPr>
          <w:p>
            <w:pPr>
              <w:ind w:left="60"/>
              <w:spacing w:after="0"/>
              <w:rPr>
                <w:sz w:val="20"/>
                <w:szCs w:val="20"/>
                <w:color w:val="auto"/>
              </w:rPr>
            </w:pPr>
            <w:r>
              <w:rPr>
                <w:rFonts w:ascii="Arial" w:cs="Arial" w:eastAsia="Arial" w:hAnsi="Arial"/>
                <w:sz w:val="18"/>
                <w:szCs w:val="18"/>
                <w:color w:val="auto"/>
                <w:w w:val="92"/>
              </w:rPr>
              <w:t>any of its or their affiliates to finance transaction costs in connection with an</w:t>
            </w:r>
          </w:p>
        </w:tc>
      </w:tr>
      <w:tr>
        <w:trPr>
          <w:trHeight w:val="230"/>
        </w:trPr>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660" w:type="dxa"/>
            <w:vAlign w:val="bottom"/>
          </w:tcPr>
          <w:p>
            <w:pPr>
              <w:ind w:left="60"/>
              <w:spacing w:after="0"/>
              <w:rPr>
                <w:sz w:val="20"/>
                <w:szCs w:val="20"/>
                <w:color w:val="auto"/>
              </w:rPr>
            </w:pPr>
            <w:r>
              <w:rPr>
                <w:rFonts w:ascii="Arial" w:cs="Arial" w:eastAsia="Arial" w:hAnsi="Arial"/>
                <w:sz w:val="18"/>
                <w:szCs w:val="18"/>
                <w:color w:val="auto"/>
                <w:w w:val="93"/>
              </w:rPr>
              <w:t>initial business combination, the terms of which have not been determined;</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7496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0730" cy="7496175"/>
                    </a:xfrm>
                    <a:prstGeom prst="rect">
                      <a:avLst/>
                    </a:prstGeom>
                    <a:noFill/>
                  </pic:spPr>
                </pic:pic>
              </a:graphicData>
            </a:graphic>
          </wp:anchor>
        </w:drawing>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1026" w:right="4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5720" w:type="dxa"/>
            <w:vAlign w:val="bottom"/>
          </w:tcPr>
          <w:p>
            <w:pPr>
              <w:jc w:val="right"/>
              <w:spacing w:after="0"/>
              <w:rPr>
                <w:sz w:val="20"/>
                <w:szCs w:val="20"/>
                <w:color w:val="auto"/>
              </w:rPr>
            </w:pPr>
            <w:r>
              <w:rPr>
                <w:rFonts w:ascii="Arial" w:cs="Arial" w:eastAsia="Arial" w:hAnsi="Arial"/>
                <w:sz w:val="18"/>
                <w:szCs w:val="18"/>
                <w:color w:val="auto"/>
                <w:w w:val="97"/>
              </w:rPr>
              <w:t>reimbursement of out-of-pocket expenses incurred by them in connection</w:t>
            </w:r>
          </w:p>
        </w:tc>
      </w:tr>
      <w:tr>
        <w:trPr>
          <w:trHeight w:val="216"/>
        </w:trPr>
        <w:tc>
          <w:tcPr>
            <w:tcW w:w="4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Arial" w:cs="Arial" w:eastAsia="Arial" w:hAnsi="Arial"/>
                <w:sz w:val="18"/>
                <w:szCs w:val="18"/>
                <w:color w:val="auto"/>
                <w:w w:val="99"/>
              </w:rPr>
              <w:t>with certain activities on our behalf, such as identifying and investigating</w:t>
            </w:r>
          </w:p>
        </w:tc>
      </w:tr>
      <w:tr>
        <w:trPr>
          <w:trHeight w:val="230"/>
        </w:trPr>
        <w:tc>
          <w:tcPr>
            <w:tcW w:w="4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possible business targets and business combinations; and</w:t>
            </w:r>
          </w:p>
        </w:tc>
      </w:tr>
      <w:tr>
        <w:trPr>
          <w:trHeight w:val="418"/>
        </w:trPr>
        <w:tc>
          <w:tcPr>
            <w:tcW w:w="4260" w:type="dxa"/>
            <w:vAlign w:val="bottom"/>
          </w:tcPr>
          <w:p>
            <w:pPr>
              <w:spacing w:after="0"/>
              <w:rPr>
                <w:sz w:val="24"/>
                <w:szCs w:val="24"/>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5720" w:type="dxa"/>
            <w:vAlign w:val="bottom"/>
          </w:tcPr>
          <w:p>
            <w:pPr>
              <w:jc w:val="right"/>
              <w:spacing w:after="0"/>
              <w:rPr>
                <w:sz w:val="20"/>
                <w:szCs w:val="20"/>
                <w:color w:val="auto"/>
              </w:rPr>
            </w:pPr>
            <w:r>
              <w:rPr>
                <w:rFonts w:ascii="Arial" w:cs="Arial" w:eastAsia="Arial" w:hAnsi="Arial"/>
                <w:sz w:val="18"/>
                <w:szCs w:val="18"/>
                <w:color w:val="auto"/>
                <w:w w:val="98"/>
              </w:rPr>
              <w:t>repayment upon consummation of our initial business combination of any</w:t>
            </w:r>
          </w:p>
        </w:tc>
      </w:tr>
      <w:tr>
        <w:trPr>
          <w:trHeight w:val="216"/>
        </w:trPr>
        <w:tc>
          <w:tcPr>
            <w:tcW w:w="4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Arial" w:cs="Arial" w:eastAsia="Arial" w:hAnsi="Arial"/>
                <w:sz w:val="18"/>
                <w:szCs w:val="18"/>
                <w:color w:val="auto"/>
                <w:w w:val="95"/>
              </w:rPr>
              <w:t>loans which may be made by our initial stockholders or their affiliates or our</w:t>
            </w:r>
          </w:p>
        </w:tc>
      </w:tr>
      <w:tr>
        <w:trPr>
          <w:trHeight w:val="216"/>
        </w:trPr>
        <w:tc>
          <w:tcPr>
            <w:tcW w:w="4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Arial" w:cs="Arial" w:eastAsia="Arial" w:hAnsi="Arial"/>
                <w:sz w:val="18"/>
                <w:szCs w:val="18"/>
                <w:color w:val="auto"/>
              </w:rPr>
              <w:t>officers and directors to finance transaction costs in connection with an</w:t>
            </w:r>
          </w:p>
        </w:tc>
      </w:tr>
      <w:tr>
        <w:trPr>
          <w:trHeight w:val="216"/>
        </w:trPr>
        <w:tc>
          <w:tcPr>
            <w:tcW w:w="4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Arial" w:cs="Arial" w:eastAsia="Arial" w:hAnsi="Arial"/>
                <w:sz w:val="18"/>
                <w:szCs w:val="18"/>
                <w:color w:val="auto"/>
                <w:w w:val="92"/>
              </w:rPr>
              <w:t>intended initial business combination. Up to $1,500,000 of such loans may be</w:t>
            </w:r>
          </w:p>
        </w:tc>
      </w:tr>
      <w:tr>
        <w:trPr>
          <w:trHeight w:val="216"/>
        </w:trPr>
        <w:tc>
          <w:tcPr>
            <w:tcW w:w="4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Arial" w:cs="Arial" w:eastAsia="Arial" w:hAnsi="Arial"/>
                <w:sz w:val="18"/>
                <w:szCs w:val="18"/>
                <w:color w:val="auto"/>
                <w:w w:val="94"/>
              </w:rPr>
              <w:t>convertible into private shares at a price of $10.00 per share at the option of</w:t>
            </w:r>
          </w:p>
        </w:tc>
      </w:tr>
      <w:tr>
        <w:trPr>
          <w:trHeight w:val="230"/>
        </w:trPr>
        <w:tc>
          <w:tcPr>
            <w:tcW w:w="4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the lender.</w:t>
            </w:r>
          </w:p>
        </w:tc>
      </w:tr>
      <w:tr>
        <w:trPr>
          <w:trHeight w:val="418"/>
        </w:trPr>
        <w:tc>
          <w:tcPr>
            <w:tcW w:w="4260" w:type="dxa"/>
            <w:vAlign w:val="bottom"/>
          </w:tcPr>
          <w:p>
            <w:pPr>
              <w:spacing w:after="0"/>
              <w:rPr>
                <w:sz w:val="24"/>
                <w:szCs w:val="24"/>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2"/>
              </w:rPr>
              <w:t>There is no limit on the amount of out-of-pocket expenses reimbursable by us; provided,</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0"/>
              </w:rPr>
              <w:t>however, that to the extent such expenses exceed the available proceeds not deposited in</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0"/>
              </w:rPr>
              <w:t>the trust account and the interest income earned on the amounts held in the trust account</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0"/>
              </w:rPr>
              <w:t>available to us, such expenses would not be reimbursed by us unless we consummate an</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8"/>
              </w:rPr>
              <w:t>initial  business  combination.  Our  audit  committee  will  review  and  approve  all</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rPr>
              <w:t>reimbursements and payments made to any initial stockholder or member of our</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2"/>
              </w:rPr>
              <w:t>management team, or their respective affiliates, and any reimbursements and payments</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2"/>
              </w:rPr>
              <w:t>made to members of our audit committee will be reviewed and approved by our board of</w:t>
            </w:r>
          </w:p>
        </w:tc>
      </w:tr>
      <w:tr>
        <w:trPr>
          <w:trHeight w:val="230"/>
        </w:trPr>
        <w:tc>
          <w:tcPr>
            <w:tcW w:w="4260" w:type="dxa"/>
            <w:vAlign w:val="bottom"/>
          </w:tcPr>
          <w:p>
            <w:pPr>
              <w:spacing w:after="0"/>
              <w:rPr>
                <w:sz w:val="20"/>
                <w:szCs w:val="20"/>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rPr>
              <w:t>directors, with any interested director abstaining from such review and approval.</w:t>
            </w:r>
          </w:p>
        </w:tc>
      </w:tr>
      <w:tr>
        <w:trPr>
          <w:trHeight w:val="414"/>
        </w:trPr>
        <w:tc>
          <w:tcPr>
            <w:tcW w:w="4260" w:type="dxa"/>
            <w:vAlign w:val="bottom"/>
          </w:tcPr>
          <w:p>
            <w:pPr>
              <w:spacing w:after="0"/>
              <w:rPr>
                <w:sz w:val="20"/>
                <w:szCs w:val="20"/>
                <w:color w:val="auto"/>
              </w:rPr>
            </w:pPr>
            <w:r>
              <w:rPr>
                <w:rFonts w:ascii="Arial" w:cs="Arial" w:eastAsia="Arial" w:hAnsi="Arial"/>
                <w:sz w:val="18"/>
                <w:szCs w:val="18"/>
                <w:b w:val="1"/>
                <w:bCs w:val="1"/>
                <w:color w:val="auto"/>
                <w:w w:val="95"/>
              </w:rPr>
              <w:t>Transfer Restriction on Founder Shares and Private</w:t>
            </w: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1"/>
              </w:rPr>
              <w:t>Except as described herein, our initial stockholders have agreed not to transfer, assign or</w:t>
            </w:r>
          </w:p>
        </w:tc>
      </w:tr>
      <w:tr>
        <w:trPr>
          <w:trHeight w:val="220"/>
        </w:trPr>
        <w:tc>
          <w:tcPr>
            <w:tcW w:w="4260" w:type="dxa"/>
            <w:vAlign w:val="bottom"/>
          </w:tcPr>
          <w:p>
            <w:pPr>
              <w:spacing w:after="0"/>
              <w:rPr>
                <w:sz w:val="20"/>
                <w:szCs w:val="20"/>
                <w:color w:val="auto"/>
              </w:rPr>
            </w:pPr>
            <w:r>
              <w:rPr>
                <w:rFonts w:ascii="Arial" w:cs="Arial" w:eastAsia="Arial" w:hAnsi="Arial"/>
                <w:sz w:val="18"/>
                <w:szCs w:val="18"/>
                <w:b w:val="1"/>
                <w:bCs w:val="1"/>
                <w:color w:val="auto"/>
              </w:rPr>
              <w:t>Placement Shares</w:t>
            </w: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4"/>
              </w:rPr>
              <w:t>sell any of their founder shares until the earliest of (A) one year after the completion of</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3"/>
              </w:rPr>
              <w:t>our initial business combination and (B) subsequent to our initial business combination,</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7"/>
              </w:rPr>
              <w:t>(x) if the closing price of our common stock equals or exceeds $12.00 per share (as</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2"/>
              </w:rPr>
              <w:t>adjusted for share splits, share capitalizations, reorganizations, recapitalizations and the</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4"/>
              </w:rPr>
              <w:t>like) for any 20 trading days within any 30-trading day period commencing at least 150</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8"/>
              </w:rPr>
              <w:t>days after our initial business combination, or (y) the date on which we complete a</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7"/>
              </w:rPr>
              <w:t>liquidation, merger, share exchange, reorganization or other similar transaction that</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8"/>
              </w:rPr>
              <w:t>results in all of our public shareholders having the right to exchange their shares of</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1"/>
              </w:rPr>
              <w:t>common stock for cash, securities or other property. Any permitted transferees would be</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6"/>
              </w:rPr>
              <w:t>subject to the same restrictions and other agreements of our initial stockholders with</w:t>
            </w:r>
          </w:p>
        </w:tc>
      </w:tr>
      <w:tr>
        <w:trPr>
          <w:trHeight w:val="230"/>
        </w:trPr>
        <w:tc>
          <w:tcPr>
            <w:tcW w:w="4260" w:type="dxa"/>
            <w:vAlign w:val="bottom"/>
          </w:tcPr>
          <w:p>
            <w:pPr>
              <w:spacing w:after="0"/>
              <w:rPr>
                <w:sz w:val="20"/>
                <w:szCs w:val="20"/>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rPr>
              <w:t>respect to any founder shares.</w:t>
            </w:r>
          </w:p>
        </w:tc>
      </w:tr>
      <w:tr>
        <w:trPr>
          <w:trHeight w:val="418"/>
        </w:trPr>
        <w:tc>
          <w:tcPr>
            <w:tcW w:w="4260" w:type="dxa"/>
            <w:vAlign w:val="bottom"/>
          </w:tcPr>
          <w:p>
            <w:pPr>
              <w:spacing w:after="0"/>
              <w:rPr>
                <w:sz w:val="24"/>
                <w:szCs w:val="24"/>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1"/>
              </w:rPr>
              <w:t>The private placement shares will not be transferable, assignable or salable until 30 days</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2"/>
              </w:rPr>
              <w:t>after the completion of our initial business combination (except with respect to permitted</w:t>
            </w:r>
          </w:p>
        </w:tc>
      </w:tr>
      <w:tr>
        <w:trPr>
          <w:trHeight w:val="230"/>
        </w:trPr>
        <w:tc>
          <w:tcPr>
            <w:tcW w:w="4260" w:type="dxa"/>
            <w:vAlign w:val="bottom"/>
          </w:tcPr>
          <w:p>
            <w:pPr>
              <w:spacing w:after="0"/>
              <w:rPr>
                <w:sz w:val="20"/>
                <w:szCs w:val="20"/>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rPr>
              <w:t>transferees as described herein).</w:t>
            </w:r>
          </w:p>
        </w:tc>
      </w:tr>
      <w:tr>
        <w:trPr>
          <w:trHeight w:val="418"/>
        </w:trPr>
        <w:tc>
          <w:tcPr>
            <w:tcW w:w="4260" w:type="dxa"/>
            <w:vAlign w:val="bottom"/>
          </w:tcPr>
          <w:p>
            <w:pPr>
              <w:spacing w:after="0"/>
              <w:rPr>
                <w:sz w:val="20"/>
                <w:szCs w:val="20"/>
                <w:color w:val="auto"/>
              </w:rPr>
            </w:pPr>
            <w:r>
              <w:rPr>
                <w:rFonts w:ascii="Arial" w:cs="Arial" w:eastAsia="Arial" w:hAnsi="Arial"/>
                <w:sz w:val="18"/>
                <w:szCs w:val="18"/>
                <w:b w:val="1"/>
                <w:bCs w:val="1"/>
                <w:color w:val="auto"/>
              </w:rPr>
              <w:t>Potential revisions to agreements with insiders</w:t>
            </w: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7"/>
              </w:rPr>
              <w:t>We could seek to amend certain agreements made by our insiders disclosed in this</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1"/>
              </w:rPr>
              <w:t>prospectus without the approval of stockholders, although we have no intention to do so.</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3"/>
              </w:rPr>
              <w:t>For example, restrictions on our executives relating to the voting of securities owned by</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5"/>
              </w:rPr>
              <w:t>them, the agreement of our management team to remain with us until the closing of a</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5"/>
              </w:rPr>
              <w:t>business combination, the obligation of our management team to not propose certain</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1"/>
              </w:rPr>
              <w:t>changes to our organizational documents or the obligation of the management team and</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3"/>
              </w:rPr>
              <w:t>its affiliates to not receive any compensation in connection with a business combination</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3"/>
              </w:rPr>
              <w:t>could be modified without obtaining stockholder approval. Although stockholders would</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2"/>
              </w:rPr>
              <w:t>not be given the opportunity to redeem their shares in connection with such changes, in</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rPr>
              <w:t>no event would we be able to modify the redemption or liquidation rights of our</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8"/>
              </w:rPr>
              <w:t>stockholders without permitting our stockholders the right to redeem their shares in</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6"/>
              </w:rPr>
              <w:t>connection with any such change. We will not agree to any such changes unless we</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w w:val="91"/>
              </w:rPr>
              <w:t>believed that such changes were in the best interests of our stockholders (for example, if</w:t>
            </w:r>
          </w:p>
        </w:tc>
      </w:tr>
      <w:tr>
        <w:trPr>
          <w:trHeight w:val="230"/>
        </w:trPr>
        <w:tc>
          <w:tcPr>
            <w:tcW w:w="4260" w:type="dxa"/>
            <w:vAlign w:val="bottom"/>
          </w:tcPr>
          <w:p>
            <w:pPr>
              <w:spacing w:after="0"/>
              <w:rPr>
                <w:sz w:val="20"/>
                <w:szCs w:val="20"/>
                <w:color w:val="auto"/>
              </w:rPr>
            </w:pPr>
          </w:p>
        </w:tc>
        <w:tc>
          <w:tcPr>
            <w:tcW w:w="6740" w:type="dxa"/>
            <w:vAlign w:val="bottom"/>
            <w:gridSpan w:val="2"/>
          </w:tcPr>
          <w:p>
            <w:pPr>
              <w:ind w:left="260"/>
              <w:spacing w:after="0"/>
              <w:rPr>
                <w:sz w:val="20"/>
                <w:szCs w:val="20"/>
                <w:color w:val="auto"/>
              </w:rPr>
            </w:pPr>
            <w:r>
              <w:rPr>
                <w:rFonts w:ascii="Arial" w:cs="Arial" w:eastAsia="Arial" w:hAnsi="Arial"/>
                <w:sz w:val="18"/>
                <w:szCs w:val="18"/>
                <w:color w:val="auto"/>
              </w:rPr>
              <w:t>such a modification were necessary to complete a business combination).</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7547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0730" cy="7547610"/>
                    </a:xfrm>
                    <a:prstGeom prst="rect">
                      <a:avLst/>
                    </a:prstGeom>
                    <a:noFill/>
                  </pic:spPr>
                </pic:pic>
              </a:graphicData>
            </a:graphic>
          </wp:anchor>
        </w:drawing>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1030"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Purchase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7"/>
          <w:szCs w:val="17"/>
          <w:color w:val="auto"/>
        </w:rPr>
        <w:t>Our sponsor has entered into an agreement with us to purchase at least an aggregate of 2,500,000 shares of common stock for an aggregate purchase price of $25,000,000, or $10.00 per share of common stock, prior to, concurrently with, or following the closing of our business combination in a private placement. The capital from such transaction may be used as part of the consideration to the sellers in our initial business combination, and any excess capital from such private placement would be used for working capital in the post-transaction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-1169670</wp:posOffset>
            </wp:positionV>
            <wp:extent cx="7110730" cy="5473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0730" cy="5473065"/>
                    </a:xfrm>
                    <a:prstGeom prst="rect">
                      <a:avLst/>
                    </a:prstGeom>
                    <a:noFill/>
                  </pic:spPr>
                </pic:pic>
              </a:graphicData>
            </a:graphic>
          </wp:anchor>
        </w:drawing>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public stockholders may seek to convert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 If enough stockholders tender their shares so that we are unable to satisfy any applicable closing condition set forth in the definitive agreement related to our initial business combination, or we are unable to maintain net tangible assets of at least $5,000,001, we will not consummate such initial business combination. 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0" w:lineRule="exact"/>
        <w:rPr>
          <w:sz w:val="20"/>
          <w:szCs w:val="20"/>
          <w:color w:val="auto"/>
        </w:rPr>
      </w:pPr>
    </w:p>
    <w:p>
      <w:pPr>
        <w:sectPr>
          <w:pgSz w:w="11900" w:h="16838" w:orient="portrait"/>
          <w:cols w:equalWidth="0" w:num="2">
            <w:col w:w="4160" w:space="360"/>
            <w:col w:w="6480"/>
          </w:cols>
          <w:pgMar w:left="420" w:top="999" w:right="4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29210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type w:val="continuous"/>
        </w:sectPr>
      </w:pPr>
    </w:p>
    <w:bookmarkStart w:id="17" w:name="page18"/>
    <w:bookmarkEnd w:id="17"/>
    <w:p>
      <w:pPr>
        <w:jc w:val="both"/>
        <w:ind w:left="35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5627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0730" cy="5627370"/>
                    </a:xfrm>
                    <a:prstGeom prst="rect">
                      <a:avLst/>
                    </a:prstGeom>
                    <a:noFill/>
                  </pic:spPr>
                </pic:pic>
              </a:graphicData>
            </a:graphic>
          </wp:anchor>
        </w:drawing>
        <w:t>We have determined not to consummate any business combination unless we have net tangible assets of at least $5,000,001 upon such consummation in order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79" w:lineRule="exact"/>
        <w:rPr>
          <w:sz w:val="20"/>
          <w:szCs w:val="20"/>
          <w:color w:val="auto"/>
        </w:rPr>
      </w:pPr>
    </w:p>
    <w:p>
      <w:pPr>
        <w:jc w:val="both"/>
        <w:ind w:left="3500"/>
        <w:spacing w:after="0" w:line="284" w:lineRule="auto"/>
        <w:rPr>
          <w:sz w:val="20"/>
          <w:szCs w:val="20"/>
          <w:color w:val="auto"/>
        </w:rPr>
      </w:pPr>
      <w:r>
        <w:rPr>
          <w:rFonts w:ascii="Arial" w:cs="Arial" w:eastAsia="Arial" w:hAnsi="Arial"/>
          <w:sz w:val="16"/>
          <w:szCs w:val="16"/>
          <w:color w:val="auto"/>
        </w:rPr>
        <w:t>Our initial stockholders have agreed (A) to vote their founder shares and any public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unless we provide public stockholder an opportunity to redeem their public shares in conjunction with any such amendment, (C) not to convert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None of our initial stockholders or their affiliates has indicated any intention to purchase public shares in this offering or any shares of common stock in the open market or in private transactions. However,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Exchange Act, which are rules designed to stop potential manipulation of a company’s stock or purchasing shares when the buyer is in possession of material non-public information about the Company.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1440" w:top="1003" w:right="479" w:bottom="1440" w:gutter="0" w:footer="0" w:header="0"/>
        </w:sectPr>
      </w:pPr>
    </w:p>
    <w:bookmarkStart w:id="18" w:name="page19"/>
    <w:bookmarkEnd w:id="18"/>
    <w:p>
      <w:pPr>
        <w:ind w:right="360"/>
        <w:spacing w:after="0" w:line="282" w:lineRule="auto"/>
        <w:rPr>
          <w:sz w:val="20"/>
          <w:szCs w:val="20"/>
          <w:color w:val="auto"/>
        </w:rPr>
      </w:pPr>
      <w:r>
        <w:rPr>
          <w:rFonts w:ascii="Arial" w:cs="Arial" w:eastAsia="Arial" w:hAnsi="Arial"/>
          <w:sz w:val="18"/>
          <w:szCs w:val="18"/>
          <w:b w:val="1"/>
          <w:bCs w:val="1"/>
          <w:color w:val="auto"/>
        </w:rPr>
        <w:t>Conditions to completing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7"/>
          <w:szCs w:val="17"/>
          <w:color w:val="auto"/>
        </w:rPr>
        <w:t>Further, there is no limitation on our ability to raise funds privately or through loans in connection with our initial business combination. Our initial business combination must occur with one or more target businesses that together have an aggregate fair market value of at least 80% of the value of the trust account (excluding any deferred underwriter’s fees and taxes payable on the income earned on the trust account) at the time of the agreement to enter into the initial business combination. If we are no longer listed on Nasdaq, we will not be required to satisfy the 80%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-1169670</wp:posOffset>
            </wp:positionV>
            <wp:extent cx="7110730" cy="7273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0730" cy="7273290"/>
                    </a:xfrm>
                    <a:prstGeom prst="rect">
                      <a:avLst/>
                    </a:prstGeom>
                    <a:noFill/>
                  </pic:spPr>
                </pic:pic>
              </a:graphicData>
            </a:graphic>
          </wp:anchor>
        </w:drawing>
      </w:r>
    </w:p>
    <w:p>
      <w:pPr>
        <w:spacing w:after="0" w:line="15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our board is not able to independently determine the fair market value of the target business or businesses, we may obtain an opinion from an independent investment banking or accounting firm as to the fair market value of the target business. We will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any stockholder meeting called to approve a proposed initial business combination, each public stockholder will have the right, regardless of whether he, she or it is voting for or against such proposed business combination, to demand that we convert his, her or its public shares into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 upon consummation of the business combination.</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require public stockholders wishing to exercise conversion rights, whether they are a record holder or hold their shares in “street name,” to either tender the certificates they are seeking to convert to our transfer agent or to deliver the shares they are seeking to convert to the transfer agent electronically using Depository Trust Company’s DWAC (Deposit/Withdrawal At Custodian) System, at the holder’s option, at any time at or prior to the vote on the business combination. 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 The conversion rights will include the requirement that a beneficial holder must identify itself in order to validly redeem its shares.</w:t>
      </w:r>
    </w:p>
    <w:p>
      <w:pPr>
        <w:spacing w:after="0" w:line="200" w:lineRule="exact"/>
        <w:rPr>
          <w:sz w:val="20"/>
          <w:szCs w:val="20"/>
          <w:color w:val="auto"/>
        </w:rPr>
      </w:pPr>
    </w:p>
    <w:p>
      <w:pPr>
        <w:sectPr>
          <w:pgSz w:w="11900" w:h="16838" w:orient="portrait"/>
          <w:cols w:equalWidth="0" w:num="2">
            <w:col w:w="3800" w:space="720"/>
            <w:col w:w="6480"/>
          </w:cols>
          <w:pgMar w:left="420" w:top="999" w:right="479" w:bottom="1440" w:gutter="0" w:footer="0" w:header="0"/>
        </w:sect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29210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Release of funds in trust account upon closing of our initial business combination</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7"/>
          <w:szCs w:val="17"/>
          <w:color w:val="auto"/>
        </w:rPr>
        <w:t xml:space="preserve">Under Delaware law, we may be required to give a minimum of only ten days’ notice for each general meeting. As a result, if we require public stockholders who wish to convert their shares of common stock into the right to receive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-1186815</wp:posOffset>
            </wp:positionV>
            <wp:extent cx="7110730" cy="5901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0730" cy="5901690"/>
                    </a:xfrm>
                    <a:prstGeom prst="rect">
                      <a:avLst/>
                    </a:prstGeom>
                    <a:noFill/>
                  </pic:spPr>
                </pic:pic>
              </a:graphicData>
            </a:graphic>
          </wp:anchor>
        </w:drawing>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require public stockholders who wish to convert their shares of common stock to comply with specific delivery requirements for conversion described above and such proposed business combination is not consummated, we will promptly return such certificates to the tendering public stockholders.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82" w:lineRule="exact"/>
        <w:rPr>
          <w:sz w:val="20"/>
          <w:szCs w:val="20"/>
          <w:color w:val="auto"/>
        </w:rPr>
      </w:pPr>
    </w:p>
    <w:p>
      <w:pPr>
        <w:sectPr>
          <w:pgSz w:w="11900" w:h="16838" w:orient="portrait"/>
          <w:cols w:equalWidth="0" w:num="2">
            <w:col w:w="4040" w:space="480"/>
            <w:col w:w="6480"/>
          </w:cols>
          <w:pgMar w:left="420" w:top="1030" w:right="479" w:bottom="1440" w:gutter="0" w:footer="0" w:header="0"/>
        </w:sectPr>
      </w:pPr>
    </w:p>
    <w:p>
      <w:pPr>
        <w:spacing w:after="0"/>
        <w:tabs>
          <w:tab w:leader="none" w:pos="4500" w:val="left"/>
        </w:tabs>
        <w:rPr>
          <w:sz w:val="20"/>
          <w:szCs w:val="20"/>
          <w:color w:val="auto"/>
        </w:rPr>
      </w:pPr>
      <w:r>
        <w:rPr>
          <w:rFonts w:ascii="Arial" w:cs="Arial" w:eastAsia="Arial" w:hAnsi="Arial"/>
          <w:sz w:val="18"/>
          <w:szCs w:val="18"/>
          <w:b w:val="1"/>
          <w:bCs w:val="1"/>
          <w:color w:val="auto"/>
        </w:rPr>
        <w:t>Liquidation if no business combination</w:t>
      </w:r>
      <w:r>
        <w:rPr>
          <w:sz w:val="20"/>
          <w:szCs w:val="20"/>
          <w:color w:val="auto"/>
        </w:rPr>
        <w:tab/>
      </w:r>
      <w:r>
        <w:rPr>
          <w:rFonts w:ascii="Arial" w:cs="Arial" w:eastAsia="Arial" w:hAnsi="Arial"/>
          <w:sz w:val="16"/>
          <w:szCs w:val="16"/>
          <w:color w:val="auto"/>
        </w:rPr>
        <w:t>If we are unable to complete our initial business combination within 24 months from the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closing of this offering, we will (i) cease all operations except for the purpose of winding</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up, (ii) as promptly as reasonably possible but not more than five business days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thereafter, redeem 100% of the outstanding public shares (including any public shares in</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this offering or any public shares that our initial stockholders or their affiliates purchased</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in this offering or later acquired in the open market or in private transactions), which</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redemption  will completely  extinguish public  stockholders’ rights as stockholders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(including the right to receive further liquidation distributions, if any), subject to</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applicable law, and (iii) as promptly as reasonably practicable following such redemption,</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subject to the approval of our remaining holders of common stock and our board of</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directors, proceed to commence a voluntary liquidation and thereby a formal dissolution</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of the Company, subject (in the case of (ii) and (iii) above) to our obligations to provide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claims of creditors and the requirements of applicable law.</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1030" w:right="479" w:bottom="1440" w:gutter="0" w:footer="0" w:header="0"/>
          <w:type w:val="continuous"/>
        </w:sectPr>
      </w:pPr>
    </w:p>
    <w:bookmarkStart w:id="20" w:name="page21"/>
    <w:bookmarkEnd w:id="20"/>
    <w:p>
      <w:pPr>
        <w:jc w:val="both"/>
        <w:ind w:left="35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50615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0730" cy="5061585"/>
                    </a:xfrm>
                    <a:prstGeom prst="rect">
                      <a:avLst/>
                    </a:prstGeom>
                    <a:noFill/>
                  </pic:spPr>
                </pic:pic>
              </a:graphicData>
            </a:graphic>
          </wp:anchor>
        </w:drawing>
        <w:t>In connection with our redemption of 100% of our outstanding public shares for a portion of the funds held in the trust account, each holder will receive a full pro rata portion of the amount then in the trust account, plus any pro rata interest earned on the funds held in the trust account and not necessary to pay our taxes payable on such funds.</w:t>
      </w:r>
    </w:p>
    <w:p>
      <w:pPr>
        <w:spacing w:after="0" w:line="157" w:lineRule="exact"/>
        <w:rPr>
          <w:sz w:val="20"/>
          <w:szCs w:val="20"/>
          <w:color w:val="auto"/>
        </w:rPr>
      </w:pPr>
    </w:p>
    <w:p>
      <w:pPr>
        <w:jc w:val="both"/>
        <w:ind w:left="3500"/>
        <w:spacing w:after="0" w:line="290" w:lineRule="auto"/>
        <w:rPr>
          <w:sz w:val="20"/>
          <w:szCs w:val="20"/>
          <w:color w:val="auto"/>
        </w:rPr>
      </w:pPr>
      <w:r>
        <w:rPr>
          <w:rFonts w:ascii="Arial" w:cs="Arial" w:eastAsia="Arial" w:hAnsi="Arial"/>
          <w:sz w:val="16"/>
          <w:szCs w:val="16"/>
          <w:color w:val="auto"/>
        </w:rPr>
        <w:t>We may not have funds sufficient to pay or provide for all creditors’ claims. Although we will seek to have all third parties (including any vendors or other entities we engage after this offering, other than our independent registered public accounting firm)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w:t>
      </w:r>
    </w:p>
    <w:p>
      <w:pPr>
        <w:spacing w:after="0" w:line="165" w:lineRule="exact"/>
        <w:rPr>
          <w:sz w:val="20"/>
          <w:szCs w:val="20"/>
          <w:color w:val="auto"/>
        </w:rPr>
      </w:pPr>
    </w:p>
    <w:p>
      <w:pPr>
        <w:jc w:val="both"/>
        <w:ind w:left="3500"/>
        <w:spacing w:after="0" w:line="263" w:lineRule="auto"/>
        <w:rPr>
          <w:sz w:val="20"/>
          <w:szCs w:val="20"/>
          <w:color w:val="auto"/>
        </w:rPr>
      </w:pPr>
      <w:r>
        <w:rPr>
          <w:rFonts w:ascii="Arial" w:cs="Arial" w:eastAsia="Arial" w:hAnsi="Arial"/>
          <w:sz w:val="18"/>
          <w:szCs w:val="18"/>
          <w:color w:val="auto"/>
        </w:rPr>
        <w:t>The holders of the founder shares and private shares will not participate in any redemption distribution with respect to their founder shares and private shares, but may have any public shares redeemed upon liquidation.</w:t>
      </w:r>
    </w:p>
    <w:p>
      <w:pPr>
        <w:spacing w:after="0" w:line="184" w:lineRule="exact"/>
        <w:rPr>
          <w:sz w:val="20"/>
          <w:szCs w:val="20"/>
          <w:color w:val="auto"/>
        </w:rPr>
      </w:pPr>
    </w:p>
    <w:p>
      <w:pPr>
        <w:jc w:val="both"/>
        <w:ind w:left="3500"/>
        <w:spacing w:after="0" w:line="285" w:lineRule="auto"/>
        <w:rPr>
          <w:sz w:val="20"/>
          <w:szCs w:val="20"/>
          <w:color w:val="auto"/>
        </w:rPr>
      </w:pPr>
      <w:r>
        <w:rPr>
          <w:rFonts w:ascii="Arial" w:cs="Arial" w:eastAsia="Arial" w:hAnsi="Arial"/>
          <w:sz w:val="16"/>
          <w:szCs w:val="16"/>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$10.00. The proceeds deposited in the trust account could, however, become subject to claims of our creditors that are in preference to the claims of our stockholders. Furthermore, our underwriters may seek recourse against the proceeds in the trust account relating to any future claims they may have against us.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approximately $10.00. We will pay the costs of any subsequent liquidation from our remaining assets outside of the trust account. If such funds are insufficient, our sponsor has agreed to pay the funds necessary to complete such liquidation and has agreed not to seek repayment for such expenses. We currently do not anticipate that such funds will be insufficient.</w:t>
      </w:r>
    </w:p>
    <w:p>
      <w:pPr>
        <w:spacing w:after="0" w:line="200" w:lineRule="exact"/>
        <w:rPr>
          <w:sz w:val="20"/>
          <w:szCs w:val="20"/>
          <w:color w:val="auto"/>
        </w:rPr>
      </w:pPr>
    </w:p>
    <w:p>
      <w:pPr>
        <w:spacing w:after="0" w:line="29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1440" w:top="1003" w:right="4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16332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0730" cy="1633220"/>
                    </a:xfrm>
                    <a:prstGeom prst="rect">
                      <a:avLst/>
                    </a:prstGeom>
                    <a:noFill/>
                  </pic:spPr>
                </pic:pic>
              </a:graphicData>
            </a:graphic>
          </wp:anchor>
        </w:drawing>
        <w:t>RISKS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Arial" w:cs="Arial" w:eastAsia="Arial" w:hAnsi="Arial"/>
          <w:sz w:val="16"/>
          <w:szCs w:val="16"/>
          <w:i w:val="1"/>
          <w:iCs w:val="1"/>
          <w:color w:val="auto"/>
        </w:rPr>
        <w:t>Proposed Business — Comparison to offerings of blank check companies subject to Rule 419</w:t>
      </w:r>
      <w:r>
        <w:rPr>
          <w:rFonts w:ascii="Arial" w:cs="Arial" w:eastAsia="Arial" w:hAnsi="Arial"/>
          <w:sz w:val="16"/>
          <w:szCs w:val="16"/>
          <w:color w:val="auto"/>
        </w:rPr>
        <w:t>.” You should carefully consider these and the other risks set forth in the section entitled “Risk Factors” beginning on page 19 of this prospectus.</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10730" cy="23615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0730" cy="2361565"/>
                    </a:xfrm>
                    <a:prstGeom prst="rect">
                      <a:avLst/>
                    </a:prstGeom>
                    <a:noFill/>
                  </pic:spPr>
                </pic:pic>
              </a:graphicData>
            </a:graphic>
          </wp:anchor>
        </w:drawing>
        <w:t>SUMMARY FINANCIAL DATA</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Actual</w:t>
            </w: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As Adjusted</w:t>
            </w:r>
          </w:p>
        </w:tc>
        <w:tc>
          <w:tcPr>
            <w:tcW w:w="100" w:type="dxa"/>
            <w:vAlign w:val="bottom"/>
          </w:tcPr>
          <w:p>
            <w:pPr>
              <w:spacing w:after="0"/>
              <w:rPr>
                <w:sz w:val="20"/>
                <w:szCs w:val="20"/>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(deficiency)</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121,899,528</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63,493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126,274,528</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4,375,000</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Value of common stock subject to possible redemption</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116,899,520</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5,000,008</w:t>
            </w:r>
          </w:p>
        </w:tc>
      </w:tr>
    </w:tbl>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common stock.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newly formed blank check company in the early stage with no operating history and no revenues, and you have no basis on which to evaluate our ability to achieve our business objective.</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 recently formed blank check company with no operating results, and we will not commence operations until obtaining funding through this offering and consummating our initial business combination.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our initial business combination and may be unable to complete our initial business combination. If we fail to complete our initial business combination, we will never generate any operating revenues.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Past performance by Boxer Capital, including our management team, may not be indicative of future performance of an investment in us.</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Information regarding performance by, or businesses associated with, Boxer Capital is presented for informational purposes only. Any past experience and performance of Boxer Capital or our management team is not a guarantee either: (1) that we will be able to successfully identify a suitable candidate for our initial business combination; or (2) of any results with respect to any initial business combination we may consummate. You should not rely on the historical record of Boxer Capital or our management team’s performance as indicative of the future performance of an investment in us or the returns we will, or are likely to, generate going forward. An investment in us is not an investment in Boxer Capital. None of our sponsor, officers, directors or Boxer Capital has had experience with a blank check company or special purpose acquisition company in the past.</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The requirement that the target business or businesses that we acquire must collectively have a fair market value equal to at least 80% of the balance of the funds in the trust account (excluding any taxes payable) at the time of the execution of a definitive agreement for our initial business combination may limit the type and number of companies with which we may complete such a business combination.</w:t>
      </w:r>
    </w:p>
    <w:p>
      <w:pPr>
        <w:spacing w:after="0" w:line="1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Nasdaq listing rules, the target business or businesses that we acquire must collectively have a fair market value equal to at least 80% of the balance of the funds in the trust account (excluding any taxes payable)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which may be less than $10.00 per share.</w:t>
      </w:r>
    </w:p>
    <w:p>
      <w:pPr>
        <w:spacing w:after="0" w:line="172"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Our public stockholders may not be afforded an opportunity to vote on our proposed business combination, which means we may consummate our initial business combination even though a majority of our public stockholders do not support such a combination.</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 stockholder vote is not required, we may conduct redemptions via a tender offer. Accordingly, we may consummate our initial business combination even if holders of a majority of our public shares do not approve the business combination.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82"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one or more target businesses. Because our board of directors may consummate our initial business combination without seeking stockholder approval, public stockholders may not have the right or opportunity to vote on the business combination.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business combination.</w:t>
      </w:r>
    </w:p>
    <w:p>
      <w:pPr>
        <w:spacing w:after="0" w:line="17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our initial business combination with a target.</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enter into a transaction agreement with a prospective target that requires as a closing condition that we have a minimum net worth or a certain amount of cash. If too many public stockholders exercise their redemption rights, we may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would be aware of these risks and, thus, may be reluctant to enter into our initial business combination transaction with us.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ability of a large number of our stockholders to exercise redemption rights may not allow us to consummate the most desirable business combination or optimize our capital structure.</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successful consummation of our business combination, we may redeem up to that number of shares of common stock that would permit us to maintain net tangible assets of $5,000,001. If our business combination requires us to use substantially all of our cash to pay the purchase price, the redemption threshold may be further limited. Alternatively, we may need to arrange third party financing to help fund our business combination in case a larger percentage of stockholders exercise their redemption rights than we expect. If the acquisition involves the issuance of our shares as consideration, we may be required to issue a higher percentage of our shares to the target or its stockholders to make up for the failure to satisfy a minimum cash requirement.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spacing w:after="0" w:line="282" w:lineRule="auto"/>
        <w:rPr>
          <w:sz w:val="20"/>
          <w:szCs w:val="20"/>
          <w:color w:val="auto"/>
        </w:rPr>
      </w:pPr>
      <w:r>
        <w:rPr>
          <w:rFonts w:ascii="Arial" w:cs="Arial" w:eastAsia="Arial" w:hAnsi="Arial"/>
          <w:sz w:val="18"/>
          <w:szCs w:val="18"/>
          <w:b w:val="1"/>
          <w:bCs w:val="1"/>
          <w:color w:val="auto"/>
        </w:rPr>
        <w:t>The requirement that we maintain a minimum net worth or retain a certain amount of cash could increase the probability that we cannot consummate our business combination and that you would have to wait for liquidation in order to redeem your shares.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pursuant to the terms of our proposed business combination, we are required to maintain a minimum net worth or retain a certain amount of cash in trust in order to consummate the business combination and regardless of whether we proceed with redemptions under the tender offer or proxy rules, the probability that we cannot consummate our business combination is increased. If we do not consummate our business combination, you would not receive your pro rata portion of the trust account until we liquidate. If you are in need of immediate liquidity, you could attempt to sell your shares in the open market; however, at such time our shares may trade at a discount to the pro rata amount in our trust account. In either situation, you may suffer a material loss on your investment or lose the benefit of funds expected in connection with our redemption until we liquidate or you are able to sell your shares in the open market.</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requirement that we complete our initial business combination within 24 months from the closing of this offering may give potential target businesses leverage over us in negotiating our initial business combination.</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our initial business combination will be aware that we must consummate our initial business combination within 24 months from the closing of this offering. Consequently, such target businesses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sponsor, officers and directors have agreed that we must complete our initial business combination within 24 months from the closing of this offering. We may not be able to find a suitable target business and consummate our initial business combination within such time period. If we are unable to consummate our initial business combination within the required time period, we will, as promptly as reasonably possible but not more than five business days thereafter (subject to our certificate of incorporation and Delaware law), distribute the aggregate amount then on deposit in the trust account (net of taxes payable), pro rata to our public stockholders by way of redemption and cease all operations except for the purposes of winding up of our affairs, as further described herein. This redemption of public stockholders from the trust account shall be effected as required by function of our certificate of incorporation and prior to any voluntary winding up.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right="20"/>
        <w:spacing w:after="0" w:line="347" w:lineRule="auto"/>
        <w:rPr>
          <w:sz w:val="20"/>
          <w:szCs w:val="20"/>
          <w:color w:val="auto"/>
        </w:rPr>
      </w:pPr>
      <w:r>
        <w:rPr>
          <w:rFonts w:ascii="Arial" w:cs="Arial" w:eastAsia="Arial" w:hAnsi="Arial"/>
          <w:sz w:val="16"/>
          <w:szCs w:val="16"/>
          <w:b w:val="1"/>
          <w:bCs w:val="1"/>
          <w:color w:val="auto"/>
        </w:rPr>
        <w:t>If we seek stockholder approval of our business combination, our sponsor, directors, officers, advisors and their affiliates may elect to purchase shares from stockholders, in which case they may influence a vote in favor of a proposed business combination that you do not support.</w:t>
      </w:r>
    </w:p>
    <w:p>
      <w:pPr>
        <w:spacing w:after="0" w:line="12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If we seek stockholder approval of our business combination and we do not conduct redemptions in connection with our business combination pursuant to the tender offer rules, our sponsor, directors, officers, advisors or their affiliates may purchase shares in privately negotiated transactions either prior to or following the consummation of our initial business combination. Such purchases will not be made if our sponsor, directors, officers, advisors or their affiliates are in possession of any material non-public information that has not been disclosed to the selling stockholder. Such a purchase would include a contractual acknowledgement that such stockholder, although still the record holder of our shares is no longer the beneficial owner thereof and therefore agrees not to exercise its redemption rights. In the event that our sponsor,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It is intended that, if Rule 10b-18 would apply to purchases by our sponsor, directors, officers, advisors or their affiliates, then such purchases will comply with Rule 10b-18 under the Exchange Act, to the extent it applies, which provides a safe harbor for purchases made under certain conditions, including with respect to timing, pricing and volume of purchases.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purpose of such purchases would be to (1) increase the likelihood of obtaining stockholder approval of the business combination or (2) 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an initial business combination that may not otherwise have been possible.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Purchases of shares of common stock in the open market or in privately negotiated transactions by our sponsor, directors, officers, advisors or their affiliates may make it difficult for us to maintain the listing of our shares on a national securities exchange following the consummation of an initial business combination.</w:t>
      </w:r>
    </w:p>
    <w:p>
      <w:pPr>
        <w:spacing w:after="0" w:line="1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our sponsor, directors, officers, advisors or their affiliates purchase shares of common stock in the open market or in privately negotiated transactions, the public “float” of our shares of common stock and the number of beneficial holders of our securities would both be reduced, possibly making it difficult to maintain the listing or trading of our securities on a national securities exchange following consummation of the business combination.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a redemption to public stockholders prior to any winding up in the event we do not consummate our initial business combination or our liquidation, if they redeem their shares in connection with an initial business combination that we consummate or if we seek to amend our certificate of incorporation to affect the substance or timing of our redemption obligation to redeem all public shares if we cannot complete an initial business combination within 24 months of the closing of this offering. In no other circumstances will a stockholder have any right or interest of any kind to the funds in the trust account. Accordingly, to liquidate your investment, you may be forced to sell your public shares, potentially at a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Because the net proceeds of this offering are intended to be used to complete our initial business combination with a target business that has not been identified, we may be deemed to be a “blank check” company under the United States securities laws. However, because we will have net tangible assets in excess of $5,000,000 upon the successful consummation of this offering and will expect to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common stock will be immediately tradable and we will have a longer period of time to complete our initial business combination than do companies subject to Rule 419. Moreover, offerings subject to Rule 419 would prohibit the release of any interest earned on funds held in the trust account to us. For a more detailed comparison of our offering to offerings that comply with Rule 419, please see “Proposed Business — Comparison of This Offering to Those of Blank Check Companies Subject to Rule 419.”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spacing w:after="0" w:line="266" w:lineRule="auto"/>
        <w:rPr>
          <w:sz w:val="20"/>
          <w:szCs w:val="20"/>
          <w:color w:val="auto"/>
        </w:rPr>
      </w:pPr>
      <w:r>
        <w:rPr>
          <w:rFonts w:ascii="Arial" w:cs="Arial" w:eastAsia="Arial" w:hAnsi="Arial"/>
          <w:sz w:val="18"/>
          <w:szCs w:val="18"/>
          <w:b w:val="1"/>
          <w:bCs w:val="1"/>
          <w:color w:val="auto"/>
        </w:rPr>
        <w:t>If we seek stockholder approval of our business combination and we do not conduct redemptions pursuant to the tender offer rules, and if you or a “group” of stockholders are deemed to hold in excess of 20% of our shares of common stock, you will lose the ability to redeem all such shares in excess of 20% of our shares of common stock.</w:t>
      </w:r>
    </w:p>
    <w:p>
      <w:pPr>
        <w:spacing w:after="0" w:line="1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business combination pursuant to the tender offer rules, our certificate of incorporation provides that a public stockholder, individually or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Your inability to redeem more than an aggregate of 20% of the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20% and, in order to dispose of such shares, you would be required to sell your shares in open market transaction, potentially at a loss.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the net proceeds of this offering not being held in the trust account are insufficient to allow us to operate for at least the next 24 months, we may be unable to complete our initial business combination.</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funds available to us outside of the trust account may not be sufficient to allow us to operate for at least the next 24 months, assuming that our initial business combination is not consummated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 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only receive a pro rata portion of the amount then in the trust account (which may be less than $10.00 per share) (whether or not the underwriter’s over-allotment option is exercised in full) on our redemption.</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Subsequent to our consummation of our initial business combination, we may be required to take write-downs or write-offs, restructuring and impairment or other charges.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Even if we conduct thorough due diligence on a target business with which we combine, this diligence may not surface all material issues that may be present inside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82" w:lineRule="auto"/>
        <w:rPr>
          <w:sz w:val="20"/>
          <w:szCs w:val="20"/>
          <w:color w:val="auto"/>
        </w:rPr>
      </w:pPr>
      <w:r>
        <w:rPr>
          <w:rFonts w:ascii="Arial" w:cs="Arial" w:eastAsia="Arial" w:hAnsi="Arial"/>
          <w:sz w:val="18"/>
          <w:szCs w:val="18"/>
          <w:b w:val="1"/>
          <w:bCs w:val="1"/>
          <w:color w:val="auto"/>
        </w:rPr>
        <w:t>Our directors may decide not to enforce indemnification obligations against BCTG Holdings, LLC, our sponsor, resulting in a reduction in the amount of funds in the trust account available for distribution to our public stockholders.</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event that the proceeds in the trust account are reduced below $10.00 per share (whether or not the underwriter’s overallotment option is exercised in full) and BCTG Holdings, LLC, our sponsor, asserts that it is unable to satisfy its obligations or that it has no indemnification obligations related to a particular claim, our independent directors would determine on our behalf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on our behalf, the amount of funds in the trust account available for distribution to our public stockholders may be reduced below $10.00 per share.</w:t>
      </w:r>
    </w:p>
    <w:p>
      <w:pPr>
        <w:spacing w:after="0" w:line="17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investments and results of operations.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the Securities Exchange and Commission, or the “SEC”.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are unable to consummate our initial business combination, our public stockholders may be forced to wait up to 24 months or longer before redemption from our trust account.</w:t>
      </w:r>
    </w:p>
    <w:p>
      <w:pPr>
        <w:spacing w:after="0" w:line="16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we are unable to consummate our initial business combination within 24 months from the closing of this offering, we will, as promptly as reasonably possible but not more than five business days thereafter (subject to our certificate of incorporation and applicable law), distribute the aggregate amount then on deposit in the trust account (net of taxes payable), pro rata to our public stockholders by way of redemption and cease all operations except for the purposes of winding up of our affairs by way of a voluntary liquidation, as further described herein. Any redemption of public stockholders from the trust account shall be effected as required by our certificate of incorporation prior to our commencing any voluntary liquidation.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shares of common stock. Only upon any such redemption of public shares as we are required to effect or any liquidation will public stockholders be entitled to distributions if we are unable to complete our initial business combination.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spacing w:after="0" w:line="282" w:lineRule="auto"/>
        <w:rPr>
          <w:sz w:val="20"/>
          <w:szCs w:val="20"/>
          <w:color w:val="auto"/>
        </w:rPr>
      </w:pPr>
      <w:r>
        <w:rPr>
          <w:rFonts w:ascii="Arial" w:cs="Arial" w:eastAsia="Arial" w:hAnsi="Arial"/>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shares of common stock.</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Pursuant to an agreement to be entered into on the date of this prospectus, our initial stockholders, our sponsor (and/or our sponsor’s designees) and their permitted transferees can demand that we register the founder shares, the private shares. We will bear the cost of registering these securities. The registration and availability of such a significant number of securities for trading in the public market may have an adverse effect on the market price of our shares of common stock. In addition, the existence of the registration rights may make our initial business combination more costly or difficult to conclude. This is because the stockholder of the target business may increase the equity stake they seek in the combined entity or ask for more cash consideration to offset the negative impact on the market price of our shares of common stock that is expected when the securities owned by our sponsor, holders of our private shares or their respective permitted transferees are registered.</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Because we have not selected a particular business or specific geographic location or any specific target businesses with which to pursue our initial business combination, you will be unable to ascertain the merits or risks of any particular target business’ operations.</w:t>
      </w:r>
    </w:p>
    <w:p>
      <w:pPr>
        <w:spacing w:after="0" w:line="14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Although we have a stated focus on certain target businesses in a specific geographic location as indicated elsewhere in this prospectus, we may pursue acquisition opportunities in any geographic region, but may rely upon our management team’s background. While we may pursue an acquisition opportunity in any business industry or sector, we intend to initially focus on those industries or sectors that complement our management team’s background. Except for the limitations that a target business have a fair market value of at least 80% of the value of the trust account (excluding any taxes payable)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In addition, investors will be relying on the business judgment of our board of directors, which will have significant discretion in choosing the standard used to establish the fair market value of a particular target business. An investment in our common stock may not ultimately prove to be more favorable to investors than a direct investment, if such opportunity were available, in an acquisition target.</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seek investment opportunities outside our management’s area of expertise and our management may not be able to adequately ascertain or assess all significant risks associated with the target company.</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is no limitation on the industry or business sector we may consider when contemplating our initial business combination. We may therefore be presented with a business combination candidate in an industry unfamiliar to our management team, but determine that such candidate offers an attractive investment opportunity for our company. In the event we elect to pursue an investment outside of our management’s expertise, our management’s experience may not be directly applicable to the target business or their evaluation of its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314" w:lineRule="auto"/>
        <w:rPr>
          <w:sz w:val="20"/>
          <w:szCs w:val="20"/>
          <w:color w:val="auto"/>
        </w:rPr>
      </w:pPr>
      <w:r>
        <w:rPr>
          <w:rFonts w:ascii="Arial" w:cs="Arial" w:eastAsia="Arial" w:hAnsi="Arial"/>
          <w:sz w:val="16"/>
          <w:szCs w:val="16"/>
          <w:b w:val="1"/>
          <w:b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Although we have identified specific criteria and guidelines for evaluating prospective target businesses, it is possible that a target business with which we enter into our initial business combination will not have all of these positive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Nasdaq,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$10.00 per share or even less (whether or not the underwriter’s over-allotment option is exercised in full) on our redemption.</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stockholders.</w:t>
      </w:r>
    </w:p>
    <w:p>
      <w:pPr>
        <w:spacing w:after="0" w:line="1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stockholders, which would be the case if the trading price of our shares of common stock after giving effect to such business combination was less than the per-share trust liquidation value that our stockholders would have received if we had dissolved without consummating our initial business combination.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and consequently, an independent source may not confirm that the price we are paying for the business is fair to our stockholders from a financial point of view.</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Unless we consummate our initial business combination with an affiliated entity, we are not required to obtain an opinion from an independent investment banking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 could be wasted in researching acquisitions that are not consummated.</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only receive $10.00 per share or even less (whether or not the underwriter’s over-allotment option is exercised in full) on our redemption.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right="20"/>
        <w:spacing w:after="0" w:line="282"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largely dependent upon the efforts of our officers, directors and key personnel, some of whom may join us following our initial business combination.</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operations are dependent upon a relatively small group of individuals and, in particular, our officers and directors. We believe that our success depends on the continued service of our officers and directors, at least until we have consummated our initial business combination. In addition, 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role of such persons in the target business, however, cannot presently be ascertained. Although some of such persons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key personnel may be able to remain with us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However, we believe the ability of such individuals to remain with us after the consummation of our initial business combination will not be the determining factor in our decision as to whether or not we will proceed with any potential business combination. There is no certainty, however, that any of our key personnel will remain with us after the consummation of our initial business combination. Our key personnel may not remain in senior management or advisory positions with us. The determination as to whether any of our key personnel will remain with us will be made at the time of our initial business combination. In addition, pursuant to an agreement to be entered into concurrently with the issuance and sale of the securities in this offering, our sponsor, upon consummation of an initial business combination, will be entitled to nominate three individuals for election to our board of directors.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COVID-19 coronavirus pandemic and the status of debt and equity markets.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could materially and adversely affect the business of any potential target business with which we consummate a business combination. Furthermore, we may be unable to complete a business combination if continued concerns relating to COVID-19 restrict travel, limit the ability to have meetings with potential investors, if the target company’s personnel, vendors and service providers are unavailable to negotiate and consummate a transaction in a timely manner, or if COVID-19 causes a prolonged economic downturn.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In addition, our ability to consummate a business combination may be dependent on the ability to raise equity and debt financing which may be impacted by COVID-19 and other events.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proceeds held in the trust account will be invested only in U.S. government treasury obligations with a maturity of 180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shareholders are entitled to receive their prorate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shareholders may be less than $10.00 per share.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intend to seek a business combination with a target business in the healthcare industry, we expect our future operations to be subject to risks associated with the healthcare industry.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Healthcare and biotechnology related companies are generally subject to greater governmental regulation than most other industries at the U.S. state and federal levels, and internationally. In recent years, both local and national governmental budgets have come under pressure to reduce spending and control healthcare costs, which could both adversely affect regulatory processes and public funding available for healthcare products, services and facilities. In March 2010, comprehensive healthcare reform legislation was enacted in the United States. These laws are intended to increase health insurance coverage through individual and employer mandates, subsidies offered to lower income individuals, tax credits available to smaller employers and broadening of Medicaid eligibility.</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one intent of healthcare reform is to expand health insurance coverage to more individuals, it may also involve additional regulatory mandates and other measures designed to constrain medical costs, including coverage and reimbursement for healthcare services. Healthcare reform has had a significant impact on the healthcare industry in the United States and consequently has the ability to affect companies within the healthcare industry and the biotechnology sector. The ultimate effects of federal healthcare reform or any future legislation or regulation, or healthcare initiatives, if any, on the healthcare industry, including the biotechnology sector, whether implemented at the federal or state level or internationally, cannot be predicted with certainty and such reform, legislation, regulation or initiatives may adversely affect the performance of a potential business combination.</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Changes in governmental policies may have a material effect on the demand for or costs of certain products and services. A healthcare or biotechnology related company must receive government approval before introducing new drugs and medical devices or procedures. This process may delay the introduction of these products and services to the marketplace, resulting in increased development costs, delayed cost recovery and loss of competitive advantage to the extent that rival companies have developed competing products or procedures, adversely affecting the company’s revenues and profitability. Failure to obtain governmental approval of a key drug or device or other regulatory action could have a material adverse effect on the business of a target company. Additionally, expansion of facilities by healthcare related providers is subject to “determinations of need” by the appropriate government authorities. This process not only increases the time and cost involved in these expansions, but also makes expansion plans uncertain, limiting the revenue and profitability growth potential of healthcare related facilities operators.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spacing w:after="0" w:line="290" w:lineRule="auto"/>
        <w:rPr>
          <w:sz w:val="20"/>
          <w:szCs w:val="20"/>
          <w:color w:val="auto"/>
        </w:rPr>
      </w:pPr>
      <w:r>
        <w:rPr>
          <w:rFonts w:ascii="Arial" w:cs="Arial" w:eastAsia="Arial" w:hAnsi="Arial"/>
          <w:sz w:val="16"/>
          <w:szCs w:val="16"/>
          <w:color w:val="auto"/>
        </w:rPr>
        <w:t>Certain healthcare and biotechnology related companies depend on the exclusive rights or patents for the products they develop and distribute. Patents have a limited duration and, upon expiration, other companies may market substantially similar “generic” products that are typically sold at a lower price than the patented product, causing the original developer of the product to lose market share and/or reduce the price charged for the product, resulting in lower profits for the original developer. As a result, the expiration of patents may adversely affect the profitability of these companies. The profitability of healthcare and biotechnology related companies may also be affected, among other factors, by restrictions on government reimbursement for medical expenses, rising or falling costs of medical products and services, pricing pressure, an increased emphasis on outpatient services, a limited product offering, industry innovation, changes in technologies and other market developments. Finally, because the products and services of healthcare and biotechnology related companies affect the health and well-being of many individuals, these companies are especially susceptible to product liability lawsuits.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healthcare industry and the biotechnology sector spend heavily on research and development. Research findings (e.g., regarding side effects or comparative benefits of one or more particular treatments, services or products) and technological innovation (together with patent expirations) may make any particular treatment, service or product less attractive if previously unknown or underappreciated risks are revealed, or if a more effective, less costly or less risky solution is or becomes available. Any such development could have a material adverse effect on the companies that are target businesses for investment.</w:t>
      </w:r>
    </w:p>
    <w:p>
      <w:pPr>
        <w:spacing w:after="0" w:line="18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may have a limited ability to assess the management of a prospective target business and, as a result, may effectuate our initial business combination with a target business whose management may not have the skills, qualifications or abilities to manage a public company.</w:t>
      </w:r>
    </w:p>
    <w:p>
      <w:pPr>
        <w:spacing w:after="0" w:line="1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w:t>
      </w:r>
    </w:p>
    <w:p>
      <w:pPr>
        <w:spacing w:after="0" w:line="184"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role of an acquisition candidate’s key personnel upon the consummation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some members of the management team of an acquisition candidate will not wish to remain in place.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of our officers and directors are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Following the completion of this offering and until we consummate our business combination, we intend to engage in the business of identifying and combining with one or more businesses. Certain of our executive officers and directors are affiliated with entities that are engaged in a similar business.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officers may become aware of business opportunities which may be appropriate for presentation to us and the other entities to which they owe certain fiduciary duties. Accordingly, they may have conflicts of interest in determining to which entity a particular business opportunity should be presented.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340"/>
        <w:spacing w:after="0"/>
        <w:rPr>
          <w:sz w:val="20"/>
          <w:szCs w:val="20"/>
          <w:color w:val="auto"/>
        </w:rPr>
      </w:pPr>
      <w:r>
        <w:rPr>
          <w:rFonts w:ascii="Arial" w:cs="Arial" w:eastAsia="Arial" w:hAnsi="Arial"/>
          <w:sz w:val="16"/>
          <w:szCs w:val="16"/>
          <w:color w:val="auto"/>
        </w:rPr>
        <w:t>Any conflict of interest may not be resolved in our favor and potential target businesses may be presented to another entity prior to its presentation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Certain shares beneficially owned by our officers and directors will not participate in liquidation distributions and, therefore, our officers and directors may have a conflict of interest in determining whether a particular target business is appropriate for our initial business combination.</w:t>
      </w:r>
    </w:p>
    <w:p>
      <w:pPr>
        <w:spacing w:after="0" w:line="12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officers and directors have waived their right to redeem any shares in connection with our initial business combination, or to receive distributions with respect to their founder shares upon our liquidation if we are unable to consummate our initial business combination. Accordingly, these securities will be worthless if we do not consummate our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engage in our initial business combination with one or more target businesses that have relationships with entities that may be affiliated with our executive officers, directors or existing holders, which may raise potential conflicts of interest.</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light of the involvement of our sponsor, officers and directors with other entities, we may decide to acquire one or more businesses affiliated with our sponsor, officers and directors. Our directors also serve as officers and board members for other entities. Our sponsor, officers and directors are not currently aware of any specific opportunities for us to consummate our initial business combination with any entities with which they are affiliated, and there have been no preliminary discussions concerning a business combination with any entity or entities. Although we will not be specifically focusing on, or targeting, any transaction with any affiliated entities, we would pursue such a transaction if we determined that such affiliated entity met our criteria for our initial business combination as set forth in “Proposed Business — Effecting our initial business combination — Selection of a target business and structuring of our initial business combination” and such transaction was approved by a majority of our disinterested directors. Despite our agreement to obtain an opinion from an independent investment banking firm, or another independent entity that commonly renders valuation opinions on the type of target business we seek to acquire, regarding the fairness to our stockholders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stockholders as they would be absent any conflicts of interest. Our directors have a fiduciary duty to act in the best interests of our stockholders, whether or not a conflict of interest may exist.</w:t>
      </w:r>
    </w:p>
    <w:p>
      <w:pPr>
        <w:spacing w:after="0" w:line="16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Because our sponsor will lose its entire initial investment in us if our initial business combination is not consummated and our officers and directors have significant financial interests in us, a conflict of interest may arise in determining whether a particular acquisition target is appropriate for our initial business combination.</w:t>
      </w:r>
    </w:p>
    <w:p>
      <w:pPr>
        <w:spacing w:after="0" w:line="1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June 4, 2020 our sponsor purchased 3,593,750 shares, which we refer to herein as “founder shares” or “insider shares,” for an aggregate purchase price of $25,000 In August 2020, our sponsor transferred an aggregate of 105,000 founder shares to our directors or at their direction, and an aggregate of 75,000 shares to certain persons who will act as our scientific advisors. Such transferred shares will not be subject to forfeiture in the event the underwriter’s over-allotment option is not exercised. The founder shares include an aggregate of up to 468,750 shares held by our sponsor that are subject to forfeiture to the extent that the underwriter’s over-allotment option is not exercised in full or in part. The founder shares will be worthless if we do not consummate an initial business combination. In addition, our sponsor has committed to purchase from us an aggregate of 450,000 shares of common stock (or 487,500 shares if the underwriter’s over-allotment option is exercised in full), in a private placement that will close simultaneously with the closing of this offering at a purchase price of $10.00 per share. We refer to these shares as the “private shares”. The aggregate purchase price of $4,500,000 (or $4,875,000 if the underwriter’s over-allotment option is exercised in full) for the private shares will also be worthless if we do not consummate our initial business combination.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spacing w:after="0" w:line="282"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our initial business combination, which may adversely affect our financial condition and thus negatively impact the value of our stockholders’ investment in us.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we may choose to incur substantial debt to complete our initial business combination. If we incur any indebtedness without a waiver from the lender of any right, title, interest or claim of any kind in or to any monies held in the trust account, the incurrence of debt could have a variety of negative effects, including:</w:t>
      </w:r>
    </w:p>
    <w:p>
      <w:pPr>
        <w:spacing w:after="0" w:line="1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our initial business combination are insufficient to repay our debt obligations;</w:t>
      </w:r>
    </w:p>
    <w:p>
      <w:pPr>
        <w:spacing w:after="0" w:line="248"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pay dividends on our shares of common stock;</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shares of common stock if declared, expenses, capital expenditures, acquisitions and other general corporate purposes;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which will cause us to be solely dependent on a single business, which may have a limited number of products or services. This lack of diversification may negatively impact our operations and profitability.</w:t>
      </w:r>
    </w:p>
    <w:p>
      <w:pPr>
        <w:spacing w:after="0" w:line="1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net proceeds from this offering together with the funds we will receive from the sale of the private shares (excluding $1,250,000 of net proceeds that will not be held in the trust account) will provide us with approximately $125,000,000 (or approximately $143,750,000 if the underwriter’s over-allotment option is exercised in full) that we may use to complete our initial business combination.</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 solely dependent upon the performance of a single business, property or asset, or dependent upon the development or market acceptance of a single or limited number of products or services. 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spacing w:after="0" w:line="266" w:lineRule="auto"/>
        <w:rPr>
          <w:sz w:val="20"/>
          <w:szCs w:val="20"/>
          <w:color w:val="auto"/>
        </w:rPr>
      </w:pPr>
      <w:r>
        <w:rPr>
          <w:rFonts w:ascii="Arial" w:cs="Arial" w:eastAsia="Arial" w:hAnsi="Arial"/>
          <w:sz w:val="18"/>
          <w:szCs w:val="18"/>
          <w:b w:val="1"/>
          <w:b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1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attempt to consummate our initial business combination with a private company about which little information is available.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if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maintain control of a target business after our initial business combination.</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structure our initial business combination to acquire less than 100% of the equity interests or assets of a target business, but we will only consummate such business combination if we will become the majority stockholder of the target (or control the target through contractual arrangements in limited circumstances for regulatory compliance purposes)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Even though we may own a majority interest in the target, our stockholders prior to the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stockholders immediately prior to such transaction could own less than a majority of our outstanding shares subsequent to such transaction. In addition, other minority stockholders may subsequently combine their holdings resulting in a single person or group obtaining a larger share of the company’s stock than we initially acquired. Accordingly, this may make it more likely that we will not be able to maintain our control of the target business.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ability of our public stockholders to exercise their redemption rights may not allow us to effectuate the most desirable business combination or optimize our capital structure.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our initial business combination requires us to use substantially all of our cash to pay the purchase price, because we will not know how many public stockholders may exercise redemption rights, we may either need to reserve part of the trust account for possible payment upon such redemption, or we may need to arrange third party financing to help fund our initial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spacing w:after="0" w:line="282" w:lineRule="auto"/>
        <w:rPr>
          <w:sz w:val="20"/>
          <w:szCs w:val="20"/>
          <w:color w:val="auto"/>
        </w:rPr>
      </w:pPr>
      <w:r>
        <w:rPr>
          <w:rFonts w:ascii="Arial" w:cs="Arial" w:eastAsia="Arial" w:hAnsi="Arial"/>
          <w:sz w:val="18"/>
          <w:szCs w:val="18"/>
          <w:b w:val="1"/>
          <w:bCs w:val="1"/>
          <w:color w:val="auto"/>
        </w:rPr>
        <w:t>In connection with any meeting held to approve an initial business combination, we will offer each public stockholder the option to vote in favor of the proposed business combination and still seek redemption of his, her or its shares.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any meeting held to approve an initial business combination, we will offer each public stockholder (but not our initial stockholders, officers or directors) the right to have his, her or its shares of common stock redeemed for cash (subject to the limitations described elsewhere in this prospectus) regardless of whether such stockholder votes for or against such proposed business combination; provided that a stockholder must in fact vote for or against a proposed business combination in order to have his, her or its shares of common stock redeemed for cash. If a stockholder fails to vote for or against a proposed business combination, that stockholder would not be able to have his shares of common stock so redeemed. We will consummate our initial business combination only if we have net tangible assets of at least $5,000,001 upon such consummation and a majority of the outstanding shares of common stock voted are voted in favor of the business combination. This is different than other similarly structured blank check companies where stockholders are offered the right to redeem their shares only when they vote against a proposed business combination. This threshold and the ability to seek redemption while voting in favor of a proposed business combination may make it more likely that we will consummate our initial business combination.</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public stockholder who fails to vote either in favor of or against a proposed business combination will not be able to have his shares redeemed for cash.</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order for a public stockholder to have his shares redeemed for cash in connection with any proposed business combination, that public stockholder must vote either in favor of or against a proposed business combination. If a public stockholder fails to vote in favor of or against a proposed business combination, whether that stockholder abstains from the vote or simply does not vote, that stockholder would not be able to have his shares of common stock so redeemed to cash in connection with such business combination.</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will require public stockholders who wish to redeem their shares of common stock in connection with a proposed business combination or amendment to our certificate of incorporation to effect the substance or timing of their redemption obligation if we fail to timely complete a business combination to comply with specific requirements for redemption that may make it more difficult for them to exercise their redemption rights prior to the deadline for exercising their rights.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will require our public stockholders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amendment to our certificate of incorporation to affect the substance or timing of our redemption obligation to redeem all public shares if we cannot complete an initial business combination, or to deliver their shares to the transfer agent electronically using Depository Trust Company’s DWAC (Deposit/Withdrawal At Custodian) System, at the holder’s option.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our certificate of incorporation, we are required to provide at least 10 days advance notice of any stockholder meeting, which would be the minimum amount of time a stockholder would have to determine whether to exercise redemption rights. Accordingly, if it takes longer than we anticipate for stockholders to deliver their shares, stockholders who wish to redeem may be unable to meet the deadline for exercising their redemption rights and thus may be unable to redeem their shares.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82" w:lineRule="auto"/>
        <w:rPr>
          <w:sz w:val="20"/>
          <w:szCs w:val="20"/>
          <w:color w:val="auto"/>
        </w:rPr>
      </w:pPr>
      <w:r>
        <w:rPr>
          <w:rFonts w:ascii="Arial" w:cs="Arial" w:eastAsia="Arial" w:hAnsi="Arial"/>
          <w:sz w:val="18"/>
          <w:szCs w:val="18"/>
          <w:b w:val="1"/>
          <w:bCs w:val="1"/>
          <w:color w:val="auto"/>
        </w:rPr>
        <w:t>Redeeming stockholders may be unable to sell their securities when they wish to in the event that the proposed business combination is not approved.</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require public stockholders who wish to redeem their shares of common stock in connection with any proposed business combination to comply with the delivery requirements discussed above for redemption. If such proposed business combination is not consummated, we will promptly return such certificates to the tendering public stockholders. Accordingly, investors who attempted to redeem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even while other stockholders that did not seek redemption may be able to sell their securities.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Because of our structure, other companies may have a competitive advantage and we may not be able to consummate an attractive business combination.</w:t>
      </w:r>
    </w:p>
    <w:p>
      <w:pPr>
        <w:spacing w:after="0" w:line="16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stockholder approval of our initial business combination may delay the consummation of a transaction. Additionally, our rights, and the future dilution they represent (entitling the holders to receive shares of common stock on consummation of our initial business combination), may not be viewed favorably by certain target businesses. Any of the foregoing may place us at a competitive disadvantage in successfully negotiating our initial business combination.</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amended and restated certificate of incorporation contains provisions that prohibit our engaging in business combinations with interested stockholders in certain circumstances.</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70" w:lineRule="exact"/>
        <w:rPr>
          <w:rFonts w:ascii="Arial" w:cs="Arial" w:eastAsia="Arial" w:hAnsi="Arial"/>
          <w:sz w:val="18"/>
          <w:szCs w:val="18"/>
          <w:color w:val="auto"/>
        </w:rPr>
      </w:pPr>
    </w:p>
    <w:p>
      <w:pPr>
        <w:ind w:left="660" w:hanging="328"/>
        <w:spacing w:after="0" w:line="30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66⅔% of the outstanding voting stock that is not owned by the interested stockholder.</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with the interested stockholder. Subject to certain exceptions, an “interested stockholder” is a person who, together with that person’s affiliates and associates, owns, or within the previous three years owned, 20% or more of our voting stock</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stockholders may only receive $10.00 per share or even less (whether or not the underwriter’s over-allotment option is exercised in full) on our redemption.</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Although we believe that the net proceeds of this offering will be sufficient to allow us to consummate our initial business combination, because we have not yet identified any prospective target business we cannot ascertain the capital requirements for any particular transaction or our costs to operate or locate a transaction. If the net proceeds of this offering prove to be insufficient, either because of the size of our initial business combination, the depletion of the available net proceeds in search of a target business, the obligation to repurchase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The current economic environment has made it especially difficult for companies to obtain acquisition financing.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stockholders may only receive $10.00 per share or even less (whether or not the underwriter’s over-allotment option is exercised in full) on our redemption.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sponsor controls a substantial interest in us and thus may exert a substantial influence on actions requiring a stockholder vote, potentially in a manner that you do not support.</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upon closing of this offering, our initial stockholders and our sponsor (and/its designees) collectively will own 20% of our issued and outstanding shares of common stock (assuming they do not purchase any shares in this offering). Accordingly, they may exert a substantial influence on actions requiring a stockholder vote, potentially in a manner that you do not support, including amendments to our certificate of incorporation. If our sponsor purchases any shares in this offering or if we or our sponsor purchase any additional shares of common stock in the aftermarket or in privately negotiated transactions, this would increase their control. Neither our sponsor nor, to our knowledge, any of our officers or directors, has any current intention to purchase additional securities. Factors that would be considered in making such additional purchases would include consideration of the current trading price of our shares of common stock.</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initial stockholders paid an aggregate of $25,000, or approximately $0.0070 per founder share and, accordingly, you will experience immediate and substantial dilution from the purchase of our shares of common stock.</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share after this offering constitutes the dilution to you and the other investors in this offering. Our initial stockholders acquired the founder shares at a nominal price, significantly contributing to this dilution. Upon closing of this offering, you and the other public stockholders will incur an immediate and substantial dilution of approximately 88.6% or $8.86 per share (the difference between the pro forma net tangible book value per share of $1.14 and the initial offering price of $10.00 per share immediately upon the closing of this offering), or approximately 89.9% dilution or $8.99 per share (the difference between the pro forma net tangible book value per share of $1.01 and the initial offering price of $10.00 per share) if the over-allotment is fully exercised.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right="20"/>
        <w:spacing w:after="0" w:line="282" w:lineRule="auto"/>
        <w:rPr>
          <w:sz w:val="20"/>
          <w:szCs w:val="20"/>
          <w:color w:val="auto"/>
        </w:rPr>
      </w:pPr>
      <w:r>
        <w:rPr>
          <w:rFonts w:ascii="Arial" w:cs="Arial" w:eastAsia="Arial" w:hAnsi="Arial"/>
          <w:sz w:val="18"/>
          <w:szCs w:val="18"/>
          <w:b w:val="1"/>
          <w:bCs w:val="1"/>
          <w:color w:val="auto"/>
        </w:rPr>
        <w:t>The determination of the offering price of our common stock and the size of this offering is more arbitrary than the pricing of securities and size of an offering of an operating company in a particular industry.</w:t>
      </w:r>
    </w:p>
    <w:p>
      <w:pPr>
        <w:spacing w:after="0" w:line="16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this offering there has been no public market for any of our securities. The public offering price of the shares was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shares of common stock include:</w:t>
      </w:r>
    </w:p>
    <w:p>
      <w:pPr>
        <w:spacing w:after="0" w:line="15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the date of this prospectus there is currently no market for our securities. Prospective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 are quoted on the OTC Bulletin Board, an inter-dealer automated quotation system for equity securities not listed on a national exchange, the liquidity and price of our securities may be more limited than if we were listed on Nasdaq or another national exchange. You may be unable to sell your securities unless a market can be established and sustained.</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Once initially listed on Nasdaq, our securities may not continue to be listed on Nasdaq in the future, which could limit investors’ ability to make transactions in our securities and subject us to additional trading restrictions.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anticipate that our securities will be initially listed on Nasdaq upon consummation of this offering. However, we cannot assure you of this or that our securities will continue to be listed on Nasdaq in the future. Additionally, in connection with our business combination, Nasdaq may require us to file a new initial listing application and meet its initial listing requirements as opposed to its more lenient continued listing requirements. We cannot assure you that we will be able to meet those initial listing requirements at that time. If Nasdaq delists our securities from trading on its exchange, we could face significant material adverse consequences, including:</w:t>
      </w:r>
    </w:p>
    <w:p>
      <w:pPr>
        <w:spacing w:after="0" w:line="18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reduced liquidity with respect to our securities;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determination that our shares of common stock are a “penny stock” which will require brokers trading in our shares of common stock to adhere to more stringent rules, possibly resulting in a reduced level of trading activity in the secondary trading market for our shares of common stock;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prepared in accordance with U.S. generally accepted accounting principles or international financial reporting standards, we may lose the ability to complete an otherwise advantageous initial business combination with some prospective target businesses.</w:t>
      </w:r>
    </w:p>
    <w:p>
      <w:pPr>
        <w:spacing w:after="0" w:line="1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federal proxy rules, which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the substantially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6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Compliance obligations under the Sarbanes-Oxley Act of 2002 may make it more difficult for us to effectuate our initial business combination, require substantial financial and management resources, and increase the time and costs of completing an acquisition.</w:t>
      </w:r>
    </w:p>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Section 404 of the Sarbanes-Oxley Act of 2002, or the Sarbanes-Oxley Act, requires that we evaluate and report on our system of internal controls beginning with our Annual Report on Form 10-K for the year ending December 31, 2021. The fact that we are a blank check company makes compliance with the requirements of the Sarbanes-Oxley Act particularly burdensome on us as compared to all public companies because a target company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disclosure requirements applicable to emerging growth companies will make our securities less attractive to investors.</w:t>
      </w:r>
    </w:p>
    <w:p>
      <w:pPr>
        <w:spacing w:after="0" w:line="1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being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shares less attractive because we may rely on these provisions. If some investors find our shares less attractive as a result, there may be a less active trading market for our shares and our share price may be more volatile.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will not adopt the new or revised standard until the time private companies are required to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our company or our company’s directors, officers or other employees.</w:t>
      </w:r>
    </w:p>
    <w:p>
      <w:pPr>
        <w:spacing w:after="0" w:line="16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any shares of our capital stock shall be deemed to have notice of and to have consented to the forum provisions in our amended and restated certificate of incorporation. If any action the subject matter of which is within the scope the forum provisions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forum provisions (an “enforcement action”), and (y) having service of process made upon such stockholder in any such enforcement action by service upon such stockholder’s counsel in the foreign action as agent for such stockholder.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324"/>
        <w:spacing w:after="0" w:line="296" w:lineRule="auto"/>
        <w:rPr>
          <w:sz w:val="20"/>
          <w:szCs w:val="20"/>
          <w:color w:val="auto"/>
        </w:rPr>
      </w:pPr>
      <w:r>
        <w:rPr>
          <w:rFonts w:ascii="Arial" w:cs="Arial" w:eastAsia="Arial" w:hAnsi="Arial"/>
          <w:sz w:val="16"/>
          <w:szCs w:val="16"/>
          <w:color w:val="auto"/>
        </w:rPr>
        <w:t>This choice-of-forum provision may limit a stockholder’s ability to bring a claim in a judicial forum that it finds favorable for disputes with our company or its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Acquiring and Operating a Business outside of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effect our initial business combination with a company located outside of the United States.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outbreak;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costs and difficulties inherent in managing cross-border business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right="20"/>
        <w:spacing w:after="0" w:line="282" w:lineRule="auto"/>
        <w:rPr>
          <w:sz w:val="20"/>
          <w:szCs w:val="20"/>
          <w:color w:val="auto"/>
        </w:rPr>
      </w:pPr>
      <w:r>
        <w:rPr>
          <w:rFonts w:ascii="Arial" w:cs="Arial" w:eastAsia="Arial" w:hAnsi="Arial"/>
          <w:sz w:val="18"/>
          <w:szCs w:val="18"/>
          <w:b w:val="1"/>
          <w:b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Many countries have difficult and unpredictable legal systems and underdeveloped laws and regulations that are unclear and subject to corruption and inexperience.</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relations between the United States and foreign governments deteriorate, it could cause potential target businesses or their goods and services to become less attractive.</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relationship between the United States and foreign governments could be subject to sudden fluctuation and periodic tension. For instance, the United States may announce its intention to impose quotas on certain imports. Such import quotas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management following our initial business combination is unfamiliar with United States securities laws, they may have to expend time and resources becoming familiar with such laws.</w:t>
      </w:r>
    </w:p>
    <w:p>
      <w:pPr>
        <w:spacing w:after="0" w:line="16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Currency policies may cause a target business’ ability to succeed in the international markets to be diminished.</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Because foreign law could govern our material agreements, we may not be able to enforce our rights within such jurisdiction or elsewhere.</w:t>
      </w:r>
    </w:p>
    <w:p>
      <w:pPr>
        <w:spacing w:after="0" w:line="2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Foreign law could govern our material agreements. The target business may not be able to enforce any of its material agreements or that remedies will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19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delisting of our securities from Nasdaq or an inability to have our securities listed on Nasdaq following a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lack of a market for our securities;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beginning on page 19.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offering 12,500,000 shares of our common stock at a price of $10.00 per share. We estimate that the net proceeds of this offering, together with the funds we receive from the sale of the private shares (all of which will be deposited into the trust account), will be used as set forth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b w:val="1"/>
                <w:bCs w:val="1"/>
                <w:color w:val="auto"/>
              </w:rPr>
              <w:t>Without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Over-</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b w:val="1"/>
                <w:bCs w:val="1"/>
                <w:color w:val="auto"/>
              </w:rPr>
              <w:t>Over-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3"/>
              </w:rPr>
              <w:t>Allotment</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w w:val="93"/>
              </w:rPr>
              <w:t>Allotment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Option</w:t>
            </w:r>
          </w:p>
        </w:tc>
        <w:tc>
          <w:tcPr>
            <w:tcW w:w="0" w:type="dxa"/>
            <w:vAlign w:val="bottom"/>
          </w:tcPr>
          <w:p>
            <w:pPr>
              <w:spacing w:after="0"/>
              <w:rPr>
                <w:sz w:val="1"/>
                <w:szCs w:val="1"/>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b w:val="1"/>
                <w:bCs w:val="1"/>
                <w:color w:val="auto"/>
              </w:rPr>
              <w:t>Option</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1"/>
              </w:rPr>
              <w:t>Exercised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i w:val="1"/>
                <w:iCs w:val="1"/>
                <w:color w:val="auto"/>
              </w:rPr>
              <w:t>Gross proceeds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From offering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125,000,000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143,750,000</w:t>
            </w:r>
          </w:p>
        </w:tc>
        <w:tc>
          <w:tcPr>
            <w:tcW w:w="0" w:type="dxa"/>
            <w:vAlign w:val="bottom"/>
          </w:tcPr>
          <w:p>
            <w:pPr>
              <w:spacing w:after="0"/>
              <w:rPr>
                <w:sz w:val="1"/>
                <w:szCs w:val="1"/>
                <w:color w:val="auto"/>
              </w:rPr>
            </w:pP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From sale of private shares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4,500,000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4,875,000</w:t>
            </w:r>
          </w:p>
        </w:tc>
        <w:tc>
          <w:tcPr>
            <w:tcW w:w="0" w:type="dxa"/>
            <w:vAlign w:val="bottom"/>
          </w:tcPr>
          <w:p>
            <w:pPr>
              <w:spacing w:after="0"/>
              <w:rPr>
                <w:sz w:val="1"/>
                <w:szCs w:val="1"/>
                <w:color w:val="auto"/>
              </w:rPr>
            </w:pPr>
          </w:p>
        </w:tc>
      </w:tr>
      <w:tr>
        <w:trPr>
          <w:trHeight w:val="27"/>
        </w:trPr>
        <w:tc>
          <w:tcPr>
            <w:tcW w:w="85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gross proceeds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129,500,000</w:t>
            </w:r>
          </w:p>
        </w:tc>
        <w:tc>
          <w:tcPr>
            <w:tcW w:w="2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148,625,000</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9"/>
                <w:szCs w:val="29"/>
                <w:i w:val="1"/>
                <w:iCs w:val="1"/>
                <w:color w:val="auto"/>
                <w:vertAlign w:val="superscript"/>
              </w:rPr>
              <w:t>(1)</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560" w:type="dxa"/>
            <w:vAlign w:val="bottom"/>
          </w:tcPr>
          <w:p>
            <w:pPr>
              <w:spacing w:after="0" w:line="256" w:lineRule="exact"/>
              <w:rPr>
                <w:sz w:val="20"/>
                <w:szCs w:val="20"/>
                <w:color w:val="auto"/>
              </w:rPr>
            </w:pPr>
            <w:r>
              <w:rPr>
                <w:rFonts w:ascii="Arial" w:cs="Arial" w:eastAsia="Arial" w:hAnsi="Arial"/>
                <w:sz w:val="18"/>
                <w:szCs w:val="18"/>
                <w:color w:val="auto"/>
                <w:w w:val="97"/>
              </w:rPr>
              <w:t>Underwriting commissions (2% of gross proceeds from shares offered to public, excluding deferred portion)</w:t>
            </w:r>
            <w:r>
              <w:rPr>
                <w:rFonts w:ascii="Arial" w:cs="Arial" w:eastAsia="Arial" w:hAnsi="Arial"/>
                <w:sz w:val="29"/>
                <w:szCs w:val="29"/>
                <w:color w:val="auto"/>
                <w:w w:val="97"/>
                <w:vertAlign w:val="superscript"/>
              </w:rPr>
              <w:t>(2)</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2,500,000</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2,875,000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Travel and road show</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22,063</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18,659</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18,659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Director and Officer liability insurance premiums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181,778</w:t>
            </w:r>
          </w:p>
        </w:tc>
        <w:tc>
          <w:tcPr>
            <w:tcW w:w="2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181,778</w:t>
            </w:r>
          </w:p>
        </w:tc>
        <w:tc>
          <w:tcPr>
            <w:tcW w:w="0" w:type="dxa"/>
            <w:vAlign w:val="bottom"/>
          </w:tcPr>
          <w:p>
            <w:pPr>
              <w:spacing w:after="0"/>
              <w:rPr>
                <w:sz w:val="1"/>
                <w:szCs w:val="1"/>
                <w:color w:val="auto"/>
              </w:rPr>
            </w:pPr>
          </w:p>
        </w:tc>
      </w:tr>
      <w:tr>
        <w:trPr>
          <w:trHeight w:val="203"/>
        </w:trPr>
        <w:tc>
          <w:tcPr>
            <w:tcW w:w="856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offering expenses (excluding underwriting commissions)</w:t>
            </w: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750,000</w:t>
            </w: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750,000</w:t>
            </w: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i w:val="1"/>
                <w:iCs w:val="1"/>
                <w:color w:val="auto"/>
              </w:rPr>
              <w:t>Net proceeds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8560" w:type="dxa"/>
            <w:vAlign w:val="bottom"/>
            <w:shd w:val="clear" w:color="auto" w:fill="CCEEFF"/>
          </w:tcPr>
          <w:p>
            <w:pPr>
              <w:spacing w:after="0"/>
              <w:rPr>
                <w:sz w:val="20"/>
                <w:szCs w:val="20"/>
                <w:color w:val="auto"/>
              </w:rPr>
            </w:pPr>
            <w:r>
              <w:rPr>
                <w:rFonts w:ascii="Arial" w:cs="Arial" w:eastAsia="Arial" w:hAnsi="Arial"/>
                <w:sz w:val="1"/>
                <w:szCs w:val="1"/>
                <w:color w:val="auto"/>
              </w:rPr>
              <w:t>Held in trust</w:t>
            </w:r>
          </w:p>
        </w:tc>
        <w:tc>
          <w:tcPr>
            <w:tcW w:w="12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
                <w:szCs w:val="1"/>
                <w:color w:val="auto"/>
              </w:rPr>
              <w:t>125,000,000</w:t>
            </w:r>
          </w:p>
        </w:tc>
        <w:tc>
          <w:tcPr>
            <w:tcW w:w="280" w:type="dxa"/>
            <w:vAlign w:val="bottom"/>
            <w:tcBorders>
              <w:right w:val="single" w:sz="8" w:color="CCEEFF"/>
            </w:tcBorders>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6"/>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
                <w:szCs w:val="1"/>
                <w:color w:val="auto"/>
              </w:rPr>
              <w:t>143,750,000</w:t>
            </w:r>
          </w:p>
        </w:tc>
        <w:tc>
          <w:tcPr>
            <w:tcW w:w="0" w:type="dxa"/>
            <w:vAlign w:val="bottom"/>
          </w:tcPr>
          <w:p>
            <w:pPr>
              <w:spacing w:after="0" w:line="20" w:lineRule="exact"/>
              <w:rPr>
                <w:sz w:val="1"/>
                <w:szCs w:val="1"/>
                <w:color w:val="auto"/>
              </w:rPr>
            </w:pPr>
          </w:p>
        </w:tc>
      </w:tr>
      <w:tr>
        <w:trPr>
          <w:trHeight w:val="201"/>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Not held in trust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7"/>
        </w:trPr>
        <w:tc>
          <w:tcPr>
            <w:tcW w:w="85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net proceeds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126,250,000</w:t>
            </w:r>
          </w:p>
        </w:tc>
        <w:tc>
          <w:tcPr>
            <w:tcW w:w="2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145,000,000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Use of net proceeds not held in the trust account</w:t>
            </w:r>
            <w:r>
              <w:rPr>
                <w:rFonts w:ascii="Arial" w:cs="Arial" w:eastAsia="Arial" w:hAnsi="Arial"/>
                <w:sz w:val="29"/>
                <w:szCs w:val="29"/>
                <w:color w:val="auto"/>
                <w:vertAlign w:val="superscript"/>
              </w:rPr>
              <w:t>(4) (5)</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8560" w:type="dxa"/>
            <w:vAlign w:val="bottom"/>
          </w:tcPr>
          <w:p>
            <w:pPr>
              <w:spacing w:after="0" w:line="201" w:lineRule="exact"/>
              <w:rPr>
                <w:sz w:val="20"/>
                <w:szCs w:val="20"/>
                <w:color w:val="auto"/>
              </w:rPr>
            </w:pPr>
            <w:r>
              <w:rPr>
                <w:rFonts w:ascii="Arial" w:cs="Arial" w:eastAsia="Arial" w:hAnsi="Arial"/>
                <w:sz w:val="18"/>
                <w:szCs w:val="18"/>
                <w:color w:val="auto"/>
                <w:w w:val="90"/>
              </w:rPr>
              <w:t>Legal, accounting and other third party expenses attendant to the search for target businesses and to the due diligence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180"/>
              <w:spacing w:after="0"/>
              <w:rPr>
                <w:sz w:val="20"/>
                <w:szCs w:val="20"/>
                <w:color w:val="auto"/>
              </w:rPr>
            </w:pPr>
            <w:r>
              <w:rPr>
                <w:rFonts w:ascii="Arial" w:cs="Arial" w:eastAsia="Arial" w:hAnsi="Arial"/>
                <w:sz w:val="18"/>
                <w:szCs w:val="18"/>
                <w:color w:val="auto"/>
              </w:rPr>
              <w:t>investigation, structuring and negotiation of a business combination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Due diligence of prospective target businesses by officers, directors and initial stockholders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w w:val="95"/>
              </w:rPr>
              <w:t>Payment of administrative fee of $10,000 per month for up to 24 months), subject to deferral as described herein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2"/>
        </w:trPr>
        <w:tc>
          <w:tcPr>
            <w:tcW w:w="8560" w:type="dxa"/>
            <w:vAlign w:val="bottom"/>
          </w:tcPr>
          <w:p>
            <w:pPr>
              <w:spacing w:after="0" w:line="201" w:lineRule="exact"/>
              <w:rPr>
                <w:sz w:val="20"/>
                <w:szCs w:val="20"/>
                <w:color w:val="auto"/>
              </w:rPr>
            </w:pPr>
            <w:r>
              <w:rPr>
                <w:rFonts w:ascii="Arial" w:cs="Arial" w:eastAsia="Arial" w:hAnsi="Arial"/>
                <w:sz w:val="18"/>
                <w:szCs w:val="18"/>
                <w:color w:val="auto"/>
              </w:rPr>
              <w:t>Working capital to cover miscellaneous expenses, D&amp;O insurance, general corporate purposes, liquidation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560" w:type="dxa"/>
            <w:vAlign w:val="bottom"/>
          </w:tcPr>
          <w:p>
            <w:pPr>
              <w:ind w:left="180"/>
              <w:spacing w:after="0"/>
              <w:rPr>
                <w:sz w:val="20"/>
                <w:szCs w:val="20"/>
                <w:color w:val="auto"/>
              </w:rPr>
            </w:pPr>
            <w:r>
              <w:rPr>
                <w:rFonts w:ascii="Arial" w:cs="Arial" w:eastAsia="Arial" w:hAnsi="Arial"/>
                <w:sz w:val="18"/>
                <w:szCs w:val="18"/>
                <w:color w:val="auto"/>
              </w:rPr>
              <w:t>obligations and reserves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510,000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50"/>
        </w:trPr>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9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portion of the offering expenses will be paid from the proceeds of loans from our sponsor of up to $300,000 as described in this prospectus. As of June 30, 2020, we have borrowed $25,025 under the promissory note with our sponsor to be used for a portion of the expenses of this offering. Any borrowed amounts will be repaid upon completion of this offering out of the offering proceeds that has been allocated for the payment of offering expenses (other than underwriting commissions). In the event that offering expenses are more than as set forth in this table, they will be repaid using a portion of the $1,250,000 of offering proceeds not held in the trust account and set aside for post-closing working capital expenses. In the event that offering expenses are less than set forth in this table, any such amounts will be used for post-closing working capital expenses.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left="340" w:hanging="332"/>
        <w:spacing w:after="0" w:line="272"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underwriters have agreed to defer underwriting commissions equal to 3.5% of the gross proceeds of this offering. Upon completion of our initial business combination, $4,375,000, which constitutes the underwriter’s deferred commissions (or up to $5,031,250 if the underwriter’s over-allotment option is exercised in full) will be paid to the underwriters from the funds held in the trust account, and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177"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funds held in the trust account will be used to acquire a target business, to pay holders who wish to convert or sell their shares for a portion of the funds held in the trust account and potentially to pay our expenses relating thereto. Our expenses relating to the acquisition of a target business would either come from the funds held in the trust account or additional funds otherwise available to us outside of the trust account, including cash held by the target business. Any remaining funds will be disbursed to the combined company and be used as working capital to finance the operations of the target business.</w:t>
      </w:r>
    </w:p>
    <w:p>
      <w:pPr>
        <w:spacing w:after="0" w:line="187"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proceeds not held in trust will remain constant at $1,250,000 even if the over-allotment is exercised.</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18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payment to an affiliate of our sponsor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our sponsor and its affiliates for our benefit. We believe that this administrative fee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total of $10.00 per share (whether or not the underwriter’s over-allotment option is exercised in full) of the net proceeds from this offering and the sale of the private shares described in this prospectus will be placed in a trust account in the United States at Morgan Stanley, N.A., maintained by Continental Stock Transfer &amp; Trust Company acting as trustee and will be invested only in U.S. government treasury bills, notes and bonds with a maturity of 180 days or less or in money market funds meeting certain conditions under Rule 2a-7 under the Investment Company Act and which invest solely in U.S. Treasuries. Except for all interest income that may be released to us to pay our tax obligations, as discussed below, none of the funds held in the trust account will be released from the trust account until the earlier of: (i) the consummation of our initial business combination within 24 months from the closing of this offering and (ii) a redemption to public stockholders prior to any voluntary winding-up in the event we do not consummate our initial business combination within the applicable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324"/>
        <w:spacing w:after="0" w:line="25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prospectus, our sponsor has loaned us up to $300,000 to be used for a portion of the expenses of this offering, of which we have borrowed $25,025. Any loans will be non-interest bearing and payable on the date on which we consummate the offering.</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our officers and directors may, but are not obligated to, loan us funds as may be required. If we consummate our initial business combination, we would repay such loaned amounts. The notes would either be paid upon consummation of our initial business combination, without interest, or, at the lender’s discretion, up to $1,500,000 of the notes may be converted upon consummation of our business combination into additional private shares at a price of $10.00 per share (which, for example, would result in the holders being issued 50,000 shares if $500,000 of notes were so converted). Such private shares will be identical to the private shares to be issued at the closing of this offering.</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no event will we redeem our public shares in an amount that would cause our net tangible assets to be less than $5,000,001. Furthermore, the redemption threshold may be further limited by the terms and conditions of our initial business combination. In such case, we would not proceed with the redemption of our public shares or the business combination, and instead may search for an alternate business combination.</w:t>
      </w:r>
    </w:p>
    <w:p>
      <w:pPr>
        <w:spacing w:after="0" w:line="1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24 months following the closing of this offering, subject to applicable law, or (iii) if we seek to amend our certificate of incorporation to affect the substance or timing of our obligation to redeem all public shares if we cannot complete an initial business combination within 24 months of the closing of this offering and such amendment is duly approved. In no other circumstances will a public stockholder have any right or interest of any kind to or in the trust account.</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initial stockholders have agreed to waive their redemption rights with respect to any shares they own in connection with the consummation of our initial business combination, including their founder shares and public shares that they have purchased during or after the offering, if any. In addition, our initial stockholders have agreed to waive their rights to liquidating distributions with respect to its founder shares if we fail to consummate our initial business combination within 24 months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shares). Further, if we incur any indebtedness in connection with our initial business combination, our ability to declare dividends may be limited by restrictive covenants we may agree to in connection therewith.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difference between the public offering price per share and the pro forma net tangible book value per share after this offering constitutes the dilution to investors in this offering.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At June 30, 2020, our net tangible book value was $(13,972) or approximately $(0.00) per share. After giving effect to the sale of 12,500,000 shares of common stock we are offering by this prospectus and the proceeds received from the sale of the private shares, the deduction of underwriting discounts and estimated expenses of this offering, our pro forma net tangible book value at June 30, 2020 would have been $5,000,008 or $1.14 per share, representing an immediate increase in net tangible book value of $1.14 per share to the initial stockholders and an immediate dilution of 88.6% per share or $8.86 to new investors not exercising their conversion/tender rights. For purposes of presentation, our pro forma net tangible book value after this offering is $116,899,520 less than it otherwise would have been because, if we effect a business combination, the ability of public stockholders to exercise conversion rights or sell their shares to us in any tender offer may result in the conversion or tender of up to 11,689,952 shares sold in this offering.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dilution to the new investors on a per-share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Without Over-allotment</w:t>
            </w:r>
          </w:p>
        </w:tc>
        <w:tc>
          <w:tcPr>
            <w:tcW w:w="10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With Over-allotment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Net tangible book deficit before this offering</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(0.00)</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attributable to public stockholders</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6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8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3"/>
              </w:rPr>
              <w:t>Pro forma net tangible book value after this offering and the sale of the private</w:t>
            </w: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placement warrants</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to public stockholders</w:t>
            </w:r>
          </w:p>
        </w:tc>
        <w:tc>
          <w:tcPr>
            <w:tcW w:w="1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w:t>
            </w:r>
          </w:p>
        </w:tc>
        <w:tc>
          <w:tcPr>
            <w:tcW w:w="21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Percentage of dilution to public stockholders</w:t>
            </w: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our initial stockholders and the new 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20" w:type="dxa"/>
            <w:vAlign w:val="bottom"/>
          </w:tcPr>
          <w:p>
            <w:pPr>
              <w:spacing w:after="0"/>
              <w:rPr>
                <w:sz w:val="22"/>
                <w:szCs w:val="22"/>
                <w:color w:val="auto"/>
              </w:rPr>
            </w:pPr>
          </w:p>
        </w:tc>
        <w:tc>
          <w:tcPr>
            <w:tcW w:w="27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Shares Purchased</w:t>
            </w:r>
          </w:p>
        </w:tc>
        <w:tc>
          <w:tcPr>
            <w:tcW w:w="160" w:type="dxa"/>
            <w:vAlign w:val="bottom"/>
          </w:tcPr>
          <w:p>
            <w:pPr>
              <w:spacing w:after="0"/>
              <w:rPr>
                <w:sz w:val="22"/>
                <w:szCs w:val="22"/>
                <w:color w:val="auto"/>
              </w:rPr>
            </w:pPr>
          </w:p>
        </w:tc>
        <w:tc>
          <w:tcPr>
            <w:tcW w:w="25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Total Consideration</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Price</w:t>
            </w:r>
          </w:p>
        </w:tc>
      </w:tr>
      <w:tr>
        <w:trPr>
          <w:trHeight w:val="236"/>
        </w:trPr>
        <w:tc>
          <w:tcPr>
            <w:tcW w:w="46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0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Percentage</w:t>
            </w:r>
          </w:p>
        </w:tc>
        <w:tc>
          <w:tcPr>
            <w:tcW w:w="2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Percentage</w:t>
            </w:r>
          </w:p>
        </w:tc>
        <w:tc>
          <w:tcPr>
            <w:tcW w:w="26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Per Share</w:t>
            </w:r>
          </w:p>
        </w:tc>
        <w:tc>
          <w:tcPr>
            <w:tcW w:w="100" w:type="dxa"/>
            <w:vAlign w:val="bottom"/>
            <w:tcBorders>
              <w:bottom w:val="single" w:sz="8" w:color="CCEEFF"/>
            </w:tcBorders>
          </w:tcPr>
          <w:p>
            <w:pPr>
              <w:spacing w:after="0"/>
              <w:rPr>
                <w:sz w:val="20"/>
                <w:szCs w:val="20"/>
                <w:color w:val="auto"/>
              </w:rPr>
            </w:pPr>
          </w:p>
        </w:tc>
      </w:tr>
      <w:tr>
        <w:trPr>
          <w:trHeight w:val="243"/>
        </w:trPr>
        <w:tc>
          <w:tcPr>
            <w:tcW w:w="462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 xml:space="preserve">Founder Shares </w:t>
            </w:r>
            <w:r>
              <w:rPr>
                <w:rFonts w:ascii="Arial" w:cs="Arial" w:eastAsia="Arial" w:hAnsi="Arial"/>
                <w:sz w:val="28"/>
                <w:szCs w:val="28"/>
                <w:color w:val="auto"/>
                <w:vertAlign w:val="superscript"/>
              </w:rPr>
              <w:t>(1)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3,125,000</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Private Shares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450,000</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4,500,000</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5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investors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125,000,000</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37"/>
        </w:trPr>
        <w:tc>
          <w:tcPr>
            <w:tcW w:w="462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16,075,000</w:t>
            </w:r>
          </w:p>
        </w:tc>
        <w:tc>
          <w:tcPr>
            <w:tcW w:w="20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129,525,000</w:t>
            </w:r>
          </w:p>
        </w:tc>
        <w:tc>
          <w:tcPr>
            <w:tcW w:w="20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468,750 shares of common stock held by our sponsor have been forfeited as a result thereof.</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pro forma net tangible book value after the offering is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Without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With</w:t>
            </w:r>
          </w:p>
        </w:tc>
      </w:tr>
      <w:tr>
        <w:trPr>
          <w:trHeight w:val="230"/>
        </w:trPr>
        <w:tc>
          <w:tcPr>
            <w:tcW w:w="8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Over-</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Over-</w:t>
            </w:r>
          </w:p>
        </w:tc>
      </w:t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allotment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allotment</w:t>
            </w:r>
          </w:p>
        </w:tc>
      </w:tr>
      <w:tr>
        <w:trPr>
          <w:trHeight w:val="432"/>
        </w:trPr>
        <w:tc>
          <w:tcPr>
            <w:tcW w:w="86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tangible book deficit before this offering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(13,972)</w:t>
            </w: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color w:val="auto"/>
              </w:rPr>
              <w:t>Net proceeds from this offering and sale of the private placement warrants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126,250,000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145,000,000</w:t>
            </w: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Offering costs paid in advance, excluded from tangible book value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38,500</w:t>
            </w: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color w:val="auto"/>
              </w:rPr>
              <w:t>Less: Deferred underwriting commissions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(4,375,000)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(5,031,250)</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Proceeds held in trust subject to redemption</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(116,899,520)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(134,993,270)</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1"/>
        </w:trPr>
        <w:tc>
          <w:tcPr>
            <w:tcW w:w="86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5,000,008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5,000,008</w:t>
            </w: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color w:val="auto"/>
              </w:rPr>
              <w:t>Common stock outstanding prior to this offering</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3,593,750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3,593,750</w:t>
            </w: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forfeited if over-allotment is not exercised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(468,750)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color w:val="auto"/>
              </w:rPr>
              <w:t>Common stock being offered</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12,500,000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14,375,000</w:t>
            </w: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constituting Private Placement Shares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487,500</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Less: Shares subject to redemption</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(11,689,952)</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(13,499,327)</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4,385,048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4,956,923</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our capitalization at June 30, 2020 and as adjusted to give effect to the sale of our common stock offered by this prospectus and the private shares and the application of the estimated net proceeds derived from the sale of such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June 30, 2020</w:t>
            </w:r>
          </w:p>
        </w:tc>
      </w:tr>
      <w:tr>
        <w:trPr>
          <w:trHeight w:val="198"/>
        </w:trPr>
        <w:tc>
          <w:tcPr>
            <w:tcW w:w="86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90"/>
              <w:spacing w:after="0" w:line="198" w:lineRule="exact"/>
              <w:rPr>
                <w:sz w:val="20"/>
                <w:szCs w:val="20"/>
                <w:color w:val="auto"/>
              </w:rPr>
            </w:pPr>
            <w:r>
              <w:rPr>
                <w:rFonts w:ascii="Arial" w:cs="Arial" w:eastAsia="Arial" w:hAnsi="Arial"/>
                <w:sz w:val="18"/>
                <w:szCs w:val="18"/>
                <w:b w:val="1"/>
                <w:bCs w:val="1"/>
                <w:color w:val="auto"/>
              </w:rPr>
              <w:t>As</w:t>
            </w:r>
          </w:p>
        </w:tc>
        <w:tc>
          <w:tcPr>
            <w:tcW w:w="100" w:type="dxa"/>
            <w:vAlign w:val="bottom"/>
            <w:gridSpan w:val="2"/>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Actual</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8"/>
              </w:rPr>
              <w:t>Adjusted (1)</w:t>
            </w: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payable to related party (2)</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ind w:left="20"/>
              <w:spacing w:after="0"/>
              <w:rPr>
                <w:sz w:val="20"/>
                <w:szCs w:val="20"/>
                <w:color w:val="auto"/>
              </w:rPr>
            </w:pPr>
            <w:r>
              <w:rPr>
                <w:rFonts w:ascii="Arial" w:cs="Arial" w:eastAsia="Arial" w:hAnsi="Arial"/>
                <w:sz w:val="18"/>
                <w:szCs w:val="18"/>
                <w:color w:val="auto"/>
              </w:rPr>
              <w:t>Deferred underwriting commissions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4,375,000</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Common stock subject to possible redemption; -0- and 11,689,952 shares, actual and as adjusted, respectively</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116,899,520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0"/>
              </w:rPr>
              <w:t>Common stock, $0.0001 par value, 5,000,000 and 30,000,000 shares authorized, actual and as adjusted; 3,593,750 and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5"/>
              </w:rPr>
              <w:t>4,385,048 shares issued and outstanding (excluding -0- and 11,689,952 shares subject to possible redemption),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actual and as adjusted, respectively (3)</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5,000,041</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(472)</w:t>
            </w:r>
          </w:p>
        </w:tc>
      </w:tr>
      <w:tr>
        <w:trPr>
          <w:trHeight w:val="236"/>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20"/>
              <w:spacing w:after="0"/>
              <w:rPr>
                <w:sz w:val="20"/>
                <w:szCs w:val="20"/>
                <w:color w:val="auto"/>
              </w:rPr>
            </w:pPr>
            <w:r>
              <w:rPr>
                <w:rFonts w:ascii="Arial" w:cs="Arial" w:eastAsia="Arial" w:hAnsi="Arial"/>
                <w:sz w:val="18"/>
                <w:szCs w:val="18"/>
                <w:color w:val="auto"/>
              </w:rPr>
              <w:t>Total capitalization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49,553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126,274,528</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the $4,500,000 we will receive from the sale of the private shares.</w:t>
      </w:r>
    </w:p>
    <w:p>
      <w:pPr>
        <w:spacing w:after="0" w:line="225"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sponsor has agreed to loan us $300,000 under unsecured promissory notes to be sued for a portion of the expenses in this offering. As of June 30, 2020, our sponsor loaned us $25,025 pursuant to the promissory note. The loans are non-interest bearing and payable on the date on which we consummate the offering.</w:t>
      </w:r>
    </w:p>
    <w:p>
      <w:pPr>
        <w:spacing w:after="0" w:line="183"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468,750 shares of common stock held by our sponsor have been forfeited as a result thereof.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were incorporated on May 21, 2020 as a Delaware corporation to serve as a vehicle to effect a merger, share exchange, asset acquisition, share purchase, recapitalization, reorganization or similar business combination with one or more target businesses. Our efforts to identify a prospective target business will not be limited to a particular industry or geographic location. We intend to utilize cash derived from the proceeds of this offering, our securities, debt or a combination of cash, securities and debt, in effecting a business combination. The issuance of additional shares in our business combination:</w:t>
      </w:r>
    </w:p>
    <w:p>
      <w:pPr>
        <w:spacing w:after="0" w:line="18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a business combination are insufficient to pay our debt obligations;</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obtain additional financing, if necessary, if the debt security contains covenants restricting our ability to obtain additional financing while such security is outstanding.</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indicated in the accompanying financial statements, at June 30, 2020, we had approximately $25,000 in cash and $38,500 in deferred offering costs. Further, we expect to continue to incur significant costs in the pursuit of our acquisition plans. Our plans to raise capital or to consummate our initial business combination may not be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indicated in the accompanying financial statements, at June 30, 2020, we had approximately $25,000 in cash and working capital deficit of approximately $(14,000). Further, we have incurred and expect to continue to incur significant costs in pursuit of our financing and acquisition plans.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liquidity needs have been satisfied to date through receipt of $25,000 from the sale of the insider shares and loans from our sponsor of up to $300,000 under unsecured promissory notes. We estimate that the net proceeds from (1) the sale of common stock in this offering, after deducting offering expenses of approximately $750,000 and underwriting fees of $2,500,000 (or $2,875,000 if the over-allotment option is exercised in full) (2) the sale of the private shares for a purchase price of $4,500,000 (or $4,875,000 if the over-allotment option is exercised in full) will be $126,250,000 (or $145,500,000 if the over-allotment option is exercised in full). Of this amount, $125,000,000 (or $143,750,000 if the over-allotment option is exercised in full) will be held in the trust account. The remaining $1,250,000 (whether or not the over-allotment option is exercised in full) will not be held in the trust account.</w:t>
      </w:r>
    </w:p>
    <w:p>
      <w:pPr>
        <w:spacing w:after="0" w:line="16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 the next 24 months (assuming a business combination is not consummated prior thereto),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88" w:lineRule="exact"/>
        <w:rPr>
          <w:sz w:val="20"/>
          <w:szCs w:val="20"/>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$250,000 of expenses for the search for target businesses and for the legal, accounting and other third-party expenses attendant to the due diligence investigations, structuring and negotiating of a business combination;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$200,000 of expenses for the due diligence and investigation of a target business by our officers, directors and initial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$50,000 of expenses in legal and accounting fees relating to our SEC reporting obligations;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$240,000 for the payment of the administrative fee to an affiliate of BCTG Holdings, LLC, our sponsor (of $10,000 per month for up to 24 months), subject to deferral as described herein;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$510,000 for general working capital that will be used for miscellaneous expenses, including director and officer liability insurance premiums.</w:t>
      </w:r>
    </w:p>
    <w:p>
      <w:pPr>
        <w:spacing w:after="0" w:line="2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BCTG Holdings, LLC, our sponsor, has committed to purchase from us an aggregate of 450,000 shares of our common stock (or 487,500 shares if the underwriter’s over-allotment option is exercised in full) at a price of $10.00 per share ($4,500,000 in the aggregate, or $4,875,000 in the aggregate if the underwriter’s over-allotment option is exercised in full), in a private placement that will close simultaneously with the closing of this offering. This purchase will take place on a private placement basis simultaneously with the consummation of this offering.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324"/>
        <w:spacing w:after="0" w:line="269" w:lineRule="auto"/>
        <w:rPr>
          <w:sz w:val="20"/>
          <w:szCs w:val="20"/>
          <w:color w:val="auto"/>
        </w:rPr>
      </w:pPr>
      <w:r>
        <w:rPr>
          <w:rFonts w:ascii="Arial" w:cs="Arial" w:eastAsia="Arial" w:hAnsi="Arial"/>
          <w:sz w:val="17"/>
          <w:szCs w:val="17"/>
          <w:color w:val="auto"/>
        </w:rPr>
        <w:t>If needed to finance transaction costs in connection with searching for a target business or consummating an intended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$1,500,000 of the notes may be converted upon consummation of our business combination into additional private shares at a price of $10.00 per share (which, for example, would result in the holders being issued 500,000 shares if $500,000 of notes were so converted). Such private shares will be identical to the private shares to be issued at the closing of this offering. We believe the purchase price of these private shares will approximate the fair value of such private shares when issued. However, if it is determined, at the time of issuance, that the fair value of such private shares exceeds the purchase price, we would record compensation expense for the excess of the fair value of the private shares on the day of issuance over the purchase price in accordance with Accounting Standards Codification (“ASC”) 718 — Compensation — Stock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As of the date of this prospectus,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our initial business combination may have internal controls that need improvement in areas such as:</w:t>
      </w:r>
    </w:p>
    <w:p>
      <w:pPr>
        <w:spacing w:after="0" w:line="17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or if, required by Section 404. The independent auditors may identify additional issues concerning a target business’s internal controls while performing their audit of internal control over financial reporting.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treasury bills, bonds or notes having a maturity of 180 days or less, or in money market funds meeting the applicable conditions under Rule 2a-7 promulgated under the Investment Company Act of 1940 and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the date of this prospectus,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 newly organized blank check company incorporated in May 2020 as a Delaware corporation formed for the purpose of effecting a merger, capital stock exchange, asset acquisition, stock purchase, reorganization or similar business combination with one or more businesses, which we refer to throughout this prospectus as our initial business combination. While we may pursue an acquisition opportunity in any business, industry, sector or geographical location, we intend to focus on innovative companies in the biotechnology sector in North America and Europe in order to most effectively leverage our management team’s background and expertise.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date, our efforts have been limited to organizational activities as well as activities related to this offering. We have generated no operating revenues to date, and we do not expect that we will generate operating revenues until we consummate our initial business combination. We have not selected any specific business combination target, and we have not, nor has anyone on our behalf, initiated any substantive discussions, directly or indirectly, with any business combination target.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Sponsor and Competitive Advantages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sponsor is an affiliate of Boxer Capital, LLC, or Boxer Capital, a private biopharmaceutical investment firm based in San Diego, California. Boxer Capital and its affiliated funds manage over $2.2 billion in assets as of July 14, 2020. Boxer Capital was founded in 2005 with approximately $6 million in seed capital from its managing founders and Tavistock Group, which is the family office of Joseph C. Lewis. Since its inception, Boxer Capital has almost exclusively focused on investment in therapeutics. Over 80% of Boxer Capital’s current asset base has been generated by fund performance. Boxer Capital has generated a 7500% cumulative 15-year return with an annualized IRR of 34.3%, including three-, five- and seven-year annualized IRRs of 69.7%, 46.9%, and 51.4%, respectively, since inception in November 2005.</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Today, Tavistock Group remains the majority investor in Boxer Capital and the only significant investor besides the founding management team. Due to its majority ownership by a single investor, Boxer Capital is able to make investment decisions based on long-term value creation without the short-term distractions of fundraising or redemptions. Boxer Capital invests in the entire drug development lifecycle from early-stage preclinical discovery assets to late-stage clinical and commercial stage companies. Aaron Davis, our Chief Executive Officer and Chairman, and Christopher Fuglesang, our President, are among the co-founders of Boxer Capital and serve as its Chief Executive Officer and Managing Director, respectively.</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Boxer Capital’s investment focus is on identifying new therapeutics that will improve patient care and outcomes and investing behind these opportunities to fund their advancement. While more than 75% of Boxer Capital’s invested capital is in public corporations at any given time, the team spends a significant amount of its time reviewing private investment opportunities. Through its experience over many of years investing in therapeutics, Boxer Capital believes that there are important advantages to evaluating companies in the early stage of their development. Investing early allows Boxer Capital to learn about an asset and a management team before they become public and track their growth for subsequent consideration. Many of Boxer Capital’s largest historical and present public positions, such as Avexis, Inc, Beigene Inc., and Blueprint Medicines Corp., were built over time from pre-initial public offering investments utilizing this “crossover investing” approach. Since 2018, Boxer Capital has evaluated hundreds of private companies per year, while investing approximately $300 million in 29 private companies, 18 of which are now publicly traded. In 2020, nine of Boxer Capital’s portfolio companies have closed an initial public offering: Avidity Biosciences, Inc., Black Diamond Therapeutics, Inc., iTeos Therapeutics, Inc., Nurix Pharmaceuticals, Inc., Pandion Therapeutics, Inc., Passage Bio, Inc., Poseida Therapeutics, Inc., Relay Therapeutics, Inc., and Revolution Medicines, Inc. Boxer Capital was the lead investor for the private crossover round in four of these nine initial public offerings and has been the lead investor in nine private financings since 2018. Boxer Capital has invested substantial time and money in new company formation projects centered around licensing promising agents from pharmaceutical companies and pairing these assets with world-class managers and operators to help seed company formation. Boxer Capital has formed and/or recapitalized and rebuilt three publicly traded companies since inception, demonstrating the level of experience and direction the team can provide alongside funding to a potential combination partner.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324"/>
        <w:spacing w:after="0" w:line="268" w:lineRule="auto"/>
        <w:rPr>
          <w:sz w:val="20"/>
          <w:szCs w:val="20"/>
          <w:color w:val="auto"/>
        </w:rPr>
      </w:pPr>
      <w:r>
        <w:rPr>
          <w:rFonts w:ascii="Arial" w:cs="Arial" w:eastAsia="Arial" w:hAnsi="Arial"/>
          <w:sz w:val="17"/>
          <w:szCs w:val="17"/>
          <w:color w:val="auto"/>
        </w:rPr>
        <w:t>A fundamental area of strength for Boxer Capital has been targeted oncology, having focused on investing in this sector of healthcare for most of the last ten years. For example, Boxer Capital has led an active effort in recapitalizing and repositioning Mirati Therapeutics, Inc. since 2012 when it was MethylGene Inc., playing an important strategic and financial role over the years with its board seat and ownership level to assist the company with its re-focus on an internally developed pipeline of KRAS inhibitor assets, alongside the repositioning of later-stage clinical assets like sitravatinib. Boxer Capital has also made large traditional investments in targeted oncology companies like Immunomedics, Inc., Ignyta Inc. (acquired by Roche in 2017), Loxo Oncology, Inc. (acquired by Eli Lilly and Company in 2019) and Array BioPharma Inc. (acquired by Pfizer in 2019). In addition to investments in already-public companies, Boxer Capital has made multiple investments in private targeted oncology companies that are now among the sector’s most promising public companies, including BeiGene, Inc., Odonate Therapeutics, Inc., SpringWorks Therapeutics, Inc., Revolution Medicines, Inc., Black Diamond Therapeutics, Inc. and Relay Therapeutics, Inc. Over time, with this heavy focus on investing in targeted oncology, Boxer Capital has built a network of research scientists, chemists, physicians, and other experts in areas like manufacturing, intellectual property and food and drug regulations who have expertise in targeted oncology and can be called upon as needed to assist with diligence. To further bolster our support in this area, we have assembled a board of individuals who each have particular expertise in the area of targeted oncology, among other areas. Although we may pursue an acquisition opportunity in any business, industry, or sector, we believe targeted oncology is an area of particular strength where we may have a competitive advantage in finding, evaluating and capitalizing an attractive target company.</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team at Boxer Capital is comprised of individuals with backgrounds in finance, drug development, medicine and science. The majority of the team has doctorates in medicine and science, and some have been responsible for multiple Investigational New Drug Applications and New Drug Applications. The in-house team is supplemented by a proprietary network of key opinion leaders, expert consultants, healthcare executives, and biotechnology investors. We believe their holistic approach will enable us to identify and evaluate innovative companies that can address unmet needs in healthcare.</w:t>
      </w:r>
    </w:p>
    <w:p>
      <w:pPr>
        <w:spacing w:after="0" w:line="1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independent directors have very broad experience within targeted oncology, spanning biology, chemistry, preclinical models and translation, clinical enrichment and development strategy, regulatory strategy, manufacturing, intellectual property, operational and management leadership within multiple successful publicly traded and previously acquired oncology companies. Our independent directors have led the discovery and clinical development of multiple targeted oncology drugs treating cancer patients worldwide. As we evaluate prospective candidates for our initial business combination, we believe that their breadth of experience will assist in our ability to source and evaluate prospective business combination candidates. After we execute our initial business combination, we believe their operational and strategic expertise will strongly support the drug development efforts of our target, as well as any potential future acquisitions and strategic transactions.</w:t>
      </w: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to identifying and capitalizing an attractive target, we believe that the sector expertise and broad relationship network of our management team and board of directors will allow them to add significant value after consummation of an initial transaction by (1) providing strategic guidance on clinical development, competitive positioning, financing and partnerships, (2) assisting in the recruitment of key executives, (3) providing an investor perspective on market information and investor relations and (4) corporate governance and public company readiness.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past performance of the members of our management team, Boxer Capital or its affiliates is not a guarantee that we will be able to identify a suitable candidate for our initial business combination or of success with respect to any business combination we may consummate. You should not rely on the historical record or the performance of our management, Boxer Capital or any of its affiliates’ or managed fund’s performance as indicative of our future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and Board of Directors</w:t>
      </w:r>
    </w:p>
    <w:p>
      <w:pPr>
        <w:spacing w:after="0" w:line="2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 xml:space="preserve">Aaron I. Davis </w:t>
      </w:r>
      <w:r>
        <w:rPr>
          <w:rFonts w:ascii="Arial" w:cs="Arial" w:eastAsia="Arial" w:hAnsi="Arial"/>
          <w:sz w:val="16"/>
          <w:szCs w:val="16"/>
          <w:color w:val="auto"/>
        </w:rPr>
        <w:t>has served as our Chief Executive Officer and Chairman of our board of directors since May 2020. Mr. Davis co-founded Boxer</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LLC (“Boxer Capital”), the healthcare arm of the Tavistock Group, where he has served as portfolio manager since 2005 and as Chief Executive Officer since 2012. At Boxer Capital, Mr. Davis is responsible for identifying, evaluating and structuring investment opportunities in private and public biotechnology companies. Mr. Davis serves as a member of the board of directors of Mirati Therapeutics, Inc. (Nasdaq:MRTX), Odonate Therapeutics, Inc. (Nasdaq:ODT), iTeos Therapeutics, Inc. (Nasdaq:ITOS), and Sojournix, Inc. and serves as the Executive Chairman of CiVi Biopharma Holdings, Inc. Prior to joining the Tavistock Group, Mr. Davis worked in the Global Healthcare Investment Banking and Private Equity Groups at UBS Warburg, LLC. Mr. Davis received an M.A. degree in biotechnology from Columbia University and a B.B.A. degree in finance from Emory University.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324"/>
        <w:spacing w:after="0" w:line="272" w:lineRule="auto"/>
        <w:rPr>
          <w:sz w:val="20"/>
          <w:szCs w:val="20"/>
          <w:color w:val="auto"/>
        </w:rPr>
      </w:pPr>
      <w:r>
        <w:rPr>
          <w:rFonts w:ascii="Arial" w:cs="Arial" w:eastAsia="Arial" w:hAnsi="Arial"/>
          <w:sz w:val="17"/>
          <w:szCs w:val="17"/>
          <w:b w:val="1"/>
          <w:bCs w:val="1"/>
          <w:color w:val="auto"/>
        </w:rPr>
        <w:t xml:space="preserve">Christopher Fuglesang, Ph.D., J.D., </w:t>
      </w:r>
      <w:r>
        <w:rPr>
          <w:rFonts w:ascii="Arial" w:cs="Arial" w:eastAsia="Arial" w:hAnsi="Arial"/>
          <w:sz w:val="17"/>
          <w:szCs w:val="17"/>
          <w:color w:val="auto"/>
        </w:rPr>
        <w:t>has served as our President and as a member of our board of directors since May 2020. Dr. Fuglesang joined</w:t>
      </w:r>
      <w:r>
        <w:rPr>
          <w:rFonts w:ascii="Arial" w:cs="Arial" w:eastAsia="Arial" w:hAnsi="Arial"/>
          <w:sz w:val="17"/>
          <w:szCs w:val="17"/>
          <w:b w:val="1"/>
          <w:bCs w:val="1"/>
          <w:color w:val="auto"/>
        </w:rPr>
        <w:t xml:space="preserve"> </w:t>
      </w:r>
      <w:r>
        <w:rPr>
          <w:rFonts w:ascii="Arial" w:cs="Arial" w:eastAsia="Arial" w:hAnsi="Arial"/>
          <w:sz w:val="17"/>
          <w:szCs w:val="17"/>
          <w:color w:val="auto"/>
        </w:rPr>
        <w:t>Tavistock Group in 2005 as a vice president and was a co-founder of Boxer Capital, where he has been a managing director since 2012. At Boxer Capital, Dr. Fuglesang assists in managing the firm’s research team, deal structuring and securities compliance. Prior to joining Boxer Capital, Dr. Fuglesang was vice president at Eidogen-Sertanty, Inc., a structural proteomics software company, and an attorney at Perkins Coie LLC. Dr. Fuglesang is a member of the board of directors of Pandion Therapeutics, Inc. (Nasdaq:PAND), CiVi Biopharma Holdings, Inc. and Eidogen-Sertanty, Inc. Dr. Fuglesang served as a member of the board of directors of Kalypsys, Inc. from 2007 to 2013 and of Ambrx Inc. from 2011 to 2015. Dr. Fuglesang received a B.S. in chemistry and physics from the University of California at Los Angeles, a Ph.D. in theoretical chemical physics from the University of California at Los Angeles, and a J.D. from Boston University.</w:t>
      </w:r>
    </w:p>
    <w:p>
      <w:pPr>
        <w:spacing w:after="0" w:line="1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Michael Beauchamp </w:t>
      </w:r>
      <w:r>
        <w:rPr>
          <w:rFonts w:ascii="Arial" w:cs="Arial" w:eastAsia="Arial" w:hAnsi="Arial"/>
          <w:sz w:val="18"/>
          <w:szCs w:val="18"/>
          <w:color w:val="auto"/>
        </w:rPr>
        <w:t>has served as our Chief Financial Officer and Treasurer since May 2020. Mr. Beauchamp has served as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at Boxer Capital since January 2016, where he is responsible for the firm’s back office operations, including finance, tax, audit and administration. Prior to joining Boxer Capital, Mr. Beauchamp worked in the assurance practice at PricewaterhouseCoopers from 2012 to 2016. Mr. Beauchamp received a Bachelor of Accountancy degree from the University of San Diego.</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Andrew Ellis, M.D., J.D., </w:t>
      </w:r>
      <w:r>
        <w:rPr>
          <w:rFonts w:ascii="Arial" w:cs="Arial" w:eastAsia="Arial" w:hAnsi="Arial"/>
          <w:sz w:val="18"/>
          <w:szCs w:val="18"/>
          <w:color w:val="auto"/>
        </w:rPr>
        <w:t>has served as our Chief Operating Officer and Secretary since May 2020. Dr. Ellis has served as Senior Counsel and Head</w:t>
      </w:r>
      <w:r>
        <w:rPr>
          <w:rFonts w:ascii="Arial" w:cs="Arial" w:eastAsia="Arial" w:hAnsi="Arial"/>
          <w:sz w:val="18"/>
          <w:szCs w:val="18"/>
          <w:b w:val="1"/>
          <w:bCs w:val="1"/>
          <w:color w:val="auto"/>
        </w:rPr>
        <w:t xml:space="preserve"> </w:t>
      </w:r>
      <w:r>
        <w:rPr>
          <w:rFonts w:ascii="Arial" w:cs="Arial" w:eastAsia="Arial" w:hAnsi="Arial"/>
          <w:sz w:val="18"/>
          <w:szCs w:val="18"/>
          <w:color w:val="auto"/>
        </w:rPr>
        <w:t>of Compliance at Boxer Capital since July 2018, where he is responsible for securities compliance, deal structuring and due diligence for investments in private and public healthcare companies. Prior to joining Boxer Capital, Dr. Ellis was a corporate and securities attorney at Wilson Sonsini Goodrich &amp; Rosati, P.C. from 2013 to 2018, where he worked with life sciences companies and investors on a variety of corporate transactions. Dr. Ellis received an M.D. and general surgery training at Baylor College of Medicine, a J.D. from New York University School of Law, and a B.S. degree in Biology from Baylor University.</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Carole L. Nuechterlein, J.D., </w:t>
      </w:r>
      <w:r>
        <w:rPr>
          <w:rFonts w:ascii="Arial" w:cs="Arial" w:eastAsia="Arial" w:hAnsi="Arial"/>
          <w:sz w:val="16"/>
          <w:szCs w:val="16"/>
          <w:color w:val="auto"/>
        </w:rPr>
        <w:t>has agreed to serve on our board of directors following the completion of this offering. Ms. Nuechterlein joined F.</w:t>
      </w:r>
      <w:r>
        <w:rPr>
          <w:rFonts w:ascii="Arial" w:cs="Arial" w:eastAsia="Arial" w:hAnsi="Arial"/>
          <w:sz w:val="16"/>
          <w:szCs w:val="16"/>
          <w:b w:val="1"/>
          <w:bCs w:val="1"/>
          <w:color w:val="auto"/>
        </w:rPr>
        <w:t xml:space="preserve"> </w:t>
      </w:r>
      <w:r>
        <w:rPr>
          <w:rFonts w:ascii="Arial" w:cs="Arial" w:eastAsia="Arial" w:hAnsi="Arial"/>
          <w:sz w:val="16"/>
          <w:szCs w:val="16"/>
          <w:color w:val="auto"/>
        </w:rPr>
        <w:t>Hoffmann-La Roche Ltd. in 2001 and currently serves as a Deputy Director and head of Roche Venture Fund. Prior to that, from 1998 to 2001, Ms. Nuechterlein served as General Counsel for SangStat, Inc., a biopharmaceutical company. Ms. Nuechterlein has served as a member of the board of directors of Millendo Therapeutics, Inc. (Nasdaq:MLND) since March 2017. Ms. Nuechterlein serves and has served as a member of the boards of directors of a number of private biotechnology companies, including Entrada Therapeutics since April 2020, Aligos Therapeutics since August 2018, Vivet Therapeutics SAS since April 2017, CiVi BioPharma, Inc. since March 2017, Mission Therapeutics Ltd. since January 2017, Arch Oncology Inc. since August 2016 and Second Genome, Inc. since April 2016. She also served as a member of the board of directors of AveXis Inc., a biotechnology company (Nasdaq:AVXS), from October 2014 to May 2017. Ms. Nuechterlein received a B.A. from Valparaiso University and a J.D. from University of Michigan.</w:t>
      </w:r>
    </w:p>
    <w:p>
      <w:pPr>
        <w:spacing w:after="0" w:line="15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Richard Heyman, Ph.D., </w:t>
      </w:r>
      <w:r>
        <w:rPr>
          <w:rFonts w:ascii="Arial" w:cs="Arial" w:eastAsia="Arial" w:hAnsi="Arial"/>
          <w:sz w:val="17"/>
          <w:szCs w:val="17"/>
          <w:color w:val="auto"/>
        </w:rPr>
        <w:t>has agreed to serve on our board of directors following the completion of this offering. Dr. Heyman is chairman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and co-founder of Metacrine, Inc., a biotechnology company developing new therapeutics for the treatment of liver and gastrointestinal diseases. He also is on the board of directors of Gritstone Oncology, Inc. (Nasdaq:GRTS) and is the co-founder and chairman of the board of directors of ORIC Pharmaceuticals, Inc. (Nasdaq:ORIC). Previously, Dr. Heyman served as president and chief executive officer of Seragon Pharmaceuticals Inc., or Seragon, a privately-held biotechnology company, which was acquired by Genentech in 2014. Prior to Seragon, he co-founded and served as president and chief executive officer of Aragon Pharmaceuticals, Inc., or Aragon, until it was purchased by Johnson &amp; Johnson in 2013. Dr. Heyman is a venture partner for Arch Ventures and also serves on the boards of directors for private life sciences companies Yumanity Therapeutics, Inc., Vividion Therapeutics, Inc., PMV Pharmaceuticals, Inc. and Amunix Inc. He is Vice Chair of the Board of Trustees at the Salk Institute, on the Board Foundation for the American Association for Cancer Research, or AACR, and on the Board of Visitors at the University of California at San Diego Moores Cancer Center. Dr. Heyman received a B.S. in chemistry from the University of Connecticut and a Ph.D. in pharmacology from the University of Minnesota. He was an NIH post-doctoral fellow and staff scientist at the Salk Institute.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324"/>
        <w:spacing w:after="0" w:line="289" w:lineRule="auto"/>
        <w:rPr>
          <w:sz w:val="20"/>
          <w:szCs w:val="20"/>
          <w:color w:val="auto"/>
        </w:rPr>
      </w:pPr>
      <w:r>
        <w:rPr>
          <w:rFonts w:ascii="Arial" w:cs="Arial" w:eastAsia="Arial" w:hAnsi="Arial"/>
          <w:sz w:val="16"/>
          <w:szCs w:val="16"/>
          <w:b w:val="1"/>
          <w:bCs w:val="1"/>
          <w:color w:val="auto"/>
        </w:rPr>
        <w:t xml:space="preserve">Charles M. Baum, M.D., Ph.D., </w:t>
      </w:r>
      <w:r>
        <w:rPr>
          <w:rFonts w:ascii="Arial" w:cs="Arial" w:eastAsia="Arial" w:hAnsi="Arial"/>
          <w:sz w:val="16"/>
          <w:szCs w:val="16"/>
          <w:color w:val="auto"/>
        </w:rPr>
        <w:t>has agreed to serve on our board of directors following the completion of this offering. Dr. Baum has been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and a member of the board of directors of Mirati Therapeutics, Inc. since November 2012. From June 2003 to September 2012, he was at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he was responsible for the development of several oncology compounds at Schering-Plough Corporation (acquired by Merck). His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has served on the board of directors of Immunomedics, Inc. (Nasdaq:IMMU) since February 2019 and was on the board of directors of Array BioPharma Inc. from 2014 until its acquisition by Pfizer in July 2019. Dr. Baum received his M.D. and Ph.D. (Immunology) degrees from Washington University School of Medicine in St. Louis, Missouri and completed his post-doctoral training at Stanford University.</w:t>
      </w:r>
    </w:p>
    <w:p>
      <w:pPr>
        <w:spacing w:after="0" w:line="1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Jamie G. Christensen, Ph.D., </w:t>
      </w:r>
      <w:r>
        <w:rPr>
          <w:rFonts w:ascii="Arial" w:cs="Arial" w:eastAsia="Arial" w:hAnsi="Arial"/>
          <w:sz w:val="17"/>
          <w:szCs w:val="17"/>
          <w:color w:val="auto"/>
        </w:rPr>
        <w:t>has agreed to serve on our board of directors following the completion of this offering. Dr. Christensen has been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Vice President and Chief Scientific Officer of Mirati Therapeutics, Inc. since June 2013. In his role at Mirati, he is responsible for drug discovery, translational research, drug manufacturing and companion diagnostics research and teams. While at Mirati, Dr. Christensen led activities related to the discovery and advancement of the KRAS G12C inhibitor, MRTX849, as well as the spectrum-selective receptor tyrosine kinase (RTK) inhibitor, sitravatinib, through IND and clinical development. Prior to Mirati, Dr. Christensen most recently was the head of Oncology Precision Medicine and member of the executive leadership team in the Oncology Research Unit at Pfizer. While at Pfizer, Dr Christensen led key aspects of the nonclinical and clinical development of sunitinib (Sutent®), crizotinib (Xalkori®), and palbociclib (Ibrance®). Prior to his time at Pfizer, he held positions at SUGEN/Pharmacia as a Group Leader on the Preclinical Research and Exploratory Development team. Dr. Christensen initiated his industry experience at Warner Lambert/Parke-Davis with research focus in RTK biology and pathway biomarker development in the oncology therapeutic area. Dr. Christensen received his Ph.D. focusing in Molecular Pharmacology from North Carolina State University with dissertation research directed toward characterization of mechanisms of apoptosis dysregulation during the process of carcinogenesis.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Opportunity</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the biotechnology sector represents a tremendous opportunity for growth, with many promising pre-commercial companies seeking funding and guidance from knowledgeable investment firms. There are multiple trends in the sector that contribute to this growth potential, and we believe they will enable us to identify and acquire an attractive target. These trends include the following:</w:t>
      </w:r>
    </w:p>
    <w:p>
      <w:pPr>
        <w:spacing w:after="0" w:line="184" w:lineRule="exact"/>
        <w:rPr>
          <w:sz w:val="20"/>
          <w:szCs w:val="20"/>
          <w:color w:val="auto"/>
        </w:rPr>
      </w:pPr>
    </w:p>
    <w:p>
      <w:pPr>
        <w:jc w:val="both"/>
        <w:ind w:left="66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Rising U.S. healthcare costs</w:t>
      </w:r>
      <w:r>
        <w:rPr>
          <w:rFonts w:ascii="Arial" w:cs="Arial" w:eastAsia="Arial" w:hAnsi="Arial"/>
          <w:sz w:val="17"/>
          <w:szCs w:val="17"/>
          <w:color w:val="auto"/>
        </w:rPr>
        <w:t>. According to the Centers for Medicare and Medicaid Services, or CMS, national healthcare expenditures reached $3.6 trillion in 2018 and accounted for 17.7% of the U.S. GDP. CMS projects that healthcare expenditures will grow at an average rate of 5.4% per year until 2028, when they are predicted to reach $6.2 trillion, or 20% of the U.S. GDP. We believe these budgetary pressures will support the demand for biotechnology companies that create more efficient and effective medical treatments.</w:t>
      </w:r>
    </w:p>
    <w:p>
      <w:pPr>
        <w:spacing w:after="0" w:line="171"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Technological progress driving innovation</w:t>
      </w:r>
      <w:r>
        <w:rPr>
          <w:rFonts w:ascii="Arial" w:cs="Arial" w:eastAsia="Arial" w:hAnsi="Arial"/>
          <w:sz w:val="17"/>
          <w:szCs w:val="17"/>
          <w:color w:val="auto"/>
        </w:rPr>
        <w:t>. Biotechnology innovation has accelerated in recent years due to new technology, including advances in computing, artificial intelligence, genetics and cellular engineering. Biotechnology companies have used these tools in many ways, particularly for breakthrough discoveries in the areas of targeted oncology, gene therapy, gene editing and cell therapy. We believe the pace of this advancement can persist and even grow, which could result in many new therapies that address unmet needs.</w:t>
      </w:r>
    </w:p>
    <w:p>
      <w:pPr>
        <w:spacing w:after="0" w:line="171"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Private and public financing activity</w:t>
      </w:r>
      <w:r>
        <w:rPr>
          <w:rFonts w:ascii="Arial" w:cs="Arial" w:eastAsia="Arial" w:hAnsi="Arial"/>
          <w:sz w:val="17"/>
          <w:szCs w:val="17"/>
          <w:color w:val="auto"/>
        </w:rPr>
        <w:t>. The biotechnology IPO “window” has long served as a bellwether for the health of the sector, and recent IPO activity has been strong. According to Renaissance Capital, there were 58 biotechnology IPOs in 2018 and 51 in 2019, raising an aggregate of $6.3 billion and $5.2 billion, respectively. As of July 14, 2020, 29 biotechnology companies have launched successful IPOs year-to-date to raise an aggregate of $4.8 billion. Encouraged by the prospect of a similar result, demand for private financings has also remained strong in 2020. These market dynamics reflect investors’ belief in the long-term growth of the biotechnology industry.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left="660" w:hanging="328"/>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M&amp;A activity</w:t>
      </w:r>
      <w:r>
        <w:rPr>
          <w:rFonts w:ascii="Arial" w:cs="Arial" w:eastAsia="Arial" w:hAnsi="Arial"/>
          <w:sz w:val="18"/>
          <w:szCs w:val="18"/>
          <w:color w:val="auto"/>
        </w:rPr>
        <w:t>. In recent years, large pharmaceutical companies have increasingly outsourced certain research and development functions by investing in and acquiring companies and assets to supplement their pipelines. 2019 was a particularly strong year for biotechnology M&amp;A, with $217.2 billion in M&amp;A deals according to EvaluatePharma. While M&amp;A activity has slowed thus far in 2020, and the full effect of the COVID-19 pandemic is not yet determinable, we believe the need for large pharmaceutical companies to replenish their drug pipelines will persist and will continue to support growth in the biotechnology industry.</w:t>
      </w:r>
    </w:p>
    <w:p>
      <w:pPr>
        <w:spacing w:after="0" w:line="187"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A more accommodating FDA</w:t>
      </w:r>
      <w:r>
        <w:rPr>
          <w:rFonts w:ascii="Arial" w:cs="Arial" w:eastAsia="Arial" w:hAnsi="Arial"/>
          <w:sz w:val="17"/>
          <w:szCs w:val="17"/>
          <w:color w:val="auto"/>
        </w:rPr>
        <w:t>. According to a recent article in JAMA, the FDA has approved more drugs on an average annual basis in this decade than in any decade since 1990. A recent article in Nature noted that, after hitting a record-breaking 59 novel drug approvals in 2018, the FDA’s Center for Drug Evaluation and Research, or CDER, approved 48 novel drugs in 2019, which was the third largest number of approvals in the past 25 years. This is due in part to the increased use of special approval and development programs such as fast track designation, breakthrough therapy designation and accelerated approval, but it also reflects the FDA’s increased flexibility as it relates to factors like biomarkers and trial design. A continuance of this trend would support drug development efforts and investment.</w:t>
      </w:r>
    </w:p>
    <w:p>
      <w:pPr>
        <w:spacing w:after="0" w:line="177" w:lineRule="exact"/>
        <w:rPr>
          <w:rFonts w:ascii="Arial" w:cs="Arial" w:eastAsia="Arial" w:hAnsi="Arial"/>
          <w:sz w:val="17"/>
          <w:szCs w:val="17"/>
          <w:color w:val="auto"/>
        </w:rPr>
      </w:pPr>
    </w:p>
    <w:p>
      <w:pPr>
        <w:jc w:val="both"/>
        <w:ind w:left="660" w:hanging="328"/>
        <w:spacing w:after="0" w:line="30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Strength despite COVID-19</w:t>
      </w:r>
      <w:r>
        <w:rPr>
          <w:rFonts w:ascii="Arial" w:cs="Arial" w:eastAsia="Arial" w:hAnsi="Arial"/>
          <w:sz w:val="16"/>
          <w:szCs w:val="16"/>
          <w:color w:val="auto"/>
        </w:rPr>
        <w:t>. The Nasdaq Biotech Index (NBI) has outperformed the general market thus far in 2020, with a 12% return for the NBI versus a 1% decline for the S&amp;P 500 as of July 14, 2020. We believe this demand is fueled in part by a renewed focus on the biotechnology sector as a result of the COVID-19 pandemic, which has served as a reminder of the important role biotechnology plays in solving global health problems. We believe this paradigm can serve as an additional tailwind for the growth of promising, innovative biopharmaceutical companies.</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becoming publicly traded presents several major benefits for private biotechnology companies, including greater access to capital, more liquid securities and increased customer awareness. Furthermore, we believe an acquisition by a special purpose acquisition company with a respected management team that is well-known to a biotechnology investors and management teams can be a very attractive mechanism for accessing the public markets due to the increased deal certainty, transparency and efficiency it can provide.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 &amp; Investment Criteria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strategy is to leverage our management team’s expertise and network of key opinion leaders, expert consultants, healthcare executives, biotechnology investors and investment bankers to identify and acquire an attractive target business in the biotechnology industry. We believe that Boxer Capital’s reputation and track record of favorable investments are an additional competitive advantage that will make us an attractive partner for companies in this competitive environment.</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part of our overall strategy, we have identified a set of criteria by which we will evaluate prospective target businesses. While we may enter into a business combination with a company that does not meet all of these criteria, we intend to focus on companies that we believe:</w:t>
      </w:r>
    </w:p>
    <w:p>
      <w:pPr>
        <w:spacing w:after="0" w:line="170"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identified a unique mechanism, developed a novel approach to a known mechanism, or made another scientific or technological leap that provides them with a competitive advantage versus current standard of care;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a competent management team with the experience and skillset that is necessary to successfully develop and commercialize promising drug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Are attractively valued due to being overlooked, misunderstood or undercapitalized, leaving ample upside for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a thesis that can be understood and appreciated by public investors in the current environment;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benefit from our capital, guidance and network and the public market access we can provide.</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above criteria are not meant to be exhaustive, and our management team may adopt new or unique criteria over time and depending on each particular situation.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shares,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have not identified any acquisition targets. From the period prior to our formation through the date of this prospectus, there have been no communications, evaluations or discussions between any of our officers, directors or our sponsor and any of their contacts or relationships regarding a potential initial business combination. Additionally, we have not engaged or retained any agent or other representative to identify or locate any suitable acquisition candidate. 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sponsor has entered into an agreement with us to purchase at least an aggregate of 2,500,000 shares of common stock, for an aggregate purchase price of $25,000,000, or $10.00 per share of common stock, prior to, concurrently with, or following the closing of our business combination in a private placement. The capital from such transaction may be used as part of the consideration to the sellers in our initial business combination, and any excess capital from such private placement would be used for working capital in the post-transaction company.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unaffiliated stockholders from a financial point of 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shareholder of the target (or control the target through contractual arrangements in limited circumstances for regulatory compliance purposes as discussed below)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There is no basis for investors in this offering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which will be made available to us.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324"/>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Market Value of Target Business or Businesses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target business or businesses or assets with which we effect our initial business combination must have a collective fair market value equal to at least 80% of the value of the trust account (excluding any taxes payable)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an initial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our debt or equity securities and have no current intention of doing so.</w:t>
      </w:r>
    </w:p>
    <w:p>
      <w:pPr>
        <w:spacing w:after="0" w:line="17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 opinion from an independent investment banking firm, or another independent entity that commonly renders valuation opinions on the type of target business we seek to acquire, that the price we are paying is fair to our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71" w:lineRule="exact"/>
        <w:rPr>
          <w:sz w:val="20"/>
          <w:szCs w:val="20"/>
          <w:color w:val="auto"/>
        </w:rPr>
      </w:pPr>
    </w:p>
    <w:p>
      <w:pPr>
        <w:ind w:left="660" w:right="4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If we determine to engage in a tender offer, such tender offer will be structured so that each stockholder may tender any or all of his, her or its public shares rather than some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1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24 months from the closing of this offering in order to be able to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trust account.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324"/>
        <w:spacing w:after="0" w:line="293" w:lineRule="auto"/>
        <w:rPr>
          <w:sz w:val="20"/>
          <w:szCs w:val="20"/>
          <w:color w:val="auto"/>
        </w:rPr>
      </w:pPr>
      <w:r>
        <w:rPr>
          <w:rFonts w:ascii="Arial" w:cs="Arial" w:eastAsia="Arial" w:hAnsi="Arial"/>
          <w:sz w:val="16"/>
          <w:szCs w:val="16"/>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518,751 of our public shares (or approximately 4.5% of our public shares) to be voted in favor of the transaction in order to have such transaction approved (assuming that only a quorum was present at the meeting, that the over-allotment option is not exercised and that the initial stockholders do not purchase any shares of our common stock in this offering or shares in the after-market).</w:t>
      </w:r>
    </w:p>
    <w:p>
      <w:pPr>
        <w:spacing w:after="0" w:line="1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None of our officers, directors, initial stockholders or their affiliates has indicated any intention to purchase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Conversion/Tender Rights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At any meeting called to approve an initial business combination, public stockholders may seek to convert their public shares, regardless of whether they vote for or against the proposed business combination, into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aggregate amount then on deposit in the trust account, less any taxes then due but not yet paid. Notwithstanding the foregoing, our initial stockholders have agreed, pursuant to written letter agreements with us, not to convert any public shares held by them into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shares.</w:t>
      </w:r>
    </w:p>
    <w:p>
      <w:pPr>
        <w:spacing w:after="0" w:line="1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Alternatively, if we engage in a tender offer, each public stockholder will be provided the opportunity to sell his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initial stockholders, officers and directors will not have conversion rights with respect to any shares of common stock owned by them, directly or indirectly, whether acquired prior to this offering or purchased by them in this offering or in the aftermarket.</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conversion rights. Under Delaware law and our bylaws,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portion of the funds in the trust account to comply with the foregoing delivery requirements, holders may not have sufficient time to receive the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324"/>
        <w:spacing w:after="0" w:line="273" w:lineRule="auto"/>
        <w:rPr>
          <w:sz w:val="20"/>
          <w:szCs w:val="20"/>
          <w:color w:val="auto"/>
        </w:rPr>
      </w:pPr>
      <w:r>
        <w:rPr>
          <w:rFonts w:ascii="Arial" w:cs="Arial" w:eastAsia="Arial" w:hAnsi="Arial"/>
          <w:sz w:val="17"/>
          <w:szCs w:val="17"/>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request to convert or tender such shares once made, may be withdrawn at any time up to the vote on the proposed business combination or expiration of the tender offer. Furthermore, if a holder of a public share delivered his certificate in connection with an election of their conversion or tender and subsequently decides prior to the vote on the business combination or the expiration of the tender offer not to elect to exercise such rights, he may simply request that the transfer agent return the certificate (physically or electronically).</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 In such case, we will promptly return any shares delivered by public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225"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If we do not complete a business combination within 24 months from the closing of this offering, we will (i) cease all operations except for the purpose of winding up, (ii) as promptly as reasonably possible but not more than ten business days thereafter, redeem 100% of the outstanding public shares and</w:t>
      </w:r>
    </w:p>
    <w:p>
      <w:pPr>
        <w:jc w:val="both"/>
        <w:ind w:firstLine="8"/>
        <w:spacing w:after="0" w:line="255"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9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distribution. It is our intention to redeem our public shares as soon as reasonably possible following the 24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month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324"/>
        <w:spacing w:after="0" w:line="257"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will seek to have all third parties (including any vendors or other entities we engage after this offering, other than our independent registered public accounting firm)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6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324"/>
        <w:spacing w:after="0" w:line="311"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$10.00.</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conversion rights with respect to any insider shares and any public shares they may hold in connection with any vote to amend our certificate of incorporation. Specifically, our certificate of incorporation provides, among other things, that:</w:t>
      </w:r>
    </w:p>
    <w:p>
      <w:pPr>
        <w:spacing w:after="0" w:line="165" w:lineRule="exact"/>
        <w:rPr>
          <w:sz w:val="20"/>
          <w:szCs w:val="20"/>
          <w:color w:val="auto"/>
        </w:rPr>
      </w:pPr>
    </w:p>
    <w:p>
      <w:pPr>
        <w:jc w:val="both"/>
        <w:ind w:left="660" w:hanging="328"/>
        <w:spacing w:after="0" w:line="25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9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24 months of the closing of this offering, then our existence will terminate and we will distribute all amounts in the trust account to all of our public holders of shares of common stock;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the consummation of this offering, $125,000,000, or $143,750,000 if the over-allotment option is exercised in full, shall be placed into the trust account;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Revisions to Agreements with Insiders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84" w:lineRule="exact"/>
        <w:rPr>
          <w:sz w:val="20"/>
          <w:szCs w:val="20"/>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specified above, stockholders would not be required to be given the opportunity to redeem their shares in connection with such changes.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changes could result in:</w:t>
      </w:r>
    </w:p>
    <w:p>
      <w:pPr>
        <w:spacing w:after="0" w:line="211" w:lineRule="exact"/>
        <w:rPr>
          <w:sz w:val="20"/>
          <w:szCs w:val="20"/>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324"/>
        <w:spacing w:after="0" w:line="263"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may not be viewed favorably by certain target businesses. Any of these factors may place us at a competitive disadvantage in successfully negotiating our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will pay to an affiliate of our sponsor a fee of $10,000 per month for use of office space and certain office and secretarial services. The office space will be located at 11682 El Camino Real, Suite 320, San Diego, CA 92130.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currently have four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Periodic Reporting and Audited Financial Statements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registered our common stock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324"/>
        <w:spacing w:after="0" w:line="259" w:lineRule="auto"/>
        <w:rPr>
          <w:sz w:val="20"/>
          <w:szCs w:val="20"/>
          <w:color w:val="auto"/>
        </w:rPr>
      </w:pPr>
      <w:r>
        <w:rPr>
          <w:rFonts w:ascii="Arial" w:cs="Arial" w:eastAsia="Arial" w:hAnsi="Arial"/>
          <w:sz w:val="18"/>
          <w:szCs w:val="18"/>
          <w:color w:val="auto"/>
        </w:rPr>
        <w:t>We will be required to comply with the internal control requirements of the Sarbanes-Oxley Act beginning for the fiscal year ending December 31, 2021.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w:t>
      </w:r>
    </w:p>
    <w:p>
      <w:pPr>
        <w:jc w:val="both"/>
        <w:spacing w:after="0" w:line="221" w:lineRule="auto"/>
        <w:rPr>
          <w:sz w:val="20"/>
          <w:szCs w:val="20"/>
          <w:color w:val="auto"/>
        </w:rPr>
      </w:pPr>
      <w:r>
        <w:rPr>
          <w:rFonts w:ascii="Arial" w:cs="Arial" w:eastAsia="Arial" w:hAnsi="Arial"/>
          <w:sz w:val="18"/>
          <w:szCs w:val="18"/>
          <w:color w:val="auto"/>
        </w:rPr>
        <w:t>which means the market value of our common stock that is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 References herein to “emerging growth company” shall have the meaning associated with it in the JOBS 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upon the successful consummation of this offering and will file a Current Report on Form 8-K, including an audited balance sheet demonstrating this fact.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of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hanging="179"/>
        <w:spacing w:after="0" w:line="282"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of common stock issued</w:t>
      </w:r>
    </w:p>
    <w:p>
      <w:pPr>
        <w:spacing w:after="0" w:line="20" w:lineRule="exact"/>
        <w:rPr>
          <w:sz w:val="20"/>
          <w:szCs w:val="20"/>
          <w:color w:val="auto"/>
        </w:rPr>
      </w:pPr>
      <w:r>
        <w:rPr>
          <w:sz w:val="20"/>
          <w:szCs w:val="20"/>
          <w:color w:val="auto"/>
        </w:rPr>
        <w:br w:type="column"/>
      </w:r>
    </w:p>
    <w:p>
      <w:pPr>
        <w:ind w:left="1020"/>
        <w:spacing w:after="0"/>
        <w:tabs>
          <w:tab w:leader="none" w:pos="4580" w:val="left"/>
        </w:tabs>
        <w:rPr>
          <w:sz w:val="20"/>
          <w:szCs w:val="20"/>
          <w:color w:val="auto"/>
        </w:rPr>
      </w:pPr>
      <w:r>
        <w:rPr>
          <w:rFonts w:ascii="Arial" w:cs="Arial" w:eastAsia="Arial" w:hAnsi="Arial"/>
          <w:sz w:val="18"/>
          <w:szCs w:val="18"/>
          <w:b w:val="1"/>
          <w:bCs w:val="1"/>
          <w:color w:val="auto"/>
        </w:rPr>
        <w:t>Terms of the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505777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57775" cy="17145"/>
                    </a:xfrm>
                    <a:prstGeom prst="rect">
                      <a:avLst/>
                    </a:prstGeom>
                    <a:noFill/>
                  </pic:spPr>
                </pic:pic>
              </a:graphicData>
            </a:graphic>
          </wp:anchor>
        </w:drawing>
      </w:r>
    </w:p>
    <w:p>
      <w:pPr>
        <w:spacing w:after="0" w:line="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$125,000,000 of the net offering proceeds and $105,637,500 of the offering proceeds would be required proceeds from the sale of the private shares will be to be deposited into either an escrow account with an deposited into a trust account in the United States, insured depositary institution or in a separate bank maintained by Continental Stock Transfer &amp; Trust account established by a broker-dealer in which the</w:t>
      </w:r>
    </w:p>
    <w:p>
      <w:pPr>
        <w:spacing w:after="0" w:line="2" w:lineRule="exact"/>
        <w:rPr>
          <w:sz w:val="20"/>
          <w:szCs w:val="20"/>
          <w:color w:val="auto"/>
        </w:rPr>
      </w:pPr>
    </w:p>
    <w:p>
      <w:pPr>
        <w:jc w:val="both"/>
        <w:ind w:left="3820" w:hanging="3819"/>
        <w:spacing w:after="0" w:line="260" w:lineRule="auto"/>
        <w:tabs>
          <w:tab w:leader="none" w:pos="3800" w:val="left"/>
        </w:tabs>
        <w:rPr>
          <w:sz w:val="20"/>
          <w:szCs w:val="20"/>
          <w:color w:val="auto"/>
        </w:rPr>
      </w:pPr>
      <w:r>
        <w:rPr>
          <w:rFonts w:ascii="Arial" w:cs="Arial" w:eastAsia="Arial" w:hAnsi="Arial"/>
          <w:sz w:val="18"/>
          <w:szCs w:val="18"/>
          <w:color w:val="auto"/>
        </w:rPr>
        <w:t>Company, acting as trustee.</w:t>
      </w:r>
      <w:r>
        <w:rPr>
          <w:sz w:val="20"/>
          <w:szCs w:val="20"/>
          <w:color w:val="auto"/>
        </w:rPr>
        <w:tab/>
      </w:r>
      <w:r>
        <w:rPr>
          <w:rFonts w:ascii="Arial" w:cs="Arial" w:eastAsia="Arial" w:hAnsi="Arial"/>
          <w:sz w:val="18"/>
          <w:szCs w:val="18"/>
          <w:color w:val="auto"/>
        </w:rPr>
        <w:t>broker-dealer acts as trustee for persons having the beneficial interests in the account.</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$125,000,000 of the net offering proceeds and Proceeds could be invested only in specified securities proceeds from the sale of the private shares held in such as a money market fund meeting conditions of the trust will only be invested in United States Investment Company Act of 1940 or in securities that are government treasury bills, bonds or notes with a direct obligations of, or obligations guaranteed as to maturity of 180 days or less or in money market principal or interest by, the United States. funds meeting the applicable conditions under Rule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2a-7 promulgated under the Investment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 of 1940 and that invest solely in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government treasuries.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initial target business that we acquire must We would be restricted from acquiring a target business have a fair market value equal to at least 80% of unless the fair value of such business or net assets to be the balance in our trust account net of taxes acquired represent at least 80% of the maximum offering payable at the time of the execution of a definitive proceeds. agreement for our initial business combination.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common stock may commence trading on or No trading of the common stock would be permitted</w:t>
      </w:r>
    </w:p>
    <w:p>
      <w:pPr>
        <w:spacing w:after="0" w:line="35" w:lineRule="exact"/>
        <w:rPr>
          <w:sz w:val="20"/>
          <w:szCs w:val="20"/>
          <w:color w:val="auto"/>
        </w:rPr>
      </w:pPr>
    </w:p>
    <w:p>
      <w:pPr>
        <w:jc w:val="both"/>
        <w:ind w:left="3820" w:hanging="3819"/>
        <w:spacing w:after="0" w:line="255" w:lineRule="auto"/>
        <w:tabs>
          <w:tab w:leader="none" w:pos="3800" w:val="left"/>
        </w:tabs>
        <w:rPr>
          <w:sz w:val="20"/>
          <w:szCs w:val="20"/>
          <w:color w:val="auto"/>
        </w:rPr>
      </w:pPr>
      <w:r>
        <w:rPr>
          <w:rFonts w:ascii="Arial" w:cs="Arial" w:eastAsia="Arial" w:hAnsi="Arial"/>
          <w:sz w:val="18"/>
          <w:szCs w:val="18"/>
          <w:color w:val="auto"/>
        </w:rPr>
        <w:t>promptly after the date of this prospectus.</w:t>
      </w:r>
      <w:r>
        <w:rPr>
          <w:sz w:val="20"/>
          <w:szCs w:val="20"/>
          <w:color w:val="auto"/>
        </w:rPr>
        <w:tab/>
      </w:r>
      <w:r>
        <w:rPr>
          <w:rFonts w:ascii="Arial" w:cs="Arial" w:eastAsia="Arial" w:hAnsi="Arial"/>
          <w:sz w:val="18"/>
          <w:szCs w:val="18"/>
          <w:color w:val="auto"/>
        </w:rPr>
        <w:t>until the completion of a business combination. During this period, the common stock would be held in the escrow or trust account.</w:t>
      </w:r>
    </w:p>
    <w:p>
      <w:pPr>
        <w:spacing w:after="0" w:line="200" w:lineRule="exact"/>
        <w:rPr>
          <w:sz w:val="20"/>
          <w:szCs w:val="20"/>
          <w:color w:val="auto"/>
        </w:rPr>
      </w:pPr>
    </w:p>
    <w:p>
      <w:pPr>
        <w:sectPr>
          <w:pgSz w:w="11900" w:h="16838" w:orient="portrait"/>
          <w:cols w:equalWidth="0" w:num="2">
            <w:col w:w="3020" w:space="260"/>
            <w:col w:w="7960"/>
          </w:cols>
          <w:pgMar w:left="320" w:top="1093" w:right="339" w:bottom="1052" w:gutter="0" w:footer="0" w:header="0"/>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37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Terms of the Offering</w:t>
            </w:r>
          </w:p>
        </w:tc>
        <w:tc>
          <w:tcPr>
            <w:tcW w:w="120" w:type="dxa"/>
            <w:vAlign w:val="bottom"/>
          </w:tcPr>
          <w:p>
            <w:pPr>
              <w:spacing w:after="0"/>
              <w:rPr>
                <w:sz w:val="20"/>
                <w:szCs w:val="20"/>
                <w:color w:val="auto"/>
              </w:rPr>
            </w:pPr>
          </w:p>
        </w:tc>
        <w:tc>
          <w:tcPr>
            <w:tcW w:w="41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Terms Under a Rule 419 Offering</w:t>
            </w:r>
          </w:p>
        </w:tc>
      </w:tr>
      <w:tr>
        <w:trPr>
          <w:trHeight w:val="337"/>
        </w:trPr>
        <w:tc>
          <w:tcPr>
            <w:tcW w:w="3280" w:type="dxa"/>
            <w:vAlign w:val="bottom"/>
          </w:tcPr>
          <w:p>
            <w:pPr>
              <w:spacing w:after="0"/>
              <w:rPr>
                <w:sz w:val="20"/>
                <w:szCs w:val="20"/>
                <w:color w:val="auto"/>
              </w:rPr>
            </w:pPr>
            <w:r>
              <w:rPr>
                <w:rFonts w:ascii="Arial" w:cs="Arial" w:eastAsia="Arial" w:hAnsi="Arial"/>
                <w:sz w:val="18"/>
                <w:szCs w:val="18"/>
                <w:b w:val="1"/>
                <w:bCs w:val="1"/>
                <w:color w:val="auto"/>
              </w:rPr>
              <w:t>Election to remain an investor</w:t>
            </w:r>
          </w:p>
        </w:tc>
        <w:tc>
          <w:tcPr>
            <w:tcW w:w="3700" w:type="dxa"/>
            <w:vAlign w:val="bottom"/>
          </w:tcPr>
          <w:p>
            <w:pPr>
              <w:spacing w:after="0"/>
              <w:rPr>
                <w:sz w:val="20"/>
                <w:szCs w:val="20"/>
                <w:color w:val="auto"/>
              </w:rPr>
            </w:pPr>
            <w:r>
              <w:rPr>
                <w:rFonts w:ascii="Arial" w:cs="Arial" w:eastAsia="Arial" w:hAnsi="Arial"/>
                <w:sz w:val="18"/>
                <w:szCs w:val="18"/>
                <w:color w:val="auto"/>
                <w:w w:val="98"/>
              </w:rPr>
              <w:t>We  will  either  (1)  give  our  stockholders  the</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A prospectus containing information required by the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opportunity to vote on the business combination or</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0"/>
              </w:rPr>
              <w:t>SEC would be sent to each investor. Each investor would</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(2)  provide  our  public  stockholders  with  the</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be given the opportunity to notify the company, in</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opportunity to sell their public shares to us in a</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2"/>
              </w:rPr>
              <w:t>writing, within a period of no less than 20 business days</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 xml:space="preserve">tender offer for cash equal to their </w:t>
            </w:r>
            <w:r>
              <w:rPr>
                <w:rFonts w:ascii="Arial" w:cs="Arial" w:eastAsia="Arial" w:hAnsi="Arial"/>
                <w:sz w:val="18"/>
                <w:szCs w:val="18"/>
                <w:i w:val="1"/>
                <w:iCs w:val="1"/>
                <w:color w:val="auto"/>
                <w:w w:val="90"/>
              </w:rPr>
              <w:t>pro rata</w:t>
            </w:r>
            <w:r>
              <w:rPr>
                <w:rFonts w:ascii="Arial" w:cs="Arial" w:eastAsia="Arial" w:hAnsi="Arial"/>
                <w:sz w:val="18"/>
                <w:szCs w:val="18"/>
                <w:color w:val="auto"/>
                <w:w w:val="90"/>
              </w:rPr>
              <w:t xml:space="preserve"> share of</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6"/>
              </w:rPr>
              <w:t>and no more than 45 business days from the effective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the aggregate amount then on deposit in the trust</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1"/>
              </w:rPr>
              <w:t>date of the post-effective amendment, to decide whether</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account,  less  taxes.  If  we  hold  a  meeting  to</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2"/>
              </w:rPr>
              <w:t>he or she elects to remain a stockholder of the company</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approve a proposed business combination, we will</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or require the return of his or her investment. If the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send  each  stockholder  a  proxy  statement</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3"/>
              </w:rPr>
              <w:t>company has not received the notification by the end of</w:t>
            </w:r>
          </w:p>
        </w:tc>
      </w:tr>
      <w:tr>
        <w:trPr>
          <w:trHeight w:val="217"/>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containing information required by the SEC. Under</w:t>
            </w:r>
          </w:p>
        </w:tc>
        <w:tc>
          <w:tcPr>
            <w:tcW w:w="4260" w:type="dxa"/>
            <w:vAlign w:val="bottom"/>
            <w:gridSpan w:val="2"/>
          </w:tcPr>
          <w:p>
            <w:pPr>
              <w:ind w:left="120"/>
              <w:spacing w:after="0" w:line="217" w:lineRule="exact"/>
              <w:rPr>
                <w:sz w:val="20"/>
                <w:szCs w:val="20"/>
                <w:color w:val="auto"/>
              </w:rPr>
            </w:pPr>
            <w:r>
              <w:rPr>
                <w:rFonts w:ascii="Arial" w:cs="Arial" w:eastAsia="Arial" w:hAnsi="Arial"/>
                <w:sz w:val="16"/>
                <w:szCs w:val="16"/>
                <w:color w:val="auto"/>
              </w:rPr>
              <w:t>the 45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business day, funds and interest or dividends, if</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our certificate of incorporation, we must provide at</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any,  held  in  the  trust  or  escrow  account  would</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least 10 days advance notice of any meeting of</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5"/>
              </w:rPr>
              <w:t>automatically be returned to the stockholder. Unless a</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stockholders. Accordingly, this is the minimum</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3"/>
              </w:rPr>
              <w:t>sufficient number of investors elect to remain investors,</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amount of time we would need to provide holders</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1"/>
              </w:rPr>
              <w:t>all of the deposited funds in the escrow account must be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to determine whether to exercise their rights to</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0"/>
              </w:rPr>
              <w:t>returned to all investors and none of the securities will be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convert their shares into cash at such a meeting or</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issued.</w:t>
            </w:r>
          </w:p>
        </w:tc>
      </w:tr>
      <w:tr>
        <w:trPr>
          <w:trHeight w:val="215"/>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  remain  an  investor  in  our  company.</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Alternatively, if we do not hold a meeting and</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instead conduct a tender offer, we will conduct</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such tender offer in accordance with the tender</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offer  rules  of  the  SEC  and  file  tender  offer</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documents  with  the  SEC  which  will  contain</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substantially  the  same  financial  and  other</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information about the initial business combination</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as we would have included in a proxy statement.</w:t>
            </w: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37"/>
        </w:trPr>
        <w:tc>
          <w:tcPr>
            <w:tcW w:w="3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The tender offer rules require us to hold the tender</w:t>
            </w: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offer  open  for  at  least  20  business  days.</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Accordingly, this is the minimum amount of time</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we would need to provide holders to determine</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whether they want to sell their shares to us in the</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tender offer or remain an investor in our company.</w:t>
            </w: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052" w:gutter="0" w:footer="0" w:header="0"/>
          <w:type w:val="continuous"/>
        </w:sectPr>
      </w:pPr>
    </w:p>
    <w:bookmarkStart w:id="74" w:name="page75"/>
    <w:bookmarkEnd w:id="74"/>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hanging="179"/>
        <w:spacing w:after="0" w:line="282" w:lineRule="auto"/>
        <w:rPr>
          <w:sz w:val="20"/>
          <w:szCs w:val="20"/>
          <w:color w:val="auto"/>
        </w:rPr>
      </w:pPr>
      <w:r>
        <w:rPr>
          <w:rFonts w:ascii="Arial" w:cs="Arial" w:eastAsia="Arial" w:hAnsi="Arial"/>
          <w:sz w:val="18"/>
          <w:szCs w:val="18"/>
          <w:b w:val="1"/>
          <w:bCs w:val="1"/>
          <w:color w:val="auto"/>
        </w:rPr>
        <w:t>Interest earned on the funds in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 of funds</w:t>
      </w:r>
    </w:p>
    <w:p>
      <w:pPr>
        <w:spacing w:after="0" w:line="20" w:lineRule="exact"/>
        <w:rPr>
          <w:sz w:val="20"/>
          <w:szCs w:val="20"/>
          <w:color w:val="auto"/>
        </w:rPr>
      </w:pPr>
      <w:r>
        <w:rPr>
          <w:sz w:val="20"/>
          <w:szCs w:val="20"/>
          <w:color w:val="auto"/>
        </w:rPr>
        <w:br w:type="column"/>
      </w:r>
    </w:p>
    <w:p>
      <w:pPr>
        <w:ind w:left="1020"/>
        <w:spacing w:after="0"/>
        <w:tabs>
          <w:tab w:leader="none" w:pos="4580" w:val="left"/>
        </w:tabs>
        <w:rPr>
          <w:sz w:val="20"/>
          <w:szCs w:val="20"/>
          <w:color w:val="auto"/>
        </w:rPr>
      </w:pPr>
      <w:r>
        <w:rPr>
          <w:rFonts w:ascii="Arial" w:cs="Arial" w:eastAsia="Arial" w:hAnsi="Arial"/>
          <w:sz w:val="18"/>
          <w:szCs w:val="18"/>
          <w:b w:val="1"/>
          <w:bCs w:val="1"/>
          <w:color w:val="auto"/>
        </w:rPr>
        <w:t>Terms of the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505777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57775" cy="17145"/>
                    </a:xfrm>
                    <a:prstGeom prst="rect">
                      <a:avLst/>
                    </a:prstGeom>
                    <a:noFill/>
                  </pic:spPr>
                </pic:pic>
              </a:graphicData>
            </a:graphic>
          </wp:anchor>
        </w:drawing>
      </w:r>
    </w:p>
    <w:p>
      <w:pPr>
        <w:spacing w:after="0" w:line="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our certificate of incorporation, if we If an acquisition has not been consummated within 18 do not complete an initial business combination months after the effective date of the initial registration within 24 months from the consummation of this statement, funds held in the trust or escrow account offering, it will trigger our automatic winding up, would be returned to investors. dissolution and liquidation.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There can be released to us, from time to time, (i)  All interest earned on the funds in the trust account will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any interest earned on the funds in the trust account be held in trust for the benefit of public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that we may need to pay our tax obligations. The until  the  earlier  of  the  completion  of  a  business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remaining interest earned on the funds in the trust combination and our liquidation upon failure to effect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account will not be released until the earlier of the business combination within the allotted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completion of a business combination and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entry  into  liquidation  upon  failure  to  effect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within the allotted time.</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Except for interest earned on the funds held in the The proceeds held in the escrow account would not be trust account that may be released to us to pay our released until the earlier of the completion of a business tax obligations, the proceeds held in the trust combination or the failure to effect a business account will not be released until the earlier of the combination within the allotted time. completion of a business combination (in which</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case, the proceeds released to us will be net of the</w:t>
      </w:r>
    </w:p>
    <w:p>
      <w:pPr>
        <w:spacing w:after="0" w:line="9" w:lineRule="exact"/>
        <w:rPr>
          <w:sz w:val="20"/>
          <w:szCs w:val="20"/>
          <w:color w:val="auto"/>
        </w:rPr>
      </w:pPr>
    </w:p>
    <w:p>
      <w:pPr>
        <w:spacing w:after="0"/>
        <w:tabs>
          <w:tab w:leader="none" w:pos="540" w:val="left"/>
          <w:tab w:leader="none" w:pos="1020" w:val="left"/>
          <w:tab w:leader="none" w:pos="1340" w:val="left"/>
          <w:tab w:leader="none" w:pos="1760" w:val="left"/>
          <w:tab w:leader="none" w:pos="2680" w:val="left"/>
          <w:tab w:leader="none" w:pos="3000" w:val="left"/>
        </w:tabs>
        <w:rPr>
          <w:sz w:val="20"/>
          <w:szCs w:val="20"/>
          <w:color w:val="auto"/>
        </w:rPr>
      </w:pPr>
      <w:r>
        <w:rPr>
          <w:rFonts w:ascii="Arial" w:cs="Arial" w:eastAsia="Arial" w:hAnsi="Arial"/>
          <w:sz w:val="18"/>
          <w:szCs w:val="18"/>
          <w:color w:val="auto"/>
        </w:rPr>
        <w:t>funds</w:t>
        <w:tab/>
        <w:t>used</w:t>
        <w:tab/>
        <w:t>to</w:t>
        <w:tab/>
        <w:t>pay</w:t>
        <w:tab/>
        <w:t>converting</w:t>
        <w:tab/>
        <w:t>or</w:t>
      </w:r>
      <w:r>
        <w:rPr>
          <w:sz w:val="20"/>
          <w:szCs w:val="20"/>
          <w:color w:val="auto"/>
        </w:rPr>
        <w:tab/>
      </w:r>
      <w:r>
        <w:rPr>
          <w:rFonts w:ascii="Arial" w:cs="Arial" w:eastAsia="Arial" w:hAnsi="Arial"/>
          <w:sz w:val="16"/>
          <w:szCs w:val="16"/>
          <w:color w:val="auto"/>
        </w:rPr>
        <w:t>tendering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as the trustee will directly send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appropriate portion of the amount held in trust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converting or tendering stockholders at the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business combination) and the liquidation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trust account upon failure to effect a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combination within the allotted time.</w:t>
      </w:r>
    </w:p>
    <w:p>
      <w:pPr>
        <w:spacing w:after="0" w:line="200" w:lineRule="exact"/>
        <w:rPr>
          <w:sz w:val="20"/>
          <w:szCs w:val="20"/>
          <w:color w:val="auto"/>
        </w:rPr>
      </w:pPr>
    </w:p>
    <w:p>
      <w:pPr>
        <w:sectPr>
          <w:pgSz w:w="11900" w:h="16838" w:orient="portrait"/>
          <w:cols w:equalWidth="0" w:num="2">
            <w:col w:w="3060" w:space="220"/>
            <w:col w:w="7960"/>
          </w:cols>
          <w:pgMar w:left="320" w:top="1093" w:right="33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Director Nominees and Executive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directors, director nominees and executive officers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504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Aaron I. Davis</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220" w:type="dxa"/>
            <w:vAlign w:val="bottom"/>
            <w:tcBorders>
              <w:top w:val="single" w:sz="8" w:color="CCEEFF"/>
            </w:tcBorders>
            <w:shd w:val="clear" w:color="auto" w:fill="CCEEFF"/>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Chief Executive Officer</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Christopher Fuglesang, Ph.D., J.D.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President, Director</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Beauchamp</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2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Treasurer</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Andrew Ellis, M.D., J.D.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Operating Officer, Secretary</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Carole L. Nuechterlein, J.D.</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Richard Heyman, Ph.D.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Baum, M.D., Ph.D.</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Jamie G. Christensen, Ph.D.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 xml:space="preserve">Aaron I. Davis </w:t>
      </w:r>
      <w:r>
        <w:rPr>
          <w:rFonts w:ascii="Arial" w:cs="Arial" w:eastAsia="Arial" w:hAnsi="Arial"/>
          <w:sz w:val="18"/>
          <w:szCs w:val="18"/>
          <w:color w:val="auto"/>
        </w:rPr>
        <w:t>has served as our Chief Executive Officer and Chairman of our board of directors since May 2020. Mr. Davis co-founded Boxer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LLC (“Boxer Capital”), the healthcare arm of the Tavistock Group, where he has served as portfolio manager since 2005 and as Chief Executive Officer since 2012. At Boxer Capital, Mr. Davis is responsible for identifying, evaluating and structuring investment opportunities in private and public biotechnology companies. Mr. Davis serves as a member of the board of directors of Mirati Therapeutics, Inc. (Nasdaq:MRTX), Odonate Therapeutics, Inc. (Nasdaq:ODT), iTeos Therapeutics, Inc. (Nasdaq:ITOS), and Sojournix, Inc. and serves as the Executive Chairman of CiVi Biopharma Holdings, Inc. Prior to joining the Tavistock Group, Mr. Davis worked in the Global Healthcare Investment Banking and Private Equity Groups at UBS Warburg, LLC. Mr. Davis received an M.A. degree in biotechnology from Columbia University and a B.B.A. degree in finance from Emory University. We believe Mr. Davis’ experience serving as a director of biotechnology companies and as a manager of funds specializing in the area of life sciences qualifies him to serve on our Board of Directors.</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Christopher Fuglesang, Ph.D., J.D., </w:t>
      </w:r>
      <w:r>
        <w:rPr>
          <w:rFonts w:ascii="Arial" w:cs="Arial" w:eastAsia="Arial" w:hAnsi="Arial"/>
          <w:sz w:val="16"/>
          <w:szCs w:val="16"/>
          <w:color w:val="auto"/>
        </w:rPr>
        <w:t>has served as our President and as a member of our board of directors since May 2020. Dr. Fuglesang joined</w:t>
      </w:r>
      <w:r>
        <w:rPr>
          <w:rFonts w:ascii="Arial" w:cs="Arial" w:eastAsia="Arial" w:hAnsi="Arial"/>
          <w:sz w:val="16"/>
          <w:szCs w:val="16"/>
          <w:b w:val="1"/>
          <w:bCs w:val="1"/>
          <w:color w:val="auto"/>
        </w:rPr>
        <w:t xml:space="preserve"> </w:t>
      </w:r>
      <w:r>
        <w:rPr>
          <w:rFonts w:ascii="Arial" w:cs="Arial" w:eastAsia="Arial" w:hAnsi="Arial"/>
          <w:sz w:val="16"/>
          <w:szCs w:val="16"/>
          <w:color w:val="auto"/>
        </w:rPr>
        <w:t>Tavistock Group in 2005 as a vice president and was a co-founder of Boxer Capital, where he has been a managing director since 2012. At Boxer Capital, Dr. Fuglesang assists in managing the firm’s research team, deal structuring and securities compliance. Prior to joining Boxer Capital, Dr. Fuglesang was vice president at Eidogen-Sertanty, Inc., a structural proteomics software company, and an attorney at Perkins Coie LLC. Dr. Fuglesang is a member of the board of directors of Pandion Therapeutics, Inc. and CiVi Biopharma Holdings, Inc. Dr. Fuglesang served as a member of the board of directors of Kalypsys, Inc. from 2007 to 2013 and of Ambrx Inc. from 2011 to 2015. Dr. Fuglesang received a B.S. in chemistry and physics from the University of California at Los Angeles, a Ph.D. in theoretical chemical physics from the University of California at Los Angeles, and a J.D. from Boston University. We believe Dr. Fuglesang’s experience as an investor in the life sciences industry qualifies him to serve on our board of directors.</w:t>
      </w:r>
    </w:p>
    <w:p>
      <w:pPr>
        <w:spacing w:after="0" w:line="15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Michael Beauchamp </w:t>
      </w:r>
      <w:r>
        <w:rPr>
          <w:rFonts w:ascii="Arial" w:cs="Arial" w:eastAsia="Arial" w:hAnsi="Arial"/>
          <w:sz w:val="18"/>
          <w:szCs w:val="18"/>
          <w:color w:val="auto"/>
        </w:rPr>
        <w:t>has served as our Chief Financial Officer and Treasurer since May 2020. Mr. Beauchamp has served as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at Boxer Capital since January 2016, where he is responsible for the firm’s back office operations, including finance, tax, audit and administration. Prior to joining Boxer Capital, Mr. Beauchamp worked in the assurance practice at PricewaterhouseCoopers from 2012 to January 2016. Mr. Beauchamp received a bachelor of accountancy degree from the University of San Diego.</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Andrew Ellis, M.D., J.D., </w:t>
      </w:r>
      <w:r>
        <w:rPr>
          <w:rFonts w:ascii="Arial" w:cs="Arial" w:eastAsia="Arial" w:hAnsi="Arial"/>
          <w:sz w:val="18"/>
          <w:szCs w:val="18"/>
          <w:color w:val="auto"/>
        </w:rPr>
        <w:t>has served as our Chief Operating Officer and Secretary since May 2020. Dr. Ellis has served as Senior Counsel and Head</w:t>
      </w:r>
      <w:r>
        <w:rPr>
          <w:rFonts w:ascii="Arial" w:cs="Arial" w:eastAsia="Arial" w:hAnsi="Arial"/>
          <w:sz w:val="18"/>
          <w:szCs w:val="18"/>
          <w:b w:val="1"/>
          <w:bCs w:val="1"/>
          <w:color w:val="auto"/>
        </w:rPr>
        <w:t xml:space="preserve"> </w:t>
      </w:r>
      <w:r>
        <w:rPr>
          <w:rFonts w:ascii="Arial" w:cs="Arial" w:eastAsia="Arial" w:hAnsi="Arial"/>
          <w:sz w:val="18"/>
          <w:szCs w:val="18"/>
          <w:color w:val="auto"/>
        </w:rPr>
        <w:t>of Compliance at Boxer Capital since July 2018, where he is responsible for securities compliance, deal structuring and due diligence for investments in private and public healthcare companies. Prior to joining Boxer Capital, Dr. Ellis was a corporate and securities attorney at Wilson Sonsini Goodrich &amp; Rosati, P.C. from August 2013 to July 2018, where he worked with life sciences companies and investors on a variety of corporate transactions. Dr. Ellis received an M.D. and general surgery training at Baylor College of Medicine, a J.D. from New York University School of Law, and a B.S. degree in Biology from Baylor University.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Carole L. Nuechterlein, J.D., </w:t>
      </w:r>
      <w:r>
        <w:rPr>
          <w:rFonts w:ascii="Arial" w:cs="Arial" w:eastAsia="Arial" w:hAnsi="Arial"/>
          <w:sz w:val="16"/>
          <w:szCs w:val="16"/>
          <w:color w:val="auto"/>
        </w:rPr>
        <w:t>has agreed to serve on our board of directors following the completion of this offering. Ms. Nuechterlein joined F.</w:t>
      </w:r>
      <w:r>
        <w:rPr>
          <w:rFonts w:ascii="Arial" w:cs="Arial" w:eastAsia="Arial" w:hAnsi="Arial"/>
          <w:sz w:val="16"/>
          <w:szCs w:val="16"/>
          <w:b w:val="1"/>
          <w:bCs w:val="1"/>
          <w:color w:val="auto"/>
        </w:rPr>
        <w:t xml:space="preserve"> </w:t>
      </w:r>
      <w:r>
        <w:rPr>
          <w:rFonts w:ascii="Arial" w:cs="Arial" w:eastAsia="Arial" w:hAnsi="Arial"/>
          <w:sz w:val="16"/>
          <w:szCs w:val="16"/>
          <w:color w:val="auto"/>
        </w:rPr>
        <w:t>Hoffmann-La Roche Ltd. in 2001 and currently serves as a Deputy Director and head of Roche Venture Fund. Prior to that, from 1998 to 2001, Ms. Nuechterlein served as General Counsel for SangStat, Inc., a biopharmaceutical company. Ms. Nuechterlein has served as a member of the board of directors of Millendo Therapeutics, Inc. (Nasdaq:MLND) since March 2017. Ms. Nuechterlein serves and has served as a member of the boards of directors of a number of private biotechnology companies, including Entrada Therapeutics since April 2020, Aligos Therapeutics since August 2018, Vivet Therapeutics SAS since April 2017, CiVi BioPharma, Inc. since March 2017, Mission Therapeutics Ltd. since January 2017, Arch Oncology Inc. since August 2016 and Second Genome, Inc. since April 2016. She also served as a member of the board of directors of AveXis Inc., a biotechnology company (Nasdaq:AVXS), from October 2014 to May 2017. Ms. Nuechterlein received a B.A. from Valparaiso University and a J.D. from University of Michigan.</w:t>
      </w:r>
    </w:p>
    <w:p>
      <w:pPr>
        <w:spacing w:after="0" w:line="15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Richard Heyman, Ph.D., </w:t>
      </w:r>
      <w:r>
        <w:rPr>
          <w:rFonts w:ascii="Arial" w:cs="Arial" w:eastAsia="Arial" w:hAnsi="Arial"/>
          <w:sz w:val="17"/>
          <w:szCs w:val="17"/>
          <w:color w:val="auto"/>
        </w:rPr>
        <w:t>has agreed to serve on our board of directors following the completion of this offering. Dr. Heyman is chairman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and co-founder of Metacrine, Inc., a biotechnology company developing new therapeutics for the treatment of liver and gastrointestinal diseases. He also is on the board of directors of Gritstone Oncology, Inc. (Nasdaq:GRTS) and is the co-founder and chairman of the board of directors of ORIC Pharmaceuticals, Inc. (Nasdaq:ORIC). Previously, Dr. Heyman served as president and chief executive officer of Seragon Pharmaceuticals Inc., or Seragon, a privately-held biotechnology company, which was acquired by Genentech in 2014. Prior to Seragon, he co-founded and served as president and chief executive officer of Aragon Pharmaceuticals, Inc., or Aragon, until it was purchased by Johnson &amp; Johnson in 2013. Dr. Heyman is a venture partner for Arch Ventures and also serves on the boards of directors for private life sciences companies Yumanity Therapeutics, Inc., Vividion Therapeutics, Inc., PMV Pharmaceuticals, Inc. and Amunix Inc. He is Vice Chair of the Board of Trustees at the Salk Institute, on the Board Foundation for the American Association for Cancer Research, or AACR, and on the Board of Visitors at the University of California at San Diego Moores Cancer Center. Dr. Heyman received a B.S. in chemistry from the University of Connecticut and a Ph.D. in pharmacology from the University of Minnesota. He was an NIH post-doctoral fellow and staff scientist at the Salk Institute.</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 xml:space="preserve">Charles M. Baum, M.D., Ph.D., </w:t>
      </w:r>
      <w:r>
        <w:rPr>
          <w:rFonts w:ascii="Arial" w:cs="Arial" w:eastAsia="Arial" w:hAnsi="Arial"/>
          <w:sz w:val="16"/>
          <w:szCs w:val="16"/>
          <w:color w:val="auto"/>
        </w:rPr>
        <w:t>has agreed to serve on our board of directors following the completion of this offering. Dr. Baum has been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and a member of the board of directors of Mirati Therapeutics, Inc. since November 2012. From June 2003 to September 2012, he was at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he was responsible for the development of several oncology compounds at Schering-Plough Corporation (acquired by Merck). His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has served on the board of directors of Immunomedics, Inc. (Nasdaq:IMMU) since February 2019 and was on the board of directors of Array BioPharma Inc. from 2014 until its acquisition by Pfizer in July 2019. Dr. Baum received his M.D. and Ph.D. (Immunology) degrees from Washington University School of Medicine in St. Louis, Missouri and completed his post-doctoral training at Stanford University.</w:t>
      </w:r>
    </w:p>
    <w:p>
      <w:pPr>
        <w:spacing w:after="0" w:line="1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Jamie G. Christensen, Ph.D., </w:t>
      </w:r>
      <w:r>
        <w:rPr>
          <w:rFonts w:ascii="Arial" w:cs="Arial" w:eastAsia="Arial" w:hAnsi="Arial"/>
          <w:sz w:val="17"/>
          <w:szCs w:val="17"/>
          <w:color w:val="auto"/>
        </w:rPr>
        <w:t>has agreed to serve on our board of directors following the completion of this offering. Dr. Christensen has been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Vice President and Chief Scientific Officer of Mirati Therapeutics, Inc. since June 2013. In his role at Mirati, he is responsible for drug discovery, translational research, drug manufacturing and companion diagnostics research and teams. While at Mirati, Dr. Christensen led activities related to the discovery and advancement of the KRAS G12C inhibitor, MRTX849, as well as the spectrum-selective receptor tyrosine kinase (RTK) inhibitor, sitravatinib, through IND and clinical development. Prior to Mirati, Dr. Christensen most recently was the head of Oncology Precision Medicine and member of the executive leadership team in the Oncology Research Unit at Pfizer. While at Pfizer, Dr Christensen led key aspects of the nonclinical and clinical development of sunitinib (Sutent®), crizotinib (Xalkori®), and palbociclib (Ibrance®). Prior to his time at Pfizer, he held positions at SUGEN/Pharmacia as a Group Leader on the Preclinical Research and Exploratory Development team. Dr. Christensen initiated his industry experience at Warner Lambert/Parke-Davis with research focus in RTK biology and pathway biomarker development in the oncology therapeutic area. Dr. Christensen received his Ph.D. focusing in Molecular Pharmacology from North Carolina State University with dissertation research directed toward characterization of mechanisms of apoptosis dysregulation during the process of carcinogenesis.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Upon consummation of this offering, we expect that our board of directors will have six members, four of whom will be deemed “independent” under SEC and Nasdaq rules. Our board of directors will be divided into three classes with only one class of directors being elected in each year and each class serving a three-year term. The term of office of the first class of directors, consisting of Carole L. Nuechterlein and Jamie G. Christensen, will expire at our first annual meeting of stockholders. The term of office of the second class of directors, consisting of Richard Heyman and Charles M. Baum, will expire at the second annual meeting. The term of office of the third class of directors, consisting of Aaron I. Davis and Christopher Fuglesang, will expire at our third annual meeting of stockholders. We may not hold an annual meeting of stockholders until after we consummate our initial business combination.</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an agreement to be entered into concurrently with the issuance and sale of the securities in this offering, our sponsor, upon consummation of an initial business combination, will be entitled to nominate two individuals for election to our board of directors.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officers may consist of chief executive officer, president, chief financial officer, executive vice president(s), vice president(s), secretary, treasurer and such other officers as may be determined by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No executive officer has received any cash compensation for services rendered to us. Commencing on the date of this prospectus through the completion of our initial business combination with a target business, we will pay to an affiliate of our sponsor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7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had determined that Carole L. Nuechterlein, Richard Heyman, Jamie Christensen and Charles M. Baum are “independent directors” as defined in the Nasdaq listing standards and applicable SEC rules. Our independent directors will have regularly scheduled meetings at which only independent directors are present.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324"/>
        <w:spacing w:after="0" w:line="263" w:lineRule="auto"/>
        <w:rPr>
          <w:sz w:val="20"/>
          <w:szCs w:val="20"/>
          <w:color w:val="auto"/>
        </w:rPr>
      </w:pPr>
      <w:r>
        <w:rPr>
          <w:rFonts w:ascii="Arial" w:cs="Arial" w:eastAsia="Arial" w:hAnsi="Arial"/>
          <w:sz w:val="18"/>
          <w:szCs w:val="18"/>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related-party transactions must be approved by our audit committee and a majority of disinterested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Effective as of the date of this prospectus, we will establish an audit committee of the board of directors, which will consist of Carole L. Nuechterlein, Richard Heyman, and Charles M. Baum, each of whom is an independent director. Carole L. Nuechterlein will serve as chairman of the audit committee. The audit committee’s duties, which are specified in our Audit Committee Charter, include, but are not limited to:</w:t>
      </w:r>
    </w:p>
    <w:p>
      <w:pPr>
        <w:spacing w:after="0" w:line="165" w:lineRule="exact"/>
        <w:rPr>
          <w:sz w:val="20"/>
          <w:szCs w:val="20"/>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22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Experts on Audit Committee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Carole L. Nuechterlein qualifies as an “audit committee financial expert,” as defined under rules and regulations of the SEC.</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Guidelines for Selecting Director Nominees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have a standing nominating committee, though we intend to form a corporate governance and nominating committee as and when required to do so by law or Nasdaq rules. In accordance with Rule 5605(e)(2) of the Nasdaq rules, a majority of the independent directors may recommend a director nominee for selection by the board of directors.</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board of directors believes that the independent directors can satisfactorily carry out the responsibility of properly selecting or approving director nominees without the formation of a standing nominating committee. Carole L. Nuechterlein, Richard Heyman, Jamie Christensen and Chuck Baum will participate in the consideration and recommendation of director nominees. In accordance with Rule 5605(e)(1)(A) of the Nasdaq rules, all such directors are independent. As there is no standing nominating committee, we do not have a nominating committee charter in place.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board of directors will also consider director candidates recommended for nomination by our shareholders during such times as they are seeking proposed nominees to stand for election at the next annual general meeting (or, if applicable, extraordinary general meeting). Our shareholders that wish to nominate a director for election to the Board should follow the procedures set forth in our bylaws.</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the board of directors consisting of Richard Heyman and Carole L. Nuechterlein, each of whom is an independent director. Richard Heyman will serve as chairman of the compensation committee. We will adopt a compensation committee charter, which will detail the principal functions of the compensation committee, including:</w:t>
      </w:r>
    </w:p>
    <w:p>
      <w:pPr>
        <w:spacing w:after="0" w:line="187" w:lineRule="exact"/>
        <w:rPr>
          <w:sz w:val="20"/>
          <w:szCs w:val="20"/>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President and Chief Executive Officer’s compensation, evaluating our President and Chief Executive Officer’s performance in light of such goals and objectives and determining and approving the remuneration (if any) of our President and Chief Executive Officer based on such evaluation;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324"/>
        <w:spacing w:after="0" w:line="259"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may not have a compensation committee in place prior to the completion of our initial business combination. Any executive compensation matters that arise prior to the time we have a compensation committee in place will be determined by our independent directors. 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225"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 of our officers and directors are required to commit their full time to our affairs and, accordingly, they may have conflicts of interest in allocating their time among various business activities.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123"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shares. For the foregoing reasons, our board may have a conflict of interest in determining whether a particular target business is an appropriate business with which to effect our initial business combination.</w:t>
      </w:r>
    </w:p>
    <w:p>
      <w:pPr>
        <w:spacing w:after="0" w:line="18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spacing w:after="0" w:line="268"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24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current material pre-existing fiduciary or contractual obligations of our officers, directors and director nominees: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ind w:left="820"/>
              <w:spacing w:after="0"/>
              <w:rPr>
                <w:sz w:val="20"/>
                <w:szCs w:val="20"/>
                <w:color w:val="auto"/>
              </w:rPr>
            </w:pPr>
            <w:r>
              <w:rPr>
                <w:rFonts w:ascii="Arial" w:cs="Arial" w:eastAsia="Arial" w:hAnsi="Arial"/>
                <w:sz w:val="18"/>
                <w:szCs w:val="18"/>
                <w:b w:val="1"/>
                <w:bCs w:val="1"/>
                <w:color w:val="auto"/>
              </w:rPr>
              <w:t>Name of Affiliated</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8"/>
                <w:szCs w:val="18"/>
                <w:b w:val="1"/>
                <w:bCs w:val="1"/>
                <w:color w:val="auto"/>
              </w:rPr>
              <w:t>Name of Individual</w:t>
            </w:r>
          </w:p>
        </w:tc>
        <w:tc>
          <w:tcPr>
            <w:tcW w:w="120" w:type="dxa"/>
            <w:vAlign w:val="bottom"/>
          </w:tcPr>
          <w:p>
            <w:pPr>
              <w:spacing w:after="0"/>
              <w:rPr>
                <w:sz w:val="20"/>
                <w:szCs w:val="20"/>
                <w:color w:val="auto"/>
              </w:rPr>
            </w:pPr>
          </w:p>
        </w:tc>
        <w:tc>
          <w:tcPr>
            <w:tcW w:w="3040" w:type="dxa"/>
            <w:vAlign w:val="bottom"/>
          </w:tcPr>
          <w:p>
            <w:pPr>
              <w:ind w:left="1140"/>
              <w:spacing w:after="0"/>
              <w:rPr>
                <w:sz w:val="20"/>
                <w:szCs w:val="20"/>
                <w:color w:val="auto"/>
              </w:rPr>
            </w:pPr>
            <w:r>
              <w:rPr>
                <w:rFonts w:ascii="Arial" w:cs="Arial" w:eastAsia="Arial" w:hAnsi="Arial"/>
                <w:sz w:val="18"/>
                <w:szCs w:val="18"/>
                <w:b w:val="1"/>
                <w:bCs w:val="1"/>
                <w:color w:val="auto"/>
              </w:rPr>
              <w:t>Company</w:t>
            </w:r>
          </w:p>
        </w:tc>
        <w:tc>
          <w:tcPr>
            <w:tcW w:w="100" w:type="dxa"/>
            <w:vAlign w:val="bottom"/>
          </w:tcPr>
          <w:p>
            <w:pPr>
              <w:spacing w:after="0"/>
              <w:rPr>
                <w:sz w:val="20"/>
                <w:szCs w:val="20"/>
                <w:color w:val="auto"/>
              </w:rPr>
            </w:pPr>
          </w:p>
        </w:tc>
        <w:tc>
          <w:tcPr>
            <w:tcW w:w="2260" w:type="dxa"/>
            <w:vAlign w:val="bottom"/>
          </w:tcPr>
          <w:p>
            <w:pPr>
              <w:ind w:left="480"/>
              <w:spacing w:after="0"/>
              <w:rPr>
                <w:sz w:val="20"/>
                <w:szCs w:val="20"/>
                <w:color w:val="auto"/>
              </w:rPr>
            </w:pPr>
            <w:r>
              <w:rPr>
                <w:rFonts w:ascii="Arial" w:cs="Arial" w:eastAsia="Arial" w:hAnsi="Arial"/>
                <w:sz w:val="18"/>
                <w:szCs w:val="18"/>
                <w:b w:val="1"/>
                <w:bCs w:val="1"/>
                <w:color w:val="auto"/>
              </w:rPr>
              <w:t>Entity’s Business</w:t>
            </w:r>
          </w:p>
        </w:tc>
        <w:tc>
          <w:tcPr>
            <w:tcW w:w="100" w:type="dxa"/>
            <w:vAlign w:val="bottom"/>
          </w:tcPr>
          <w:p>
            <w:pPr>
              <w:spacing w:after="0"/>
              <w:rPr>
                <w:sz w:val="20"/>
                <w:szCs w:val="20"/>
                <w:color w:val="auto"/>
              </w:rPr>
            </w:pPr>
          </w:p>
        </w:tc>
        <w:tc>
          <w:tcPr>
            <w:tcW w:w="3360" w:type="dxa"/>
            <w:vAlign w:val="bottom"/>
            <w:gridSpan w:val="2"/>
          </w:tcPr>
          <w:p>
            <w:pPr>
              <w:ind w:left="1240"/>
              <w:spacing w:after="0"/>
              <w:rPr>
                <w:sz w:val="20"/>
                <w:szCs w:val="20"/>
                <w:color w:val="auto"/>
              </w:rPr>
            </w:pPr>
            <w:r>
              <w:rPr>
                <w:rFonts w:ascii="Arial" w:cs="Arial" w:eastAsia="Arial" w:hAnsi="Arial"/>
                <w:sz w:val="18"/>
                <w:szCs w:val="18"/>
                <w:b w:val="1"/>
                <w:bCs w:val="1"/>
                <w:color w:val="auto"/>
              </w:rPr>
              <w:t>Affiliation</w:t>
            </w: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Aaron Davis</w:t>
            </w:r>
          </w:p>
        </w:tc>
        <w:tc>
          <w:tcPr>
            <w:tcW w:w="1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Boxer Capital, LLC</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Investment Fund</w:t>
            </w:r>
          </w:p>
        </w:tc>
        <w:tc>
          <w:tcPr>
            <w:tcW w:w="10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MVA Investors, LLC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Executive Officer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Mirati Therapeutics,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Odonate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iTeos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Tango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CiVi Biopharma Holdings,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Executive Chairman</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Sojournix,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Christopher Fuglesang</w:t>
            </w: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Boxer Capital, LLC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Managing 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MVA Investors, LLC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President</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Pandion Therapeutics,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CiVi Biopharma Holdings,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Michael Beauchamp</w:t>
            </w: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Boxer Capital, LLC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Vice President of Finance</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Andrew Ellis</w:t>
            </w: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Boxer Capital, LLC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Senior Counsel</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Carole L. Nuechterlein</w:t>
            </w: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 Hoffmann-La Roche Ltd.</w:t>
            </w:r>
          </w:p>
        </w:tc>
        <w:tc>
          <w:tcPr>
            <w:tcW w:w="23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Deputy Director, Head of Roche Venture</w:t>
            </w: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Fund</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Millendo Therapeutics,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Aligos Therapeutics,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Vivet Therapeutics SAS</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CiVi Biopharma Holdings,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Entrada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Mission Therapeutics Ltd.</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18"/>
                <w:szCs w:val="18"/>
                <w:color w:val="auto"/>
              </w:rPr>
            </w:pPr>
          </w:p>
        </w:tc>
      </w:tr>
      <w:tr>
        <w:trPr>
          <w:trHeight w:val="202"/>
        </w:trPr>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Arch Oncology Inc.</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17"/>
                <w:szCs w:val="17"/>
                <w:color w:val="auto"/>
              </w:rPr>
            </w:pP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Second Genome, Inc.</w:t>
            </w: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Richard Heyman</w:t>
            </w: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Arch Ventures</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Venture Partner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Metacrine,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Chairman</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Millendo Therapeutics,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ORIC Pharmaceuticals</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YumanityTherapeutics,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Vividion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PMV Pharmaceuticals,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Amunix,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Charles M. Baum</w:t>
            </w: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Mirati Therapeutics, Inc.</w:t>
            </w:r>
          </w:p>
        </w:tc>
        <w:tc>
          <w:tcPr>
            <w:tcW w:w="23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President,  Chief  Executive  Officer  and</w:t>
            </w: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Immunomedics, Inc.</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Jamie G. Christensen</w:t>
            </w: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Mirati Therapeutics, Inc.</w:t>
            </w:r>
          </w:p>
        </w:tc>
        <w:tc>
          <w:tcPr>
            <w:tcW w:w="23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Therapeutics</w:t>
            </w:r>
          </w:p>
        </w:tc>
        <w:tc>
          <w:tcPr>
            <w:tcW w:w="34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Executive Vice President and Chief</w:t>
            </w: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Scientific Officer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324"/>
        <w:spacing w:after="0" w:line="255" w:lineRule="auto"/>
        <w:rPr>
          <w:sz w:val="20"/>
          <w:szCs w:val="20"/>
          <w:color w:val="auto"/>
        </w:rPr>
      </w:pPr>
      <w:r>
        <w:rPr>
          <w:rFonts w:ascii="Arial" w:cs="Arial" w:eastAsia="Arial" w:hAnsi="Arial"/>
          <w:sz w:val="18"/>
          <w:szCs w:val="18"/>
          <w:color w:val="auto"/>
        </w:rPr>
        <w:t>Further, 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shares of common stock offered by this prospectus (assuming none of the individuals listed purchase shares in this offering), by:</w:t>
      </w:r>
    </w:p>
    <w:p>
      <w:pPr>
        <w:spacing w:after="0" w:line="18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Prior to Offering</w:t>
            </w:r>
          </w:p>
        </w:tc>
        <w:tc>
          <w:tcPr>
            <w:tcW w:w="26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After Offering</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Approximate</w:t>
            </w:r>
          </w:p>
        </w:tc>
        <w:tc>
          <w:tcPr>
            <w:tcW w:w="2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Approximate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Percentage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Outstanding</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Amount</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and Nature of</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Shares of</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and Nature of</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100" w:type="dxa"/>
            <w:vAlign w:val="bottom"/>
            <w:vMerge w:val="restart"/>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w:t>
            </w: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Common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of Common</w:t>
            </w:r>
          </w:p>
        </w:tc>
        <w:tc>
          <w:tcPr>
            <w:tcW w:w="0" w:type="dxa"/>
            <w:vAlign w:val="bottom"/>
          </w:tcPr>
          <w:p>
            <w:pPr>
              <w:spacing w:after="0"/>
              <w:rPr>
                <w:sz w:val="1"/>
                <w:szCs w:val="1"/>
                <w:color w:val="auto"/>
              </w:rPr>
            </w:pPr>
          </w:p>
        </w:tc>
      </w:tr>
      <w:tr>
        <w:trPr>
          <w:trHeight w:val="241"/>
        </w:trPr>
        <w:tc>
          <w:tcPr>
            <w:tcW w:w="5840" w:type="dxa"/>
            <w:vAlign w:val="bottom"/>
            <w:tcBorders>
              <w:bottom w:val="single" w:sz="8" w:color="auto"/>
            </w:tcBorders>
            <w:gridSpan w:val="2"/>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BCTG Holdings, LLC (our sponsor) </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3,413,750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3,395,000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Aaron Davis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Fuglesang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Michael Beauchamp</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Ellis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Carole L. Nuechterlein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Heyman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Charles M. Baum</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Jamie G. Christensen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All officers and directors as a group (8 individuals)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105,000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officers, directors and our sponsor as a group (9 individuals)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3,518,750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5680" w:type="dxa"/>
            <w:vAlign w:val="bottom"/>
            <w:gridSpan w:val="2"/>
          </w:tcPr>
          <w:p>
            <w:pPr>
              <w:ind w:left="180"/>
              <w:spacing w:after="0"/>
              <w:rPr>
                <w:sz w:val="20"/>
                <w:szCs w:val="20"/>
                <w:color w:val="auto"/>
              </w:rPr>
            </w:pPr>
            <w:r>
              <w:rPr>
                <w:rFonts w:ascii="Arial" w:cs="Arial" w:eastAsia="Arial" w:hAnsi="Arial"/>
                <w:sz w:val="18"/>
                <w:szCs w:val="18"/>
                <w:color w:val="auto"/>
              </w:rPr>
              <w:t>Less than 1%.</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BCTG Acquisition Corp., 11682 El Camino Real, Suite 320, San Diego, CA 92130.</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Assumes no exercise of the over-allotment option and, therefore, an aggregate of 468,750 shares of common stock held by our sponsor are forfeited.</w:t>
      </w:r>
    </w:p>
    <w:p>
      <w:pPr>
        <w:spacing w:after="0" w:line="248"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board consisting of Aaron Davis, Christopher Fuglesang and Andrew Ellis makes voting and dispositive decisions with respect to our securities owned by the sponsor. Each of Aaron Davis, Christopher Fuglesang and Andrew Ellis disclaims any pecuniary interest in the sponsor except to the extent of his beneficial interest in the securities owned by the sponsor.</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Immediately after this offering, our initial stockholders will beneficially own 20% of the then issued and outstanding shares of common stock (assuming none of them purchase any shares of our common stock offered by this prospectus). None of our initial stockholders, officers and directors has indicated to us that he intends to purchase securities in this offering.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324"/>
        <w:spacing w:after="0" w:line="286" w:lineRule="auto"/>
        <w:rPr>
          <w:sz w:val="20"/>
          <w:szCs w:val="20"/>
          <w:color w:val="auto"/>
        </w:rPr>
      </w:pPr>
      <w:r>
        <w:rPr>
          <w:rFonts w:ascii="Arial" w:cs="Arial" w:eastAsia="Arial" w:hAnsi="Arial"/>
          <w:sz w:val="17"/>
          <w:szCs w:val="17"/>
          <w:color w:val="auto"/>
        </w:rPr>
        <w:t>If the underwriters do not exercise all or a portion of the over-allotment option, our sponsor will have up to an aggregate 468,750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All of the insider shares issued and outstanding prior to the date of this prospectus will be placed in escrow with Continental Stock Transfer &amp; Trust Company, as escrow agent. Founder shares will not be transferred, assigned, sold or released from escrow until the earlier of (i) one year after the date of the consummation of our initial business combination or (ii) the date on which the closing price of our shares of common stock equals or exceeds $12.00 per share (as adjusted for stock splits, stock dividends, reorganizations and recapitalizations) for any 20 trading days within any 30-trading day period commencing at least 150 days after our initial business combination, or earlier if, subsequent to our initial business combination, we consummate a subsequent liquidation, merger, stock exchange or other similar transaction which results in all of our stockholders having the right to exchange their shares of common stock for cash, securities or other property. Up to 468,750 of the insider shares held by our sponsor may also be released from escrow earlier than this date for forfeiture and cancellation if the over-allotment option is not exercised in full as described above.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to the following “permitted transferees”</w:t>
      </w:r>
    </w:p>
    <w:p>
      <w:pPr>
        <w:spacing w:after="0" w:line="46" w:lineRule="exact"/>
        <w:rPr>
          <w:sz w:val="20"/>
          <w:szCs w:val="20"/>
          <w:color w:val="auto"/>
        </w:rPr>
      </w:pPr>
    </w:p>
    <w:p>
      <w:pPr>
        <w:jc w:val="both"/>
        <w:ind w:firstLine="8"/>
        <w:spacing w:after="0" w:line="268" w:lineRule="auto"/>
        <w:tabs>
          <w:tab w:leader="none" w:pos="2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transfers to our officers, directors or their respective affiliates (including for transfers to an entity’s members upon its liquidation), (ii) to relatives and trusts for estate planning purposes, (iii) by virtue of the laws of descent and distribution upon death, (iv) pursuant to a qualified domestic relations order, (v) by certain pledges to secure obligations incurred in connection with purchases of our securities, (vi) by private sales made at or prior to the consummation of a business combination at prices no greater than the price at which the shares were originally purchased or (vii) to us for no value for cancellation in connection with the consummation of our initial business combination, in each case (except for clause (vii)) where the transferee agrees to the terms of the escrow agreement,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 trust account, none of our initial stockholders will receive any portion of the liquidation proceeds with respect to their insider shares.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sponsor has committed to purchase from us an aggregate of 450,000 shares of our common stock (or 487,500 shares if the underwriter’s over-allotment option is exercised in full) at a price of $10.00 per share ($4,500,000 in the aggregate, or $4,875,000 in the aggregate if the underwriter’s over-allotment option is exercised in full), in a private placement that will close simultaneously with the closing of this offering. If we do not complete our initial business combination within 24 months from the closing of this offering, the proceeds from the sale of the private shares will be included in the liquidating distribution to the holders of our public shares.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order to meet our working capital needs following the consummation of this offering,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$1,500,000 of the notes may be converted upon consummation of our business combination into additional private shares at a price of $10.00 per share (which, for example, would result in the holders being issued 500,000 shares if $500,000 of notes were so converted). Such private shares will be identical to the private shares to be issued at the closing of this offering. Our stockholders have approved the issuance of the private shares upon conversion of such notes, to the extent the holder wishes to so convert them at the time of the consummation of our initial business combination. If we do not complete a business combination, the loans will not be repaid.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BCTG Holdings, LLC is our “promoter,” as that term is defined under the Federal securities laws.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June 4, 2020, our sponsor purchased 3,593,750 shares, which we refer to herein as “founder shares” or “insider shares,” for an aggregate purchase price of $25,000. In August 2020, our sponsor transferred an aggregate of 105,000 founder shares to our directors or at their direction, and an aggregate of 75,000 shares to certain persons who will act as our scientific advisors. Such transferred shares will not be subject to forfeiture in the event the underwriter’s over-allotment option is not exercised. The founder shares include an aggregate of up to 468,750 shares held by our sponsor that are subject to forfeiture to the extent that the underwriter’s over-allotment option is not exercised in full or in part.</w:t>
      </w:r>
    </w:p>
    <w:p>
      <w:pPr>
        <w:spacing w:after="0" w:line="17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If the underwriters do not exercise all or a portion of their over-allotment option, our sponsor has agreed that up to an aggregate of 468,750 shares of common stock in proportion to the portion of the over-allotment option that was not exercised are subject to forfeiture and would be immediately cancelled.</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capitalizations or a contribution back to capital, as applicable, would be effectuated in order to maintain our initial stockholder’s ownership at 20% of the number of shares issued and outstanding after the closing of this offering.</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sponsor has committed to purchase from us an aggregate of 450,000 shares of our common stock (or 487,500 shares if the underwriter’s over-allotment option is exercised in full) at a price of $10.00 per share ($4,500,000 in the aggregate, or $4,875,000 in the aggregate if the underwriter’s over-allotment option is exercised in full), in a private placement that will close simultaneously with the closing of this offering. If we do not complete our initial business combination within 24 months from the closing of this offering, the proceeds from the sale of the private shares will be included in the liquidating distribution to the holders of our public shares.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order to meet our working capital needs following the consummation of this offering,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$1,500,000 of the notes may be converted upon consummation of our business combination into additional private shares at a price of $10.00 per share (which, for example, would result in the holders being issued 500,000 shares if $500,000 of notes were so converted). Such private shares will be identical to the private shares to be issued at the closing of this offering. Our stockholders have approved the issuance of the private shares upon conversion of such notes, to the extent the holder wishes to so convert them at the time of the consummation of our initial business combination. If we do not complete a business combination, the loans will not be repaid.</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holders of our insider shares issued and outstanding on the date of this prospectus, as well as the holders of the private shares,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registration rights and stockholder rights agreement our sponsor will be entitled, upon consummation of our initial business combination, to nominate three individuals for election to our board of directors, which is described under the section of this prospectus entitled “Description of Securities—Registration and Stockholder Rights.”</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324"/>
        <w:spacing w:after="0" w:line="263"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sponsor has entered into an agreement with us to purchase at least an aggregate of 2,500,000 shares of common stock for an aggregate purchase price of $25,000,000, or $10.00 per share of common stock, prior to, concurrently with, or following the closing of our business combination in a private placement. The shares of common stock issuable pursuant to the forward purchase agreement will be identical to the shares of common stock being sold in this offering, except that the holders thereof will have certain registration rights, as described herein. The capital from such transaction may be used as part of the consideration to the sellers in our initial business combination, and any excess capital from such private placement would be used for working capital in the post-transaction company.</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uninterested “independent” directors (to the extent we have any)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Code of Ethics, which we will adopt upon consummation of this offering, will require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w:t>
      </w:r>
    </w:p>
    <w:p>
      <w:pPr>
        <w:spacing w:after="0" w:line="2" w:lineRule="exact"/>
        <w:rPr>
          <w:sz w:val="20"/>
          <w:szCs w:val="20"/>
          <w:color w:val="auto"/>
        </w:rPr>
      </w:pPr>
    </w:p>
    <w:p>
      <w:pPr>
        <w:jc w:val="both"/>
        <w:ind w:firstLine="8"/>
        <w:spacing w:after="0" w:line="271" w:lineRule="auto"/>
        <w:tabs>
          <w:tab w:leader="none" w:pos="277"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audit committee, pursuant to its written charter, will be responsible for reviewing and approving related-party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unaffiliated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Pursuant to our amended certificate of incorporation, our authorized capital stock consists of 30,000,000 shares of common stock, par value $0.0001, and 1,000,000 shares of preferred stock, par value $0.0001. As of the date of this prospectus, 3,593,750 shares of common stock are issued and outstanding, held by our sponsor, our directors, advisors and affiliates of our management team. No preferred shares are issued or outstanding.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any shares acquired in this offering or following this offering in the open market, in favor of the proposed business combination.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Pursuant to our certificate of incorporation, if we do not consummate our initial business combination within 24 months from the closing of this offering,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There are no shares of preferred stock outstanding.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transfer agent for our shares of common stock is Continental Stock Transfer &amp; Trust Company, 1 State Street, 30th Floor, New York, New York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285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Certificate of Incorporation and By-Laws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660" w:right="1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of stockholders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w:t>
      </w:r>
    </w:p>
    <w:p>
      <w:pPr>
        <w:jc w:val="both"/>
        <w:spacing w:after="0" w:line="200" w:lineRule="auto"/>
        <w:rPr>
          <w:sz w:val="20"/>
          <w:szCs w:val="20"/>
          <w:color w:val="auto"/>
        </w:rPr>
      </w:pPr>
      <w:r>
        <w:rPr>
          <w:rFonts w:ascii="Arial" w:cs="Arial" w:eastAsia="Arial" w:hAnsi="Arial"/>
          <w:sz w:val="18"/>
          <w:szCs w:val="18"/>
          <w:color w:val="auto"/>
        </w:rPr>
        <w:t>delivered to our principal executive offices not later than the close of business on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nor earlier than the opening of business on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Immediately after this offering, we will have 16,075,000 shares of common stock issued and outstanding, or 18,456,250 shares of common stock if the over-allotment option is exercised in full. Of these shares, the 12,500,000 shares sold in this offering, or 14,375,000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will not be transferable except in limited circumstances described elsewhere in this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144</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person who has beneficially owned restricted shares of common stock for at least six months would be entitled to sell their securities provided that</w:t>
      </w:r>
    </w:p>
    <w:p>
      <w:pPr>
        <w:spacing w:after="0" w:line="46" w:lineRule="exact"/>
        <w:rPr>
          <w:sz w:val="20"/>
          <w:szCs w:val="20"/>
          <w:color w:val="auto"/>
        </w:rPr>
      </w:pPr>
    </w:p>
    <w:p>
      <w:pPr>
        <w:jc w:val="both"/>
        <w:ind w:firstLine="8"/>
        <w:spacing w:after="0" w:line="253" w:lineRule="auto"/>
        <w:tabs>
          <w:tab w:leader="none" w:pos="2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9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 of the number of shares of common stock then issued and outstanding, which will equal 160,750 shares immediately after this offering (or 184,562 if the over-allotment option is exercised in full);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under Rule 144 are also limited by manner of sale provisions and notice requirements and to the availability of current public information about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15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324"/>
        <w:spacing w:after="0" w:line="277" w:lineRule="auto"/>
        <w:rPr>
          <w:sz w:val="20"/>
          <w:szCs w:val="20"/>
          <w:color w:val="auto"/>
        </w:rPr>
      </w:pPr>
      <w:r>
        <w:rPr>
          <w:rFonts w:ascii="Arial" w:cs="Arial" w:eastAsia="Arial" w:hAnsi="Arial"/>
          <w:sz w:val="18"/>
          <w:szCs w:val="18"/>
          <w:color w:val="auto"/>
        </w:rPr>
        <w:t>As a result, it is likely that pursuant to Rule 144, our initial stockholders will be able to sell their insider shares freely without registration one year after we have completed our initial business combination assuming they are not an affiliate of ours at that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holders of our insider shares issued and outstanding on the date of this prospectus, as well as the holders of the private shares,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shares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pursuant to the registration and stockholder rights agreement, our sponsor, upon consummation of an initial business combination, will be entitled to nominate one individual for election to our board of directors.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intend to offer our securities described in this prospectus through the underwriters named below. SVB Leerink LLC is the representative for the underwriters. We have entered into an underwriting agreement with the representative. Subject to the terms and conditions of the underwriting agreement, each of the underwriters has severally agreed to purchase from us the number of shares listed next to its name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 of</w:t>
            </w:r>
          </w:p>
        </w:tc>
      </w:tr>
      <w:tr>
        <w:trPr>
          <w:trHeight w:val="241"/>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r>
      <w:tr>
        <w:trPr>
          <w:trHeight w:val="250"/>
        </w:trPr>
        <w:tc>
          <w:tcPr>
            <w:tcW w:w="99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SVB Leerink LLC</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8"/>
              </w:rPr>
              <w:t>12,500,000</w:t>
            </w:r>
          </w:p>
        </w:tc>
        <w:tc>
          <w:tcPr>
            <w:tcW w:w="100" w:type="dxa"/>
            <w:vAlign w:val="bottom"/>
          </w:tcPr>
          <w:p>
            <w:pPr>
              <w:spacing w:after="0"/>
              <w:rPr>
                <w:sz w:val="20"/>
                <w:szCs w:val="20"/>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 and Commissions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representative has advised us that the underwriters propose initially to offer the shares to the public at the public offering price set forth on the cover page of this prospectus supplement and to dealers at that price less a concession not in excess of $ per share. After the initial offering of the shares, the public offering price, concession or any other term of this offering may be changed by the representative.</w:t>
      </w:r>
    </w:p>
    <w:p>
      <w:pPr>
        <w:spacing w:after="0" w:line="18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following table shows the public offering price, underwriting discounts and commissions and proceeds, before expenses, to us. The information assumes either no exercise or full exercise by the underwriters of their over-allotment option to purchase additional shares of our common stock.</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Without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With</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Over-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Over-</w:t>
            </w: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 Share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allotment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allotment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125,000,000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143,750,000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7320" w:type="dxa"/>
            <w:vAlign w:val="bottom"/>
          </w:tcPr>
          <w:p>
            <w:pPr>
              <w:spacing w:after="0" w:line="256" w:lineRule="exact"/>
              <w:rPr>
                <w:sz w:val="20"/>
                <w:szCs w:val="20"/>
                <w:color w:val="auto"/>
              </w:rPr>
            </w:pPr>
            <w:r>
              <w:rPr>
                <w:rFonts w:ascii="Arial" w:cs="Arial" w:eastAsia="Arial" w:hAnsi="Arial"/>
                <w:sz w:val="18"/>
                <w:szCs w:val="18"/>
                <w:color w:val="auto"/>
              </w:rPr>
              <w:t>Underwriting Discounts and Commisions</w:t>
            </w:r>
            <w:r>
              <w:rPr>
                <w:rFonts w:ascii="Arial" w:cs="Arial" w:eastAsia="Arial" w:hAnsi="Arial"/>
                <w:sz w:val="29"/>
                <w:szCs w:val="2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6,875,000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7,906,250</w:t>
            </w:r>
          </w:p>
        </w:tc>
      </w:tr>
      <w:tr>
        <w:trPr>
          <w:trHeight w:val="257"/>
        </w:trPr>
        <w:tc>
          <w:tcPr>
            <w:tcW w:w="73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w:t>
            </w:r>
            <w:r>
              <w:rPr>
                <w:rFonts w:ascii="Arial" w:cs="Arial" w:eastAsia="Arial" w:hAnsi="Arial"/>
                <w:sz w:val="29"/>
                <w:szCs w:val="29"/>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118,125,000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135,843,750</w:t>
            </w:r>
          </w:p>
        </w:tc>
      </w:tr>
    </w:tbl>
    <w:p>
      <w:pPr>
        <w:spacing w:after="0" w:line="202" w:lineRule="exact"/>
        <w:rPr>
          <w:sz w:val="20"/>
          <w:szCs w:val="20"/>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amount includes $4,375,000, or $0.35 per share (or $5,031,250 if the underwriter’s over-allotment option is exercised in full) payable to the underwriters for deferred underwriting commissions upon completion of a business combination.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offering expenses are estimated at $750,000.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granted the underwriters an option to buy up to 1,875,000 additional shares solely to cover over-allotments.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shares approximately in proportion to the amounts specified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SVB Leerink LLC, offer, sell, contract to sell, pledge or otherwise dispose of, directly or indirectly, Class A ordinary shares or any other securities convertible into, or exercisable, or exchangeable for, Class A ordinary shares; provided, however, that we may (1) issue and sell the private placement shares, (2) issue and sell the additional Class A ordinary shares to cover our underwriters’ over-allotment option (if any), (3) register with the SEC pursuant to an agreement to be entered into concurrently with the issuance and sale of the securities in this offering, the resale of the founder shares and the private placement shares, and (4) issue securities in connection with an initial business combination. SVB Leerink LLC in its sole discretion, may release any of the securities subject to this lock-up agreement at any time without notice.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324"/>
        <w:spacing w:after="0" w:line="290" w:lineRule="auto"/>
        <w:rPr>
          <w:sz w:val="20"/>
          <w:szCs w:val="20"/>
          <w:color w:val="auto"/>
        </w:rPr>
      </w:pPr>
      <w:r>
        <w:rPr>
          <w:rFonts w:ascii="Arial" w:cs="Arial" w:eastAsia="Arial" w:hAnsi="Arial"/>
          <w:sz w:val="16"/>
          <w:szCs w:val="16"/>
          <w:color w:val="auto"/>
        </w:rPr>
        <w:t>In addition, our initial stockholders have agreed not to transfer, assign or sell any of their founder shares until the earlier to occur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(except as described herein under “Principal Shareholders — Transfers of Founder Shares and Private Placement Shares”). Any permitted transferees will be subject to the same restrictions and other agreements of our initial stockholders with respect to any founder shares and private placement shares. We refer to such transfer restrictions throughout this prospectus as the lock-up.</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private placement shares will not be transferable, assignable or salable until 30 days after the completion of our initial business combination (except with respect to permitted transferees as described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Shares sold by the underwriters to the public will initially be offered at the offering price set forth on the cover of this prospectus. The underwriters will be entitled to a cash underwriting discount of $2,500,000 (or $2,875,000 if the over-allotment option is exercised in full). Any shares sold by the underwriters to securities dealers may be sold at a discount of up to $___ per share from the public offering price. Any of these securities dealers may resell any shares purchased from the underwriters to other brokers or dealers at a discount of up to $___ per share from the public offering price. If all of the shares are not sold at the initial public offering price, the representative may change the offering price and the other selling terms. Upon execution of the underwriting agreement, the underwriters will be obligated to purchase the shares at the prices and upon the terms stated therein, and, as a result, will thereafter bear any risk associated with changing the offering price to the public or other selling terms.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agreed to reimburse the underwriters for all expenses and fees related to the review by FINRA, which will not exceed $15,000.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been advised by the representative that the underwriters propose to offer the shares to the public at the offering price set forth on the cover page of this prospectus.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shares was negotiated between us and the representative. Factors considered in determining the prices and terms of the shares of common stock include:</w:t>
      </w:r>
    </w:p>
    <w:p>
      <w:pPr>
        <w:spacing w:after="0" w:line="17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 share amount of net proceeds being placed into the trust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is presently no public market for our common stock. We have applied to have our common stock listed on the Nasdaq Capital Market, or Nasdaq, under the symbol “BCTG” on or promptly after the date of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Rules of the SEC may limit the ability of the underwriters to bid for or purchase our shares before the distribution of the shares is completed. However, the underwriters may engage in the following activities in accordance with the rules:</w:t>
      </w:r>
    </w:p>
    <w:p>
      <w:pPr>
        <w:spacing w:after="0" w:line="170" w:lineRule="exact"/>
        <w:rPr>
          <w:sz w:val="20"/>
          <w:szCs w:val="20"/>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Stabilizing Transactions. The underwriters may make bids or purchases for the purpose of preventing or retarding a decline in the price of our shares, as long as stabilizing bids do not exceed the offering price of $10.00 and the underwriters comply with all other applicable rules.</w:t>
      </w:r>
    </w:p>
    <w:p>
      <w:pPr>
        <w:spacing w:after="0" w:line="146" w:lineRule="exact"/>
        <w:rPr>
          <w:rFonts w:ascii="Arial" w:cs="Arial" w:eastAsia="Arial" w:hAnsi="Arial"/>
          <w:sz w:val="17"/>
          <w:szCs w:val="17"/>
          <w:color w:val="auto"/>
        </w:rPr>
      </w:pPr>
    </w:p>
    <w:p>
      <w:pPr>
        <w:jc w:val="both"/>
        <w:ind w:left="660" w:hanging="328"/>
        <w:spacing w:after="0" w:line="287"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Over-Allotments and Syndicate Coverage Transactions. The underwriters may create a short position in our shares by selling more of our shares than are set forth on the cover page of this prospectus up to the amount of the over-allotment option. This is known as a covered short position. The underwriters may also create a short position in our shares by selling more of our shares than are set forth on the cover page of this prospectus and the shares allowed by the over-allotment option. This is known as a naked short position. If the underwriters create a short position during the offering, the representative may engage in syndicate covering transactions by purchasing our shares in the open market. The representative may also elect to reduce any short position by exercising all or part of the over-allotment option. Determining what method to use in reducing the short position depends on how the shares trade in the aftermarket following the offering. If the share price drops following the offering, the short position is usually covered with shares purchased by the underwriters in the aftermarket. However, the underwriters may cover a short position by exercising the over-allotment option even if the share price drops following the offering. If the share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71"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Penalty Bids. The representative may reclaim a selling concession from a syndicate member when the shares originally sold by the syndicate member are purchased in a stabilizing or syndicate covering transaction to cover syndicate short positions.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8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to any legal entity which is a qualified investor as defined under the Prospectus Regulation;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us or any of the underwriters to publish a prospectus pursuant to Article 3 of the Prospectus Regulation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a prospectus pursuant to Article 23 of the Prospectus Regulation.</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Each person in a Relevant State who initially acquires any shares or to whom any offer is made will be deemed to have represented, acknowledged and agreed to and with us and the underwriters that it is a qualified investor within the meaning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 has been obtained to each such proposed offer or resale.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the underwriters and each of our and the underwriters’ respective affiliates will rely upon the truth and accuracy of the foregoing representations, acknowledgements and agreements.</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References to the Prospectus Regulation include, in relation to the United Kingdom, the Prospectus Regulation as it forms part of United Kingdom domestic law by virtue of the European Union (Withdrawal) Act 2018, as amended.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 as amended.</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Loeb &amp; Loeb LLP is acting as United States counsel in connection with the registration of our securities under the Securities Act and will pass on the validity of the securities offered in the prospectus. Kirkland &amp; Ellis LLP is acting as counsel for the underwriters in this offering.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financial statements of BCTG Acquisition Corp. as of June 30, 2020 and for the period from May 21, 2020 (inception) through June 30,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which contains the Form S-1 and other reports, proxy and information statements and information regarding issuers that file electronically with the SEC.</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BCTG Acquisition Corp.</w:t>
            </w:r>
          </w:p>
        </w:tc>
        <w:tc>
          <w:tcPr>
            <w:tcW w:w="10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INDEX TO FINANCIAL STATEMENTS</w:t>
            </w:r>
          </w:p>
        </w:tc>
        <w:tc>
          <w:tcPr>
            <w:tcW w:w="1000" w:type="dxa"/>
            <w:vAlign w:val="bottom"/>
          </w:tcPr>
          <w:p>
            <w:pPr>
              <w:spacing w:after="0"/>
              <w:rPr>
                <w:sz w:val="24"/>
                <w:szCs w:val="24"/>
                <w:color w:val="auto"/>
              </w:rPr>
            </w:pPr>
          </w:p>
        </w:tc>
      </w:tr>
      <w:tr>
        <w:trPr>
          <w:trHeight w:val="453"/>
        </w:trPr>
        <w:tc>
          <w:tcPr>
            <w:tcW w:w="1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85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0240" w:type="dxa"/>
            <w:vAlign w:val="bottom"/>
            <w:gridSpan w:val="4"/>
            <w:shd w:val="clear" w:color="auto" w:fill="CCEEFF"/>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REPORT OF INDEPENDENT REGISTERED PUBLIC ACCOUNTING FIRM</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10240" w:type="dxa"/>
            <w:vAlign w:val="bottom"/>
            <w:gridSpan w:val="4"/>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BALANCE SHEET AS OF JUNE 30, 2020</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16"/>
        </w:trPr>
        <w:tc>
          <w:tcPr>
            <w:tcW w:w="10240" w:type="dxa"/>
            <w:vAlign w:val="bottom"/>
            <w:gridSpan w:val="4"/>
            <w:shd w:val="clear" w:color="auto" w:fill="CCEEFF"/>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STATEMENT OF OPERATIONS FOR THE PERIOD FROM MAY 21, 2020 (INCEPTION) THROUGH JUNE 30, 2020</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F-4</w:t>
            </w:r>
          </w:p>
        </w:tc>
      </w:tr>
      <w:tr>
        <w:trPr>
          <w:trHeight w:val="175"/>
        </w:trPr>
        <w:tc>
          <w:tcPr>
            <w:tcW w:w="10240" w:type="dxa"/>
            <w:vAlign w:val="bottom"/>
            <w:gridSpan w:val="4"/>
          </w:tcPr>
          <w:p>
            <w:pPr>
              <w:spacing w:after="0" w:line="176" w:lineRule="exact"/>
              <w:rPr>
                <w:rFonts w:ascii="Arial" w:cs="Arial" w:eastAsia="Arial" w:hAnsi="Arial"/>
                <w:sz w:val="18"/>
                <w:szCs w:val="18"/>
                <w:color w:val="0000EE"/>
                <w:w w:val="99"/>
              </w:rPr>
            </w:pPr>
            <w:hyperlink w:anchor="page102">
              <w:r>
                <w:rPr>
                  <w:rFonts w:ascii="Arial" w:cs="Arial" w:eastAsia="Arial" w:hAnsi="Arial"/>
                  <w:sz w:val="18"/>
                  <w:szCs w:val="18"/>
                  <w:color w:val="0000EE"/>
                  <w:w w:val="99"/>
                </w:rPr>
                <w:t>STATEMENT OF CHANGES IN STOCKHOLDER’S EQUITY FOR THE PERIOD FROM MAY 21, 2020 (INCEPTION) THROUGH</w:t>
              </w:r>
            </w:hyperlink>
          </w:p>
        </w:tc>
        <w:tc>
          <w:tcPr>
            <w:tcW w:w="100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7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JUNE 30, 2020</w:t>
              </w:r>
            </w:hyperlink>
          </w:p>
        </w:tc>
        <w:tc>
          <w:tcPr>
            <w:tcW w:w="36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21"/>
        </w:trPr>
        <w:tc>
          <w:tcPr>
            <w:tcW w:w="18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0240" w:type="dxa"/>
            <w:vAlign w:val="bottom"/>
            <w:gridSpan w:val="4"/>
            <w:shd w:val="clear" w:color="auto" w:fill="CCEEFF"/>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STATEMENT OF CASH FLOWS FOR THE PERIOD FROM MAY 21, 2020 (INCEPTION) THROUGH JUNE 30, 2020</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r>
      <w:tr>
        <w:trPr>
          <w:trHeight w:val="230"/>
        </w:trPr>
        <w:tc>
          <w:tcPr>
            <w:tcW w:w="10240" w:type="dxa"/>
            <w:vAlign w:val="bottom"/>
            <w:gridSpan w:val="4"/>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NOTES TO FINANCIAL STATEMENTS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F-7</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BCTG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balance sheet of BCTG Acquisition Corp. (the “Company”) as of June 30, 2020, the related statements of operations, changes in stockholder’s equity and cash flows for the period from May 21,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May 21, 2020 (inception) through June 30, 2020,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BCTG ACQUISITION CORP.</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BALANCE SHEET</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88"/>
              </w:rPr>
              <w:t>June 30, 2020</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0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24,993</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24,993</w:t>
            </w:r>
          </w:p>
        </w:tc>
        <w:tc>
          <w:tcPr>
            <w:tcW w:w="100" w:type="dxa"/>
            <w:vAlign w:val="bottom"/>
            <w:tcBorders>
              <w:top w:val="single" w:sz="8" w:color="CCEEFF"/>
            </w:tcBorders>
          </w:tcPr>
          <w:p>
            <w:pPr>
              <w:spacing w:after="0"/>
              <w:rPr>
                <w:sz w:val="17"/>
                <w:szCs w:val="17"/>
                <w:color w:val="auto"/>
              </w:rPr>
            </w:pP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 associated with the proposed public offering</w:t>
            </w: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8"/>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63,493</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w:t>
            </w:r>
          </w:p>
        </w:tc>
      </w:tr>
      <w:tr>
        <w:trPr>
          <w:trHeight w:val="237"/>
        </w:trPr>
        <w:tc>
          <w:tcPr>
            <w:tcW w:w="10020" w:type="dxa"/>
            <w:vAlign w:val="bottom"/>
          </w:tcPr>
          <w:p>
            <w:pPr>
              <w:ind w:left="180"/>
              <w:spacing w:after="0"/>
              <w:rPr>
                <w:sz w:val="20"/>
                <w:szCs w:val="20"/>
                <w:color w:val="auto"/>
              </w:rPr>
            </w:pPr>
            <w:r>
              <w:rPr>
                <w:rFonts w:ascii="Arial" w:cs="Arial" w:eastAsia="Arial" w:hAnsi="Arial"/>
                <w:sz w:val="18"/>
                <w:szCs w:val="18"/>
                <w:color w:val="auto"/>
              </w:rPr>
              <w:t>Note payable - related party</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25,025</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Common stock, $0.0001 par value; 5,000,000 shares authorized; 3,593,750 shares issued and outstanding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359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24,641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(472)</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24,528</w:t>
      </w:r>
    </w:p>
    <w:p>
      <w:pPr>
        <w:spacing w:after="0" w:line="59" w:lineRule="exact"/>
        <w:rPr>
          <w:sz w:val="20"/>
          <w:szCs w:val="20"/>
          <w:color w:val="auto"/>
        </w:rPr>
      </w:pPr>
    </w:p>
    <w:p>
      <w:pPr>
        <w:ind w:left="620" w:hanging="615"/>
        <w:spacing w:after="0"/>
        <w:tabs>
          <w:tab w:leader="none" w:pos="6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63,493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4" w:right="339" w:bottom="1440" w:gutter="0" w:footer="0" w:header="0"/>
          <w:type w:val="continuous"/>
        </w:sectPr>
      </w:pPr>
    </w:p>
    <w:p>
      <w:pPr>
        <w:spacing w:after="0" w:line="97" w:lineRule="exact"/>
        <w:rPr>
          <w:sz w:val="20"/>
          <w:szCs w:val="20"/>
          <w:color w:val="auto"/>
        </w:rPr>
      </w:pPr>
    </w:p>
    <w:p>
      <w:pPr>
        <w:ind w:left="380" w:right="20" w:hanging="372"/>
        <w:spacing w:after="0" w:line="277" w:lineRule="auto"/>
        <w:tabs>
          <w:tab w:leader="none" w:pos="38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includes up to 468,750 shares of common stock subject to forfeiture if the over-allotment option is not exercised in full or in part by the underwriters. Please see Note 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BCTG ACQUISITION CORP.</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STATEMENT OF OPERATIONS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For the period from May 21, 2020 (inception) through June 30,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21"/>
                <w:szCs w:val="21"/>
                <w:color w:val="auto"/>
              </w:rPr>
            </w:pPr>
          </w:p>
        </w:tc>
      </w:tr>
      <w:tr>
        <w:trPr>
          <w:trHeight w:val="278"/>
        </w:trPr>
        <w:tc>
          <w:tcPr>
            <w:tcW w:w="100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10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45"/>
        </w:trPr>
        <w:tc>
          <w:tcPr>
            <w:tcW w:w="10020" w:type="dxa"/>
            <w:vAlign w:val="bottom"/>
          </w:tcPr>
          <w:p>
            <w:pPr>
              <w:spacing w:after="0" w:line="296" w:lineRule="exact"/>
              <w:rPr>
                <w:sz w:val="20"/>
                <w:szCs w:val="20"/>
                <w:color w:val="auto"/>
              </w:rPr>
            </w:pPr>
            <w:r>
              <w:rPr>
                <w:rFonts w:ascii="Arial" w:cs="Arial" w:eastAsia="Arial" w:hAnsi="Arial"/>
                <w:sz w:val="18"/>
                <w:szCs w:val="18"/>
                <w:b w:val="1"/>
                <w:bCs w:val="1"/>
                <w:color w:val="auto"/>
              </w:rPr>
              <w:t xml:space="preserve">Weighted average shares outstanding, basic and diluted </w:t>
            </w:r>
            <w:r>
              <w:rPr>
                <w:rFonts w:ascii="Arial" w:cs="Arial" w:eastAsia="Arial" w:hAnsi="Arial"/>
                <w:sz w:val="29"/>
                <w:szCs w:val="29"/>
                <w:b w:val="1"/>
                <w:bCs w:val="1"/>
                <w:color w:val="auto"/>
                <w:vertAlign w:val="superscript"/>
              </w:rPr>
              <w:t>(1)</w:t>
            </w: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3,125,000</w:t>
            </w:r>
          </w:p>
        </w:tc>
        <w:tc>
          <w:tcPr>
            <w:tcW w:w="80" w:type="dxa"/>
            <w:vAlign w:val="bottom"/>
          </w:tcPr>
          <w:p>
            <w:pPr>
              <w:spacing w:after="0"/>
              <w:rPr>
                <w:sz w:val="24"/>
                <w:szCs w:val="24"/>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1002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r>
      <w:tr>
        <w:trPr>
          <w:trHeight w:val="21"/>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line="277" w:lineRule="auto"/>
        <w:tabs>
          <w:tab w:leader="none" w:pos="3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excludes an aggregate of up to 468,750 shares of common stock subject to forfeiture if the over-allotment option is not exercised in full or in part by the underwriters. Please see Note 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May 21, 2020 (inception) through June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May 21, 2020 (inception)</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Issuance of common stock to Sponsor (1)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3,593,750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24,641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Balance - June 30, 2020</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3,593,750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24,641</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(472</w:t>
            </w:r>
          </w:p>
        </w:tc>
        <w:tc>
          <w:tcPr>
            <w:tcW w:w="2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24,528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20" w:hanging="372"/>
        <w:spacing w:after="0" w:line="277" w:lineRule="auto"/>
        <w:tabs>
          <w:tab w:leader="none" w:pos="38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includes up to 468,750 shares of common stock subject to forfeiture if the over-allotment option is not exercised in full or in part by the underwriters. Please see Note 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center"/>
        <w:ind w:left="1940"/>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ind w:left="1940"/>
        <w:spacing w:after="0"/>
        <w:rPr>
          <w:sz w:val="20"/>
          <w:szCs w:val="20"/>
          <w:color w:val="auto"/>
        </w:rPr>
      </w:pPr>
      <w:r>
        <w:rPr>
          <w:rFonts w:ascii="Arial" w:cs="Arial" w:eastAsia="Arial" w:hAnsi="Arial"/>
          <w:sz w:val="18"/>
          <w:szCs w:val="18"/>
          <w:b w:val="1"/>
          <w:bCs w:val="1"/>
          <w:color w:val="auto"/>
        </w:rPr>
        <w:t>STATEMENT OF CASH FLOWS</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For the period from May 21, 2020 (inception) through June 30,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Accounts payable</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issuance of common stock to Sponsor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note payable to related party</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offering costs included in note payable - related party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offering costs included in accrued expenses</w:t>
      </w:r>
    </w:p>
    <w:p>
      <w:pPr>
        <w:spacing w:after="0" w:line="211" w:lineRule="exact"/>
        <w:rPr>
          <w:sz w:val="20"/>
          <w:szCs w:val="20"/>
          <w:color w:val="auto"/>
        </w:rPr>
      </w:pPr>
    </w:p>
    <w:p>
      <w:pPr>
        <w:jc w:val="right"/>
        <w:ind w:right="10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80" w:hanging="775"/>
        <w:spacing w:after="0"/>
        <w:tabs>
          <w:tab w:leader="none" w:pos="7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(472)</w:t>
      </w:r>
    </w:p>
    <w:p>
      <w:pPr>
        <w:spacing w:after="0" w:line="25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8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25,025</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24,993</w:t>
      </w:r>
    </w:p>
    <w:p>
      <w:pPr>
        <w:spacing w:after="0" w:line="23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59" w:lineRule="exact"/>
        <w:rPr>
          <w:sz w:val="20"/>
          <w:szCs w:val="20"/>
          <w:color w:val="auto"/>
        </w:rPr>
      </w:pPr>
    </w:p>
    <w:p>
      <w:pPr>
        <w:ind w:left="620" w:hanging="615"/>
        <w:spacing w:after="0"/>
        <w:tabs>
          <w:tab w:leader="none" w:pos="6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24,993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20" w:hanging="615"/>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25,000</w:t>
      </w:r>
    </w:p>
    <w:p>
      <w:pPr>
        <w:spacing w:after="0" w:line="23" w:lineRule="exact"/>
        <w:rPr>
          <w:rFonts w:ascii="Arial" w:cs="Arial" w:eastAsia="Arial" w:hAnsi="Arial"/>
          <w:sz w:val="18"/>
          <w:szCs w:val="18"/>
          <w:color w:val="auto"/>
        </w:rPr>
      </w:pPr>
    </w:p>
    <w:p>
      <w:pPr>
        <w:ind w:left="620" w:hanging="615"/>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13,500</w:t>
      </w:r>
    </w:p>
    <w:p>
      <w:pPr>
        <w:sectPr>
          <w:pgSz w:w="11900" w:h="16838" w:orient="portrait"/>
          <w:cols w:equalWidth="0" w:num="2">
            <w:col w:w="9300" w:space="720"/>
            <w:col w:w="1180"/>
          </w:cols>
          <w:pgMar w:left="320" w:top="904" w:right="3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1. DESCRIPTION OF ORGANIZATION, BUSINESS OPERATIONS AND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BCTG Acquisition Corp. (the “Company”) is a newly organized blank check company incorporated in Delaware and formed for the purpose of effecting into a merger, share exchange, asset acquisition, stock purchase, recapitalization, reorganization or other similar business combination with one or more businesses or entities (“Business Combination”). Although the Company is not limited to a particular industry or geographic region for purposes of consummating a Business Combination, the Company intends to focus on businesses that have their primary operations located in North America and Europe in the biotechnology industry.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Company had not yet commenced operations. All activity for the period from May 21, 2020 (inception) through June 30, 2020 relates to the Company’s formation and the Proposed Public Offering, which is described below. The Company has selected December 31 as its fiscal year end.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initial public offering of 12,500,000 shares of common stock at $10.00 per share (or 14,375,000 shares if the underwriter’s option to purchase additional shares is exercised in full) (“Public Shares”) which is discussed in Note 3 (the “Proposed Public Offering”) and the sale of 450,000 shares of common stock at a price of $10.00 per share (or 487,500 shares if the underwriter’s option to purchase additional shares is exercised in full) (“Private Placement Shares”) in a private placement to the Company’s sponsor, BCTG Holdings, LLC, a Delaware limited liability company (the “Sponsor”), that will close simultaneously with the Proposed Public Offering.</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its Proposed Public Offering and the sale of Private Placement Shares,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(as defined below) (excluding the amount of any deferred underwriting discount held in trust and taxes payable on the income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or the Investment Company Act. Upon the closing of the Proposed Public Offering, management has agreed that an amount equal to at least $10.00 per share sold in the Proposed Public Offering, including the proceeds of the Private Placement Shares, will be held in a trust account (“Trust Account”) in the United States maintained by Continental Stock Transfer &amp; Trust Company, as trustee, and will be invested only in U.S. government treasury bills, notes and bonds with a maturity of 180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will provide the holders of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6). These Public Shares will be recorded at a redemption value and classified as temporary equity upon the completion of the Proposed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will be adopted by the Company upon the consummation of the Proposed Public Offering (the “Amended and Restated Certificate”),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this Proposed Public Offering (the “Initial Stockholders”) have agreed to vote their Founder Shares (as defined in Note 5)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spacing w:after="0" w:line="279" w:lineRule="auto"/>
        <w:rPr>
          <w:sz w:val="20"/>
          <w:szCs w:val="20"/>
          <w:color w:val="auto"/>
        </w:rPr>
      </w:pPr>
      <w:r>
        <w:rPr>
          <w:rFonts w:ascii="Arial" w:cs="Arial" w:eastAsia="Arial" w:hAnsi="Arial"/>
          <w:sz w:val="17"/>
          <w:szCs w:val="17"/>
          <w:color w:val="auto"/>
        </w:rPr>
        <w:t>Notwithstanding the foregoing, the Company’s Amended and Restated Certificate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shares of common stock sold in the Proposed Public Offering, without the prior consent of the Company.</w:t>
      </w:r>
    </w:p>
    <w:p>
      <w:pPr>
        <w:spacing w:after="0" w:line="171" w:lineRule="exact"/>
        <w:rPr>
          <w:sz w:val="20"/>
          <w:szCs w:val="20"/>
          <w:color w:val="auto"/>
        </w:rPr>
      </w:pPr>
    </w:p>
    <w:p>
      <w:pPr>
        <w:jc w:val="both"/>
        <w:ind w:firstLine="52"/>
        <w:spacing w:after="0" w:line="301" w:lineRule="auto"/>
        <w:rPr>
          <w:sz w:val="20"/>
          <w:szCs w:val="20"/>
          <w:color w:val="auto"/>
        </w:rPr>
      </w:pPr>
      <w:r>
        <w:rPr>
          <w:rFonts w:ascii="Arial" w:cs="Arial" w:eastAsia="Arial" w:hAnsi="Arial"/>
          <w:sz w:val="16"/>
          <w:szCs w:val="16"/>
          <w:color w:val="auto"/>
        </w:rPr>
        <w:t>The Company’s Sponsor, executive officers, directors and director nominees will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 Business Combination has not been consummated within 24 months from the closing of the Proposed Public Offering (the “Combination Period”),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this offering against certain liabilities, including liabilities under the Securities Act. However, the Company’s insiders may not be able to satisfy their indemnification obligations. Moreover, the Company’s insiders will not be liable to the Public Stockholders and instead will only have liability to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financial statements are presented in U.S. dollars in conformity with accounting principles generally accepted in the United States of America (“U.S. GAAP”) and pursuant to the rules and regulations of the SEC. In connection with the Company’s assessment of going concern considerations in accordance with ASU 2014-15, “Disclosures of Uncertainties about an Entity’s Ability to Continue as a Going Concern,” as of June 30, 2020, the Company does not have sufficient liquidity to meet its current obligations. However, management has determined that the Company has access to funds from the Sponsor that are sufficient to fund the working capital needs of the Company until the earlier of the consummation of the Proposed Public Offering or a minimum one year from the date of issuance of these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At June 30, 2020, the Company had not experienced losses on this account and management believes the Company is not exposed to significant risks on such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offering costs associated with the Proposed Public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Deferred offering costs consist of legal, accounting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complies with accounting and disclosure requirements of ASC Topic 260, “Earnings Per Share.” Net loss per share is computed by dividing net loss by the weighted average number of shares of common stock outstanding during the period. Weighted average share were reduced for the effect of an aggregate of 468,750 shares of common stock that are subject to forfeiture if the over-allotment option is not exercised by the underwriters (see Note 7).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spacing w:after="0" w:line="273" w:lineRule="auto"/>
        <w:rPr>
          <w:sz w:val="20"/>
          <w:szCs w:val="20"/>
          <w:color w:val="auto"/>
        </w:rPr>
      </w:pPr>
      <w:r>
        <w:rPr>
          <w:rFonts w:ascii="Arial" w:cs="Arial" w:eastAsia="Arial" w:hAnsi="Arial"/>
          <w:sz w:val="17"/>
          <w:szCs w:val="17"/>
          <w:color w:val="auto"/>
        </w:rPr>
        <w:t>There were no unrecognized tax benefits as of June 30, 2020. 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No amounts were accrued for the payment of interest and penalties at June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was deemed to be de minimis for the period from May 21, 2020 (inception) through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PUBLIC OFFERING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Proposed Public Offering, the Company will offer for sale up to 12,500,000 shares of common stock (or 14,375,000 shares if the underwriter’s option to purchase additional shares is exercised in full) at a purchase price of $10.00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Sponsor agreed to purchase an aggregate of 450,000 Private Placement Shares (or 487,500 Private Placement Shares if the over-allotment option is exercised in full) at a price of $10.00 per Private Placement Share ($4.5 million in the aggregate, or approximately $4.9 million in the aggregate if the over-allotment option is exercised in full) in a private placement that will occur simultaneously with the closing of the Proposed Public Offering.</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portion of the proceeds from the Private Placement Shares will be added to the proceeds from the Proposed Public Offering to be held in the Trust Account.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4, 2020, the Company issued 3,593,750 shares of common stock to the Sponsor (the “Founder Shares”) for an aggregate purchase price of $25,000. The Sponsor has agreed to forfeit up to an aggregate of 468,750 Founder Shares, to the extent that the option to purchase additional shares is not exercised in full by the underwriters. The forfeiture will be adjusted to the extent that the option to purchase additional share is not exercised in full by the underwriters so that the Founder Shares will represent 20% of the Company’s issued and outstanding shares after the Proposed Public Offering. If the Company increases or decreases the size of the Proposed Public Offering, the Company will effect a share capitalization or a share repurchase or redemption or other appropriate mechanism, as applicable, with respect to the shares of common stock prior to the consummation of the Proposed Public Offering in such amount as to maintain the number of Founder Shares at 20% of the Company’s issued and outstanding common stock upon the consummation of the Proposed Public Offering.</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have agreed not to transfer, assign or sell any of their Founder Shares (except to certain permitted transferees) until the earlier of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21, 2020 and June 10, 2020, the Sponsor agreed to loan the Company up to $25,025 and $274,975, respectively, for an aggregate amount of $300,000 to be used for the payment of costs related to the Proposed Public Offering pursuant to a promissory note (each, a “Note” and, collectively, the “Notes”). The Notes are non-interest bearing, unsecured and due on the date the Company consummates the Proposed Public Offering or the date on which the Company determines not to conduct the Proposed Public Offering. The Company intends to repay the Notes from the proceeds of the Proposed Public Offering not being placed in the Trust Account. As of June 30, 2020, the Company has borrowed $25,025 under the Notes.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spacing w:after="0" w:line="293" w:lineRule="auto"/>
        <w:rPr>
          <w:sz w:val="20"/>
          <w:szCs w:val="20"/>
          <w:color w:val="auto"/>
        </w:rPr>
      </w:pPr>
      <w:r>
        <w:rPr>
          <w:rFonts w:ascii="Arial" w:cs="Arial" w:eastAsia="Arial" w:hAnsi="Arial"/>
          <w:sz w:val="16"/>
          <w:szCs w:val="16"/>
          <w:color w:val="auto"/>
        </w:rPr>
        <w:t>In addition, in order to finance transaction costs in connection with a Business Combination, the Initial Stockholders may, but are not obligated to, loan the Company funds, from time to time or at any time, in whatever amount they deem reasonable in their sole discretion (the “Working Capital Loans”).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will not be repaid. Such private placement shares would be identical to the Private Placement Shares. To date, the Company had no borrowings under the Working Capital Loans.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of Common Stock in connection with the Business Combination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Sponsor has entered into an agreement to purchase at least $25,000,000 of the Company’s private shares, representing an aggregate of 2,500,000 shares of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Commencing on the date of the Company’s prospectus, the Company will agree to pay an affiliate of the Sponsor a total of $10,000 per month for office space and certain office and secretarial services. Upon completion of the Initial Business Combination or the Company’s liquidation, the Company will cease paying these monthly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holders of the Founder Shares, Private Placement Shares and shares that may be issued upon conversion of Working Capital Loans will be entitled to registration rights pursuant to a registration rights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grant the underwriters a 45-day option from the date of this prospectus to purchase up to 1,875,000 additional shares at the Proposed Public Offering price less the underwriting discounts and commissions.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underwriters will be entitled to an underwriting discount of $0.20 per share, or $2.5 million in the aggregate (or approximately $2.9 million in the aggregate if the underwriter’s over-allotment option is exercised in full), payable upon the closing of the Proposed Public Offering. In addition, the underwriters will be entitled to a deferred underwriting commission of $0.35 per share, or approximately $4.4 million in the aggregate (or approximately $5.0 million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Common stock </w:t>
      </w:r>
      <w:r>
        <w:rPr>
          <w:rFonts w:ascii="Arial" w:cs="Arial" w:eastAsia="Arial" w:hAnsi="Arial"/>
          <w:sz w:val="17"/>
          <w:szCs w:val="17"/>
          <w:color w:val="auto"/>
        </w:rPr>
        <w:t>—The Company is authorized to issue 5,000,000 shares of common stock, par value $0.0001. The Company’s Amended and Restated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Certificate will provide additional shares in connection with the Proposed Public Offering. Holders of the Company’s common stock are entitled to one vote for each share. On June 4, 2020, the Company issued 3,593,750 shares of common stock, of which up to 468,750 of these shares will be subject to forfeiture by the Sponsor (or its permitted transferees) on a pro rata basis depending on the extent to which the underwriter’s over-allotment option is exercised. As of June 30, 2020, there were 3,593,750 shares of common stock issued or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June 30, 2020, the Company borrowed $18,659 under the Notes.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July 30, 2020, the date the financial statements were available for issuance, require potential adjustment to or disclosure in the financial statements and has concluded that all such events that would require recognition or disclosure have been recognized or disclosed.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$125,000,000</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BCTG Acquisition Corp.</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12,500,000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179705</wp:posOffset>
            </wp:positionV>
            <wp:extent cx="178308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SVB Leerink</w:t>
      </w:r>
    </w:p>
    <w:p>
      <w:pPr>
        <w:spacing w:after="0" w:line="200" w:lineRule="exact"/>
        <w:rPr>
          <w:sz w:val="20"/>
          <w:szCs w:val="20"/>
          <w:color w:val="auto"/>
        </w:rPr>
      </w:pPr>
    </w:p>
    <w:p>
      <w:pPr>
        <w:spacing w:after="0" w:line="21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_________,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1131570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ectPr>
          <w:pgSz w:w="11900" w:h="16838" w:orient="portrait"/>
          <w:cols w:equalWidth="0" w:num="1">
            <w:col w:w="11240"/>
          </w:cols>
          <w:pgMar w:left="320" w:top="904"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Nasdaq listing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Printing and engraving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D&amp;O insurance premiums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615" w:hanging="615"/>
        <w:spacing w:after="0"/>
        <w:tabs>
          <w:tab w:leader="none" w:pos="6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18,659</w:t>
      </w:r>
    </w:p>
    <w:p>
      <w:pPr>
        <w:spacing w:after="0" w:line="46" w:lineRule="exact"/>
        <w:rPr>
          <w:rFonts w:ascii="Arial" w:cs="Arial" w:eastAsia="Arial" w:hAnsi="Arial"/>
          <w:sz w:val="16"/>
          <w:szCs w:val="16"/>
          <w:color w:val="auto"/>
        </w:rPr>
      </w:pPr>
    </w:p>
    <w:p>
      <w:pPr>
        <w:ind w:left="615"/>
        <w:spacing w:after="0"/>
        <w:rPr>
          <w:rFonts w:ascii="Arial" w:cs="Arial" w:eastAsia="Arial" w:hAnsi="Arial"/>
          <w:sz w:val="16"/>
          <w:szCs w:val="16"/>
          <w:color w:val="auto"/>
        </w:rPr>
      </w:pPr>
      <w:r>
        <w:rPr>
          <w:rFonts w:ascii="Arial" w:cs="Arial" w:eastAsia="Arial" w:hAnsi="Arial"/>
          <w:sz w:val="16"/>
          <w:szCs w:val="16"/>
          <w:color w:val="auto"/>
        </w:rPr>
        <w:t>22,063</w:t>
      </w:r>
    </w:p>
    <w:p>
      <w:pPr>
        <w:spacing w:after="0" w:line="32" w:lineRule="exact"/>
        <w:rPr>
          <w:rFonts w:ascii="Arial" w:cs="Arial" w:eastAsia="Arial" w:hAnsi="Arial"/>
          <w:sz w:val="16"/>
          <w:szCs w:val="16"/>
          <w:color w:val="auto"/>
        </w:rPr>
      </w:pPr>
    </w:p>
    <w:p>
      <w:pPr>
        <w:ind w:left="615"/>
        <w:spacing w:after="0"/>
        <w:rPr>
          <w:rFonts w:ascii="Arial" w:cs="Arial" w:eastAsia="Arial" w:hAnsi="Arial"/>
          <w:sz w:val="16"/>
          <w:szCs w:val="16"/>
          <w:color w:val="auto"/>
        </w:rPr>
      </w:pPr>
      <w:r>
        <w:rPr>
          <w:rFonts w:ascii="Arial" w:cs="Arial" w:eastAsia="Arial" w:hAnsi="Arial"/>
          <w:sz w:val="16"/>
          <w:szCs w:val="16"/>
          <w:color w:val="auto"/>
        </w:rPr>
        <w:t>37,500</w:t>
      </w:r>
    </w:p>
    <w:p>
      <w:pPr>
        <w:spacing w:after="0" w:line="32" w:lineRule="exact"/>
        <w:rPr>
          <w:rFonts w:ascii="Arial" w:cs="Arial" w:eastAsia="Arial" w:hAnsi="Arial"/>
          <w:sz w:val="16"/>
          <w:szCs w:val="16"/>
          <w:color w:val="auto"/>
        </w:rPr>
      </w:pPr>
    </w:p>
    <w:p>
      <w:pPr>
        <w:ind w:left="615"/>
        <w:spacing w:after="0"/>
        <w:rPr>
          <w:rFonts w:ascii="Arial" w:cs="Arial" w:eastAsia="Arial" w:hAnsi="Arial"/>
          <w:sz w:val="16"/>
          <w:szCs w:val="16"/>
          <w:color w:val="auto"/>
        </w:rPr>
      </w:pPr>
      <w:r>
        <w:rPr>
          <w:rFonts w:ascii="Arial" w:cs="Arial" w:eastAsia="Arial" w:hAnsi="Arial"/>
          <w:sz w:val="16"/>
          <w:szCs w:val="16"/>
          <w:color w:val="auto"/>
        </w:rPr>
        <w:t>75,000</w:t>
      </w:r>
    </w:p>
    <w:p>
      <w:pPr>
        <w:spacing w:after="0" w:line="32" w:lineRule="exact"/>
        <w:rPr>
          <w:rFonts w:ascii="Arial" w:cs="Arial" w:eastAsia="Arial" w:hAnsi="Arial"/>
          <w:sz w:val="16"/>
          <w:szCs w:val="16"/>
          <w:color w:val="auto"/>
        </w:rPr>
      </w:pPr>
    </w:p>
    <w:p>
      <w:pPr>
        <w:ind w:left="615"/>
        <w:spacing w:after="0"/>
        <w:rPr>
          <w:rFonts w:ascii="Arial" w:cs="Arial" w:eastAsia="Arial" w:hAnsi="Arial"/>
          <w:sz w:val="16"/>
          <w:szCs w:val="16"/>
          <w:color w:val="auto"/>
        </w:rPr>
      </w:pPr>
      <w:r>
        <w:rPr>
          <w:rFonts w:ascii="Arial" w:cs="Arial" w:eastAsia="Arial" w:hAnsi="Arial"/>
          <w:sz w:val="16"/>
          <w:szCs w:val="16"/>
          <w:color w:val="auto"/>
        </w:rPr>
        <w:t>40,000</w:t>
      </w:r>
    </w:p>
    <w:p>
      <w:pPr>
        <w:spacing w:after="0" w:line="32" w:lineRule="exact"/>
        <w:rPr>
          <w:sz w:val="20"/>
          <w:szCs w:val="20"/>
          <w:color w:val="auto"/>
        </w:rPr>
      </w:pPr>
    </w:p>
    <w:p>
      <w:pPr>
        <w:ind w:left="515"/>
        <w:spacing w:after="0"/>
        <w:rPr>
          <w:sz w:val="20"/>
          <w:szCs w:val="20"/>
          <w:color w:val="auto"/>
        </w:rPr>
      </w:pPr>
      <w:r>
        <w:rPr>
          <w:rFonts w:ascii="Arial" w:cs="Arial" w:eastAsia="Arial" w:hAnsi="Arial"/>
          <w:sz w:val="16"/>
          <w:szCs w:val="16"/>
          <w:color w:val="auto"/>
        </w:rPr>
        <w:t>250,000</w:t>
      </w:r>
    </w:p>
    <w:p>
      <w:pPr>
        <w:spacing w:after="0" w:line="32" w:lineRule="exact"/>
        <w:rPr>
          <w:sz w:val="20"/>
          <w:szCs w:val="20"/>
          <w:color w:val="auto"/>
        </w:rPr>
      </w:pPr>
    </w:p>
    <w:p>
      <w:pPr>
        <w:ind w:left="515"/>
        <w:spacing w:after="0"/>
        <w:rPr>
          <w:sz w:val="20"/>
          <w:szCs w:val="20"/>
          <w:color w:val="auto"/>
        </w:rPr>
      </w:pPr>
      <w:r>
        <w:rPr>
          <w:rFonts w:ascii="Arial" w:cs="Arial" w:eastAsia="Arial" w:hAnsi="Arial"/>
          <w:sz w:val="16"/>
          <w:szCs w:val="16"/>
          <w:color w:val="auto"/>
        </w:rPr>
        <w:t>100,000</w:t>
      </w:r>
    </w:p>
    <w:p>
      <w:pPr>
        <w:spacing w:after="0" w:line="32" w:lineRule="exact"/>
        <w:rPr>
          <w:sz w:val="20"/>
          <w:szCs w:val="20"/>
          <w:color w:val="auto"/>
        </w:rPr>
      </w:pPr>
    </w:p>
    <w:p>
      <w:pPr>
        <w:ind w:left="515"/>
        <w:spacing w:after="0"/>
        <w:rPr>
          <w:sz w:val="20"/>
          <w:szCs w:val="20"/>
          <w:color w:val="auto"/>
        </w:rPr>
      </w:pPr>
      <w:r>
        <w:rPr>
          <w:rFonts w:ascii="Arial" w:cs="Arial" w:eastAsia="Arial" w:hAnsi="Arial"/>
          <w:sz w:val="16"/>
          <w:szCs w:val="16"/>
          <w:color w:val="auto"/>
        </w:rPr>
        <w:t>181,778</w:t>
      </w:r>
    </w:p>
    <w:p>
      <w:pPr>
        <w:spacing w:after="0" w:line="85" w:lineRule="exact"/>
        <w:rPr>
          <w:sz w:val="20"/>
          <w:szCs w:val="20"/>
          <w:color w:val="auto"/>
        </w:rPr>
      </w:pPr>
    </w:p>
    <w:p>
      <w:pPr>
        <w:ind w:left="515" w:hanging="515"/>
        <w:spacing w:after="0"/>
        <w:tabs>
          <w:tab w:leader="none" w:pos="5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0294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9305" w:space="720"/>
            <w:col w:w="1215"/>
          </w:cols>
          <w:pgMar w:left="320" w:top="904" w:right="339" w:bottom="1440" w:gutter="0" w:footer="0" w:header="0"/>
          <w:type w:val="continuous"/>
        </w:sectPr>
      </w:pPr>
    </w:p>
    <w:p>
      <w:pPr>
        <w:spacing w:after="0" w:line="5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145 of the Delaware General Corporation Law concerning indemnification of officers, directors, employees and agents is set forth below.</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25" w:lineRule="exact"/>
        <w:rPr>
          <w:sz w:val="20"/>
          <w:szCs w:val="20"/>
          <w:color w:val="auto"/>
        </w:rPr>
      </w:pPr>
    </w:p>
    <w:p>
      <w:pPr>
        <w:jc w:val="both"/>
        <w:ind w:firstLine="440"/>
        <w:spacing w:after="0" w:line="288" w:lineRule="auto"/>
        <w:tabs>
          <w:tab w:leader="none" w:pos="6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68" w:lineRule="exact"/>
        <w:rPr>
          <w:rFonts w:ascii="Arial" w:cs="Arial" w:eastAsia="Arial" w:hAnsi="Arial"/>
          <w:sz w:val="16"/>
          <w:szCs w:val="16"/>
          <w:color w:val="auto"/>
        </w:rPr>
      </w:pPr>
    </w:p>
    <w:p>
      <w:pPr>
        <w:jc w:val="both"/>
        <w:ind w:firstLine="440"/>
        <w:spacing w:after="0" w:line="289" w:lineRule="auto"/>
        <w:tabs>
          <w:tab w:leader="none" w:pos="68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11" w:name="page112"/>
    <w:bookmarkEnd w:id="111"/>
    <w:p>
      <w:pPr>
        <w:jc w:val="both"/>
        <w:ind w:firstLine="440"/>
        <w:spacing w:after="0" w:line="286"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65" w:lineRule="exact"/>
        <w:rPr>
          <w:rFonts w:ascii="Arial" w:cs="Arial" w:eastAsia="Arial" w:hAnsi="Arial"/>
          <w:sz w:val="17"/>
          <w:szCs w:val="17"/>
          <w:color w:val="auto"/>
        </w:rPr>
      </w:pPr>
    </w:p>
    <w:p>
      <w:pPr>
        <w:jc w:val="both"/>
        <w:ind w:firstLine="440"/>
        <w:spacing w:after="0" w:line="254" w:lineRule="auto"/>
        <w:tabs>
          <w:tab w:leader="none" w:pos="68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94" w:lineRule="exact"/>
        <w:rPr>
          <w:rFonts w:ascii="Arial" w:cs="Arial" w:eastAsia="Arial" w:hAnsi="Arial"/>
          <w:sz w:val="18"/>
          <w:szCs w:val="18"/>
          <w:color w:val="auto"/>
        </w:rPr>
      </w:pPr>
    </w:p>
    <w:p>
      <w:pPr>
        <w:jc w:val="both"/>
        <w:ind w:firstLine="440"/>
        <w:spacing w:after="0" w:line="275" w:lineRule="auto"/>
        <w:tabs>
          <w:tab w:leader="none" w:pos="681"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76" w:lineRule="exact"/>
        <w:rPr>
          <w:rFonts w:ascii="Arial" w:cs="Arial" w:eastAsia="Arial" w:hAnsi="Arial"/>
          <w:sz w:val="17"/>
          <w:szCs w:val="17"/>
          <w:color w:val="auto"/>
        </w:rPr>
      </w:pPr>
    </w:p>
    <w:p>
      <w:pPr>
        <w:jc w:val="both"/>
        <w:ind w:firstLine="440"/>
        <w:spacing w:after="0" w:line="291" w:lineRule="auto"/>
        <w:tabs>
          <w:tab w:leader="none" w:pos="663"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66" w:lineRule="exact"/>
        <w:rPr>
          <w:rFonts w:ascii="Arial" w:cs="Arial" w:eastAsia="Arial" w:hAnsi="Arial"/>
          <w:sz w:val="16"/>
          <w:szCs w:val="16"/>
          <w:color w:val="auto"/>
        </w:rPr>
      </w:pPr>
    </w:p>
    <w:p>
      <w:pPr>
        <w:jc w:val="both"/>
        <w:ind w:firstLine="440"/>
        <w:spacing w:after="0" w:line="301" w:lineRule="auto"/>
        <w:tabs>
          <w:tab w:leader="none" w:pos="677"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57" w:lineRule="exact"/>
        <w:rPr>
          <w:rFonts w:ascii="Arial" w:cs="Arial" w:eastAsia="Arial" w:hAnsi="Arial"/>
          <w:sz w:val="16"/>
          <w:szCs w:val="16"/>
          <w:color w:val="auto"/>
        </w:rPr>
      </w:pPr>
    </w:p>
    <w:p>
      <w:pPr>
        <w:jc w:val="both"/>
        <w:ind w:firstLine="440"/>
        <w:spacing w:after="0" w:line="273" w:lineRule="auto"/>
        <w:tabs>
          <w:tab w:leader="none" w:pos="704"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77" w:lineRule="exact"/>
        <w:rPr>
          <w:rFonts w:ascii="Arial" w:cs="Arial" w:eastAsia="Arial" w:hAnsi="Arial"/>
          <w:sz w:val="17"/>
          <w:szCs w:val="17"/>
          <w:color w:val="auto"/>
        </w:rPr>
      </w:pPr>
    </w:p>
    <w:p>
      <w:pPr>
        <w:jc w:val="both"/>
        <w:ind w:firstLine="440"/>
        <w:spacing w:after="0" w:line="273"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440"/>
        <w:spacing w:after="0" w:line="263" w:lineRule="auto"/>
        <w:tabs>
          <w:tab w:leader="none" w:pos="6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83" w:lineRule="exact"/>
        <w:rPr>
          <w:rFonts w:ascii="Arial" w:cs="Arial" w:eastAsia="Arial" w:hAnsi="Arial"/>
          <w:sz w:val="18"/>
          <w:szCs w:val="18"/>
          <w:color w:val="auto"/>
        </w:rPr>
      </w:pPr>
    </w:p>
    <w:p>
      <w:pPr>
        <w:jc w:val="both"/>
        <w:ind w:firstLine="440"/>
        <w:spacing w:after="0" w:line="263" w:lineRule="auto"/>
        <w:tabs>
          <w:tab w:leader="none" w:pos="7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8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81"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6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7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jc w:val="both"/>
        <w:ind w:firstLine="432"/>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8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9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9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left="660" w:hanging="328"/>
        <w:spacing w:after="0" w:line="25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June 4, 2020, BCTG Holdings, LLC, our sponsor, purchased 3,593,750 shares, which we refer to herein as “founder shares” or “insider shares,” for an aggregate purchase price of $25,000. The founder shares include an aggregate of up to 468,750 shares that are subject to forfeiture to the extent that the underwriter’s over-allotment option is not exercised in full or in part. Because these offers and sales were made to a single purchaser in a transaction not involving a public offering, the shares were issued in reliance on the exemption from registration contained in Section 4(a)(2) of the Securities Act.</w:t>
      </w:r>
    </w:p>
    <w:p>
      <w:pPr>
        <w:spacing w:after="0" w:line="187"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sponsor has committed to purchase from us an aggregate of 450,000 shares of our common stock (or 487,500 shares if the underwriter’s over-allotment option is exercised in full), or “private shares,” at $10.00 per private share for a total purchase price of $4,500,000 (or $4,875,000 if the underwriter’s over-allotment option is exercised in full). This purchase will take place on a private placement basis simultaneously with the consummation of this offering. Because this offer and sale is being made to a single purchaser, the sale does not involve a public offering and is being made in reliance on the exemption from registration contained in Section 4(a)(2) of the Securities Act.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auto"/>
            </w:tcBorders>
            <w:shd w:val="clear" w:color="auto" w:fill="CCEEFF"/>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Form of Underwriting Agreement.</w:t>
              </w:r>
            </w:hyperlink>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9880" w:type="dxa"/>
            <w:vAlign w:val="bottom"/>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Certificate of Incorporation.</w:t>
              </w:r>
            </w:hyperlink>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rFonts w:ascii="Arial" w:cs="Arial" w:eastAsia="Arial" w:hAnsi="Arial"/>
                <w:sz w:val="18"/>
                <w:szCs w:val="18"/>
                <w:color w:val="0000EE"/>
              </w:rPr>
            </w:pPr>
            <w:hyperlink w:anchor="page151">
              <w:r>
                <w:rPr>
                  <w:rFonts w:ascii="Arial" w:cs="Arial" w:eastAsia="Arial" w:hAnsi="Arial"/>
                  <w:sz w:val="18"/>
                  <w:szCs w:val="18"/>
                  <w:u w:val="single" w:color="auto"/>
                  <w:color w:val="0000EE"/>
                </w:rPr>
                <w:t>Form of Amended and Restated Certificate of Incorporation</w:t>
              </w:r>
              <w:r>
                <w:rPr>
                  <w:rFonts w:ascii="Arial" w:cs="Arial" w:eastAsia="Arial" w:hAnsi="Arial"/>
                  <w:sz w:val="18"/>
                  <w:szCs w:val="18"/>
                  <w:color w:val="0000EE"/>
                </w:rPr>
                <w:t>.</w:t>
              </w:r>
            </w:hyperlink>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9880" w:type="dxa"/>
            <w:vAlign w:val="bottom"/>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Bylaws.</w:t>
              </w:r>
            </w:hyperlink>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Specimen Common Stock Certificate.</w:t>
              </w:r>
            </w:hyperlink>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9880" w:type="dxa"/>
            <w:vAlign w:val="bottom"/>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Form of Opinion of Loeb &amp; Loeb LLP.</w:t>
              </w:r>
            </w:hyperlink>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Form of Letter Agreement among the Registrant, SVB Leerink LLC and the Registrant’s officers, directors and stockholders.</w:t>
              </w:r>
            </w:hyperlink>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9880" w:type="dxa"/>
            <w:vAlign w:val="bottom"/>
          </w:tcPr>
          <w:p>
            <w:pPr>
              <w:spacing w:after="0"/>
              <w:rPr>
                <w:rFonts w:ascii="Arial" w:cs="Arial" w:eastAsia="Arial" w:hAnsi="Arial"/>
                <w:sz w:val="18"/>
                <w:szCs w:val="18"/>
                <w:u w:val="single" w:color="auto"/>
                <w:color w:val="0000EE"/>
                <w:w w:val="98"/>
              </w:rPr>
            </w:pPr>
            <w:hyperlink w:anchor="page177">
              <w:r>
                <w:rPr>
                  <w:rFonts w:ascii="Arial" w:cs="Arial" w:eastAsia="Arial" w:hAnsi="Arial"/>
                  <w:sz w:val="18"/>
                  <w:szCs w:val="18"/>
                  <w:u w:val="single" w:color="auto"/>
                  <w:color w:val="0000EE"/>
                  <w:w w:val="98"/>
                </w:rPr>
                <w:t>Form of Investment Management Trust Agreement between Continental Stock Transfer &amp; Trust Company and the Registrant.</w:t>
              </w:r>
            </w:hyperlink>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rFonts w:ascii="Arial" w:cs="Arial" w:eastAsia="Arial" w:hAnsi="Arial"/>
                <w:sz w:val="18"/>
                <w:szCs w:val="18"/>
                <w:u w:val="single" w:color="auto"/>
                <w:color w:val="0000EE"/>
                <w:w w:val="98"/>
              </w:rPr>
            </w:pPr>
            <w:hyperlink w:anchor="page190">
              <w:r>
                <w:rPr>
                  <w:rFonts w:ascii="Arial" w:cs="Arial" w:eastAsia="Arial" w:hAnsi="Arial"/>
                  <w:sz w:val="18"/>
                  <w:szCs w:val="18"/>
                  <w:u w:val="single" w:color="auto"/>
                  <w:color w:val="0000EE"/>
                  <w:w w:val="98"/>
                </w:rPr>
                <w:t>Form of Escrow Agreement between the Registrant, Continental Stock Transfer &amp; Trust Company and the Initial Stockholders.</w:t>
              </w:r>
            </w:hyperlink>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9880" w:type="dxa"/>
            <w:vAlign w:val="bottom"/>
          </w:tcPr>
          <w:p>
            <w:pPr>
              <w:spacing w:after="0"/>
              <w:rPr>
                <w:rFonts w:ascii="Arial" w:cs="Arial" w:eastAsia="Arial" w:hAnsi="Arial"/>
                <w:sz w:val="18"/>
                <w:szCs w:val="18"/>
                <w:u w:val="single" w:color="auto"/>
                <w:color w:val="0000EE"/>
                <w:w w:val="91"/>
              </w:rPr>
            </w:pPr>
            <w:hyperlink w:anchor="page198">
              <w:r>
                <w:rPr>
                  <w:rFonts w:ascii="Arial" w:cs="Arial" w:eastAsia="Arial" w:hAnsi="Arial"/>
                  <w:sz w:val="18"/>
                  <w:szCs w:val="18"/>
                  <w:u w:val="single" w:color="auto"/>
                  <w:color w:val="0000EE"/>
                  <w:w w:val="91"/>
                </w:rPr>
                <w:t>Form of Registration Rights Agreement among the Registrant, the Initial Stockholders and Continental Stock Transfer &amp; Trust Company</w:t>
              </w:r>
            </w:hyperlink>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Form of Subscription Agreement between the Registrant and BCTG Holdings, LLC</w:t>
              </w:r>
            </w:hyperlink>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9880" w:type="dxa"/>
            <w:vAlign w:val="bottom"/>
          </w:tcPr>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Form of Administrative Support Agreement</w:t>
              </w:r>
            </w:hyperlink>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Form of Indemnity Agreement</w:t>
              </w:r>
            </w:hyperlink>
          </w:p>
        </w:tc>
      </w:tr>
    </w:tbl>
    <w:p>
      <w:pPr>
        <w:ind w:left="1360" w:hanging="1352"/>
        <w:spacing w:after="0"/>
        <w:tabs>
          <w:tab w:leader="none" w:pos="1360" w:val="left"/>
        </w:tabs>
        <w:numPr>
          <w:ilvl w:val="0"/>
          <w:numId w:val="62"/>
        </w:numPr>
        <w:rPr>
          <w:rFonts w:ascii="Arial" w:cs="Arial" w:eastAsia="Arial" w:hAnsi="Arial"/>
          <w:sz w:val="18"/>
          <w:szCs w:val="18"/>
          <w:u w:val="single" w:color="auto"/>
          <w:color w:val="0000EE"/>
        </w:rPr>
      </w:pPr>
      <w:hyperlink w:anchor="page240">
        <w:r>
          <w:rPr>
            <w:rFonts w:ascii="Arial" w:cs="Arial" w:eastAsia="Arial" w:hAnsi="Arial"/>
            <w:sz w:val="18"/>
            <w:szCs w:val="18"/>
            <w:u w:val="single" w:color="auto"/>
            <w:color w:val="0000EE"/>
          </w:rPr>
          <w:t>Form of Code of Ethics</w:t>
        </w:r>
      </w:hyperlink>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5"/>
              </w:rPr>
              <w:t>23.1</w:t>
            </w:r>
          </w:p>
        </w:tc>
        <w:tc>
          <w:tcPr>
            <w:tcW w:w="10400" w:type="dxa"/>
            <w:vAlign w:val="bottom"/>
            <w:shd w:val="clear" w:color="auto" w:fill="CCEEFF"/>
          </w:tcPr>
          <w:p>
            <w:pPr>
              <w:ind w:left="520"/>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Consent of WithumSmith+Brown, PC</w:t>
              </w:r>
            </w:hyperlink>
          </w:p>
        </w:tc>
      </w:tr>
      <w:tr>
        <w:trPr>
          <w:trHeight w:val="218"/>
        </w:trPr>
        <w:tc>
          <w:tcPr>
            <w:tcW w:w="840" w:type="dxa"/>
            <w:vAlign w:val="bottom"/>
          </w:tcPr>
          <w:p>
            <w:pPr>
              <w:jc w:val="right"/>
              <w:ind w:right="430"/>
              <w:spacing w:after="0"/>
              <w:rPr>
                <w:sz w:val="20"/>
                <w:szCs w:val="20"/>
                <w:color w:val="auto"/>
              </w:rPr>
            </w:pPr>
            <w:r>
              <w:rPr>
                <w:rFonts w:ascii="Arial" w:cs="Arial" w:eastAsia="Arial" w:hAnsi="Arial"/>
                <w:sz w:val="18"/>
                <w:szCs w:val="18"/>
                <w:color w:val="auto"/>
                <w:w w:val="85"/>
              </w:rPr>
              <w:t>23.2</w:t>
            </w:r>
          </w:p>
        </w:tc>
        <w:tc>
          <w:tcPr>
            <w:tcW w:w="10400" w:type="dxa"/>
            <w:vAlign w:val="bottom"/>
          </w:tcPr>
          <w:p>
            <w:pPr>
              <w:ind w:left="52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Consent of Loeb &amp; Loeb LLP (included in Exhibit 5.1).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360" w:hanging="1352"/>
        <w:spacing w:after="0"/>
        <w:tabs>
          <w:tab w:leader="none" w:pos="1360" w:val="left"/>
        </w:tabs>
        <w:numPr>
          <w:ilvl w:val="0"/>
          <w:numId w:val="63"/>
        </w:numPr>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Power of Attorney (included on the signature page of the original filing hereof).</w:t>
        </w:r>
      </w:hyperlink>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430"/>
              <w:spacing w:after="0"/>
              <w:rPr>
                <w:sz w:val="20"/>
                <w:szCs w:val="20"/>
                <w:color w:val="auto"/>
              </w:rPr>
            </w:pPr>
            <w:r>
              <w:rPr>
                <w:rFonts w:ascii="Arial" w:cs="Arial" w:eastAsia="Arial" w:hAnsi="Arial"/>
                <w:sz w:val="18"/>
                <w:szCs w:val="18"/>
                <w:color w:val="auto"/>
                <w:w w:val="85"/>
              </w:rPr>
              <w:t>99.1</w:t>
            </w:r>
          </w:p>
        </w:tc>
        <w:tc>
          <w:tcPr>
            <w:tcW w:w="10400" w:type="dxa"/>
            <w:vAlign w:val="bottom"/>
          </w:tcPr>
          <w:p>
            <w:pPr>
              <w:ind w:left="520"/>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Form of Audit Committee Charter</w:t>
              </w:r>
            </w:hyperlink>
          </w:p>
        </w:tc>
      </w:tr>
      <w:tr>
        <w:trPr>
          <w:trHeight w:val="216"/>
        </w:trPr>
        <w:tc>
          <w:tcPr>
            <w:tcW w:w="8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5"/>
              </w:rPr>
              <w:t>99.2</w:t>
            </w:r>
          </w:p>
        </w:tc>
        <w:tc>
          <w:tcPr>
            <w:tcW w:w="10400" w:type="dxa"/>
            <w:vAlign w:val="bottom"/>
            <w:shd w:val="clear" w:color="auto" w:fill="CCEEFF"/>
          </w:tcPr>
          <w:p>
            <w:pPr>
              <w:ind w:left="520"/>
              <w:spacing w:after="0"/>
              <w:rPr>
                <w:rFonts w:ascii="Arial" w:cs="Arial" w:eastAsia="Arial" w:hAnsi="Arial"/>
                <w:sz w:val="18"/>
                <w:szCs w:val="18"/>
                <w:u w:val="single" w:color="auto"/>
                <w:color w:val="0000EE"/>
              </w:rPr>
            </w:pPr>
            <w:hyperlink w:anchor="page251">
              <w:r>
                <w:rPr>
                  <w:rFonts w:ascii="Arial" w:cs="Arial" w:eastAsia="Arial" w:hAnsi="Arial"/>
                  <w:sz w:val="18"/>
                  <w:szCs w:val="18"/>
                  <w:u w:val="single" w:color="auto"/>
                  <w:color w:val="0000EE"/>
                </w:rPr>
                <w:t>Form of Compensation Committee Charter</w:t>
              </w:r>
            </w:hyperlink>
          </w:p>
        </w:tc>
      </w:tr>
      <w:tr>
        <w:trPr>
          <w:trHeight w:val="216"/>
        </w:trPr>
        <w:tc>
          <w:tcPr>
            <w:tcW w:w="840" w:type="dxa"/>
            <w:vAlign w:val="bottom"/>
          </w:tcPr>
          <w:p>
            <w:pPr>
              <w:jc w:val="right"/>
              <w:ind w:right="430"/>
              <w:spacing w:after="0"/>
              <w:rPr>
                <w:sz w:val="20"/>
                <w:szCs w:val="20"/>
                <w:color w:val="auto"/>
              </w:rPr>
            </w:pPr>
            <w:r>
              <w:rPr>
                <w:rFonts w:ascii="Arial" w:cs="Arial" w:eastAsia="Arial" w:hAnsi="Arial"/>
                <w:sz w:val="18"/>
                <w:szCs w:val="18"/>
                <w:color w:val="auto"/>
                <w:w w:val="85"/>
              </w:rPr>
              <w:t>99.3</w:t>
            </w:r>
          </w:p>
        </w:tc>
        <w:tc>
          <w:tcPr>
            <w:tcW w:w="10400" w:type="dxa"/>
            <w:vAlign w:val="bottom"/>
          </w:tcPr>
          <w:p>
            <w:pPr>
              <w:ind w:left="520"/>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Consent of Carole L. Nuechterlein</w:t>
              </w:r>
            </w:hyperlink>
          </w:p>
        </w:tc>
      </w:tr>
      <w:tr>
        <w:trPr>
          <w:trHeight w:val="216"/>
        </w:trPr>
        <w:tc>
          <w:tcPr>
            <w:tcW w:w="8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5"/>
              </w:rPr>
              <w:t>99.4</w:t>
            </w:r>
          </w:p>
        </w:tc>
        <w:tc>
          <w:tcPr>
            <w:tcW w:w="10400" w:type="dxa"/>
            <w:vAlign w:val="bottom"/>
            <w:shd w:val="clear" w:color="auto" w:fill="CCEEFF"/>
          </w:tcPr>
          <w:p>
            <w:pPr>
              <w:ind w:left="520"/>
              <w:spacing w:after="0"/>
              <w:rPr>
                <w:rFonts w:ascii="Arial" w:cs="Arial" w:eastAsia="Arial" w:hAnsi="Arial"/>
                <w:sz w:val="18"/>
                <w:szCs w:val="18"/>
                <w:u w:val="single" w:color="auto"/>
                <w:color w:val="0000EE"/>
              </w:rPr>
            </w:pPr>
            <w:hyperlink w:anchor="page256">
              <w:r>
                <w:rPr>
                  <w:rFonts w:ascii="Arial" w:cs="Arial" w:eastAsia="Arial" w:hAnsi="Arial"/>
                  <w:sz w:val="18"/>
                  <w:szCs w:val="18"/>
                  <w:u w:val="single" w:color="auto"/>
                  <w:color w:val="0000EE"/>
                </w:rPr>
                <w:t>Consent of Richard Heyman</w:t>
              </w:r>
            </w:hyperlink>
          </w:p>
        </w:tc>
      </w:tr>
      <w:tr>
        <w:trPr>
          <w:trHeight w:val="216"/>
        </w:trPr>
        <w:tc>
          <w:tcPr>
            <w:tcW w:w="840" w:type="dxa"/>
            <w:vAlign w:val="bottom"/>
          </w:tcPr>
          <w:p>
            <w:pPr>
              <w:jc w:val="right"/>
              <w:ind w:right="430"/>
              <w:spacing w:after="0"/>
              <w:rPr>
                <w:sz w:val="20"/>
                <w:szCs w:val="20"/>
                <w:color w:val="auto"/>
              </w:rPr>
            </w:pPr>
            <w:r>
              <w:rPr>
                <w:rFonts w:ascii="Arial" w:cs="Arial" w:eastAsia="Arial" w:hAnsi="Arial"/>
                <w:sz w:val="18"/>
                <w:szCs w:val="18"/>
                <w:color w:val="auto"/>
                <w:w w:val="85"/>
              </w:rPr>
              <w:t>99.5</w:t>
            </w:r>
          </w:p>
        </w:tc>
        <w:tc>
          <w:tcPr>
            <w:tcW w:w="10400" w:type="dxa"/>
            <w:vAlign w:val="bottom"/>
          </w:tcPr>
          <w:p>
            <w:pPr>
              <w:ind w:left="520"/>
              <w:spacing w:after="0"/>
              <w:rPr>
                <w:rFonts w:ascii="Arial" w:cs="Arial" w:eastAsia="Arial" w:hAnsi="Arial"/>
                <w:sz w:val="18"/>
                <w:szCs w:val="18"/>
                <w:u w:val="single" w:color="auto"/>
                <w:color w:val="0000EE"/>
              </w:rPr>
            </w:pPr>
            <w:hyperlink w:anchor="page257">
              <w:r>
                <w:rPr>
                  <w:rFonts w:ascii="Arial" w:cs="Arial" w:eastAsia="Arial" w:hAnsi="Arial"/>
                  <w:sz w:val="18"/>
                  <w:szCs w:val="18"/>
                  <w:u w:val="single" w:color="auto"/>
                  <w:color w:val="0000EE"/>
                </w:rPr>
                <w:t>Consent of Charles M. Baum</w:t>
              </w:r>
            </w:hyperlink>
          </w:p>
        </w:tc>
      </w:tr>
      <w:tr>
        <w:trPr>
          <w:trHeight w:val="216"/>
        </w:trPr>
        <w:tc>
          <w:tcPr>
            <w:tcW w:w="8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5"/>
              </w:rPr>
              <w:t>99.6</w:t>
            </w:r>
          </w:p>
        </w:tc>
        <w:tc>
          <w:tcPr>
            <w:tcW w:w="10400" w:type="dxa"/>
            <w:vAlign w:val="bottom"/>
            <w:shd w:val="clear" w:color="auto" w:fill="CCEEFF"/>
          </w:tcPr>
          <w:p>
            <w:pPr>
              <w:ind w:left="520"/>
              <w:spacing w:after="0"/>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Consent of Jamie G. Christensen</w:t>
              </w:r>
            </w:hyperlink>
          </w:p>
        </w:tc>
      </w:tr>
    </w:tbl>
    <w:p>
      <w:pPr>
        <w:spacing w:after="0" w:line="202"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660" w:hanging="328"/>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46"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firstLine="656"/>
        <w:spacing w:after="0" w:line="291" w:lineRule="auto"/>
        <w:tabs>
          <w:tab w:leader="none" w:pos="925" w:val="left"/>
        </w:tabs>
        <w:numPr>
          <w:ilvl w:val="1"/>
          <w:numId w:val="66"/>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6" w:lineRule="exact"/>
        <w:rPr>
          <w:rFonts w:ascii="Arial" w:cs="Arial" w:eastAsia="Arial" w:hAnsi="Arial"/>
          <w:sz w:val="16"/>
          <w:szCs w:val="16"/>
          <w:color w:val="auto"/>
        </w:rPr>
      </w:pPr>
    </w:p>
    <w:p>
      <w:pPr>
        <w:jc w:val="both"/>
        <w:ind w:firstLine="656"/>
        <w:spacing w:after="0" w:line="257" w:lineRule="auto"/>
        <w:tabs>
          <w:tab w:leader="none" w:pos="927" w:val="left"/>
        </w:tabs>
        <w:numPr>
          <w:ilvl w:val="1"/>
          <w:numId w:val="66"/>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1520" w:hanging="216"/>
        <w:spacing w:after="0"/>
        <w:tabs>
          <w:tab w:leader="none" w:pos="1520" w:val="left"/>
        </w:tabs>
        <w:numPr>
          <w:ilvl w:val="2"/>
          <w:numId w:val="6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424;</w:t>
      </w:r>
    </w:p>
    <w:p>
      <w:pPr>
        <w:spacing w:after="0" w:line="210" w:lineRule="exact"/>
        <w:rPr>
          <w:rFonts w:ascii="Arial" w:cs="Arial" w:eastAsia="Arial" w:hAnsi="Arial"/>
          <w:sz w:val="16"/>
          <w:szCs w:val="16"/>
          <w:color w:val="auto"/>
        </w:rPr>
      </w:pPr>
    </w:p>
    <w:p>
      <w:pPr>
        <w:ind w:firstLine="1304"/>
        <w:spacing w:after="0" w:line="277" w:lineRule="auto"/>
        <w:tabs>
          <w:tab w:leader="none" w:pos="1554" w:val="left"/>
        </w:tabs>
        <w:numPr>
          <w:ilvl w:val="2"/>
          <w:numId w:val="6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170" w:lineRule="exact"/>
        <w:rPr>
          <w:rFonts w:ascii="Arial" w:cs="Arial" w:eastAsia="Arial" w:hAnsi="Arial"/>
          <w:sz w:val="18"/>
          <w:szCs w:val="18"/>
          <w:color w:val="auto"/>
        </w:rPr>
      </w:pPr>
    </w:p>
    <w:p>
      <w:pPr>
        <w:ind w:firstLine="1304"/>
        <w:spacing w:after="0" w:line="277" w:lineRule="auto"/>
        <w:tabs>
          <w:tab w:leader="none" w:pos="1637"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2"/>
          <w:numId w:val="6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firstLine="656"/>
        <w:spacing w:after="0" w:line="286" w:lineRule="auto"/>
        <w:tabs>
          <w:tab w:leader="none" w:pos="904" w:val="left"/>
        </w:tabs>
        <w:numPr>
          <w:ilvl w:val="1"/>
          <w:numId w:val="6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right="20" w:firstLine="656"/>
        <w:spacing w:after="0" w:line="263" w:lineRule="auto"/>
        <w:tabs>
          <w:tab w:leader="none" w:pos="9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on the 31st day of August, 2020.</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BCTG ACQUISITION CORP.</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Aaron I. Davis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472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53"/>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August 31,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Aaron I. Davis</w:t>
            </w:r>
          </w:p>
        </w:tc>
        <w:tc>
          <w:tcPr>
            <w:tcW w:w="120" w:type="dxa"/>
            <w:vAlign w:val="bottom"/>
          </w:tcPr>
          <w:p>
            <w:pPr>
              <w:spacing w:after="0"/>
              <w:rPr>
                <w:sz w:val="20"/>
                <w:szCs w:val="20"/>
                <w:color w:val="auto"/>
              </w:rPr>
            </w:pPr>
          </w:p>
        </w:tc>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 and Director</w:t>
            </w:r>
          </w:p>
        </w:tc>
        <w:tc>
          <w:tcPr>
            <w:tcW w:w="180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Beauchamp</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August 31,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Michael Beauchamp</w:t>
            </w:r>
          </w:p>
        </w:tc>
        <w:tc>
          <w:tcPr>
            <w:tcW w:w="120" w:type="dxa"/>
            <w:vAlign w:val="bottom"/>
          </w:tcPr>
          <w:p>
            <w:pPr>
              <w:spacing w:after="0"/>
              <w:rPr>
                <w:sz w:val="20"/>
                <w:szCs w:val="20"/>
                <w:color w:val="auto"/>
              </w:rPr>
            </w:pPr>
          </w:p>
        </w:tc>
        <w:tc>
          <w:tcPr>
            <w:tcW w:w="4820" w:type="dxa"/>
            <w:vAlign w:val="bottom"/>
            <w:gridSpan w:val="2"/>
          </w:tcPr>
          <w:p>
            <w:pPr>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180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Fuglesang</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August 31, 2020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Christopher Fuglesang</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641"/>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II-7</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12,500,000 Shares of Common Stock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BCTG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ind w:left="9980"/>
        <w:spacing w:after="0"/>
        <w:rPr>
          <w:sz w:val="20"/>
          <w:szCs w:val="20"/>
          <w:color w:val="auto"/>
        </w:rPr>
      </w:pPr>
      <w:r>
        <w:rPr>
          <w:rFonts w:ascii="Arial" w:cs="Arial" w:eastAsia="Arial" w:hAnsi="Arial"/>
          <w:sz w:val="17"/>
          <w:szCs w:val="17"/>
          <w:color w:val="auto"/>
        </w:rPr>
        <w:t>August [  ],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Introductory</w:t>
      </w:r>
      <w:r>
        <w:rPr>
          <w:rFonts w:ascii="Arial" w:cs="Arial" w:eastAsia="Arial" w:hAnsi="Arial"/>
          <w:sz w:val="18"/>
          <w:szCs w:val="18"/>
          <w:color w:val="auto"/>
        </w:rPr>
        <w:t>: The undersigned, BCTG Acquisition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confirms its agreement with SVB Leerink</w:t>
      </w:r>
      <w:r>
        <w:rPr>
          <w:rFonts w:ascii="Arial" w:cs="Arial" w:eastAsia="Arial" w:hAnsi="Arial"/>
          <w:sz w:val="18"/>
          <w:szCs w:val="18"/>
          <w:b w:val="1"/>
          <w:bCs w:val="1"/>
          <w:color w:val="auto"/>
        </w:rPr>
        <w:t xml:space="preserve"> </w:t>
      </w:r>
      <w:r>
        <w:rPr>
          <w:rFonts w:ascii="Arial" w:cs="Arial" w:eastAsia="Arial" w:hAnsi="Arial"/>
          <w:sz w:val="18"/>
          <w:szCs w:val="18"/>
          <w:color w:val="auto"/>
        </w:rPr>
        <w:t>LLC (“</w:t>
      </w:r>
      <w:r>
        <w:rPr>
          <w:rFonts w:ascii="Arial" w:cs="Arial" w:eastAsia="Arial" w:hAnsi="Arial"/>
          <w:sz w:val="18"/>
          <w:szCs w:val="18"/>
          <w:b w:val="1"/>
          <w:bCs w:val="1"/>
          <w:color w:val="auto"/>
        </w:rPr>
        <w:t>SVB Leerink</w:t>
      </w:r>
      <w:r>
        <w:rPr>
          <w:rFonts w:ascii="Arial" w:cs="Arial" w:eastAsia="Arial" w:hAnsi="Arial"/>
          <w:sz w:val="18"/>
          <w:szCs w:val="18"/>
          <w:color w:val="auto"/>
        </w:rPr>
        <w:t>”) (hereinafter referred to as “</w:t>
      </w:r>
      <w:r>
        <w:rPr>
          <w:rFonts w:ascii="Arial" w:cs="Arial" w:eastAsia="Arial" w:hAnsi="Arial"/>
          <w:sz w:val="18"/>
          <w:szCs w:val="18"/>
          <w:b w:val="1"/>
          <w:bCs w:val="1"/>
          <w:color w:val="auto"/>
        </w:rPr>
        <w:t>you</w:t>
      </w:r>
      <w:r>
        <w:rPr>
          <w:rFonts w:ascii="Arial" w:cs="Arial" w:eastAsia="Arial" w:hAnsi="Arial"/>
          <w:sz w:val="18"/>
          <w:szCs w:val="18"/>
          <w:color w:val="auto"/>
        </w:rPr>
        <w:t>”, “</w:t>
      </w:r>
      <w:r>
        <w:rPr>
          <w:rFonts w:ascii="Arial" w:cs="Arial" w:eastAsia="Arial" w:hAnsi="Arial"/>
          <w:sz w:val="18"/>
          <w:szCs w:val="18"/>
          <w:b w:val="1"/>
          <w:bCs w:val="1"/>
          <w:color w:val="auto"/>
        </w:rPr>
        <w:t>SVB Leerink</w:t>
      </w:r>
      <w:r>
        <w:rPr>
          <w:rFonts w:ascii="Arial" w:cs="Arial" w:eastAsia="Arial" w:hAnsi="Arial"/>
          <w:sz w:val="18"/>
          <w:szCs w:val="18"/>
          <w:color w:val="auto"/>
        </w:rPr>
        <w:t>”, “</w:t>
      </w:r>
      <w:r>
        <w:rPr>
          <w:rFonts w:ascii="Arial" w:cs="Arial" w:eastAsia="Arial" w:hAnsi="Arial"/>
          <w:sz w:val="18"/>
          <w:szCs w:val="18"/>
          <w:b w:val="1"/>
          <w:bCs w:val="1"/>
          <w:color w:val="auto"/>
        </w:rPr>
        <w:t>Representative</w:t>
      </w:r>
      <w:r>
        <w:rPr>
          <w:rFonts w:ascii="Arial" w:cs="Arial" w:eastAsia="Arial" w:hAnsi="Arial"/>
          <w:sz w:val="18"/>
          <w:szCs w:val="18"/>
          <w:color w:val="auto"/>
        </w:rPr>
        <w:t>”) or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162"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Purchase and Sale of Securities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540" w:hanging="236"/>
        <w:spacing w:after="0"/>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Firm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3" w:lineRule="auto"/>
        <w:tabs>
          <w:tab w:leader="none" w:pos="2159" w:val="left"/>
        </w:tabs>
        <w:numPr>
          <w:ilvl w:val="2"/>
          <w:numId w:val="67"/>
        </w:numPr>
        <w:rPr>
          <w:rFonts w:ascii="Arial" w:cs="Arial" w:eastAsia="Arial" w:hAnsi="Arial"/>
          <w:sz w:val="18"/>
          <w:szCs w:val="18"/>
          <w:color w:val="auto"/>
        </w:rPr>
      </w:pPr>
      <w:r>
        <w:rPr>
          <w:rFonts w:ascii="Arial" w:cs="Arial" w:eastAsia="Arial" w:hAnsi="Arial"/>
          <w:sz w:val="18"/>
          <w:szCs w:val="18"/>
          <w:i w:val="1"/>
          <w:iCs w:val="1"/>
          <w:color w:val="auto"/>
        </w:rPr>
        <w:t>Purchase of Firm Securities</w:t>
      </w:r>
      <w:r>
        <w:rPr>
          <w:rFonts w:ascii="Arial" w:cs="Arial" w:eastAsia="Arial" w:hAnsi="Arial"/>
          <w:sz w:val="18"/>
          <w:szCs w:val="18"/>
          <w:color w:val="auto"/>
        </w:rPr>
        <w:t>. On the basis of the representations and warranties herein contained, but subject to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herein set forth, the Company agrees to issue and sell, severally and not jointly, to you an aggregate of 12,500,000 shares (the “</w:t>
      </w:r>
      <w:r>
        <w:rPr>
          <w:rFonts w:ascii="Arial" w:cs="Arial" w:eastAsia="Arial" w:hAnsi="Arial"/>
          <w:sz w:val="18"/>
          <w:szCs w:val="18"/>
          <w:b w:val="1"/>
          <w:bCs w:val="1"/>
          <w:color w:val="auto"/>
        </w:rPr>
        <w:t>Firm</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of the Company’s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at a purchase price (net of discounts and commissions,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Deferred Underwriting Commission described below) of $9.45 per Firm Security. The Underwriter agrees to purchase from the Company the number of Firm Securities at a purchase price (net of discounts and commissions, including the Deferred Underwriting Commission described below) of $9.45 per Firm Security. The Firm Securities (and the Option Securities (as hereinafter defined), if any) are to be offered initially to the public (the “</w:t>
      </w:r>
      <w:r>
        <w:rPr>
          <w:rFonts w:ascii="Arial" w:cs="Arial" w:eastAsia="Arial" w:hAnsi="Arial"/>
          <w:sz w:val="18"/>
          <w:szCs w:val="18"/>
          <w:b w:val="1"/>
          <w:bCs w:val="1"/>
          <w:color w:val="auto"/>
        </w:rPr>
        <w:t>Offering</w:t>
      </w:r>
      <w:r>
        <w:rPr>
          <w:rFonts w:ascii="Arial" w:cs="Arial" w:eastAsia="Arial" w:hAnsi="Arial"/>
          <w:sz w:val="18"/>
          <w:szCs w:val="18"/>
          <w:color w:val="auto"/>
        </w:rPr>
        <w:t>”) at the offering price of $10.00 per Firm Security. As used herein, the term “</w:t>
      </w:r>
      <w:r>
        <w:rPr>
          <w:rFonts w:ascii="Arial" w:cs="Arial" w:eastAsia="Arial" w:hAnsi="Arial"/>
          <w:sz w:val="18"/>
          <w:szCs w:val="18"/>
          <w:b w:val="1"/>
          <w:bCs w:val="1"/>
          <w:color w:val="auto"/>
        </w:rPr>
        <w:t>Business Combination</w:t>
      </w:r>
      <w:r>
        <w:rPr>
          <w:rFonts w:ascii="Arial" w:cs="Arial" w:eastAsia="Arial" w:hAnsi="Arial"/>
          <w:sz w:val="18"/>
          <w:szCs w:val="18"/>
          <w:color w:val="auto"/>
        </w:rPr>
        <w:t>” (as more fully described in the Registration Statement) shall mean any acquisition by share exchange, share reconstruction and amalgamation with, purchasing all or substantially all of the assets of, entering into contractual arrangements with, or engaging in any other similar business combination with one or more businesses or entities by the Company.</w:t>
      </w:r>
    </w:p>
    <w:p>
      <w:pPr>
        <w:spacing w:after="0" w:line="194" w:lineRule="exact"/>
        <w:rPr>
          <w:rFonts w:ascii="Arial" w:cs="Arial" w:eastAsia="Arial" w:hAnsi="Arial"/>
          <w:sz w:val="18"/>
          <w:szCs w:val="18"/>
          <w:color w:val="auto"/>
        </w:rPr>
      </w:pPr>
    </w:p>
    <w:p>
      <w:pPr>
        <w:jc w:val="both"/>
        <w:ind w:firstLine="1952"/>
        <w:spacing w:after="0" w:line="282" w:lineRule="auto"/>
        <w:tabs>
          <w:tab w:leader="none" w:pos="2209" w:val="left"/>
        </w:tabs>
        <w:numPr>
          <w:ilvl w:val="2"/>
          <w:numId w:val="67"/>
        </w:numPr>
        <w:rPr>
          <w:rFonts w:ascii="Arial" w:cs="Arial" w:eastAsia="Arial" w:hAnsi="Arial"/>
          <w:sz w:val="16"/>
          <w:szCs w:val="16"/>
          <w:color w:val="auto"/>
        </w:rPr>
      </w:pPr>
      <w:r>
        <w:rPr>
          <w:rFonts w:ascii="Arial" w:cs="Arial" w:eastAsia="Arial" w:hAnsi="Arial"/>
          <w:sz w:val="16"/>
          <w:szCs w:val="16"/>
          <w:i w:val="1"/>
          <w:iCs w:val="1"/>
          <w:color w:val="auto"/>
        </w:rPr>
        <w:t>Payment and Delivery</w:t>
      </w:r>
      <w:r>
        <w:rPr>
          <w:rFonts w:ascii="Arial" w:cs="Arial" w:eastAsia="Arial" w:hAnsi="Arial"/>
          <w:sz w:val="16"/>
          <w:szCs w:val="16"/>
          <w:color w:val="auto"/>
        </w:rPr>
        <w:t>. Delivery and payment for the Firm Securities shall be made at 10:00 A.M., New York time,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(2nd) Business Day (as defined below) following the Effective Date of the Registration Statement (or the third (3rd) Business Day following the Effective Date, if the Registration Statement is declared effective on or after 4:00 p.m. New York time) or at such earlier time as shall be agreed upon by the Representative and the Company at the offices of the Representative or at such other place as shall be agreed upon by the Representative and the Company. The closing of the public offering contemplated by this Agreement is referred to herein as the “</w:t>
      </w:r>
      <w:r>
        <w:rPr>
          <w:rFonts w:ascii="Arial" w:cs="Arial" w:eastAsia="Arial" w:hAnsi="Arial"/>
          <w:sz w:val="16"/>
          <w:szCs w:val="16"/>
          <w:b w:val="1"/>
          <w:bCs w:val="1"/>
          <w:color w:val="auto"/>
        </w:rPr>
        <w:t>Closing</w:t>
      </w:r>
      <w:r>
        <w:rPr>
          <w:rFonts w:ascii="Arial" w:cs="Arial" w:eastAsia="Arial" w:hAnsi="Arial"/>
          <w:sz w:val="16"/>
          <w:szCs w:val="16"/>
          <w:color w:val="auto"/>
        </w:rPr>
        <w:t>” and the hour and date of delivery and payment for the Firm Securities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 Payment for the Firm Securities shall be made on the Closing Date at the Representative’s election by wire transfer in Federal (same day) funds or by certified or bank cashier’s check(s) in New York Clearing House funds. $125,000,000 ($143,750,000 if the Over-allotment Option is exercised in full), or $10.00 per Firm Security and Option Security, of the proceeds received by the Company for the Firm Securities and from the Private Placement shall be deposited in the trust account established by the Company for the benefit of the public shareholders as described in the Registration Statement (the “</w:t>
      </w:r>
      <w:r>
        <w:rPr>
          <w:rFonts w:ascii="Arial" w:cs="Arial" w:eastAsia="Arial" w:hAnsi="Arial"/>
          <w:sz w:val="16"/>
          <w:szCs w:val="16"/>
          <w:b w:val="1"/>
          <w:bCs w:val="1"/>
          <w:color w:val="auto"/>
        </w:rPr>
        <w:t>Trust Account</w:t>
      </w:r>
      <w:r>
        <w:rPr>
          <w:rFonts w:ascii="Arial" w:cs="Arial" w:eastAsia="Arial" w:hAnsi="Arial"/>
          <w:sz w:val="16"/>
          <w:szCs w:val="16"/>
          <w:color w:val="auto"/>
        </w:rPr>
        <w:t>”) pursuant to the terms of an Investment Management Trust Agreement (the “</w:t>
      </w:r>
      <w:r>
        <w:rPr>
          <w:rFonts w:ascii="Arial" w:cs="Arial" w:eastAsia="Arial" w:hAnsi="Arial"/>
          <w:sz w:val="16"/>
          <w:szCs w:val="16"/>
          <w:b w:val="1"/>
          <w:bCs w:val="1"/>
          <w:color w:val="auto"/>
        </w:rPr>
        <w:t>Trust Agreement</w:t>
      </w:r>
      <w:r>
        <w:rPr>
          <w:rFonts w:ascii="Arial" w:cs="Arial" w:eastAsia="Arial" w:hAnsi="Arial"/>
          <w:sz w:val="16"/>
          <w:szCs w:val="16"/>
          <w:color w:val="auto"/>
        </w:rPr>
        <w:t>”) by and between the Company and Continental Stock Transfer &amp; Trust Company. Such amount includes an aggregate of up to $4,375,000 (or up to $5,031,250 if the Over-allotment Option is exercised in full), or $0.35 per Firm Security and Option Security, payable to SVB Leerink LLC as a Deferred Underwriting Commission in accordance with, and subject to adjustment pursuant to, this Agreement, to be placed by the Underwriter in the Trust Account. The proceeds (less commissions, expense allowance and actual expense payments or other fees payable pursuant to this Agreement) shall be paid to the order of the Company upon delivery to the Representative of certificates (in form and substance satisfactory to the Underwriter) representing the Firm Securities (or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for the account of the Underwriter. The Firm Securities shall be registered in such name or names and in such authorized denominations as the Representative may request in writing at least two</w:t>
      </w:r>
    </w:p>
    <w:p>
      <w:pPr>
        <w:spacing w:after="0" w:line="11"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(2) Business Days prior to the Closing Date. The Company will permit the Representative to examine and package the Firm Securities for delivery, at least one (1) full Business Day prior to the Closing Date. The Company shall not be obligated to sell or deliver the Firm Securities except upon tender of payment by the Representative for all the Firm Securities. As used herein, the term “</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Sunday or any day on which national banks in New York, New York are not open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ind w:left="1560" w:hanging="256"/>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Over-Allotment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93" w:lineRule="auto"/>
        <w:tabs>
          <w:tab w:leader="none" w:pos="2159"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Option Securities</w:t>
      </w:r>
      <w:r>
        <w:rPr>
          <w:rFonts w:ascii="Arial" w:cs="Arial" w:eastAsia="Arial" w:hAnsi="Arial"/>
          <w:sz w:val="16"/>
          <w:szCs w:val="16"/>
          <w:color w:val="auto"/>
        </w:rPr>
        <w:t>. For the purpose of covering any over-allotments in connection with the distribution and sale of the Firm</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the Underwriter are hereby granted, severally and not jointly, an option to purchase up to an additional 1,875,000 shares of Common Stock from the Company (the “</w:t>
      </w:r>
      <w:r>
        <w:rPr>
          <w:rFonts w:ascii="Arial" w:cs="Arial" w:eastAsia="Arial" w:hAnsi="Arial"/>
          <w:sz w:val="16"/>
          <w:szCs w:val="16"/>
          <w:b w:val="1"/>
          <w:bCs w:val="1"/>
          <w:color w:val="auto"/>
        </w:rPr>
        <w:t>Over-allotment Option</w:t>
      </w:r>
      <w:r>
        <w:rPr>
          <w:rFonts w:ascii="Arial" w:cs="Arial" w:eastAsia="Arial" w:hAnsi="Arial"/>
          <w:sz w:val="16"/>
          <w:szCs w:val="16"/>
          <w:color w:val="auto"/>
        </w:rPr>
        <w:t>”). Such additional 1,875,000 shares shall be identical in all respects to the Firm Securities and are hereinafter referred to as “</w:t>
      </w:r>
      <w:r>
        <w:rPr>
          <w:rFonts w:ascii="Arial" w:cs="Arial" w:eastAsia="Arial" w:hAnsi="Arial"/>
          <w:sz w:val="16"/>
          <w:szCs w:val="16"/>
          <w:b w:val="1"/>
          <w:bCs w:val="1"/>
          <w:color w:val="auto"/>
        </w:rPr>
        <w:t>Option Securities</w:t>
      </w:r>
      <w:r>
        <w:rPr>
          <w:rFonts w:ascii="Arial" w:cs="Arial" w:eastAsia="Arial" w:hAnsi="Arial"/>
          <w:sz w:val="16"/>
          <w:szCs w:val="16"/>
          <w:color w:val="auto"/>
        </w:rPr>
        <w:t>.” The Firm Securities and the Option Securities, are hereinafter referred to as the “</w:t>
      </w:r>
      <w:r>
        <w:rPr>
          <w:rFonts w:ascii="Arial" w:cs="Arial" w:eastAsia="Arial" w:hAnsi="Arial"/>
          <w:sz w:val="16"/>
          <w:szCs w:val="16"/>
          <w:b w:val="1"/>
          <w:bCs w:val="1"/>
          <w:color w:val="auto"/>
        </w:rPr>
        <w:t>Public Securities</w:t>
      </w:r>
      <w:r>
        <w:rPr>
          <w:rFonts w:ascii="Arial" w:cs="Arial" w:eastAsia="Arial" w:hAnsi="Arial"/>
          <w:sz w:val="16"/>
          <w:szCs w:val="16"/>
          <w:color w:val="auto"/>
        </w:rPr>
        <w:t>.” The purchase price to be paid for the Option Securities (net of discounts and commissions, including the Deferred Underwriting Commission described in below) will be $9.45 per Option Security. The Option Securities are to be offered initially to the public at the offering price of $10.00 per Option Security.</w:t>
      </w:r>
    </w:p>
    <w:p>
      <w:pPr>
        <w:spacing w:after="0" w:line="164" w:lineRule="exact"/>
        <w:rPr>
          <w:rFonts w:ascii="Arial" w:cs="Arial" w:eastAsia="Arial" w:hAnsi="Arial"/>
          <w:sz w:val="16"/>
          <w:szCs w:val="16"/>
          <w:color w:val="auto"/>
        </w:rPr>
      </w:pPr>
    </w:p>
    <w:p>
      <w:pPr>
        <w:jc w:val="both"/>
        <w:ind w:firstLine="1952"/>
        <w:spacing w:after="0" w:line="269" w:lineRule="auto"/>
        <w:tabs>
          <w:tab w:leader="none" w:pos="2209" w:val="left"/>
        </w:tabs>
        <w:numPr>
          <w:ilvl w:val="1"/>
          <w:numId w:val="68"/>
        </w:numPr>
        <w:rPr>
          <w:rFonts w:ascii="Arial" w:cs="Arial" w:eastAsia="Arial" w:hAnsi="Arial"/>
          <w:sz w:val="17"/>
          <w:szCs w:val="17"/>
          <w:color w:val="auto"/>
        </w:rPr>
      </w:pPr>
      <w:r>
        <w:rPr>
          <w:rFonts w:ascii="Arial" w:cs="Arial" w:eastAsia="Arial" w:hAnsi="Arial"/>
          <w:sz w:val="17"/>
          <w:szCs w:val="17"/>
          <w:i w:val="1"/>
          <w:iCs w:val="1"/>
          <w:color w:val="auto"/>
        </w:rPr>
        <w:t>Exercise of Option</w:t>
      </w:r>
      <w:r>
        <w:rPr>
          <w:rFonts w:ascii="Arial" w:cs="Arial" w:eastAsia="Arial" w:hAnsi="Arial"/>
          <w:sz w:val="17"/>
          <w:szCs w:val="17"/>
          <w:color w:val="auto"/>
        </w:rPr>
        <w:t>. The Over-allotment Option granted pursuant to this Agreement may be exercised by the Representative</w:t>
      </w:r>
      <w:r>
        <w:rPr>
          <w:rFonts w:ascii="Arial" w:cs="Arial" w:eastAsia="Arial" w:hAnsi="Arial"/>
          <w:sz w:val="17"/>
          <w:szCs w:val="17"/>
          <w:i w:val="1"/>
          <w:iCs w:val="1"/>
          <w:color w:val="auto"/>
        </w:rPr>
        <w:t xml:space="preserve"> </w:t>
      </w:r>
      <w:r>
        <w:rPr>
          <w:rFonts w:ascii="Arial" w:cs="Arial" w:eastAsia="Arial" w:hAnsi="Arial"/>
          <w:sz w:val="17"/>
          <w:szCs w:val="17"/>
          <w:color w:val="auto"/>
        </w:rPr>
        <w:t>as to all (at any time) or any part (from time to time) of the Option Securities within forty-five (45) days after the Effective Date. The Underwriter will not be under any obligation to purchase any Option Securities prior to the exercise of the Over-allotment Option. The Over-allotment Option granted hereby may be exercised by the giving of oral notice to the Company from the Representative, which must be confirmed in writing by overnight mail, facsimile transmission or e-mail transmission setting forth the number of Option Securities to be purchased and the date and time for delivery of and payment for the Option Securities, which will not be later than five (5) Business Days after the date of the notice or such other time as shall be agreed upon by the Company and the Representative, at the offices of the Representative or at such other place or in such other manner as shall be agreed upon by the Company and the Representative. If such delivery and payment for the Option Securities does not occur on the Closing Date, the date and time of the closing for such Option Securities will be as set forth in the notice (hereinafter the “</w:t>
      </w:r>
      <w:r>
        <w:rPr>
          <w:rFonts w:ascii="Arial" w:cs="Arial" w:eastAsia="Arial" w:hAnsi="Arial"/>
          <w:sz w:val="17"/>
          <w:szCs w:val="17"/>
          <w:b w:val="1"/>
          <w:bCs w:val="1"/>
          <w:color w:val="auto"/>
        </w:rPr>
        <w:t>Option Closing Date</w:t>
      </w:r>
      <w:r>
        <w:rPr>
          <w:rFonts w:ascii="Arial" w:cs="Arial" w:eastAsia="Arial" w:hAnsi="Arial"/>
          <w:sz w:val="17"/>
          <w:szCs w:val="17"/>
          <w:color w:val="auto"/>
        </w:rPr>
        <w:t>”). Upon exercise of the Over-allotment Option, the Company will become obligated to convey to the Underwriter, and, subject to the terms and conditions set forth herein, the Underwriter will become obligated to purchase, the number of Option Securities specified in such notice.</w:t>
      </w:r>
    </w:p>
    <w:p>
      <w:pPr>
        <w:spacing w:after="0" w:line="181" w:lineRule="exact"/>
        <w:rPr>
          <w:rFonts w:ascii="Arial" w:cs="Arial" w:eastAsia="Arial" w:hAnsi="Arial"/>
          <w:sz w:val="17"/>
          <w:szCs w:val="17"/>
          <w:color w:val="auto"/>
        </w:rPr>
      </w:pPr>
    </w:p>
    <w:p>
      <w:pPr>
        <w:jc w:val="both"/>
        <w:ind w:firstLine="1952"/>
        <w:spacing w:after="0" w:line="269" w:lineRule="auto"/>
        <w:tabs>
          <w:tab w:leader="none" w:pos="2259" w:val="left"/>
        </w:tabs>
        <w:numPr>
          <w:ilvl w:val="1"/>
          <w:numId w:val="68"/>
        </w:numPr>
        <w:rPr>
          <w:rFonts w:ascii="Arial" w:cs="Arial" w:eastAsia="Arial" w:hAnsi="Arial"/>
          <w:sz w:val="17"/>
          <w:szCs w:val="17"/>
          <w:color w:val="auto"/>
        </w:rPr>
      </w:pPr>
      <w:r>
        <w:rPr>
          <w:rFonts w:ascii="Arial" w:cs="Arial" w:eastAsia="Arial" w:hAnsi="Arial"/>
          <w:sz w:val="17"/>
          <w:szCs w:val="17"/>
          <w:i w:val="1"/>
          <w:iCs w:val="1"/>
          <w:color w:val="auto"/>
        </w:rPr>
        <w:t>Payment and Delivery</w:t>
      </w:r>
      <w:r>
        <w:rPr>
          <w:rFonts w:ascii="Arial" w:cs="Arial" w:eastAsia="Arial" w:hAnsi="Arial"/>
          <w:sz w:val="17"/>
          <w:szCs w:val="17"/>
          <w:color w:val="auto"/>
        </w:rPr>
        <w:t>. Delivery and payment for the Option Securities shall be made at 10:00 AM, New York time,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Option Closing Date or at such earlier time as shall be agreed upon by the Representative and the Company at the offices of the Representative or at such other place as shall be agreed upon by the Representative and the Company. Payment for the Option Securities shall be made at the Representative’s election by wire transfer in Federal (same day) funds or by certified or bank cashier’s check(s) in New York Clearing House funds, by deposit of the sum of $9.45 per Option Security in the Trust Account pursuant to the Trust Agreement upon delivery to the Representative of certificates (in form and substance satisfactory to the Underwriter) representing the Option Securities (or through the facilities of DTC) for the account of the Underwriter. The Underwriter shall also place an aggregate of $0.35 per Option Security (up to $656,250), payable as specified in Section 1(c), as Deferred Underwriting Commission in the Trust Account. The Option Securities shall be registered in such name or names and in such authorized denominations as the Representative may request not less than two (2) Business Days prior to the Closing Date or the Option Closing Date, as the case may be, and will be made available to the Representative for inspection, checking and packaging at the aforesaid office of the Company’s transfer agent or correspondent not less than one (1) full Business Day prior to such Closing Date or Option Closing Date.</w:t>
      </w:r>
    </w:p>
    <w:p>
      <w:pPr>
        <w:spacing w:after="0" w:line="181" w:lineRule="exact"/>
        <w:rPr>
          <w:rFonts w:ascii="Arial" w:cs="Arial" w:eastAsia="Arial" w:hAnsi="Arial"/>
          <w:sz w:val="17"/>
          <w:szCs w:val="17"/>
          <w:color w:val="auto"/>
        </w:rPr>
      </w:pPr>
    </w:p>
    <w:p>
      <w:pPr>
        <w:jc w:val="both"/>
        <w:ind w:firstLine="1304"/>
        <w:spacing w:after="0" w:line="271" w:lineRule="auto"/>
        <w:tabs>
          <w:tab w:leader="none" w:pos="1554"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Deferred Underwriting Commission</w:t>
      </w:r>
      <w:r>
        <w:rPr>
          <w:rFonts w:ascii="Arial" w:cs="Arial" w:eastAsia="Arial" w:hAnsi="Arial"/>
          <w:sz w:val="17"/>
          <w:szCs w:val="17"/>
          <w:color w:val="auto"/>
        </w:rPr>
        <w:t>. The Underwriter agrees that 3.5% of the gross proceeds from the sale of the Firm Securities ($4,375,000) and 3.5% of the gross proceeds from the sale of the Option Securities (up to $656,250) (the “</w:t>
      </w:r>
      <w:r>
        <w:rPr>
          <w:rFonts w:ascii="Arial" w:cs="Arial" w:eastAsia="Arial" w:hAnsi="Arial"/>
          <w:sz w:val="17"/>
          <w:szCs w:val="17"/>
          <w:b w:val="1"/>
          <w:bCs w:val="1"/>
          <w:color w:val="auto"/>
        </w:rPr>
        <w:t>Deferred Underwriting Commission</w:t>
      </w:r>
      <w:r>
        <w:rPr>
          <w:rFonts w:ascii="Arial" w:cs="Arial" w:eastAsia="Arial" w:hAnsi="Arial"/>
          <w:sz w:val="17"/>
          <w:szCs w:val="17"/>
          <w:color w:val="auto"/>
        </w:rPr>
        <w:t>”) will be deposited in and held in the Trust Account and payable directly from the Trust Account, without accrued interest, to SVB Leerink upon consummation of the Business Combination. In the event that the Company is unable to consummate a Business Combination and Continental Stock Transfer &amp; Trust Company, as the trustee of the Trust Account (in this context, the “</w:t>
      </w:r>
      <w:r>
        <w:rPr>
          <w:rFonts w:ascii="Arial" w:cs="Arial" w:eastAsia="Arial" w:hAnsi="Arial"/>
          <w:sz w:val="17"/>
          <w:szCs w:val="17"/>
          <w:b w:val="1"/>
          <w:bCs w:val="1"/>
          <w:color w:val="auto"/>
        </w:rPr>
        <w:t>Trustee</w:t>
      </w:r>
      <w:r>
        <w:rPr>
          <w:rFonts w:ascii="Arial" w:cs="Arial" w:eastAsia="Arial" w:hAnsi="Arial"/>
          <w:sz w:val="17"/>
          <w:szCs w:val="17"/>
          <w:color w:val="auto"/>
        </w:rPr>
        <w:t>”), commences liquidation of the Trust Account as provided in the Trust Agreement, the Underwriter agrees that: (i) the Underwriter hereby forfeits any rights or claims to the Deferred Underwriting Commission any Underwriter may have; and (ii) the Deferred Underwriting Commission, together with all other amounts on deposit in the Trust Account, shall be distributed on a pro-rata basis among the public shareholders.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left="1560" w:hanging="256"/>
        <w:spacing w:after="0"/>
        <w:tabs>
          <w:tab w:leader="none" w:pos="156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952"/>
        <w:spacing w:after="0" w:line="256" w:lineRule="auto"/>
        <w:tabs>
          <w:tab w:leader="none" w:pos="2172" w:val="left"/>
        </w:tabs>
        <w:numPr>
          <w:ilvl w:val="2"/>
          <w:numId w:val="69"/>
        </w:numPr>
        <w:rPr>
          <w:rFonts w:ascii="Arial" w:cs="Arial" w:eastAsia="Arial" w:hAnsi="Arial"/>
          <w:sz w:val="18"/>
          <w:szCs w:val="18"/>
          <w:color w:val="auto"/>
        </w:rPr>
      </w:pPr>
      <w:r>
        <w:rPr>
          <w:rFonts w:ascii="Arial" w:cs="Arial" w:eastAsia="Arial" w:hAnsi="Arial"/>
          <w:sz w:val="18"/>
          <w:szCs w:val="18"/>
          <w:i w:val="1"/>
          <w:iCs w:val="1"/>
          <w:color w:val="auto"/>
        </w:rPr>
        <w:t>Placement Shares</w:t>
      </w:r>
      <w:r>
        <w:rPr>
          <w:rFonts w:ascii="Arial" w:cs="Arial" w:eastAsia="Arial" w:hAnsi="Arial"/>
          <w:sz w:val="18"/>
          <w:szCs w:val="18"/>
          <w:color w:val="auto"/>
        </w:rPr>
        <w:t>. Simultaneously with the Closing, BCTG Holdings, LLC (“</w:t>
      </w:r>
      <w:r>
        <w:rPr>
          <w:rFonts w:ascii="Arial" w:cs="Arial" w:eastAsia="Arial" w:hAnsi="Arial"/>
          <w:sz w:val="18"/>
          <w:szCs w:val="18"/>
          <w:b w:val="1"/>
          <w:bCs w:val="1"/>
          <w:color w:val="auto"/>
        </w:rPr>
        <w:t>Sponsor</w:t>
      </w:r>
      <w:r>
        <w:rPr>
          <w:rFonts w:ascii="Arial" w:cs="Arial" w:eastAsia="Arial" w:hAnsi="Arial"/>
          <w:sz w:val="18"/>
          <w:szCs w:val="18"/>
          <w:color w:val="auto"/>
        </w:rPr>
        <w:t>”) shall purchase from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 aggregate of 450,000 shares of common stock (or 487,500 shares if the Underwriter’s over-allotment option is exercised in full) at a price of $10.00 per share ($4,500,000 in the aggregate, or $4,875,000 in the aggregate if the Underwriter’s over-allotment option is exercised in full), in a private placement that will close simultaneously with the closing of this offering. The Placement Shares and Public Securities are hereinafter referred to collectively as the “</w:t>
      </w:r>
      <w:r>
        <w:rPr>
          <w:rFonts w:ascii="Arial" w:cs="Arial" w:eastAsia="Arial" w:hAnsi="Arial"/>
          <w:sz w:val="18"/>
          <w:szCs w:val="18"/>
          <w:b w:val="1"/>
          <w:bCs w:val="1"/>
          <w:color w:val="auto"/>
        </w:rPr>
        <w:t>Securities</w:t>
      </w:r>
      <w:r>
        <w:rPr>
          <w:rFonts w:ascii="Arial" w:cs="Arial" w:eastAsia="Arial" w:hAnsi="Arial"/>
          <w:sz w:val="18"/>
          <w:szCs w:val="18"/>
          <w:color w:val="auto"/>
        </w:rPr>
        <w:t>.” There will be no placement agent in the Private Placement and no party shall be entitled to a placement fee or expense allowance from the sale of the Placement Shares.</w:t>
      </w:r>
    </w:p>
    <w:p>
      <w:pPr>
        <w:spacing w:after="0" w:line="187" w:lineRule="exact"/>
        <w:rPr>
          <w:rFonts w:ascii="Arial" w:cs="Arial" w:eastAsia="Arial" w:hAnsi="Arial"/>
          <w:sz w:val="18"/>
          <w:szCs w:val="18"/>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of the Company</w:t>
      </w:r>
      <w:r>
        <w:rPr>
          <w:rFonts w:ascii="Arial" w:cs="Arial" w:eastAsia="Arial" w:hAnsi="Arial"/>
          <w:sz w:val="18"/>
          <w:szCs w:val="18"/>
          <w:color w:val="auto"/>
        </w:rPr>
        <w:t>. The Company represents and warrants to the Underwriter as follows:</w:t>
      </w:r>
    </w:p>
    <w:p>
      <w:pPr>
        <w:spacing w:after="0" w:line="229" w:lineRule="exact"/>
        <w:rPr>
          <w:rFonts w:ascii="Arial" w:cs="Arial" w:eastAsia="Arial" w:hAnsi="Arial"/>
          <w:sz w:val="18"/>
          <w:szCs w:val="18"/>
          <w:color w:val="auto"/>
        </w:rPr>
      </w:pPr>
    </w:p>
    <w:p>
      <w:pPr>
        <w:ind w:left="1540" w:hanging="236"/>
        <w:spacing w:after="0"/>
        <w:tabs>
          <w:tab w:leader="none" w:pos="154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Filing of Registration Statement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952"/>
        <w:spacing w:after="0" w:line="283" w:lineRule="auto"/>
        <w:tabs>
          <w:tab w:leader="none" w:pos="2199" w:val="left"/>
        </w:tabs>
        <w:numPr>
          <w:ilvl w:val="2"/>
          <w:numId w:val="70"/>
        </w:numPr>
        <w:rPr>
          <w:rFonts w:ascii="Arial" w:cs="Arial" w:eastAsia="Arial" w:hAnsi="Arial"/>
          <w:sz w:val="16"/>
          <w:szCs w:val="16"/>
          <w:color w:val="auto"/>
        </w:rPr>
      </w:pPr>
      <w:r>
        <w:rPr>
          <w:rFonts w:ascii="Arial" w:cs="Arial" w:eastAsia="Arial" w:hAnsi="Arial"/>
          <w:sz w:val="16"/>
          <w:szCs w:val="16"/>
          <w:i w:val="1"/>
          <w:iCs w:val="1"/>
          <w:color w:val="auto"/>
        </w:rPr>
        <w:t>Pursuant to the Act</w:t>
      </w:r>
      <w:r>
        <w:rPr>
          <w:rFonts w:ascii="Arial" w:cs="Arial" w:eastAsia="Arial" w:hAnsi="Arial"/>
          <w:sz w:val="16"/>
          <w:szCs w:val="16"/>
          <w:color w:val="auto"/>
        </w:rPr>
        <w:t>. 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and an amendment or amendments thereto, on Form S-1 (File No. 333-240237), including any related preliminary prospectus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including any prospectus that is included in the Registration Statement immediately prior to the effectiveness of the Registration Statement), for the registration of the Public Securities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which registration statement and amendment or amendments have been prepared by the Company in conformity in all material respects with the requirements of the Act, and the rules and regulations (the “</w:t>
      </w:r>
      <w:r>
        <w:rPr>
          <w:rFonts w:ascii="Arial" w:cs="Arial" w:eastAsia="Arial" w:hAnsi="Arial"/>
          <w:sz w:val="16"/>
          <w:szCs w:val="16"/>
          <w:b w:val="1"/>
          <w:bCs w:val="1"/>
          <w:color w:val="auto"/>
        </w:rPr>
        <w:t>Regulations</w:t>
      </w:r>
      <w:r>
        <w:rPr>
          <w:rFonts w:ascii="Arial" w:cs="Arial" w:eastAsia="Arial" w:hAnsi="Arial"/>
          <w:sz w:val="16"/>
          <w:szCs w:val="16"/>
          <w:color w:val="auto"/>
        </w:rPr>
        <w:t>”) of the Commission under the Act. The conditions for use of Form S-1 to register the Offering under the Act, as set forth in the General Instructions to such Form, have been satisfied in all material respects. Except as the context may otherwise require, such registration statement, as amended, on file with the Commission at the time the registration statement becomes effective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form of the final prospectus dated the Effective Date included in the Registration Statement (or, if applicable, the form of final prospectus containing information permitted to be omitted at the time of effectiveness by Rule 430A of the Regulations filed with the Commission pursuant to Rule 424 of the Regulations),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w:t>
      </w:r>
    </w:p>
    <w:p>
      <w:pPr>
        <w:spacing w:after="0" w:line="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color w:val="auto"/>
        </w:rPr>
        <w:t>Time of Sale</w:t>
      </w:r>
      <w:r>
        <w:rPr>
          <w:rFonts w:ascii="Arial" w:cs="Arial" w:eastAsia="Arial" w:hAnsi="Arial"/>
          <w:sz w:val="17"/>
          <w:szCs w:val="17"/>
          <w:color w:val="auto"/>
        </w:rPr>
        <w:t>”, as used in the Act, means [ ] [p.m.], New York City time, on the date of this Agreement. If the Company has filed, or is required pursuant to the terms hereof to file, a registration statement pursuant to Rule 462(b) under the Securities Act registering the Securities (a “</w:t>
      </w:r>
      <w:r>
        <w:rPr>
          <w:rFonts w:ascii="Arial" w:cs="Arial" w:eastAsia="Arial" w:hAnsi="Arial"/>
          <w:sz w:val="17"/>
          <w:szCs w:val="17"/>
          <w:b w:val="1"/>
          <w:bCs w:val="1"/>
          <w:color w:val="auto"/>
        </w:rPr>
        <w:t>Rule 462(b) Registration Statement</w:t>
      </w:r>
      <w:r>
        <w:rPr>
          <w:rFonts w:ascii="Arial" w:cs="Arial" w:eastAsia="Arial" w:hAnsi="Arial"/>
          <w:sz w:val="17"/>
          <w:szCs w:val="17"/>
          <w:color w:val="auto"/>
        </w:rPr>
        <w:t>”), then, unless otherwise specified, any reference herein to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be deemed to include such Rule 462(b) Registration Statement. Other than a Rule 462(b) Registration Statement, which, if filed, becomes effective upon filing, no other document with respect to the Registration Statement has heretofore been filed with the Commission. All of the Public Securities have been registered under the Act pursuant to the Registration Statement or, if any Rule 462(b) Registration Statement is filed, will be duly registered under the Securities Act with the filing of such Rule 462(b) Registration Statement. The Registration Statement has been declared effective by the Commission on the date hereof. If, subsequent to the date of this Agreement, the Company or the Representative has determined that at the Time of Sale the Prospectus included an untrue statement of a material fact or omitted a statement of material fact necessary to make the statements therein, in light of the circumstances under which they were made, not misleading, and have agreed to provide an opportunity to purchasers of the Firm Securities or Option Securities to terminate their old purchase contracts and enter into new purchase contracts, the Prospectus will be deemed to include any additional information available to purchasers at the time of entry into the first such new purchase contract.</w:t>
      </w:r>
    </w:p>
    <w:p>
      <w:pPr>
        <w:spacing w:after="0" w:line="184"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7"/>
          <w:szCs w:val="17"/>
          <w:color w:val="auto"/>
        </w:rPr>
        <w:t xml:space="preserve">(ii) </w:t>
      </w:r>
      <w:r>
        <w:rPr>
          <w:rFonts w:ascii="Arial" w:cs="Arial" w:eastAsia="Arial" w:hAnsi="Arial"/>
          <w:sz w:val="17"/>
          <w:szCs w:val="17"/>
          <w:i w:val="1"/>
          <w:iCs w:val="1"/>
          <w:color w:val="auto"/>
        </w:rPr>
        <w:t>Pursuant to the Exchange Act</w:t>
      </w:r>
      <w:r>
        <w:rPr>
          <w:rFonts w:ascii="Arial" w:cs="Arial" w:eastAsia="Arial" w:hAnsi="Arial"/>
          <w:sz w:val="17"/>
          <w:szCs w:val="17"/>
          <w:color w:val="auto"/>
        </w:rPr>
        <w:t>. The Company has filed with the Commission a Form 8-A (Registration No. 001-[ ]), providing for the registration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of the Common Stock of the Company. The registration of the Common Stock under the Exchange Act will be declared effective by the Commission on or prior to the Effective Date.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firstLine="1304"/>
        <w:spacing w:after="0" w:line="263" w:lineRule="auto"/>
        <w:tabs>
          <w:tab w:leader="none" w:pos="155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 Stop Orders, Etc</w:t>
      </w:r>
      <w:r>
        <w:rPr>
          <w:rFonts w:ascii="Arial" w:cs="Arial" w:eastAsia="Arial" w:hAnsi="Arial"/>
          <w:sz w:val="18"/>
          <w:szCs w:val="18"/>
          <w:color w:val="auto"/>
        </w:rPr>
        <w:t>. Neither the Commission nor, to the best of the Company’s knowledge, any state regulatory authority has issued any order or threatened to issue any order preventing or suspending the use of any Preliminary Prospectus or has instituted or, to the best of the Company’s knowledge, threatened to institute any proceedings with respect to such an order.</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Disclosures in Registration Statement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7" w:lineRule="auto"/>
        <w:tabs>
          <w:tab w:leader="none" w:pos="2186" w:val="left"/>
        </w:tabs>
        <w:numPr>
          <w:ilvl w:val="1"/>
          <w:numId w:val="71"/>
        </w:numPr>
        <w:rPr>
          <w:rFonts w:ascii="Arial" w:cs="Arial" w:eastAsia="Arial" w:hAnsi="Arial"/>
          <w:sz w:val="17"/>
          <w:szCs w:val="17"/>
          <w:color w:val="auto"/>
        </w:rPr>
      </w:pPr>
      <w:r>
        <w:rPr>
          <w:rFonts w:ascii="Arial" w:cs="Arial" w:eastAsia="Arial" w:hAnsi="Arial"/>
          <w:sz w:val="17"/>
          <w:szCs w:val="17"/>
          <w:i w:val="1"/>
          <w:iCs w:val="1"/>
          <w:color w:val="auto"/>
        </w:rPr>
        <w:t>10b-5 Representation</w:t>
      </w:r>
      <w:r>
        <w:rPr>
          <w:rFonts w:ascii="Arial" w:cs="Arial" w:eastAsia="Arial" w:hAnsi="Arial"/>
          <w:sz w:val="17"/>
          <w:szCs w:val="17"/>
          <w:color w:val="auto"/>
        </w:rPr>
        <w:t>. At the time the Registration Statement became effective, upon the filing or first use (within the</w:t>
      </w:r>
      <w:r>
        <w:rPr>
          <w:rFonts w:ascii="Arial" w:cs="Arial" w:eastAsia="Arial" w:hAnsi="Arial"/>
          <w:sz w:val="17"/>
          <w:szCs w:val="17"/>
          <w:i w:val="1"/>
          <w:iCs w:val="1"/>
          <w:color w:val="auto"/>
        </w:rPr>
        <w:t xml:space="preserve"> </w:t>
      </w:r>
      <w:r>
        <w:rPr>
          <w:rFonts w:ascii="Arial" w:cs="Arial" w:eastAsia="Arial" w:hAnsi="Arial"/>
          <w:sz w:val="17"/>
          <w:szCs w:val="17"/>
          <w:color w:val="auto"/>
        </w:rPr>
        <w:t>meaning of the Regulations) of the Prospectus and at the Closing Date and the Option Closing Date, if any, the Registration Statement and the Prospectus contained or will contain all material statements that are required to be stated therein in accordance with the Act and the Regulations, and did or will in all material respects conform to the requirements of the Act and the Regulations. Neither the Registration Statement nor any Preliminary Prospectus or the Prospectus, nor any amendment or supplement thereto, on their respective dates, did or will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 When any Preliminary Prospectus was first filed with the Commission (whether filed as part of the Registration Statement for the registration of the Securities or any amendment thereto or pursuant to Rule 424(a) of the Regulations) or first used (within the meaning of the Regulations) and when any amendment thereof or supplement thereto was first filed with the Commission or first used (within the meaning of the Regulations), such Preliminary Prospectus and any amendments thereof and supplements thereto complied or will have been corrected in the Prospectus to comply in all material respects with the applicable provisions of the Act and the Regulations and did not and will not contain an untrue statement of a material fact or omit to state any material fact required to be stated therein or necessary in order to make the statements therein, in light of the circumstances under which they were made, not misleading. The representation and warranty made in this clause (i) does not apply to statements made or statements omitted in reliance upon and in conformity with written information furnished to the Company with respect to the Underwriter by the Representative expressly for use in the Registration Statement or Prospectus or any amendment thereof or supplement thereto. It is understood the following identified statements set forth in the Prospectus under the heading “Underwriting” constitute, for the purposes of this Agreement, information furnished by the Representative with respect to the Underwriter: (i) the table of underwriters in the first paragraph of “Underwriting”, (ii) the first paragraph of the Underwriting subsection “Commissions and Discount</w:t>
      </w:r>
      <w:r>
        <w:rPr>
          <w:rFonts w:ascii="Arial" w:cs="Arial" w:eastAsia="Arial" w:hAnsi="Arial"/>
          <w:sz w:val="17"/>
          <w:szCs w:val="17"/>
          <w:b w:val="1"/>
          <w:bCs w:val="1"/>
          <w:color w:val="auto"/>
        </w:rPr>
        <w:t>s,</w:t>
      </w:r>
      <w:r>
        <w:rPr>
          <w:rFonts w:ascii="Arial" w:cs="Arial" w:eastAsia="Arial" w:hAnsi="Arial"/>
          <w:sz w:val="17"/>
          <w:szCs w:val="17"/>
          <w:color w:val="auto"/>
        </w:rPr>
        <w:t>” (iii) the Underwriting subsection “Regulatory Restrictions on Purchase of Securities”.</w:t>
      </w:r>
    </w:p>
    <w:p>
      <w:pPr>
        <w:spacing w:after="0" w:line="188" w:lineRule="exact"/>
        <w:rPr>
          <w:rFonts w:ascii="Arial" w:cs="Arial" w:eastAsia="Arial" w:hAnsi="Arial"/>
          <w:sz w:val="17"/>
          <w:szCs w:val="17"/>
          <w:color w:val="auto"/>
        </w:rPr>
      </w:pPr>
    </w:p>
    <w:p>
      <w:pPr>
        <w:jc w:val="both"/>
        <w:ind w:firstLine="1952"/>
        <w:spacing w:after="0" w:line="285" w:lineRule="auto"/>
        <w:tabs>
          <w:tab w:leader="none" w:pos="2249"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Disclosure of Agreements</w:t>
      </w:r>
      <w:r>
        <w:rPr>
          <w:rFonts w:ascii="Arial" w:cs="Arial" w:eastAsia="Arial" w:hAnsi="Arial"/>
          <w:sz w:val="16"/>
          <w:szCs w:val="16"/>
          <w:color w:val="auto"/>
        </w:rPr>
        <w:t>. The agreements and documents described in the Registration Statement, the Preliminary</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and the Prospectus conform to the descriptions thereof contained therein and there are no agreements or other documents required to be described in the Registration Statement, the Preliminary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Preliminary Prospectus or the Prospectus or attached as an exhibit thereto, or (ii) is material to the Company’s business, has been duly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material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76" w:lineRule="exact"/>
        <w:rPr>
          <w:rFonts w:ascii="Arial" w:cs="Arial" w:eastAsia="Arial" w:hAnsi="Arial"/>
          <w:sz w:val="16"/>
          <w:szCs w:val="16"/>
          <w:color w:val="auto"/>
        </w:rPr>
      </w:pPr>
    </w:p>
    <w:p>
      <w:pPr>
        <w:jc w:val="both"/>
        <w:ind w:firstLine="1952"/>
        <w:spacing w:after="0" w:line="263" w:lineRule="auto"/>
        <w:tabs>
          <w:tab w:leader="none" w:pos="2259"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Prior Securities Transactions</w:t>
      </w:r>
      <w:r>
        <w:rPr>
          <w:rFonts w:ascii="Arial" w:cs="Arial" w:eastAsia="Arial" w:hAnsi="Arial"/>
          <w:sz w:val="18"/>
          <w:szCs w:val="18"/>
          <w:color w:val="auto"/>
        </w:rPr>
        <w:t>. No securities of the Company have been sold by the Company or by or on behalf of, or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benefit of, any person or persons controlling, controlled by, or under common control with the Company since the date of the Company’s formation, except as disclosed in the Registration Statement.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1952"/>
        <w:spacing w:after="0" w:line="259" w:lineRule="auto"/>
        <w:tabs>
          <w:tab w:leader="none" w:pos="2262"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Regulations</w:t>
      </w:r>
      <w:r>
        <w:rPr>
          <w:rFonts w:ascii="Arial" w:cs="Arial" w:eastAsia="Arial" w:hAnsi="Arial"/>
          <w:sz w:val="18"/>
          <w:szCs w:val="18"/>
          <w:color w:val="auto"/>
        </w:rPr>
        <w:t>. The disclosures in the Registration Statement, the Preliminary Prospectus and the Prospectus concerning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Federal, state and local regulation on the Company’s business as currently contemplated fairly summarize, to the best of the Company’s knowledge, such effects and do not omit to state a material fact necessary to make the statements therein, (in the case of the Preliminary Prospectus and the Prospectus, in light of the circumstances under which they were made), not misleading.</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Changes After Dates in Registration Statement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4" w:lineRule="auto"/>
        <w:tabs>
          <w:tab w:leader="none" w:pos="2172"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No Material Adverse Change</w:t>
      </w:r>
      <w:r>
        <w:rPr>
          <w:rFonts w:ascii="Arial" w:cs="Arial" w:eastAsia="Arial" w:hAnsi="Arial"/>
          <w:sz w:val="18"/>
          <w:szCs w:val="18"/>
          <w:color w:val="auto"/>
        </w:rPr>
        <w:t>. Except as contemplated in the Prospectus or specifically stated therein, since the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dates as of which information is given in the Registration Statement, any Preliminary Prospectus and/or the Prospectus: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and the Prospectus.</w:t>
      </w:r>
    </w:p>
    <w:p>
      <w:pPr>
        <w:spacing w:after="0" w:line="194" w:lineRule="exact"/>
        <w:rPr>
          <w:rFonts w:ascii="Arial" w:cs="Arial" w:eastAsia="Arial" w:hAnsi="Arial"/>
          <w:sz w:val="18"/>
          <w:szCs w:val="18"/>
          <w:color w:val="auto"/>
        </w:rPr>
      </w:pPr>
    </w:p>
    <w:p>
      <w:pPr>
        <w:jc w:val="both"/>
        <w:ind w:firstLine="1952"/>
        <w:spacing w:after="0" w:line="259" w:lineRule="auto"/>
        <w:tabs>
          <w:tab w:leader="none" w:pos="2236"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Recent Securities Transactions, Etc</w:t>
      </w:r>
      <w:r>
        <w:rPr>
          <w:rFonts w:ascii="Arial" w:cs="Arial" w:eastAsia="Arial" w:hAnsi="Arial"/>
          <w:sz w:val="18"/>
          <w:szCs w:val="18"/>
          <w:color w:val="auto"/>
        </w:rPr>
        <w:t>. Except as contemplated in the Prospectus, subsequent to the respective dates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information is given in the Registration Statement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capital stock.</w:t>
      </w:r>
    </w:p>
    <w:p>
      <w:pPr>
        <w:spacing w:after="0" w:line="182" w:lineRule="exact"/>
        <w:rPr>
          <w:rFonts w:ascii="Arial" w:cs="Arial" w:eastAsia="Arial" w:hAnsi="Arial"/>
          <w:sz w:val="18"/>
          <w:szCs w:val="18"/>
          <w:color w:val="auto"/>
        </w:rPr>
      </w:pPr>
    </w:p>
    <w:p>
      <w:pPr>
        <w:jc w:val="both"/>
        <w:ind w:firstLine="1304"/>
        <w:spacing w:after="0" w:line="255" w:lineRule="auto"/>
        <w:tabs>
          <w:tab w:leader="none" w:pos="155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To the best of the Company’s knowledge, WithumSmith+Brown, PC (“</w:t>
      </w:r>
      <w:r>
        <w:rPr>
          <w:rFonts w:ascii="Arial" w:cs="Arial" w:eastAsia="Arial" w:hAnsi="Arial"/>
          <w:sz w:val="18"/>
          <w:szCs w:val="18"/>
          <w:b w:val="1"/>
          <w:bCs w:val="1"/>
          <w:color w:val="auto"/>
        </w:rPr>
        <w:t>Withum</w:t>
      </w:r>
      <w:r>
        <w:rPr>
          <w:rFonts w:ascii="Arial" w:cs="Arial" w:eastAsia="Arial" w:hAnsi="Arial"/>
          <w:sz w:val="18"/>
          <w:szCs w:val="18"/>
          <w:color w:val="auto"/>
        </w:rPr>
        <w:t>”), whose report is filed with the Commission as part of the Registration Statement and included in the Registration Statement, the Preliminary Prospectus and the Prospectus, are independent accountants as required by the Act and the Regulations and the Public Company Accounting Oversight Board (including the rules and regulations promulgated by such entity, the “</w:t>
      </w:r>
      <w:r>
        <w:rPr>
          <w:rFonts w:ascii="Arial" w:cs="Arial" w:eastAsia="Arial" w:hAnsi="Arial"/>
          <w:sz w:val="18"/>
          <w:szCs w:val="18"/>
          <w:b w:val="1"/>
          <w:bCs w:val="1"/>
          <w:color w:val="auto"/>
        </w:rPr>
        <w:t>PCAOB</w:t>
      </w:r>
      <w:r>
        <w:rPr>
          <w:rFonts w:ascii="Arial" w:cs="Arial" w:eastAsia="Arial" w:hAnsi="Arial"/>
          <w:sz w:val="18"/>
          <w:szCs w:val="18"/>
          <w:color w:val="auto"/>
        </w:rPr>
        <w:t>”). To the best of the Company’s knowledge, Withum is duly registered and in good standing with the PCAOB. Withum has not, during the periods covered by the financial statements included in the Registration Statement and the Prospectus, provided to the Company any non-audit services, as such term is used in Section 10A(g) of the Exchange Act, except for tax services as approved by the Company’s board of directors (“</w:t>
      </w:r>
      <w:r>
        <w:rPr>
          <w:rFonts w:ascii="Arial" w:cs="Arial" w:eastAsia="Arial" w:hAnsi="Arial"/>
          <w:sz w:val="18"/>
          <w:szCs w:val="18"/>
          <w:b w:val="1"/>
          <w:bCs w:val="1"/>
          <w:color w:val="auto"/>
        </w:rPr>
        <w:t>Board of Directors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520" w:hanging="216"/>
        <w:spacing w:after="0"/>
        <w:tabs>
          <w:tab w:leader="none" w:pos="15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Financial Statements; Statistical Data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87" w:lineRule="auto"/>
        <w:tabs>
          <w:tab w:leader="none" w:pos="2199"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including the notes thereto and supporting schedules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Preliminary Prospectus and the Prospectus fairly present the financial position and the results of operations of the Company at the dates and for the periods to which they apply; and such financial statements have been prepared in conformity with generally accepted accounting principles, consistently applied throughout the periods involved; and the supporting schedules included in the Registration Statement present fairly the information required to be stated therein. To the best of the Company’s knowledge, no other financial statements or supporting schedules are required to be included or incorporated by reference in the Registration Statement, the Preliminary Prospectus or the Prospectus. The Registration Statement, the Preliminary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To the best of the Company’s knowledge, there are no pro forma or as adjusted financial statements which are required to be included in the Registration Statement and the Prospectus in accordance with Regulation S-X which have not been included as so required.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both"/>
        <w:ind w:firstLine="1952"/>
        <w:spacing w:after="0" w:line="263" w:lineRule="auto"/>
        <w:tabs>
          <w:tab w:leader="none" w:pos="2249"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Statistical Data</w:t>
      </w:r>
      <w:r>
        <w:rPr>
          <w:rFonts w:ascii="Arial" w:cs="Arial" w:eastAsia="Arial" w:hAnsi="Arial"/>
          <w:sz w:val="18"/>
          <w:szCs w:val="18"/>
          <w:color w:val="auto"/>
        </w:rPr>
        <w:t>. The statistical, industry-related and market-related data included in the Registration Statement,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Prospectus and the Prospectus, if any, are based on or derived from sources which the Company reasonably and in good faith believes are reliable and accurate, and such data agree with the sources from which they are derived.</w:t>
      </w:r>
    </w:p>
    <w:p>
      <w:pPr>
        <w:spacing w:after="0" w:line="183" w:lineRule="exact"/>
        <w:rPr>
          <w:rFonts w:ascii="Arial" w:cs="Arial" w:eastAsia="Arial" w:hAnsi="Arial"/>
          <w:sz w:val="18"/>
          <w:szCs w:val="18"/>
          <w:color w:val="auto"/>
        </w:rPr>
      </w:pPr>
    </w:p>
    <w:p>
      <w:pPr>
        <w:jc w:val="both"/>
        <w:ind w:firstLine="1304"/>
        <w:spacing w:after="0" w:line="271" w:lineRule="auto"/>
        <w:tabs>
          <w:tab w:leader="none" w:pos="1564"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Authorized Capital; Options, Etc</w:t>
      </w:r>
      <w:r>
        <w:rPr>
          <w:rFonts w:ascii="Arial" w:cs="Arial" w:eastAsia="Arial" w:hAnsi="Arial"/>
          <w:sz w:val="17"/>
          <w:szCs w:val="17"/>
          <w:color w:val="auto"/>
        </w:rPr>
        <w:t>. The Company had at the date or dates indicated in the Registration Statement, the Preliminary Prospectus and the Prospectus, as the case may be, duly authorized, issued and outstanding capitalization as set forth in the Registration Statement, the Preliminary Prospectus and the Prospectus. Based on the assumptions stated in the Registration Statement, the Preliminary Prospectus and the Prospectus, the Company will have on the Closing Date the adjusted stock capitalization set forth therein. Except as set forth in, or contemplated by, the Registration Statement, the Preliminary Prospectus and the Prospectus, on the Effective Date of the Prospectus and on the Closing Date and the Option Closing Date, if any, there will be no options, warrants, or other rights to purchase or otherwise acquire any authorized, but unissued Common Stock of the Company or any security convertible into shares of Common Stock of the Company, or any contracts or commitments to issue or sell shares of Common Stock or any such options, warrants, rights or convertible securities.</w:t>
      </w:r>
    </w:p>
    <w:p>
      <w:pPr>
        <w:spacing w:after="0" w:line="178" w:lineRule="exact"/>
        <w:rPr>
          <w:rFonts w:ascii="Arial" w:cs="Arial" w:eastAsia="Arial" w:hAnsi="Arial"/>
          <w:sz w:val="17"/>
          <w:szCs w:val="17"/>
          <w:color w:val="auto"/>
        </w:rPr>
      </w:pPr>
    </w:p>
    <w:p>
      <w:pPr>
        <w:ind w:left="1560" w:hanging="256"/>
        <w:spacing w:after="0"/>
        <w:tabs>
          <w:tab w:leader="none" w:pos="15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Valid Issuance of Securities, Etc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90" w:lineRule="auto"/>
        <w:tabs>
          <w:tab w:leader="none" w:pos="2172" w:val="left"/>
        </w:tabs>
        <w:numPr>
          <w:ilvl w:val="1"/>
          <w:numId w:val="75"/>
        </w:numPr>
        <w:rPr>
          <w:rFonts w:ascii="Arial" w:cs="Arial" w:eastAsia="Arial" w:hAnsi="Arial"/>
          <w:sz w:val="16"/>
          <w:szCs w:val="16"/>
          <w:color w:val="auto"/>
        </w:rPr>
      </w:pPr>
      <w:r>
        <w:rPr>
          <w:rFonts w:ascii="Arial" w:cs="Arial" w:eastAsia="Arial" w:hAnsi="Arial"/>
          <w:sz w:val="16"/>
          <w:szCs w:val="16"/>
          <w:i w:val="1"/>
          <w:iCs w:val="1"/>
          <w:color w:val="auto"/>
        </w:rPr>
        <w:t>Outstanding Securities</w:t>
      </w:r>
      <w:r>
        <w:rPr>
          <w:rFonts w:ascii="Arial" w:cs="Arial" w:eastAsia="Arial" w:hAnsi="Arial"/>
          <w:sz w:val="16"/>
          <w:szCs w:val="16"/>
          <w:color w:val="auto"/>
        </w:rPr>
        <w:t>. All issued and outstanding securities of the Company (including, without limitation, the 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Shares)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Public Securities conform in all material respects to all statements relating thereto contained in the Registration Statement, the Preliminary Prospectus and the Prospectus. Subject to the disclosure contained in the Registration Statement, the Preliminary Prospectus and the Prospectus with respect to the Placement Shares, the offers and sales of the outstanding shares of Common Stock were at all relevant times either registered under the Act and the applicable state securities or Blue Sky laws or, based in part on the representations and warranties of the purchasers of such shares of Common Stock, exempt from such registration requirements.</w:t>
      </w:r>
    </w:p>
    <w:p>
      <w:pPr>
        <w:spacing w:after="0" w:line="165" w:lineRule="exact"/>
        <w:rPr>
          <w:sz w:val="20"/>
          <w:szCs w:val="20"/>
          <w:color w:val="auto"/>
        </w:rPr>
      </w:pPr>
    </w:p>
    <w:p>
      <w:pPr>
        <w:jc w:val="both"/>
        <w:ind w:firstLine="1952"/>
        <w:spacing w:after="0" w:line="255" w:lineRule="auto"/>
        <w:tabs>
          <w:tab w:leader="none" w:pos="2222"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Securities Sold</w:t>
      </w:r>
      <w:r>
        <w:rPr>
          <w:rFonts w:ascii="Arial" w:cs="Arial" w:eastAsia="Arial" w:hAnsi="Arial"/>
          <w:sz w:val="18"/>
          <w:szCs w:val="18"/>
          <w:color w:val="auto"/>
        </w:rPr>
        <w:t>. The Securities have been duly authorized and reserved for issuance and when issued and paid for,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actions required to be taken for the authorization, issuance and sale of the Securities have been duly and validly taken. The Securities conform in all material respects to all statements with respect thereto contained in the Registration Statement, the Preliminary Prospectus and the Prospectus, as the case may be.</w:t>
      </w:r>
    </w:p>
    <w:p>
      <w:pPr>
        <w:spacing w:after="0" w:line="192" w:lineRule="exact"/>
        <w:rPr>
          <w:rFonts w:ascii="Arial" w:cs="Arial" w:eastAsia="Arial" w:hAnsi="Arial"/>
          <w:sz w:val="18"/>
          <w:szCs w:val="18"/>
          <w:color w:val="auto"/>
        </w:rPr>
      </w:pPr>
    </w:p>
    <w:p>
      <w:pPr>
        <w:jc w:val="both"/>
        <w:ind w:firstLine="1952"/>
        <w:spacing w:after="0" w:line="259" w:lineRule="auto"/>
        <w:tabs>
          <w:tab w:leader="none" w:pos="2259"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Placement Shares</w:t>
      </w:r>
      <w:r>
        <w:rPr>
          <w:rFonts w:ascii="Arial" w:cs="Arial" w:eastAsia="Arial" w:hAnsi="Arial"/>
          <w:sz w:val="18"/>
          <w:szCs w:val="18"/>
          <w:color w:val="auto"/>
        </w:rPr>
        <w:t>. The Placement Shares have been duly authorized and reserved for issuance and when issued and paid for,</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validly issued, fully paid and non-assessable; the Placement Shares are not and will not be subject to the preemptive rights of any holders of any security of the Company or similar contractual rights granted by the Company; and all corporate actions required to be taken for the authorization, issuance and sale of the Placement Shares have been duly and validly taken.</w:t>
      </w:r>
    </w:p>
    <w:p>
      <w:pPr>
        <w:spacing w:after="0" w:line="186" w:lineRule="exact"/>
        <w:rPr>
          <w:rFonts w:ascii="Arial" w:cs="Arial" w:eastAsia="Arial" w:hAnsi="Arial"/>
          <w:sz w:val="18"/>
          <w:szCs w:val="18"/>
          <w:color w:val="auto"/>
        </w:rPr>
      </w:pPr>
    </w:p>
    <w:p>
      <w:pPr>
        <w:jc w:val="both"/>
        <w:ind w:firstLine="1952"/>
        <w:spacing w:after="0" w:line="259" w:lineRule="auto"/>
        <w:tabs>
          <w:tab w:leader="none" w:pos="2262"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No Integration</w:t>
      </w:r>
      <w:r>
        <w:rPr>
          <w:rFonts w:ascii="Arial" w:cs="Arial" w:eastAsia="Arial" w:hAnsi="Arial"/>
          <w:sz w:val="18"/>
          <w:szCs w:val="18"/>
          <w:color w:val="auto"/>
        </w:rPr>
        <w:t>. Subject to the disclosure contained in the Registration Statement, the Preliminary Prospectus and/or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with respect to the Placement Shares,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1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Preliminary Prospectus or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both"/>
        <w:ind w:firstLine="1304"/>
        <w:spacing w:after="0" w:line="293" w:lineRule="auto"/>
        <w:tabs>
          <w:tab w:leader="none" w:pos="1551"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Validity and Binding Effect of Agreements</w:t>
      </w:r>
      <w:r>
        <w:rPr>
          <w:rFonts w:ascii="Arial" w:cs="Arial" w:eastAsia="Arial" w:hAnsi="Arial"/>
          <w:sz w:val="16"/>
          <w:szCs w:val="16"/>
          <w:color w:val="auto"/>
        </w:rPr>
        <w:t>. This Agreement, the Trust Agreement, the Services Agreement, the Subscription Agreement, the Registration Rights Agreement and the Escrow Agreement have been duly and validly authorized by the Company and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64" w:lineRule="exact"/>
        <w:rPr>
          <w:rFonts w:ascii="Arial" w:cs="Arial" w:eastAsia="Arial" w:hAnsi="Arial"/>
          <w:sz w:val="16"/>
          <w:szCs w:val="16"/>
          <w:color w:val="auto"/>
        </w:rPr>
      </w:pPr>
    </w:p>
    <w:p>
      <w:pPr>
        <w:jc w:val="both"/>
        <w:ind w:firstLine="1304"/>
        <w:spacing w:after="0" w:line="290" w:lineRule="auto"/>
        <w:tabs>
          <w:tab w:leader="none" w:pos="1551"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 Conflicts, Etc</w:t>
      </w:r>
      <w:r>
        <w:rPr>
          <w:rFonts w:ascii="Arial" w:cs="Arial" w:eastAsia="Arial" w:hAnsi="Arial"/>
          <w:sz w:val="16"/>
          <w:szCs w:val="16"/>
          <w:color w:val="auto"/>
        </w:rPr>
        <w:t>. The execution, delivery, and performance by the Company of this Agreement, the Trust Agreement, the Services Agreement, the Subscription Agreement, the Registration Rights Agreement and the Escrow Agreement,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material lien, charge or encumbrance upon any property or assets of the Company pursuant to the terms of any agreement or instrument to which the Company is a party; (ii) result in any violation of the provisions of the amended and restated certificate of incorporation of the Company; or (iii) violate any existing applicable law, rule, regulation, judgment, order or decree of any governmental agency or court, domestic or foreign, having jurisdiction over the Company or any of its properties or business.</w:t>
      </w:r>
    </w:p>
    <w:p>
      <w:pPr>
        <w:spacing w:after="0" w:line="165" w:lineRule="exact"/>
        <w:rPr>
          <w:rFonts w:ascii="Arial" w:cs="Arial" w:eastAsia="Arial" w:hAnsi="Arial"/>
          <w:sz w:val="16"/>
          <w:szCs w:val="16"/>
          <w:color w:val="auto"/>
        </w:rPr>
      </w:pPr>
    </w:p>
    <w:p>
      <w:pPr>
        <w:jc w:val="both"/>
        <w:ind w:firstLine="1304"/>
        <w:spacing w:after="0" w:line="272" w:lineRule="auto"/>
        <w:tabs>
          <w:tab w:leader="none" w:pos="1511"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No Defaults; Violations</w:t>
      </w:r>
      <w:r>
        <w:rPr>
          <w:rFonts w:ascii="Arial" w:cs="Arial" w:eastAsia="Arial" w:hAnsi="Arial"/>
          <w:sz w:val="17"/>
          <w:szCs w:val="17"/>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material agreement, license, permit, applicable law, rule, regulation, judgment or decree of any governmental agency or court, domestic or foreign, having jurisdiction over the Company or any of its properties or businesses, except for such violations which would not reasonably be expected to have a material adverse effect on the Company. The Company is not in violation of any term or provision of its amended and restated certificate of incorporation.</w:t>
      </w:r>
    </w:p>
    <w:p>
      <w:pPr>
        <w:spacing w:after="0" w:line="177" w:lineRule="exact"/>
        <w:rPr>
          <w:rFonts w:ascii="Arial" w:cs="Arial" w:eastAsia="Arial" w:hAnsi="Arial"/>
          <w:sz w:val="17"/>
          <w:szCs w:val="17"/>
          <w:color w:val="auto"/>
        </w:rPr>
      </w:pPr>
    </w:p>
    <w:p>
      <w:pPr>
        <w:ind w:left="1600" w:hanging="296"/>
        <w:spacing w:after="0"/>
        <w:tabs>
          <w:tab w:leader="none" w:pos="16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Corporate Power; Licenses; Consents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71" w:lineRule="auto"/>
        <w:tabs>
          <w:tab w:leader="none" w:pos="2172" w:val="left"/>
        </w:tabs>
        <w:numPr>
          <w:ilvl w:val="1"/>
          <w:numId w:val="78"/>
        </w:numPr>
        <w:rPr>
          <w:rFonts w:ascii="Arial" w:cs="Arial" w:eastAsia="Arial" w:hAnsi="Arial"/>
          <w:sz w:val="17"/>
          <w:szCs w:val="17"/>
          <w:color w:val="auto"/>
        </w:rPr>
      </w:pPr>
      <w:r>
        <w:rPr>
          <w:rFonts w:ascii="Arial" w:cs="Arial" w:eastAsia="Arial" w:hAnsi="Arial"/>
          <w:sz w:val="17"/>
          <w:szCs w:val="17"/>
          <w:i w:val="1"/>
          <w:iCs w:val="1"/>
          <w:color w:val="auto"/>
        </w:rPr>
        <w:t>Conduct of Business</w:t>
      </w:r>
      <w:r>
        <w:rPr>
          <w:rFonts w:ascii="Arial" w:cs="Arial" w:eastAsia="Arial" w:hAnsi="Arial"/>
          <w:sz w:val="17"/>
          <w:szCs w:val="17"/>
          <w:color w:val="auto"/>
        </w:rPr>
        <w:t>. The Company has all requisite corporate power and authority, and has all necessary authorizations,</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approvals, orders, licenses, certificates and permits of and from all governmental regulatory officials and bodies, that it needs as of the date hereof to conduct its business for the purposes described in the Registration Statement, the Preliminary Prospectus and the Prospectus. To the Company’s knowledge, the disclosures in the Registration Statement and the Prospectus concerning the effects of federal, state and local regulation on the Offering and the Company’s business purpose as currently contemplated are correct in all material respects and do not omit to state a material fact required to be stated therein or necessary in order to make the statements therein (with respect to the Preliminary Prospectus and the Prospectus, in light of the circumstances under which they were made), not misleading. Since its formation, the Company has conducted no business and has incurred no liabilities other than in connection with and in furtherance of the Offering.</w:t>
      </w:r>
    </w:p>
    <w:p>
      <w:pPr>
        <w:spacing w:after="0" w:line="178" w:lineRule="exact"/>
        <w:rPr>
          <w:rFonts w:ascii="Arial" w:cs="Arial" w:eastAsia="Arial" w:hAnsi="Arial"/>
          <w:sz w:val="17"/>
          <w:szCs w:val="17"/>
          <w:color w:val="auto"/>
        </w:rPr>
      </w:pPr>
    </w:p>
    <w:p>
      <w:pPr>
        <w:jc w:val="both"/>
        <w:ind w:firstLine="1952"/>
        <w:spacing w:after="0" w:line="293" w:lineRule="auto"/>
        <w:tabs>
          <w:tab w:leader="none" w:pos="2209" w:val="left"/>
        </w:tabs>
        <w:numPr>
          <w:ilvl w:val="1"/>
          <w:numId w:val="78"/>
        </w:numPr>
        <w:rPr>
          <w:rFonts w:ascii="Arial" w:cs="Arial" w:eastAsia="Arial" w:hAnsi="Arial"/>
          <w:sz w:val="16"/>
          <w:szCs w:val="16"/>
          <w:color w:val="auto"/>
        </w:rPr>
      </w:pPr>
      <w:r>
        <w:rPr>
          <w:rFonts w:ascii="Arial" w:cs="Arial" w:eastAsia="Arial" w:hAnsi="Arial"/>
          <w:sz w:val="16"/>
          <w:szCs w:val="16"/>
          <w:i w:val="1"/>
          <w:iCs w:val="1"/>
          <w:color w:val="auto"/>
        </w:rPr>
        <w:t>Transactions Contemplated Herein</w:t>
      </w:r>
      <w:r>
        <w:rPr>
          <w:rFonts w:ascii="Arial" w:cs="Arial" w:eastAsia="Arial" w:hAnsi="Arial"/>
          <w:sz w:val="16"/>
          <w:szCs w:val="16"/>
          <w:color w:val="auto"/>
        </w:rPr>
        <w:t>. The Company has all corporate power and authority to enter into this Agreement and to</w:t>
      </w:r>
      <w:r>
        <w:rPr>
          <w:rFonts w:ascii="Arial" w:cs="Arial" w:eastAsia="Arial" w:hAnsi="Arial"/>
          <w:sz w:val="16"/>
          <w:szCs w:val="16"/>
          <w:i w:val="1"/>
          <w:iCs w:val="1"/>
          <w:color w:val="auto"/>
        </w:rPr>
        <w:t xml:space="preserve"> </w:t>
      </w:r>
      <w:r>
        <w:rPr>
          <w:rFonts w:ascii="Arial" w:cs="Arial" w:eastAsia="Arial" w:hAnsi="Arial"/>
          <w:sz w:val="16"/>
          <w:szCs w:val="16"/>
          <w:color w:val="auto"/>
        </w:rPr>
        <w:t>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the Trust Agreement, the Services Agreement, the Subscription Agreement, and the Registration Rights Agreement and the Escrow Agreement and as contemplated by the Prospectus, except with respect to applicable federal and state securities laws and the rules and regulations promulgated by the Financial Industry Regulatory Authority (“FINRA”).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firstLine="1304"/>
        <w:spacing w:after="0" w:line="281" w:lineRule="auto"/>
        <w:tabs>
          <w:tab w:leader="none" w:pos="1591"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D&amp;O Questionnaires</w:t>
      </w:r>
      <w:r>
        <w:rPr>
          <w:rFonts w:ascii="Arial" w:cs="Arial" w:eastAsia="Arial" w:hAnsi="Arial"/>
          <w:sz w:val="17"/>
          <w:szCs w:val="17"/>
          <w:color w:val="auto"/>
        </w:rPr>
        <w:t>. To the Company’s knowledge, all information contained in the questionnaires (the “</w:t>
      </w:r>
      <w:r>
        <w:rPr>
          <w:rFonts w:ascii="Arial" w:cs="Arial" w:eastAsia="Arial" w:hAnsi="Arial"/>
          <w:sz w:val="17"/>
          <w:szCs w:val="17"/>
          <w:b w:val="1"/>
          <w:bCs w:val="1"/>
          <w:color w:val="auto"/>
        </w:rPr>
        <w:t>Questionnaires</w:t>
      </w:r>
      <w:r>
        <w:rPr>
          <w:rFonts w:ascii="Arial" w:cs="Arial" w:eastAsia="Arial" w:hAnsi="Arial"/>
          <w:sz w:val="17"/>
          <w:szCs w:val="17"/>
          <w:color w:val="auto"/>
        </w:rPr>
        <w:t>”) completed by the Company’s shareholders immediately prior to the Offering (the “</w:t>
      </w:r>
      <w:r>
        <w:rPr>
          <w:rFonts w:ascii="Arial" w:cs="Arial" w:eastAsia="Arial" w:hAnsi="Arial"/>
          <w:sz w:val="17"/>
          <w:szCs w:val="17"/>
          <w:b w:val="1"/>
          <w:bCs w:val="1"/>
          <w:color w:val="auto"/>
        </w:rPr>
        <w:t>Initial Shareholders</w:t>
      </w:r>
      <w:r>
        <w:rPr>
          <w:rFonts w:ascii="Arial" w:cs="Arial" w:eastAsia="Arial" w:hAnsi="Arial"/>
          <w:sz w:val="17"/>
          <w:szCs w:val="17"/>
          <w:color w:val="auto"/>
        </w:rPr>
        <w:t>”) and each of the Company’s officers and directors and provided to the Underwriter is true and correct and the Company has not become aware of any information which would cause the information disclosed in the questionnaires completed by the Initial Shareholders and each officer or director, to become inaccurate and incorrect.</w:t>
      </w:r>
    </w:p>
    <w:p>
      <w:pPr>
        <w:spacing w:after="0" w:line="168" w:lineRule="exact"/>
        <w:rPr>
          <w:rFonts w:ascii="Arial" w:cs="Arial" w:eastAsia="Arial" w:hAnsi="Arial"/>
          <w:sz w:val="17"/>
          <w:szCs w:val="17"/>
          <w:color w:val="auto"/>
        </w:rPr>
      </w:pPr>
    </w:p>
    <w:p>
      <w:pPr>
        <w:jc w:val="both"/>
        <w:ind w:firstLine="1304"/>
        <w:spacing w:after="0" w:line="259" w:lineRule="auto"/>
        <w:tabs>
          <w:tab w:leader="none" w:pos="160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Litigation; Governmental Proceedings</w:t>
      </w:r>
      <w:r>
        <w:rPr>
          <w:rFonts w:ascii="Arial" w:cs="Arial" w:eastAsia="Arial" w:hAnsi="Arial"/>
          <w:sz w:val="18"/>
          <w:szCs w:val="18"/>
          <w:color w:val="auto"/>
        </w:rPr>
        <w:t>. There is no action, suit, proceeding, inquiry, arbitration, investigation, litigation or governmental proceeding pending or, to the best of the Company’s knowledge, threatened against, or involving the Company or, to the best of the Company’s knowledge, the Initial Shareholders, which has not been disclosed in the Registration Statement, the Questionnaires, the Preliminary Prospectus and the Prospectus.</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5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Good Standing</w:t>
      </w:r>
      <w:r>
        <w:rPr>
          <w:rFonts w:ascii="Arial" w:cs="Arial" w:eastAsia="Arial" w:hAnsi="Arial"/>
          <w:sz w:val="18"/>
          <w:szCs w:val="18"/>
          <w:color w:val="auto"/>
        </w:rPr>
        <w:t>. The Company has been duly organized, is validly existing and is in good standing under the laws of its jurisdiction of organization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Company.</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5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 Contemplation of a Business Combination</w:t>
      </w:r>
      <w:r>
        <w:rPr>
          <w:rFonts w:ascii="Arial" w:cs="Arial" w:eastAsia="Arial" w:hAnsi="Arial"/>
          <w:sz w:val="18"/>
          <w:szCs w:val="18"/>
          <w:color w:val="auto"/>
        </w:rPr>
        <w:t>. Prior to the date hereof, neither the Company, its officers and directors nor the Initial Shareholders had, and as of the Closing, the Company and such officers and directors and Initial Shareholders will not have had: (i) any specific Business Combination under consideration or contemplation; or (ii) any substantive interactions or discussions with any target business regarding a possible Business Combination.</w:t>
      </w:r>
    </w:p>
    <w:p>
      <w:pPr>
        <w:spacing w:after="0" w:line="186" w:lineRule="exact"/>
        <w:rPr>
          <w:rFonts w:ascii="Arial" w:cs="Arial" w:eastAsia="Arial" w:hAnsi="Arial"/>
          <w:sz w:val="18"/>
          <w:szCs w:val="18"/>
          <w:color w:val="auto"/>
        </w:rPr>
      </w:pPr>
    </w:p>
    <w:p>
      <w:pPr>
        <w:ind w:left="1520" w:hanging="216"/>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Transactions Affecting Disclosure to FINRA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193" w:val="left"/>
        </w:tabs>
        <w:numPr>
          <w:ilvl w:val="1"/>
          <w:numId w:val="79"/>
        </w:numPr>
        <w:rPr>
          <w:rFonts w:ascii="Arial" w:cs="Arial" w:eastAsia="Arial" w:hAnsi="Arial"/>
          <w:sz w:val="18"/>
          <w:szCs w:val="18"/>
          <w:color w:val="auto"/>
        </w:rPr>
      </w:pPr>
      <w:r>
        <w:rPr>
          <w:rFonts w:ascii="Arial" w:cs="Arial" w:eastAsia="Arial" w:hAnsi="Arial"/>
          <w:sz w:val="18"/>
          <w:szCs w:val="18"/>
          <w:color w:val="auto"/>
        </w:rPr>
        <w:t>Except as described in the Preliminary Prospectus and/or the Prospectus, there are no claims, payments, arrangements, agreements or understandings relating to the payment of a finder’s, consulting or origination fee by the Company or the Initial Shareholders with respect to the sale of the Securities hereunder or any other arrangements, agreements or understandings of the Company or, to the Company’s knowledge, the Initial Shareholders that may affect the Underwriter’s compensation, as determined by FINRA.</w:t>
      </w:r>
    </w:p>
    <w:p>
      <w:pPr>
        <w:spacing w:after="0" w:line="186" w:lineRule="exact"/>
        <w:rPr>
          <w:rFonts w:ascii="Arial" w:cs="Arial" w:eastAsia="Arial" w:hAnsi="Arial"/>
          <w:sz w:val="18"/>
          <w:szCs w:val="18"/>
          <w:color w:val="auto"/>
        </w:rPr>
      </w:pPr>
    </w:p>
    <w:p>
      <w:pPr>
        <w:jc w:val="both"/>
        <w:ind w:firstLine="1952"/>
        <w:spacing w:after="0" w:line="279" w:lineRule="auto"/>
        <w:tabs>
          <w:tab w:leader="none" w:pos="2213"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twelve (12) months prior to the Effective Date, other than payments to the Representative.</w:t>
      </w:r>
    </w:p>
    <w:p>
      <w:pPr>
        <w:spacing w:after="0" w:line="171" w:lineRule="exact"/>
        <w:rPr>
          <w:rFonts w:ascii="Arial" w:cs="Arial" w:eastAsia="Arial" w:hAnsi="Arial"/>
          <w:sz w:val="17"/>
          <w:szCs w:val="17"/>
          <w:color w:val="auto"/>
        </w:rPr>
      </w:pPr>
    </w:p>
    <w:p>
      <w:pPr>
        <w:jc w:val="both"/>
        <w:ind w:firstLine="1952"/>
        <w:spacing w:after="0" w:line="263" w:lineRule="auto"/>
        <w:tabs>
          <w:tab w:leader="none" w:pos="2282"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 officer, director, or beneficial owner of any class of the Company’s securities (whether debt or equity, registered or unregistered, regardless of the time acquired or the source from which derived) (any such individual or entity, a “</w:t>
      </w:r>
      <w:r>
        <w:rPr>
          <w:rFonts w:ascii="Arial" w:cs="Arial" w:eastAsia="Arial" w:hAnsi="Arial"/>
          <w:sz w:val="18"/>
          <w:szCs w:val="18"/>
          <w:b w:val="1"/>
          <w:bCs w:val="1"/>
          <w:color w:val="auto"/>
        </w:rPr>
        <w:t>Company Affiliate</w:t>
      </w:r>
      <w:r>
        <w:rPr>
          <w:rFonts w:ascii="Arial" w:cs="Arial" w:eastAsia="Arial" w:hAnsi="Arial"/>
          <w:sz w:val="18"/>
          <w:szCs w:val="18"/>
          <w:color w:val="auto"/>
        </w:rPr>
        <w:t>”) is a member, a person associated, or affiliated with a member of FINRA.</w:t>
      </w:r>
    </w:p>
    <w:p>
      <w:pPr>
        <w:spacing w:after="0" w:line="183" w:lineRule="exact"/>
        <w:rPr>
          <w:rFonts w:ascii="Arial" w:cs="Arial" w:eastAsia="Arial" w:hAnsi="Arial"/>
          <w:sz w:val="18"/>
          <w:szCs w:val="18"/>
          <w:color w:val="auto"/>
        </w:rPr>
      </w:pPr>
    </w:p>
    <w:p>
      <w:pPr>
        <w:ind w:firstLine="1952"/>
        <w:spacing w:after="0" w:line="277" w:lineRule="auto"/>
        <w:tabs>
          <w:tab w:leader="none" w:pos="2252"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 Company Affiliate is an owner of stock or other securities of any member of FINRA (other than securities purchased on the open market), except as may be disclosed in the Questionnaires.</w:t>
      </w:r>
    </w:p>
    <w:p>
      <w:pPr>
        <w:spacing w:after="0" w:line="170" w:lineRule="exact"/>
        <w:rPr>
          <w:rFonts w:ascii="Arial" w:cs="Arial" w:eastAsia="Arial" w:hAnsi="Arial"/>
          <w:sz w:val="18"/>
          <w:szCs w:val="18"/>
          <w:color w:val="auto"/>
        </w:rPr>
      </w:pPr>
    </w:p>
    <w:p>
      <w:pPr>
        <w:ind w:left="2200" w:hanging="248"/>
        <w:spacing w:after="0"/>
        <w:tabs>
          <w:tab w:leader="none" w:pos="22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 Company Affiliate has made a subordinated loan to any member of FINRA.</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258"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 proceeds from the sale of the Public Securities (excluding underwriting compensation) or the Placement Shares will be paid to any FINRA member, or any persons associated or affiliated with a member of FINRA, except as specifically authorized herein and in the Subscription Agreement.</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299"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3" w:lineRule="exact"/>
        <w:rPr>
          <w:rFonts w:ascii="Arial" w:cs="Arial" w:eastAsia="Arial" w:hAnsi="Arial"/>
          <w:sz w:val="18"/>
          <w:szCs w:val="18"/>
          <w:color w:val="auto"/>
        </w:rPr>
      </w:pPr>
    </w:p>
    <w:p>
      <w:pPr>
        <w:ind w:right="20" w:firstLine="1952"/>
        <w:spacing w:after="0" w:line="277" w:lineRule="auto"/>
        <w:tabs>
          <w:tab w:leader="none" w:pos="2366"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 person to whom securities of the Company have been privately issued within the 180-day period prior to the initial filing date of the Registration Statement has any relationship or affiliation or association with any member of FINRA.</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1952"/>
        <w:spacing w:after="0" w:line="301" w:lineRule="auto"/>
        <w:tabs>
          <w:tab w:leader="none" w:pos="2254" w:val="left"/>
        </w:tabs>
        <w:numPr>
          <w:ilvl w:val="1"/>
          <w:numId w:val="80"/>
        </w:numPr>
        <w:rPr>
          <w:rFonts w:ascii="Arial" w:cs="Arial" w:eastAsia="Arial" w:hAnsi="Arial"/>
          <w:sz w:val="16"/>
          <w:szCs w:val="16"/>
          <w:color w:val="auto"/>
        </w:rPr>
      </w:pPr>
      <w:r>
        <w:rPr>
          <w:rFonts w:ascii="Arial" w:cs="Arial" w:eastAsia="Arial" w:hAnsi="Arial"/>
          <w:sz w:val="16"/>
          <w:szCs w:val="16"/>
          <w:color w:val="auto"/>
        </w:rPr>
        <w:t>To the Company’s knowledge, no FINRA member intending to participate in the Offering has a conflict of interest with the Company. For this purpose, a “conflict of interest” exists when a member of FINRA and its associated persons, parent or affiliates in the aggregate beneficially own 10% or more of the Company’s outstanding subordinated debt or common equity, or 10% or more of the Company’s preferred equity. “Members participating in the Offering” include managing agents, syndicate group members and all dealers which are members of FINRA.</w:t>
      </w:r>
    </w:p>
    <w:p>
      <w:pPr>
        <w:spacing w:after="0" w:line="157" w:lineRule="exact"/>
        <w:rPr>
          <w:rFonts w:ascii="Arial" w:cs="Arial" w:eastAsia="Arial" w:hAnsi="Arial"/>
          <w:sz w:val="16"/>
          <w:szCs w:val="16"/>
          <w:color w:val="auto"/>
        </w:rPr>
      </w:pPr>
    </w:p>
    <w:p>
      <w:pPr>
        <w:jc w:val="both"/>
        <w:ind w:firstLine="1952"/>
        <w:spacing w:after="0" w:line="257" w:lineRule="auto"/>
        <w:tabs>
          <w:tab w:leader="none" w:pos="2205" w:val="left"/>
        </w:tabs>
        <w:numPr>
          <w:ilvl w:val="1"/>
          <w:numId w:val="80"/>
        </w:numPr>
        <w:rPr>
          <w:rFonts w:ascii="Arial" w:cs="Arial" w:eastAsia="Arial" w:hAnsi="Arial"/>
          <w:sz w:val="18"/>
          <w:szCs w:val="18"/>
          <w:color w:val="auto"/>
        </w:rPr>
      </w:pPr>
      <w:r>
        <w:rPr>
          <w:rFonts w:ascii="Arial" w:cs="Arial" w:eastAsia="Arial" w:hAnsi="Arial"/>
          <w:sz w:val="18"/>
          <w:szCs w:val="18"/>
          <w:color w:val="auto"/>
        </w:rPr>
        <w:t>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which arrangement or agreement provides for the receipt of any item of value and/or the transfer of any warrants, options, or other securities from the Company to a FINRA member, any person associated with a member (as defined by FINRA rules), any potential underwriters in the Offering and any related persons.</w:t>
      </w:r>
    </w:p>
    <w:p>
      <w:pPr>
        <w:spacing w:after="0" w:line="187" w:lineRule="exact"/>
        <w:rPr>
          <w:rFonts w:ascii="Arial" w:cs="Arial" w:eastAsia="Arial" w:hAnsi="Arial"/>
          <w:sz w:val="18"/>
          <w:szCs w:val="18"/>
          <w:color w:val="auto"/>
        </w:rPr>
      </w:pPr>
    </w:p>
    <w:p>
      <w:pPr>
        <w:jc w:val="both"/>
        <w:ind w:firstLine="1304"/>
        <w:spacing w:after="0" w:line="288" w:lineRule="auto"/>
        <w:tabs>
          <w:tab w:leader="none" w:pos="1531"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nor the Initial Shareholders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on the assets, business or operations of the Company as reflected in any of the financial statements contained in the Registration Statement, the Preliminary Prospectus and/or the Prospectus; or (iii) if not continued in the future, might adversely affect the assets, business, operations or prospects of the Company. The Company’s internal accounting controls and procedures are sufficient to cause the Company to comply with the Foreign Corrupt Practices Act of 1977, as amended.</w:t>
      </w:r>
    </w:p>
    <w:p>
      <w:pPr>
        <w:spacing w:after="0" w:line="168" w:lineRule="exact"/>
        <w:rPr>
          <w:rFonts w:ascii="Arial" w:cs="Arial" w:eastAsia="Arial" w:hAnsi="Arial"/>
          <w:sz w:val="16"/>
          <w:szCs w:val="16"/>
          <w:color w:val="auto"/>
        </w:rPr>
      </w:pPr>
    </w:p>
    <w:p>
      <w:pPr>
        <w:jc w:val="both"/>
        <w:ind w:firstLine="1304"/>
        <w:spacing w:after="0" w:line="259" w:lineRule="auto"/>
        <w:tabs>
          <w:tab w:leader="none" w:pos="152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Neither the Company nor, to the Company’s knowledge, any officer, director or Initial Shareholder has violated: (i) the Bank Secrecy Act, as amended; (ii) the Money Laundering Control Act of 1986, as amended; or (iii) the Uniting and Strengthening of America by Providing Appropriate Tools Required to Intercept and Obstruct Terrorism (USA PATRIOT ACT) Act of 2001, and/or the rules and regulations promulgated under any such law, or any successor law.</w:t>
      </w:r>
    </w:p>
    <w:p>
      <w:pPr>
        <w:spacing w:after="0" w:line="186" w:lineRule="exact"/>
        <w:rPr>
          <w:rFonts w:ascii="Arial" w:cs="Arial" w:eastAsia="Arial" w:hAnsi="Arial"/>
          <w:sz w:val="18"/>
          <w:szCs w:val="18"/>
          <w:color w:val="auto"/>
        </w:rPr>
      </w:pPr>
    </w:p>
    <w:p>
      <w:pPr>
        <w:ind w:firstLine="1304"/>
        <w:spacing w:after="0" w:line="342" w:lineRule="auto"/>
        <w:tabs>
          <w:tab w:leader="none" w:pos="1551"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Any certificate signed by any duly authorized officer of the Company and delivered to the Representative or to the Representative’s counsel shall be deemed a representation and warranty by the Company to the Underwriter as to the matters covered thereby.</w:t>
      </w:r>
    </w:p>
    <w:p>
      <w:pPr>
        <w:spacing w:after="0" w:line="123" w:lineRule="exact"/>
        <w:rPr>
          <w:rFonts w:ascii="Arial" w:cs="Arial" w:eastAsia="Arial" w:hAnsi="Arial"/>
          <w:sz w:val="16"/>
          <w:szCs w:val="16"/>
          <w:color w:val="auto"/>
        </w:rPr>
      </w:pPr>
    </w:p>
    <w:p>
      <w:pPr>
        <w:ind w:left="1560" w:hanging="256"/>
        <w:spacing w:after="0"/>
        <w:tabs>
          <w:tab w:leader="none" w:pos="15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Agreements With Officers, Directors and Initial Shareholders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5" w:lineRule="auto"/>
        <w:tabs>
          <w:tab w:leader="none" w:pos="2159"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Insider Letters</w:t>
      </w:r>
      <w:r>
        <w:rPr>
          <w:rFonts w:ascii="Arial" w:cs="Arial" w:eastAsia="Arial" w:hAnsi="Arial"/>
          <w:sz w:val="18"/>
          <w:szCs w:val="18"/>
          <w:color w:val="auto"/>
        </w:rPr>
        <w:t>. The Company has caused to be duly executed legally binding and enforceable agreements (except: (i)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enforceability may be limited by bankruptcy, insolvency, reorganization or similar laws affecting creditors’ rights generally; (ii) as enforceability of any indemnification, contribution or non-compete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 annexed as exhibits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 pursuant to which each of the officers, directors and Initial Shareholders of the Company agree to certain matters.</w:t>
      </w:r>
    </w:p>
    <w:p>
      <w:pPr>
        <w:spacing w:after="0" w:line="192" w:lineRule="exact"/>
        <w:rPr>
          <w:rFonts w:ascii="Arial" w:cs="Arial" w:eastAsia="Arial" w:hAnsi="Arial"/>
          <w:sz w:val="18"/>
          <w:szCs w:val="18"/>
          <w:color w:val="auto"/>
        </w:rPr>
      </w:pPr>
    </w:p>
    <w:p>
      <w:pPr>
        <w:ind w:right="20" w:firstLine="1952"/>
        <w:spacing w:after="0" w:line="342" w:lineRule="auto"/>
        <w:tabs>
          <w:tab w:leader="none" w:pos="2209" w:val="left"/>
        </w:tabs>
        <w:numPr>
          <w:ilvl w:val="1"/>
          <w:numId w:val="81"/>
        </w:numPr>
        <w:rPr>
          <w:rFonts w:ascii="Arial" w:cs="Arial" w:eastAsia="Arial" w:hAnsi="Arial"/>
          <w:sz w:val="16"/>
          <w:szCs w:val="16"/>
          <w:color w:val="auto"/>
        </w:rPr>
      </w:pPr>
      <w:r>
        <w:rPr>
          <w:rFonts w:ascii="Arial" w:cs="Arial" w:eastAsia="Arial" w:hAnsi="Arial"/>
          <w:sz w:val="16"/>
          <w:szCs w:val="16"/>
          <w:i w:val="1"/>
          <w:iCs w:val="1"/>
          <w:color w:val="auto"/>
        </w:rPr>
        <w:t>Subscription Agreement</w:t>
      </w:r>
      <w:r>
        <w:rPr>
          <w:rFonts w:ascii="Arial" w:cs="Arial" w:eastAsia="Arial" w:hAnsi="Arial"/>
          <w:sz w:val="16"/>
          <w:szCs w:val="16"/>
          <w:color w:val="auto"/>
        </w:rPr>
        <w:t>. Sponsor has executed and delivered an agreement, the form of which is attached as an exhibit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 pursuant to which Sponsor, among other things, will purchase the Placement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jc w:val="both"/>
        <w:ind w:firstLine="1952"/>
        <w:spacing w:after="0" w:line="259" w:lineRule="auto"/>
        <w:tabs>
          <w:tab w:leader="none" w:pos="2259"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The Company and the Initial Shareholders have entered into a registration rights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substantially in the form annexed as an exhibit to the Registration Statement, whereby the parties will be entitled to certain registration rights with respect to their securities, as set forth in such Registration Rights Agreement and described more fully in the Registration Statement.</w:t>
      </w:r>
    </w:p>
    <w:p>
      <w:pPr>
        <w:spacing w:after="0" w:line="182" w:lineRule="exact"/>
        <w:rPr>
          <w:rFonts w:ascii="Arial" w:cs="Arial" w:eastAsia="Arial" w:hAnsi="Arial"/>
          <w:sz w:val="18"/>
          <w:szCs w:val="18"/>
          <w:color w:val="auto"/>
        </w:rPr>
      </w:pPr>
    </w:p>
    <w:p>
      <w:pPr>
        <w:jc w:val="both"/>
        <w:ind w:firstLine="1952"/>
        <w:spacing w:after="0" w:line="254" w:lineRule="auto"/>
        <w:tabs>
          <w:tab w:leader="none" w:pos="2276"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Escrow Agreement</w:t>
      </w:r>
      <w:r>
        <w:rPr>
          <w:rFonts w:ascii="Arial" w:cs="Arial" w:eastAsia="Arial" w:hAnsi="Arial"/>
          <w:sz w:val="18"/>
          <w:szCs w:val="18"/>
          <w:color w:val="auto"/>
        </w:rPr>
        <w:t>. The Company has caused the Initial Shareholders to enter into an escrow agreement (the “</w:t>
      </w:r>
      <w:r>
        <w:rPr>
          <w:rFonts w:ascii="Arial" w:cs="Arial" w:eastAsia="Arial" w:hAnsi="Arial"/>
          <w:sz w:val="18"/>
          <w:szCs w:val="18"/>
          <w:b w:val="1"/>
          <w:bCs w:val="1"/>
          <w:color w:val="auto"/>
        </w:rPr>
        <w:t>Escrow</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Continental Stock Transfer &amp; Trust Company substantially in the form filed as an exhibit to the Registration Statement,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owned by the Initial Shareholders will be held in escrow during the period in which they are subject to the transfer restrictions as set forth in the Prospectus. During such escrow period, the Initial Shareholders shall be prohibited from selling or otherwise transferring such shares (except as otherwise set forth in the Escrow Agreement) but will retain the right to vote any such shares of Common Stock. To the Company’s knowledge, the Escrow Agreement is enforceable against each of the Initial Shareholders and will not, with or without the giving of notice or the lapse of time or both, result in a breach of, or conflict with any of the terms and provisions of, or constitute a default under, any agreement or instrument to which any of the Initial Shareholders is a party.</w:t>
      </w:r>
    </w:p>
    <w:p>
      <w:pPr>
        <w:spacing w:after="0" w:line="195" w:lineRule="exact"/>
        <w:rPr>
          <w:rFonts w:ascii="Arial" w:cs="Arial" w:eastAsia="Arial" w:hAnsi="Arial"/>
          <w:sz w:val="18"/>
          <w:szCs w:val="18"/>
          <w:color w:val="auto"/>
        </w:rPr>
      </w:pPr>
    </w:p>
    <w:p>
      <w:pPr>
        <w:ind w:right="20" w:firstLine="1304"/>
        <w:spacing w:after="0" w:line="277" w:lineRule="auto"/>
        <w:tabs>
          <w:tab w:leader="none" w:pos="160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Investment Management Trust Agreement</w:t>
      </w:r>
      <w:r>
        <w:rPr>
          <w:rFonts w:ascii="Arial" w:cs="Arial" w:eastAsia="Arial" w:hAnsi="Arial"/>
          <w:sz w:val="18"/>
          <w:szCs w:val="18"/>
          <w:color w:val="auto"/>
        </w:rPr>
        <w:t>. The Company has entered into the Trust Agreement with respect to certain proceeds of the Offering and the Private Placement substantially in the form filed as an exhibit to the Registration Statement.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6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Covenants Not to Compete</w:t>
      </w:r>
      <w:r>
        <w:rPr>
          <w:rFonts w:ascii="Arial" w:cs="Arial" w:eastAsia="Arial" w:hAnsi="Arial"/>
          <w:sz w:val="18"/>
          <w:szCs w:val="18"/>
          <w:color w:val="auto"/>
        </w:rPr>
        <w:t>. To the Company’s knowledge, the officers and directors of the Company are not subject to any non-competition agreement or non-solicitation agreement with any employer or prior employer which could materially affect its ability to be an employee, officer or director of the Company.</w:t>
      </w:r>
    </w:p>
    <w:p>
      <w:pPr>
        <w:spacing w:after="0" w:line="183" w:lineRule="exact"/>
        <w:rPr>
          <w:rFonts w:ascii="Arial" w:cs="Arial" w:eastAsia="Arial" w:hAnsi="Arial"/>
          <w:sz w:val="18"/>
          <w:szCs w:val="18"/>
          <w:color w:val="auto"/>
        </w:rPr>
      </w:pPr>
    </w:p>
    <w:p>
      <w:pPr>
        <w:jc w:val="both"/>
        <w:ind w:right="20" w:firstLine="1304"/>
        <w:spacing w:after="0" w:line="263" w:lineRule="auto"/>
        <w:tabs>
          <w:tab w:leader="none" w:pos="155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No more than 45% of the “value” (as defined in Section 2(a)(41) of the Investment Company Act of 1940, as amended (the “Investment Company Act”)) of the Company’s total assets consist of, and no more than 45% of the Company’s net income after taxes is derived from, securities other than “</w:t>
      </w:r>
      <w:r>
        <w:rPr>
          <w:rFonts w:ascii="Arial" w:cs="Arial" w:eastAsia="Arial" w:hAnsi="Arial"/>
          <w:sz w:val="18"/>
          <w:szCs w:val="18"/>
          <w:b w:val="1"/>
          <w:bCs w:val="1"/>
          <w:color w:val="auto"/>
        </w:rPr>
        <w:t>Government Securities</w:t>
      </w:r>
      <w:r>
        <w:rPr>
          <w:rFonts w:ascii="Arial" w:cs="Arial" w:eastAsia="Arial" w:hAnsi="Arial"/>
          <w:sz w:val="18"/>
          <w:szCs w:val="18"/>
          <w:color w:val="auto"/>
        </w:rPr>
        <w:t>” (as defined in Section 2(a)(16) of the Investment Company Act).</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Subsidiaries</w:t>
      </w:r>
      <w:r>
        <w:rPr>
          <w:rFonts w:ascii="Arial" w:cs="Arial" w:eastAsia="Arial" w:hAnsi="Arial"/>
          <w:sz w:val="16"/>
          <w:szCs w:val="16"/>
          <w:color w:val="auto"/>
        </w:rPr>
        <w:t>. The Company does not own an interest in any corporation, partnership, limited liability company, joint venture, trust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business entity.</w:t>
      </w:r>
    </w:p>
    <w:p>
      <w:pPr>
        <w:spacing w:after="0" w:line="211" w:lineRule="exact"/>
        <w:rPr>
          <w:sz w:val="20"/>
          <w:szCs w:val="20"/>
          <w:color w:val="auto"/>
        </w:rPr>
      </w:pPr>
    </w:p>
    <w:p>
      <w:pPr>
        <w:jc w:val="both"/>
        <w:ind w:firstLine="1304"/>
        <w:spacing w:after="0" w:line="271" w:lineRule="auto"/>
        <w:tabs>
          <w:tab w:leader="none" w:pos="1647"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No relationship, direct or indirect, exists between or among any of the Company or any Company Affiliate, on the one hand, and any director, officer, shareholder, customer or supplier of the Company or any Company Affiliate, on the other hand, which is required by the Act, the Exchange Act or the Regulations to be described in the Registration Statement, the Preliminary Prospectus and/or the Prospectus which is not so described and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Preliminary Prospectus and/or the Prospectus. The Company has not extended or maintained credit, arranged for the extension of credit, or renewed an extension of credit, in the form of a personal loan to or for any director or officer of the Company.</w:t>
      </w:r>
    </w:p>
    <w:p>
      <w:pPr>
        <w:spacing w:after="0" w:line="178" w:lineRule="exact"/>
        <w:rPr>
          <w:rFonts w:ascii="Arial" w:cs="Arial" w:eastAsia="Arial" w:hAnsi="Arial"/>
          <w:sz w:val="17"/>
          <w:szCs w:val="17"/>
          <w:color w:val="auto"/>
        </w:rPr>
      </w:pPr>
    </w:p>
    <w:p>
      <w:pPr>
        <w:jc w:val="both"/>
        <w:ind w:firstLine="1304"/>
        <w:spacing w:after="0" w:line="259" w:lineRule="auto"/>
        <w:tabs>
          <w:tab w:leader="none" w:pos="164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 Influence</w:t>
      </w:r>
      <w:r>
        <w:rPr>
          <w:rFonts w:ascii="Arial" w:cs="Arial" w:eastAsia="Arial" w:hAnsi="Arial"/>
          <w:sz w:val="18"/>
          <w:szCs w:val="18"/>
          <w:color w:val="auto"/>
        </w:rPr>
        <w:t>. The Company has not offered, or caused the Underwriter to offer, the Firm Securities to any person or entity with the intention of unlawfully influencing: (i) a customer or supplier of the Company or any Company Affiliate to alter the customer’s or supplier’s level or type of business with the Company or such affiliate; or (ii) a journalist or publication to write or publish favorable information about the Company or any such affiliate.</w:t>
      </w:r>
    </w:p>
    <w:p>
      <w:pPr>
        <w:spacing w:after="0" w:line="186" w:lineRule="exact"/>
        <w:rPr>
          <w:rFonts w:ascii="Arial" w:cs="Arial" w:eastAsia="Arial" w:hAnsi="Arial"/>
          <w:sz w:val="18"/>
          <w:szCs w:val="18"/>
          <w:color w:val="auto"/>
        </w:rPr>
      </w:pPr>
    </w:p>
    <w:p>
      <w:pPr>
        <w:jc w:val="both"/>
        <w:ind w:firstLine="1304"/>
        <w:spacing w:after="0" w:line="311" w:lineRule="auto"/>
        <w:tabs>
          <w:tab w:leader="none" w:pos="162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Trading of the Public Securities on the Nasdaq Capital Market</w:t>
      </w:r>
      <w:r>
        <w:rPr>
          <w:rFonts w:ascii="Arial" w:cs="Arial" w:eastAsia="Arial" w:hAnsi="Arial"/>
          <w:sz w:val="16"/>
          <w:szCs w:val="16"/>
          <w:color w:val="auto"/>
        </w:rPr>
        <w:t>. As of the Effective Date and the Closing Date, the Public Securities will have been authorized for listing on the Nasdaq Capital Market and no proceedings have been instituted or threatened which would effect, and no event or circumstance has occurred as of the Effective Date which is reasonably likely to effect, the listing of the Public Securities on the Nasdaq Capital Market.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both"/>
        <w:ind w:firstLine="1304"/>
        <w:spacing w:after="0" w:line="266" w:lineRule="auto"/>
        <w:tabs>
          <w:tab w:leader="none" w:pos="1641"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Definition of “Knowledge</w:t>
      </w:r>
      <w:r>
        <w:rPr>
          <w:rFonts w:ascii="Arial" w:cs="Arial" w:eastAsia="Arial" w:hAnsi="Arial"/>
          <w:sz w:val="18"/>
          <w:szCs w:val="18"/>
          <w:color w:val="auto"/>
        </w:rPr>
        <w:t>”. As used in this Agreement, the term “</w:t>
      </w:r>
      <w:r>
        <w:rPr>
          <w:rFonts w:ascii="Arial" w:cs="Arial" w:eastAsia="Arial" w:hAnsi="Arial"/>
          <w:sz w:val="18"/>
          <w:szCs w:val="18"/>
          <w:b w:val="1"/>
          <w:bCs w:val="1"/>
          <w:color w:val="auto"/>
        </w:rPr>
        <w:t>knowledge of the Company</w:t>
      </w:r>
      <w:r>
        <w:rPr>
          <w:rFonts w:ascii="Arial" w:cs="Arial" w:eastAsia="Arial" w:hAnsi="Arial"/>
          <w:sz w:val="18"/>
          <w:szCs w:val="18"/>
          <w:color w:val="auto"/>
        </w:rPr>
        <w:t>” (or similar language) shall mean the knowledge of the officers and directors of the Company who are named in the Prospectus, with the assumption that such officers and directors shall have made reasonable and diligent inquiry of the matters presented.</w:t>
      </w:r>
    </w:p>
    <w:p>
      <w:pPr>
        <w:spacing w:after="0" w:line="175" w:lineRule="exact"/>
        <w:rPr>
          <w:rFonts w:ascii="Arial" w:cs="Arial" w:eastAsia="Arial" w:hAnsi="Arial"/>
          <w:sz w:val="18"/>
          <w:szCs w:val="18"/>
          <w:color w:val="auto"/>
        </w:rPr>
      </w:pP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Covenants of the Company</w:t>
      </w:r>
      <w:r>
        <w:rPr>
          <w:rFonts w:ascii="Arial" w:cs="Arial" w:eastAsia="Arial" w:hAnsi="Arial"/>
          <w:sz w:val="18"/>
          <w:szCs w:val="18"/>
          <w:color w:val="auto"/>
        </w:rPr>
        <w:t>. The Company covenants and agrees as follows:</w:t>
      </w:r>
    </w:p>
    <w:p>
      <w:pPr>
        <w:spacing w:after="0" w:line="229" w:lineRule="exact"/>
        <w:rPr>
          <w:rFonts w:ascii="Arial" w:cs="Arial" w:eastAsia="Arial" w:hAnsi="Arial"/>
          <w:sz w:val="18"/>
          <w:szCs w:val="18"/>
          <w:color w:val="auto"/>
        </w:rPr>
      </w:pPr>
    </w:p>
    <w:p>
      <w:pPr>
        <w:jc w:val="both"/>
        <w:ind w:firstLine="1304"/>
        <w:spacing w:after="0" w:line="263" w:lineRule="auto"/>
        <w:tabs>
          <w:tab w:leader="none" w:pos="1581"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will deliver to the Representative, prior to filing, any amendment or supplement to the Registration Statement or Prospectus proposed to be filed after the Effective Date and will not file any such amendment or supplement to which the Representative shall reasonably object in writing.</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Federal Securities Laws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88" w:lineRule="auto"/>
        <w:tabs>
          <w:tab w:leader="none" w:pos="2186" w:val="left"/>
        </w:tabs>
        <w:numPr>
          <w:ilvl w:val="2"/>
          <w:numId w:val="86"/>
        </w:numPr>
        <w:rPr>
          <w:rFonts w:ascii="Arial" w:cs="Arial" w:eastAsia="Arial" w:hAnsi="Arial"/>
          <w:sz w:val="16"/>
          <w:szCs w:val="16"/>
          <w:color w:val="auto"/>
        </w:rPr>
      </w:pPr>
      <w:r>
        <w:rPr>
          <w:rFonts w:ascii="Arial" w:cs="Arial" w:eastAsia="Arial" w:hAnsi="Arial"/>
          <w:sz w:val="16"/>
          <w:szCs w:val="16"/>
          <w:i w:val="1"/>
          <w:iCs w:val="1"/>
          <w:color w:val="auto"/>
        </w:rPr>
        <w:t>Compliance</w:t>
      </w:r>
      <w:r>
        <w:rPr>
          <w:rFonts w:ascii="Arial" w:cs="Arial" w:eastAsia="Arial" w:hAnsi="Arial"/>
          <w:sz w:val="16"/>
          <w:szCs w:val="16"/>
          <w:color w:val="auto"/>
        </w:rPr>
        <w:t>. During the time when a Prospectus is required to be delivered under the Act, the Company will use all</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Prospectus to comply with the Act, the Company will notify the Representative promptly and prepare and file with the Commission, subject to Section 3(a) above hereof, an appropriate amendment to the Registration Statement or amendment or supplement to the Prospectus (at the expense of the Company) so as to correct such statement or omission or effect such compliance.</w:t>
      </w:r>
    </w:p>
    <w:p>
      <w:pPr>
        <w:spacing w:after="0" w:line="168" w:lineRule="exact"/>
        <w:rPr>
          <w:rFonts w:ascii="Arial" w:cs="Arial" w:eastAsia="Arial" w:hAnsi="Arial"/>
          <w:sz w:val="16"/>
          <w:szCs w:val="16"/>
          <w:color w:val="auto"/>
        </w:rPr>
      </w:pPr>
    </w:p>
    <w:p>
      <w:pPr>
        <w:ind w:firstLine="1952"/>
        <w:spacing w:after="0" w:line="277" w:lineRule="auto"/>
        <w:tabs>
          <w:tab w:leader="none" w:pos="2209" w:val="left"/>
        </w:tabs>
        <w:numPr>
          <w:ilvl w:val="2"/>
          <w:numId w:val="86"/>
        </w:numPr>
        <w:rPr>
          <w:rFonts w:ascii="Arial" w:cs="Arial" w:eastAsia="Arial" w:hAnsi="Arial"/>
          <w:sz w:val="18"/>
          <w:szCs w:val="18"/>
          <w:color w:val="auto"/>
        </w:rPr>
      </w:pPr>
      <w:r>
        <w:rPr>
          <w:rFonts w:ascii="Arial" w:cs="Arial" w:eastAsia="Arial" w:hAnsi="Arial"/>
          <w:sz w:val="18"/>
          <w:szCs w:val="18"/>
          <w:i w:val="1"/>
          <w:iCs w:val="1"/>
          <w:color w:val="auto"/>
        </w:rPr>
        <w:t>Filing of Final Prospectus</w:t>
      </w:r>
      <w:r>
        <w:rPr>
          <w:rFonts w:ascii="Arial" w:cs="Arial" w:eastAsia="Arial" w:hAnsi="Arial"/>
          <w:sz w:val="18"/>
          <w:szCs w:val="18"/>
          <w:color w:val="auto"/>
        </w:rPr>
        <w:t>. The Company will file the Prospectus (in form and substance satisfactory to the Representative)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Commission pursuant to the requirements of Rule 424 of the Regulations.</w:t>
      </w:r>
    </w:p>
    <w:p>
      <w:pPr>
        <w:spacing w:after="0" w:line="170" w:lineRule="exact"/>
        <w:rPr>
          <w:rFonts w:ascii="Arial" w:cs="Arial" w:eastAsia="Arial" w:hAnsi="Arial"/>
          <w:sz w:val="18"/>
          <w:szCs w:val="18"/>
          <w:color w:val="auto"/>
        </w:rPr>
      </w:pPr>
    </w:p>
    <w:p>
      <w:pPr>
        <w:jc w:val="both"/>
        <w:ind w:firstLine="1952"/>
        <w:spacing w:after="0" w:line="311" w:lineRule="auto"/>
        <w:tabs>
          <w:tab w:leader="none" w:pos="2259" w:val="left"/>
        </w:tabs>
        <w:numPr>
          <w:ilvl w:val="2"/>
          <w:numId w:val="86"/>
        </w:numPr>
        <w:rPr>
          <w:rFonts w:ascii="Arial" w:cs="Arial" w:eastAsia="Arial" w:hAnsi="Arial"/>
          <w:sz w:val="16"/>
          <w:szCs w:val="16"/>
          <w:color w:val="auto"/>
        </w:rPr>
      </w:pPr>
      <w:r>
        <w:rPr>
          <w:rFonts w:ascii="Arial" w:cs="Arial" w:eastAsia="Arial" w:hAnsi="Arial"/>
          <w:sz w:val="16"/>
          <w:szCs w:val="16"/>
          <w:i w:val="1"/>
          <w:iCs w:val="1"/>
          <w:color w:val="auto"/>
        </w:rPr>
        <w:t>Exchange Act Registration</w:t>
      </w:r>
      <w:r>
        <w:rPr>
          <w:rFonts w:ascii="Arial" w:cs="Arial" w:eastAsia="Arial" w:hAnsi="Arial"/>
          <w:sz w:val="16"/>
          <w:szCs w:val="16"/>
          <w:color w:val="auto"/>
        </w:rPr>
        <w:t>. For a period of five (5) years from the Effective Date, or until such earlier time upon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is required to be liquidated, the Company will use its best efforts to maintain the registration of the Company’s shares of Common Stock under the provisions of the Exchange Act. The Company will not deregister the shares of Common Stock without the prior written consent of the Representative.</w:t>
      </w:r>
    </w:p>
    <w:p>
      <w:pPr>
        <w:spacing w:after="0" w:line="148" w:lineRule="exact"/>
        <w:rPr>
          <w:rFonts w:ascii="Arial" w:cs="Arial" w:eastAsia="Arial" w:hAnsi="Arial"/>
          <w:sz w:val="16"/>
          <w:szCs w:val="16"/>
          <w:color w:val="auto"/>
        </w:rPr>
      </w:pPr>
    </w:p>
    <w:p>
      <w:pPr>
        <w:jc w:val="both"/>
        <w:ind w:firstLine="1952"/>
        <w:spacing w:after="0" w:line="259" w:lineRule="auto"/>
        <w:tabs>
          <w:tab w:leader="none" w:pos="2262" w:val="left"/>
        </w:tabs>
        <w:numPr>
          <w:ilvl w:val="2"/>
          <w:numId w:val="86"/>
        </w:numPr>
        <w:rPr>
          <w:rFonts w:ascii="Arial" w:cs="Arial" w:eastAsia="Arial" w:hAnsi="Arial"/>
          <w:sz w:val="18"/>
          <w:szCs w:val="18"/>
          <w:color w:val="auto"/>
        </w:rPr>
      </w:pPr>
      <w:r>
        <w:rPr>
          <w:rFonts w:ascii="Arial" w:cs="Arial" w:eastAsia="Arial" w:hAnsi="Arial"/>
          <w:sz w:val="18"/>
          <w:szCs w:val="18"/>
          <w:i w:val="1"/>
          <w:iCs w:val="1"/>
          <w:color w:val="auto"/>
        </w:rPr>
        <w:t>Sarbanes-Oxley Compliance</w:t>
      </w:r>
      <w:r>
        <w:rPr>
          <w:rFonts w:ascii="Arial" w:cs="Arial" w:eastAsia="Arial" w:hAnsi="Arial"/>
          <w:sz w:val="18"/>
          <w:szCs w:val="18"/>
          <w:color w:val="auto"/>
        </w:rPr>
        <w:t>. As soon as it is legally required to do so, the Company shall take all actions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obtain and thereafter maintain material compliance with each applicable provision of the Sarbanes-Oxley Act of 2002, as amended, and the rules and regulations promulgated thereunder and related or similar rules and regulations promulgated by any other governmental or self-regulatory entity or agency with jurisdiction over the Company.</w:t>
      </w:r>
    </w:p>
    <w:p>
      <w:pPr>
        <w:spacing w:after="0" w:line="186" w:lineRule="exact"/>
        <w:rPr>
          <w:rFonts w:ascii="Arial" w:cs="Arial" w:eastAsia="Arial" w:hAnsi="Arial"/>
          <w:sz w:val="18"/>
          <w:szCs w:val="18"/>
          <w:color w:val="auto"/>
        </w:rPr>
      </w:pPr>
    </w:p>
    <w:p>
      <w:pPr>
        <w:jc w:val="both"/>
        <w:ind w:firstLine="1952"/>
        <w:spacing w:after="0" w:line="291" w:lineRule="auto"/>
        <w:tabs>
          <w:tab w:leader="none" w:pos="2199" w:val="left"/>
        </w:tabs>
        <w:numPr>
          <w:ilvl w:val="2"/>
          <w:numId w:val="86"/>
        </w:numPr>
        <w:rPr>
          <w:rFonts w:ascii="Arial" w:cs="Arial" w:eastAsia="Arial" w:hAnsi="Arial"/>
          <w:sz w:val="16"/>
          <w:szCs w:val="16"/>
          <w:color w:val="auto"/>
        </w:rPr>
      </w:pPr>
      <w:r>
        <w:rPr>
          <w:rFonts w:ascii="Arial" w:cs="Arial" w:eastAsia="Arial" w:hAnsi="Arial"/>
          <w:sz w:val="16"/>
          <w:szCs w:val="16"/>
          <w:i w:val="1"/>
          <w:iCs w:val="1"/>
          <w:color w:val="auto"/>
        </w:rPr>
        <w:t>Blue Sky Filing</w:t>
      </w:r>
      <w:r>
        <w:rPr>
          <w:rFonts w:ascii="Arial" w:cs="Arial" w:eastAsia="Arial" w:hAnsi="Arial"/>
          <w:sz w:val="16"/>
          <w:szCs w:val="16"/>
          <w:color w:val="auto"/>
        </w:rPr>
        <w:t>. Unless the Public Securities are listed on the Nasdaq Capital Market or another national securities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at its expense, will endeavor in good faith, in cooperation with the Representative, at or prior to the time the Registration Statement becomes effective, to qualify the Public Securities for offering and sale under the securities laws of such jurisdictions as the Representative may reasonably designate</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no such qualification shall be required in any jurisdiction where, as a result thereof, the Company would be subject to service of general process or to taxation as a foreign corporation doing business in such jurisdiction.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by the laws of such jurisdiction.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1952"/>
        <w:spacing w:after="0" w:line="255" w:lineRule="auto"/>
        <w:tabs>
          <w:tab w:leader="none" w:pos="2249" w:val="left"/>
        </w:tabs>
        <w:numPr>
          <w:ilvl w:val="2"/>
          <w:numId w:val="87"/>
        </w:numPr>
        <w:rPr>
          <w:rFonts w:ascii="Arial" w:cs="Arial" w:eastAsia="Arial" w:hAnsi="Arial"/>
          <w:sz w:val="18"/>
          <w:szCs w:val="18"/>
          <w:color w:val="auto"/>
        </w:rPr>
      </w:pPr>
      <w:r>
        <w:rPr>
          <w:rFonts w:ascii="Arial" w:cs="Arial" w:eastAsia="Arial" w:hAnsi="Arial"/>
          <w:sz w:val="18"/>
          <w:szCs w:val="18"/>
          <w:i w:val="1"/>
          <w:iCs w:val="1"/>
          <w:color w:val="auto"/>
        </w:rPr>
        <w:t>Delivery to Underwriter of Prospectuses</w:t>
      </w:r>
      <w:r>
        <w:rPr>
          <w:rFonts w:ascii="Arial" w:cs="Arial" w:eastAsia="Arial" w:hAnsi="Arial"/>
          <w:sz w:val="18"/>
          <w:szCs w:val="18"/>
          <w:color w:val="auto"/>
        </w:rPr>
        <w:t>. The Company will deliver to the Underwriter, without charge,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period when the Prospectus is required to be delivered under the Act or the Exchange Act, such number of copies of each Preliminary Prospectus and Prospectus and all amendments and supplements to such documents as the Underwriter may reasonably request and, as soon as the Registration Statement or any amendment or supplement thereto becomes effective, deliver to the Representative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192" w:lineRule="exact"/>
        <w:rPr>
          <w:rFonts w:ascii="Arial" w:cs="Arial" w:eastAsia="Arial" w:hAnsi="Arial"/>
          <w:sz w:val="18"/>
          <w:szCs w:val="18"/>
          <w:color w:val="auto"/>
        </w:rPr>
      </w:pPr>
    </w:p>
    <w:p>
      <w:pPr>
        <w:jc w:val="both"/>
        <w:ind w:firstLine="1304"/>
        <w:spacing w:after="0" w:line="284" w:lineRule="auto"/>
        <w:tabs>
          <w:tab w:leader="none" w:pos="1581"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Effectiveness and Events Requiring Notice to the Representative</w:t>
      </w:r>
      <w:r>
        <w:rPr>
          <w:rFonts w:ascii="Arial" w:cs="Arial" w:eastAsia="Arial" w:hAnsi="Arial"/>
          <w:sz w:val="16"/>
          <w:szCs w:val="16"/>
          <w:color w:val="auto"/>
        </w:rPr>
        <w:t>. The Company will use all reasonable efforts to cause the 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w:t>
      </w:r>
    </w:p>
    <w:p>
      <w:pPr>
        <w:spacing w:after="0" w:line="2" w:lineRule="exact"/>
        <w:rPr>
          <w:rFonts w:ascii="Arial" w:cs="Arial" w:eastAsia="Arial" w:hAnsi="Arial"/>
          <w:sz w:val="16"/>
          <w:szCs w:val="16"/>
          <w:color w:val="auto"/>
        </w:rPr>
      </w:pPr>
    </w:p>
    <w:p>
      <w:pPr>
        <w:jc w:val="both"/>
        <w:ind w:firstLine="8"/>
        <w:spacing w:after="0" w:line="270" w:lineRule="auto"/>
        <w:tabs>
          <w:tab w:leader="none" w:pos="255" w:val="left"/>
        </w:tabs>
        <w:numPr>
          <w:ilvl w:val="0"/>
          <w:numId w:val="89"/>
        </w:numPr>
        <w:rPr>
          <w:rFonts w:ascii="Arial" w:cs="Arial" w:eastAsia="Arial" w:hAnsi="Arial"/>
          <w:sz w:val="17"/>
          <w:szCs w:val="17"/>
          <w:color w:val="auto"/>
        </w:rPr>
      </w:pPr>
      <w:r>
        <w:rPr>
          <w:rFonts w:ascii="Arial" w:cs="Arial" w:eastAsia="Arial" w:hAnsi="Arial"/>
          <w:sz w:val="17"/>
          <w:szCs w:val="17"/>
          <w:color w:val="auto"/>
        </w:rPr>
        <w:t>of the receipt of any comments or request for any additional information from the Commission; and (vi) of the happening of any event during the period described in Section 3(d) hereof that, in the judgment of the Company, makes any statement of a material fact made in the Registration Statement, the Preliminary Prospectus and/or the Prospectus untrue or that requires the making of any changes in the Registration Statement, the Preliminary Prospectus and/or the Prospectus in order to make the statements therein, (with respect to the Prospectus,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178" w:lineRule="exact"/>
        <w:rPr>
          <w:rFonts w:ascii="Arial" w:cs="Arial" w:eastAsia="Arial" w:hAnsi="Arial"/>
          <w:sz w:val="17"/>
          <w:szCs w:val="17"/>
          <w:color w:val="auto"/>
        </w:rPr>
      </w:pPr>
    </w:p>
    <w:p>
      <w:pPr>
        <w:jc w:val="both"/>
        <w:ind w:firstLine="1304"/>
        <w:spacing w:after="0" w:line="259" w:lineRule="auto"/>
        <w:tabs>
          <w:tab w:leader="none" w:pos="1551"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Until the earlier of five (5) years from the Effective Date, or until such earlier date upon which the Company is required to be liquidated, the Company, at its expense, shall cause its regularly engaged independent certified public accountants to review (but not audit) the Company’s financial statements for each of the first three fiscal quarters prior to the announcement or filing of quarterly financial information, if any.</w:t>
      </w:r>
    </w:p>
    <w:p>
      <w:pPr>
        <w:spacing w:after="0" w:line="186" w:lineRule="exact"/>
        <w:rPr>
          <w:rFonts w:ascii="Arial" w:cs="Arial" w:eastAsia="Arial" w:hAnsi="Arial"/>
          <w:sz w:val="18"/>
          <w:szCs w:val="18"/>
          <w:color w:val="auto"/>
        </w:rPr>
      </w:pPr>
    </w:p>
    <w:p>
      <w:pPr>
        <w:ind w:left="1540" w:hanging="236"/>
        <w:spacing w:after="0"/>
        <w:tabs>
          <w:tab w:leader="none" w:pos="154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Affiliated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311" w:lineRule="auto"/>
        <w:tabs>
          <w:tab w:leader="none" w:pos="2159" w:val="left"/>
        </w:tabs>
        <w:numPr>
          <w:ilvl w:val="2"/>
          <w:numId w:val="89"/>
        </w:numPr>
        <w:rPr>
          <w:rFonts w:ascii="Arial" w:cs="Arial" w:eastAsia="Arial" w:hAnsi="Arial"/>
          <w:sz w:val="16"/>
          <w:szCs w:val="16"/>
          <w:color w:val="auto"/>
        </w:rPr>
      </w:pP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will not consummate a Business Combination with any entity which is affiliated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Initial Shareholders or an officer or director of the Company unless the Company obtains an opinion from an independent investment banking firm regulated by FINRA or independent accounting firm stating the Business Combination is fair to the Company’s shareholders from a financial perspective.</w:t>
      </w:r>
    </w:p>
    <w:p>
      <w:pPr>
        <w:spacing w:after="0" w:line="144" w:lineRule="exact"/>
        <w:rPr>
          <w:rFonts w:ascii="Arial" w:cs="Arial" w:eastAsia="Arial" w:hAnsi="Arial"/>
          <w:sz w:val="16"/>
          <w:szCs w:val="16"/>
          <w:color w:val="auto"/>
        </w:rPr>
      </w:pPr>
    </w:p>
    <w:p>
      <w:pPr>
        <w:jc w:val="both"/>
        <w:ind w:firstLine="1952"/>
        <w:spacing w:after="0" w:line="314" w:lineRule="auto"/>
        <w:tabs>
          <w:tab w:leader="none" w:pos="2222" w:val="left"/>
        </w:tabs>
        <w:numPr>
          <w:ilvl w:val="2"/>
          <w:numId w:val="89"/>
        </w:numPr>
        <w:rPr>
          <w:rFonts w:ascii="Arial" w:cs="Arial" w:eastAsia="Arial" w:hAnsi="Arial"/>
          <w:sz w:val="16"/>
          <w:szCs w:val="16"/>
          <w:color w:val="auto"/>
        </w:rPr>
      </w:pPr>
      <w:r>
        <w:rPr>
          <w:rFonts w:ascii="Arial" w:cs="Arial" w:eastAsia="Arial" w:hAnsi="Arial"/>
          <w:sz w:val="16"/>
          <w:szCs w:val="16"/>
          <w:i w:val="1"/>
          <w:iCs w:val="1"/>
          <w:color w:val="auto"/>
        </w:rPr>
        <w:t>Administrative Services</w:t>
      </w:r>
      <w:r>
        <w:rPr>
          <w:rFonts w:ascii="Arial" w:cs="Arial" w:eastAsia="Arial" w:hAnsi="Arial"/>
          <w:sz w:val="16"/>
          <w:szCs w:val="16"/>
          <w:color w:val="auto"/>
        </w:rPr>
        <w:t>. The Company has entered into an administrative services agreement (the “</w:t>
      </w:r>
      <w:r>
        <w:rPr>
          <w:rFonts w:ascii="Arial" w:cs="Arial" w:eastAsia="Arial" w:hAnsi="Arial"/>
          <w:sz w:val="16"/>
          <w:szCs w:val="16"/>
          <w:b w:val="1"/>
          <w:bCs w:val="1"/>
          <w:color w:val="auto"/>
        </w:rPr>
        <w:t>Services Agreement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Sponsor in the form filed as an exhibit to the Registration Statement pursuant to which the Sponsor has made and will continue to make available to the Company general and administrative services including office space and utilities for the Company’s use for $10,000 per month.</w:t>
      </w:r>
    </w:p>
    <w:p>
      <w:pPr>
        <w:spacing w:after="0" w:line="145" w:lineRule="exact"/>
        <w:rPr>
          <w:rFonts w:ascii="Arial" w:cs="Arial" w:eastAsia="Arial" w:hAnsi="Arial"/>
          <w:sz w:val="16"/>
          <w:szCs w:val="16"/>
          <w:color w:val="auto"/>
        </w:rPr>
      </w:pPr>
    </w:p>
    <w:p>
      <w:pPr>
        <w:jc w:val="both"/>
        <w:ind w:right="20" w:firstLine="1952"/>
        <w:spacing w:after="0" w:line="263" w:lineRule="auto"/>
        <w:tabs>
          <w:tab w:leader="none" w:pos="2299" w:val="left"/>
        </w:tabs>
        <w:numPr>
          <w:ilvl w:val="2"/>
          <w:numId w:val="89"/>
        </w:numPr>
        <w:rPr>
          <w:rFonts w:ascii="Arial" w:cs="Arial" w:eastAsia="Arial" w:hAnsi="Arial"/>
          <w:sz w:val="18"/>
          <w:szCs w:val="18"/>
          <w:color w:val="auto"/>
        </w:rPr>
      </w:pPr>
      <w:r>
        <w:rPr>
          <w:rFonts w:ascii="Arial" w:cs="Arial" w:eastAsia="Arial" w:hAnsi="Arial"/>
          <w:sz w:val="18"/>
          <w:szCs w:val="18"/>
          <w:i w:val="1"/>
          <w:iCs w:val="1"/>
          <w:color w:val="auto"/>
        </w:rPr>
        <w:t>Compensation</w:t>
      </w:r>
      <w:r>
        <w:rPr>
          <w:rFonts w:ascii="Arial" w:cs="Arial" w:eastAsia="Arial" w:hAnsi="Arial"/>
          <w:sz w:val="18"/>
          <w:szCs w:val="18"/>
          <w:color w:val="auto"/>
        </w:rPr>
        <w:t>. Except as set forth in this Section 3(e), the Company shall not pay any officer, director or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or any of their affiliates, any fees or compensation from the Company, for services rendered to the Company prior to, or in connection with, the Offering or the consummation of a Business Combination.</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521"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Secondary Market Trading</w:t>
      </w:r>
      <w:r>
        <w:rPr>
          <w:rFonts w:ascii="Arial" w:cs="Arial" w:eastAsia="Arial" w:hAnsi="Arial"/>
          <w:sz w:val="18"/>
          <w:szCs w:val="18"/>
          <w:color w:val="auto"/>
        </w:rPr>
        <w:t xml:space="preserve">. In the event the Public Securities are not listed on the Nasdaq Capital Market or another national securities exchange, the Company will (i) apply to be included in Mergent, Inc. Manual for a period of five (5) years from the consummation of a Business Combination, (ii) take such commercially reasonable steps as may be necessary to obtain a secondary market trading exemption for the Company’s securities in such jurisdictions as reasonably requested by the Representative, and (iii) take such other action as may be reasonably requested by the Representative to obtain a secondary market trading exemption in such other states as may be requested by the Representative;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qualification shall be required in any jurisdiction where, as a result thereof, the Company would be subject to service of general process or to taxation as a foreign entity doing business in such jurisdiction.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1304"/>
        <w:spacing w:after="0" w:line="263" w:lineRule="auto"/>
        <w:tabs>
          <w:tab w:leader="none" w:pos="156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Financial Public Relations Firm</w:t>
      </w:r>
      <w:r>
        <w:rPr>
          <w:rFonts w:ascii="Arial" w:cs="Arial" w:eastAsia="Arial" w:hAnsi="Arial"/>
          <w:sz w:val="18"/>
          <w:szCs w:val="18"/>
          <w:color w:val="auto"/>
        </w:rPr>
        <w:t>. Promptly after the execution of a definitive agreement for a Business Combination, the Company shall retain a financial public relations firm reasonably acceptable to the Representative for a term to be agreed upon by the Company and the Representative.</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Reports to the Representative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9" w:lineRule="auto"/>
        <w:tabs>
          <w:tab w:leader="none" w:pos="2186" w:val="left"/>
        </w:tabs>
        <w:numPr>
          <w:ilvl w:val="1"/>
          <w:numId w:val="90"/>
        </w:numPr>
        <w:rPr>
          <w:rFonts w:ascii="Arial" w:cs="Arial" w:eastAsia="Arial" w:hAnsi="Arial"/>
          <w:sz w:val="17"/>
          <w:szCs w:val="17"/>
          <w:color w:val="auto"/>
        </w:rPr>
      </w:pPr>
      <w:r>
        <w:rPr>
          <w:rFonts w:ascii="Arial" w:cs="Arial" w:eastAsia="Arial" w:hAnsi="Arial"/>
          <w:sz w:val="17"/>
          <w:szCs w:val="17"/>
          <w:i w:val="1"/>
          <w:iCs w:val="1"/>
          <w:color w:val="auto"/>
        </w:rPr>
        <w:t>Periodic Reports, Etc</w:t>
      </w:r>
      <w:r>
        <w:rPr>
          <w:rFonts w:ascii="Arial" w:cs="Arial" w:eastAsia="Arial" w:hAnsi="Arial"/>
          <w:sz w:val="17"/>
          <w:szCs w:val="17"/>
          <w:color w:val="auto"/>
        </w:rPr>
        <w:t>. For a period of five (5) years from the Effective Date or until such earlier time upon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is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Form 8-K or Schedules 13D, 13G, 14D-1 or 13E-4 received or prepared by the Company; (iv) five (5) copies of each Registration Statement; and (v) such additional documents and information with respect to the Company and the affairs of any future subsidiaries of the Company as the Representative may from time to time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shall be deemed to have been delivered to the Representative pursuant to this section.</w:t>
      </w:r>
    </w:p>
    <w:p>
      <w:pPr>
        <w:spacing w:after="0" w:line="181" w:lineRule="exact"/>
        <w:rPr>
          <w:rFonts w:ascii="Arial" w:cs="Arial" w:eastAsia="Arial" w:hAnsi="Arial"/>
          <w:sz w:val="17"/>
          <w:szCs w:val="17"/>
          <w:color w:val="auto"/>
        </w:rPr>
      </w:pPr>
    </w:p>
    <w:p>
      <w:pPr>
        <w:jc w:val="both"/>
        <w:ind w:firstLine="1952"/>
        <w:spacing w:after="0" w:line="296" w:lineRule="auto"/>
        <w:tabs>
          <w:tab w:leader="none" w:pos="2236" w:val="left"/>
        </w:tabs>
        <w:numPr>
          <w:ilvl w:val="1"/>
          <w:numId w:val="90"/>
        </w:numPr>
        <w:rPr>
          <w:rFonts w:ascii="Arial" w:cs="Arial" w:eastAsia="Arial" w:hAnsi="Arial"/>
          <w:sz w:val="16"/>
          <w:szCs w:val="16"/>
          <w:color w:val="auto"/>
        </w:rPr>
      </w:pPr>
      <w:r>
        <w:rPr>
          <w:rFonts w:ascii="Arial" w:cs="Arial" w:eastAsia="Arial" w:hAnsi="Arial"/>
          <w:sz w:val="16"/>
          <w:szCs w:val="16"/>
          <w:i w:val="1"/>
          <w:iCs w:val="1"/>
          <w:color w:val="auto"/>
        </w:rPr>
        <w:t>Transfer Sheets</w:t>
      </w:r>
      <w:r>
        <w:rPr>
          <w:rFonts w:ascii="Arial" w:cs="Arial" w:eastAsia="Arial" w:hAnsi="Arial"/>
          <w:sz w:val="16"/>
          <w:szCs w:val="16"/>
          <w:color w:val="auto"/>
        </w:rPr>
        <w:t>. For a period of five (5) years following the Effective Date or until such earlier time upon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is dissolved, the Company shall retain a transfer agent acceptable to the Representative (the “</w:t>
      </w:r>
      <w:r>
        <w:rPr>
          <w:rFonts w:ascii="Arial" w:cs="Arial" w:eastAsia="Arial" w:hAnsi="Arial"/>
          <w:sz w:val="16"/>
          <w:szCs w:val="16"/>
          <w:b w:val="1"/>
          <w:bCs w:val="1"/>
          <w:color w:val="auto"/>
        </w:rPr>
        <w:t>Transfer Agent</w:t>
      </w:r>
      <w:r>
        <w:rPr>
          <w:rFonts w:ascii="Arial" w:cs="Arial" w:eastAsia="Arial" w:hAnsi="Arial"/>
          <w:sz w:val="16"/>
          <w:szCs w:val="16"/>
          <w:color w:val="auto"/>
        </w:rPr>
        <w:t>”). In the event the Public Securities are not listed on the Nasdaq Capital Market or another national securities exchange, the Company will furnish to the Underwriter at the Company’s sole cost and expense such transfer sheets of the Company’s securities as the Representative may request, including the daily and monthly consolidated transfer sheets of the Transfer Agent and DTC. Continental Stock Transfer &amp; Trust Company is an acceptable Transfer Agent to the Representative.</w:t>
      </w:r>
    </w:p>
    <w:p>
      <w:pPr>
        <w:spacing w:after="0" w:line="161" w:lineRule="exact"/>
        <w:rPr>
          <w:rFonts w:ascii="Arial" w:cs="Arial" w:eastAsia="Arial" w:hAnsi="Arial"/>
          <w:sz w:val="16"/>
          <w:szCs w:val="16"/>
          <w:color w:val="auto"/>
        </w:rPr>
      </w:pPr>
    </w:p>
    <w:p>
      <w:pPr>
        <w:jc w:val="both"/>
        <w:ind w:firstLine="1952"/>
        <w:spacing w:after="0" w:line="273" w:lineRule="auto"/>
        <w:tabs>
          <w:tab w:leader="none" w:pos="2272" w:val="left"/>
        </w:tabs>
        <w:numPr>
          <w:ilvl w:val="1"/>
          <w:numId w:val="90"/>
        </w:numPr>
        <w:rPr>
          <w:rFonts w:ascii="Arial" w:cs="Arial" w:eastAsia="Arial" w:hAnsi="Arial"/>
          <w:sz w:val="17"/>
          <w:szCs w:val="17"/>
          <w:color w:val="auto"/>
        </w:rPr>
      </w:pPr>
      <w:r>
        <w:rPr>
          <w:rFonts w:ascii="Arial" w:cs="Arial" w:eastAsia="Arial" w:hAnsi="Arial"/>
          <w:sz w:val="17"/>
          <w:szCs w:val="17"/>
          <w:i w:val="1"/>
          <w:iCs w:val="1"/>
          <w:color w:val="auto"/>
        </w:rPr>
        <w:t>Trading Reports</w:t>
      </w:r>
      <w:r>
        <w:rPr>
          <w:rFonts w:ascii="Arial" w:cs="Arial" w:eastAsia="Arial" w:hAnsi="Arial"/>
          <w:sz w:val="17"/>
          <w:szCs w:val="17"/>
          <w:color w:val="auto"/>
        </w:rPr>
        <w:t>. If the Public Securities are quoted on the OTC Bulletin Board (or any successor trading market) or a</w:t>
      </w:r>
      <w:r>
        <w:rPr>
          <w:rFonts w:ascii="Arial" w:cs="Arial" w:eastAsia="Arial" w:hAnsi="Arial"/>
          <w:sz w:val="17"/>
          <w:szCs w:val="17"/>
          <w:i w:val="1"/>
          <w:iCs w:val="1"/>
          <w:color w:val="auto"/>
        </w:rPr>
        <w:t xml:space="preserve"> </w:t>
      </w:r>
      <w:r>
        <w:rPr>
          <w:rFonts w:ascii="Arial" w:cs="Arial" w:eastAsia="Arial" w:hAnsi="Arial"/>
          <w:sz w:val="17"/>
          <w:szCs w:val="17"/>
          <w:color w:val="auto"/>
        </w:rPr>
        <w:t>market operated by the OTC Market Group Inc. (or similar publisher of quotations), then during such time the Company shall provide to the Representative, at its expense, such reports published by the OTC Bulletin Board or the OTC Market Group Inc. relating to price trading of the Public Securities, as the Representative shall reasonably request. In addition to the requirements of the preceding sentence, if the Public Securities are not listed on the Nasdaq Capital Market or such other national securities exchange for a period of two (2) years from the Closing Date, the Company, at its expense, shall provide SVB Leerink a subscription to the Company’s weekly Depository Transfer Company Security Position Reports.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ind w:left="1520" w:hanging="216"/>
        <w:spacing w:after="0"/>
        <w:tabs>
          <w:tab w:leader="none" w:pos="152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84" w:lineRule="auto"/>
        <w:tabs>
          <w:tab w:leader="none" w:pos="2159" w:val="left"/>
        </w:tabs>
        <w:numPr>
          <w:ilvl w:val="2"/>
          <w:numId w:val="91"/>
        </w:numPr>
        <w:rPr>
          <w:rFonts w:ascii="Arial" w:cs="Arial" w:eastAsia="Arial" w:hAnsi="Arial"/>
          <w:sz w:val="16"/>
          <w:szCs w:val="16"/>
          <w:color w:val="auto"/>
        </w:rPr>
      </w:pPr>
      <w:r>
        <w:rPr>
          <w:rFonts w:ascii="Arial" w:cs="Arial" w:eastAsia="Arial" w:hAnsi="Arial"/>
          <w:sz w:val="16"/>
          <w:szCs w:val="16"/>
          <w:i w:val="1"/>
          <w:iCs w:val="1"/>
          <w:color w:val="auto"/>
        </w:rPr>
        <w:t>General Expenses Related to the Offering</w:t>
      </w:r>
      <w:r>
        <w:rPr>
          <w:rFonts w:ascii="Arial" w:cs="Arial" w:eastAsia="Arial" w:hAnsi="Arial"/>
          <w:sz w:val="16"/>
          <w:szCs w:val="16"/>
          <w:color w:val="auto"/>
        </w:rPr>
        <w:t>. The Company hereby agrees to pay on each of the Closing Date and the Option</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if any, to the extent not paid at the Closing Date, all expenses incident to the performance of the obligations of the Company under this Agreement, including, but not limited to: (i) the Company’s legal and accounting fees and disbursements; (ii) the costs of preparing, printing, mailing (including the payment of postage with respect to such mailing) and delivering the Registration Statement, the Preliminary Prospectus and final Prospectus contained therein and amendments thereto, post-effective amendments and supplements thereto, this Agreement and related documents, including the cost of all copies thereof and any amendments thereof or supplements thereto supplied to the Underwriter in quantities as may be required by the Underwriter;</w:t>
      </w:r>
    </w:p>
    <w:p>
      <w:pPr>
        <w:spacing w:after="0" w:line="4" w:lineRule="exact"/>
        <w:rPr>
          <w:rFonts w:ascii="Arial" w:cs="Arial" w:eastAsia="Arial" w:hAnsi="Arial"/>
          <w:sz w:val="16"/>
          <w:szCs w:val="16"/>
          <w:color w:val="auto"/>
        </w:rPr>
      </w:pPr>
    </w:p>
    <w:p>
      <w:pPr>
        <w:jc w:val="both"/>
        <w:ind w:firstLine="8"/>
        <w:spacing w:after="0" w:line="281" w:lineRule="auto"/>
        <w:tabs>
          <w:tab w:leader="none" w:pos="317"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printing, engraving, issuance and delivery of the Company’s shares of Common Stock, including any transfer or other taxes payable thereon; (iv) if the Public Securities are not listed on the Nasdaq Capital Market or such other national securities exchange, the qualification of the Public Securities under state or foreign securities or Blue Sky laws specified by Representative, including the costs of printing and mailing the “Preliminary Blue Sky Memorandum,” and all amendments and supplements thereto, and fees and disbursements for counsel of Representative’s choice retained for such purpose;</w:t>
      </w:r>
    </w:p>
    <w:p>
      <w:pPr>
        <w:spacing w:after="0" w:line="2" w:lineRule="exact"/>
        <w:rPr>
          <w:rFonts w:ascii="Arial" w:cs="Arial" w:eastAsia="Arial" w:hAnsi="Arial"/>
          <w:sz w:val="16"/>
          <w:szCs w:val="16"/>
          <w:color w:val="auto"/>
        </w:rPr>
      </w:pPr>
    </w:p>
    <w:p>
      <w:pPr>
        <w:jc w:val="both"/>
        <w:ind w:firstLine="8"/>
        <w:spacing w:after="0" w:line="281" w:lineRule="auto"/>
        <w:tabs>
          <w:tab w:leader="none" w:pos="262" w:val="left"/>
        </w:tabs>
        <w:numPr>
          <w:ilvl w:val="0"/>
          <w:numId w:val="93"/>
        </w:numPr>
        <w:rPr>
          <w:rFonts w:ascii="Arial" w:cs="Arial" w:eastAsia="Arial" w:hAnsi="Arial"/>
          <w:sz w:val="16"/>
          <w:szCs w:val="16"/>
          <w:color w:val="auto"/>
        </w:rPr>
      </w:pPr>
      <w:r>
        <w:rPr>
          <w:rFonts w:ascii="Arial" w:cs="Arial" w:eastAsia="Arial" w:hAnsi="Arial"/>
          <w:sz w:val="16"/>
          <w:szCs w:val="16"/>
          <w:color w:val="auto"/>
        </w:rPr>
        <w:t>filing fees (including SEC filing fees), costs and expenses (including third party expenses and disbursements) incurred in registering the Offering; (vi) filing fees incurred in registering the Offering with FINRA; (vii) fees and expenses of counsel to the Underwriter; (viii) the Company’s expenses associated with “due diligence” meetings arranged by the Representative (none of which will be received or paid on behalf of an “underwriter and related person” as such term is defined in Rule 5110 of FINRA’s Rules); (ix) all costs and expenses associated with “road show” marketing and “due diligence” trips for the Company’s management to meet with prospective investors, including without limitation, all travel, food and lodging expenses associated with such trips;</w:t>
      </w:r>
    </w:p>
    <w:p>
      <w:pPr>
        <w:spacing w:after="0" w:line="2" w:lineRule="exact"/>
        <w:rPr>
          <w:rFonts w:ascii="Arial" w:cs="Arial" w:eastAsia="Arial" w:hAnsi="Arial"/>
          <w:sz w:val="16"/>
          <w:szCs w:val="16"/>
          <w:color w:val="auto"/>
        </w:rPr>
      </w:pPr>
    </w:p>
    <w:p>
      <w:pPr>
        <w:jc w:val="both"/>
        <w:ind w:firstLine="8"/>
        <w:spacing w:after="0" w:line="286" w:lineRule="auto"/>
        <w:tabs>
          <w:tab w:leader="none" w:pos="2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all fees, expenses and disbursements relating to background checks of the Company’s directors, director nominees and executive officers; (xi) the preparation of leather bound volumes and lucite cube mementos in such quantities as the Underwriter may reasonably request and (xii) all other reasonable costs and expenses incident to the performance of its obligations hereunder which are not otherwise specifically provided for in this Section 3(i) that the Underwriter have notified the Company about on or prior to the Closing Date. The Representative may deduct from the net proceeds of the Offering payable to the Company on the Closing Date, or the Option Closing Date, if any, the fees and expenses set forth above to be paid by the Company to the Representative and others, as agreed to by the Company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fees and expenses deducted from the net proceeds of the Offering payable to the Company shall not exceed $100,000 in the aggregate. If the Offering is not consummated for any reason whatsoever, except as a result of the Representative’s or any Underwriter’s breach or default with respect to any of its obligations described in this Agreement, then the Company shall reimburse the Representative for its out-of-pocket accountable expenses actually incurred by the Representative, including, without limitation, its legal fees (less any amounts previously paid), up to an aggregate amount of $100,000.</w:t>
      </w:r>
    </w:p>
    <w:p>
      <w:pPr>
        <w:spacing w:after="0" w:line="169" w:lineRule="exact"/>
        <w:rPr>
          <w:rFonts w:ascii="Arial" w:cs="Arial" w:eastAsia="Arial" w:hAnsi="Arial"/>
          <w:sz w:val="16"/>
          <w:szCs w:val="16"/>
          <w:color w:val="auto"/>
        </w:rPr>
      </w:pPr>
    </w:p>
    <w:p>
      <w:pPr>
        <w:ind w:left="2220" w:hanging="268"/>
        <w:spacing w:after="0"/>
        <w:tabs>
          <w:tab w:leader="none" w:pos="2220" w:val="left"/>
        </w:tabs>
        <w:numPr>
          <w:ilvl w:val="2"/>
          <w:numId w:val="94"/>
        </w:numPr>
        <w:rPr>
          <w:rFonts w:ascii="Arial" w:cs="Arial" w:eastAsia="Arial" w:hAnsi="Arial"/>
          <w:sz w:val="16"/>
          <w:szCs w:val="16"/>
          <w:color w:val="auto"/>
        </w:rPr>
      </w:pPr>
      <w:r>
        <w:rPr>
          <w:rFonts w:ascii="Arial" w:cs="Arial" w:eastAsia="Arial" w:hAnsi="Arial"/>
          <w:sz w:val="16"/>
          <w:szCs w:val="16"/>
          <w:i w:val="1"/>
          <w:iCs w:val="1"/>
          <w:u w:val="single" w:color="auto"/>
          <w:color w:val="auto"/>
        </w:rPr>
        <w:t>Fee on Termination of Offering</w:t>
      </w:r>
      <w:r>
        <w:rPr>
          <w:rFonts w:ascii="Arial" w:cs="Arial" w:eastAsia="Arial" w:hAnsi="Arial"/>
          <w:sz w:val="16"/>
          <w:szCs w:val="16"/>
          <w:color w:val="auto"/>
        </w:rPr>
        <w:t>. Notwithstanding anything contained herein to the contrary, upon termination of the Offering</w:t>
      </w:r>
    </w:p>
    <w:p>
      <w:pPr>
        <w:spacing w:after="0" w:line="46" w:lineRule="exact"/>
        <w:rPr>
          <w:rFonts w:ascii="Arial" w:cs="Arial" w:eastAsia="Arial" w:hAnsi="Arial"/>
          <w:sz w:val="16"/>
          <w:szCs w:val="16"/>
          <w:color w:val="auto"/>
        </w:rPr>
      </w:pPr>
    </w:p>
    <w:p>
      <w:pPr>
        <w:jc w:val="both"/>
        <w:spacing w:after="0" w:line="270" w:lineRule="auto"/>
        <w:rPr>
          <w:rFonts w:ascii="Arial" w:cs="Arial" w:eastAsia="Arial" w:hAnsi="Arial"/>
          <w:sz w:val="16"/>
          <w:szCs w:val="16"/>
          <w:color w:val="auto"/>
        </w:rPr>
      </w:pPr>
      <w:r>
        <w:rPr>
          <w:rFonts w:ascii="Arial" w:cs="Arial" w:eastAsia="Arial" w:hAnsi="Arial"/>
          <w:sz w:val="17"/>
          <w:szCs w:val="17"/>
          <w:color w:val="auto"/>
        </w:rPr>
        <w:t>the Company shall: (A) reimburse the Representative for, or otherwise pay and bear, the expenses and fees to be paid and borne by the Company as provided for herein, as applicable, and (B) reimburse the Representative for the full amount of its accountable out-of-pocket expenses actually incurred to such date (which shall include, but shall not be limited to, all fees and disbursements of the Representative’s counsel, travel, lodging and other “road show” expenses, mailing, printing and reproduction expenses, and any expenses incurred by the Representative in conducting its due diligence, including background checks of the Company’s officers and directors, up to an aggregate amount of $100,000) less the amounts previously paid and any amounts previously paid to the Representative in reimbursement for such expenses.</w:t>
      </w:r>
    </w:p>
    <w:p>
      <w:pPr>
        <w:spacing w:after="0" w:line="178" w:lineRule="exact"/>
        <w:rPr>
          <w:rFonts w:ascii="Arial" w:cs="Arial" w:eastAsia="Arial" w:hAnsi="Arial"/>
          <w:sz w:val="16"/>
          <w:szCs w:val="16"/>
          <w:color w:val="auto"/>
        </w:rPr>
      </w:pPr>
    </w:p>
    <w:p>
      <w:pPr>
        <w:ind w:firstLine="1304"/>
        <w:spacing w:after="0" w:line="277" w:lineRule="auto"/>
        <w:tabs>
          <w:tab w:leader="none" w:pos="1511"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rFonts w:ascii="Arial" w:cs="Arial" w:eastAsia="Arial" w:hAnsi="Arial"/>
          <w:sz w:val="18"/>
          <w:szCs w:val="18"/>
          <w:color w:val="auto"/>
        </w:rPr>
      </w:pPr>
    </w:p>
    <w:p>
      <w:pPr>
        <w:jc w:val="both"/>
        <w:ind w:firstLine="1304"/>
        <w:spacing w:after="0" w:line="301" w:lineRule="auto"/>
        <w:tabs>
          <w:tab w:leader="none" w:pos="1551"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Delivery of Earnings Statements to Security Holders</w:t>
      </w:r>
      <w:r>
        <w:rPr>
          <w:rFonts w:ascii="Arial" w:cs="Arial" w:eastAsia="Arial" w:hAnsi="Arial"/>
          <w:sz w:val="16"/>
          <w:szCs w:val="16"/>
          <w:color w:val="auto"/>
        </w:rPr>
        <w:t>. The Company will make generally available to its security holders as soon as practicable, but not later than the first day of the fifteenth (15th)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(12) consecutive months beginning after the Effective Date.</w:t>
      </w:r>
    </w:p>
    <w:p>
      <w:pPr>
        <w:spacing w:after="0" w:line="157" w:lineRule="exact"/>
        <w:rPr>
          <w:rFonts w:ascii="Arial" w:cs="Arial" w:eastAsia="Arial" w:hAnsi="Arial"/>
          <w:sz w:val="16"/>
          <w:szCs w:val="16"/>
          <w:color w:val="auto"/>
        </w:rPr>
      </w:pPr>
    </w:p>
    <w:p>
      <w:pPr>
        <w:ind w:left="1520" w:hanging="216"/>
        <w:spacing w:after="0"/>
        <w:tabs>
          <w:tab w:leader="none" w:pos="152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Notice to FINRA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4" w:lineRule="auto"/>
        <w:tabs>
          <w:tab w:leader="none" w:pos="2172" w:val="left"/>
        </w:tabs>
        <w:numPr>
          <w:ilvl w:val="2"/>
          <w:numId w:val="95"/>
        </w:numPr>
        <w:rPr>
          <w:rFonts w:ascii="Arial" w:cs="Arial" w:eastAsia="Arial" w:hAnsi="Arial"/>
          <w:sz w:val="18"/>
          <w:szCs w:val="18"/>
          <w:color w:val="auto"/>
        </w:rPr>
      </w:pPr>
      <w:r>
        <w:rPr>
          <w:rFonts w:ascii="Arial" w:cs="Arial" w:eastAsia="Arial" w:hAnsi="Arial"/>
          <w:sz w:val="18"/>
          <w:szCs w:val="18"/>
          <w:i w:val="1"/>
          <w:iCs w:val="1"/>
          <w:color w:val="auto"/>
        </w:rPr>
        <w:t>Business Combination</w:t>
      </w:r>
      <w:r>
        <w:rPr>
          <w:rFonts w:ascii="Arial" w:cs="Arial" w:eastAsia="Arial" w:hAnsi="Arial"/>
          <w:sz w:val="18"/>
          <w:szCs w:val="18"/>
          <w:color w:val="auto"/>
        </w:rPr>
        <w:t>. In the event any person or entity (regardless of any FINRA affiliation or association) is engaged to</w:t>
      </w:r>
      <w:r>
        <w:rPr>
          <w:rFonts w:ascii="Arial" w:cs="Arial" w:eastAsia="Arial" w:hAnsi="Arial"/>
          <w:sz w:val="18"/>
          <w:szCs w:val="18"/>
          <w:i w:val="1"/>
          <w:iCs w:val="1"/>
          <w:color w:val="auto"/>
        </w:rPr>
        <w:t xml:space="preserve"> </w:t>
      </w:r>
      <w:r>
        <w:rPr>
          <w:rFonts w:ascii="Arial" w:cs="Arial" w:eastAsia="Arial" w:hAnsi="Arial"/>
          <w:sz w:val="18"/>
          <w:szCs w:val="18"/>
          <w:color w:val="auto"/>
        </w:rPr>
        <w:t>assist the Company in its search for a merger candidate or to provide any other merger and acquisition services, the Company will provide the following to FINRA and the Representative prior to the consummation of the Business Combination: (i) complete details of all services and copies of agreements governing such services; and (ii) justification as to why the person or entity providing the merger and acquisition services should not be considered an “underwriter and related person” (as such term is defined in Rule 5110 of FINRA’s Rules) with respect to the Offering. The Company also agrees that proper disclosure of such arrangement or potential arrangement will be made in any proxy or tender offer statement which the Company files in connection with the Business Combination.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ind w:firstLine="1952"/>
        <w:spacing w:after="0" w:line="277" w:lineRule="auto"/>
        <w:tabs>
          <w:tab w:leader="none" w:pos="2249" w:val="left"/>
        </w:tabs>
        <w:numPr>
          <w:ilvl w:val="2"/>
          <w:numId w:val="96"/>
        </w:numPr>
        <w:rPr>
          <w:rFonts w:ascii="Arial" w:cs="Arial" w:eastAsia="Arial" w:hAnsi="Arial"/>
          <w:sz w:val="18"/>
          <w:szCs w:val="18"/>
          <w:color w:val="auto"/>
        </w:rPr>
      </w:pPr>
      <w:r>
        <w:rPr>
          <w:rFonts w:ascii="Arial" w:cs="Arial" w:eastAsia="Arial" w:hAnsi="Arial"/>
          <w:sz w:val="18"/>
          <w:szCs w:val="18"/>
          <w:i w:val="1"/>
          <w:iCs w:val="1"/>
          <w:color w:val="auto"/>
        </w:rPr>
        <w:t>Broker/Dealer</w:t>
      </w:r>
      <w:r>
        <w:rPr>
          <w:rFonts w:ascii="Arial" w:cs="Arial" w:eastAsia="Arial" w:hAnsi="Arial"/>
          <w:sz w:val="18"/>
          <w:szCs w:val="18"/>
          <w:color w:val="auto"/>
        </w:rPr>
        <w:t>. In the event the Company intends to register as a broker/dealer, merge with or acquire a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broker/dealer, or otherwise become a member of FINRA, it shall promptly notify FINRA.</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601"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shareholders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Firm Securities or Option Securities.</w:t>
      </w:r>
    </w:p>
    <w:p>
      <w:pPr>
        <w:spacing w:after="0" w:line="186" w:lineRule="exact"/>
        <w:rPr>
          <w:rFonts w:ascii="Arial" w:cs="Arial" w:eastAsia="Arial" w:hAnsi="Arial"/>
          <w:sz w:val="18"/>
          <w:szCs w:val="18"/>
          <w:color w:val="auto"/>
        </w:rPr>
      </w:pPr>
    </w:p>
    <w:p>
      <w:pPr>
        <w:ind w:left="1580" w:hanging="276"/>
        <w:spacing w:after="0"/>
        <w:tabs>
          <w:tab w:leader="none" w:pos="158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will maintain a system of internal accounting controls sufficient to provide reasonable assurances</w:t>
      </w:r>
    </w:p>
    <w:p>
      <w:pPr>
        <w:spacing w:after="0" w:line="46" w:lineRule="exact"/>
        <w:rPr>
          <w:rFonts w:ascii="Arial" w:cs="Arial" w:eastAsia="Arial" w:hAnsi="Arial"/>
          <w:sz w:val="16"/>
          <w:szCs w:val="16"/>
          <w:color w:val="auto"/>
        </w:rPr>
      </w:pPr>
    </w:p>
    <w:p>
      <w:pPr>
        <w:jc w:val="both"/>
        <w:spacing w:after="0" w:line="273" w:lineRule="auto"/>
        <w:rPr>
          <w:rFonts w:ascii="Arial" w:cs="Arial" w:eastAsia="Arial" w:hAnsi="Arial"/>
          <w:sz w:val="16"/>
          <w:szCs w:val="16"/>
          <w:color w:val="auto"/>
        </w:rPr>
      </w:pPr>
      <w:r>
        <w:rPr>
          <w:rFonts w:ascii="Arial" w:cs="Arial" w:eastAsia="Arial" w:hAnsi="Arial"/>
          <w:sz w:val="17"/>
          <w:szCs w:val="17"/>
          <w:color w:val="auto"/>
        </w:rPr>
        <w:t>that: (i) transactions are executed in accordance with management’s general or specific authorization; (ii) transactions are recorded as necessary in order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6" w:lineRule="exact"/>
        <w:rPr>
          <w:rFonts w:ascii="Arial" w:cs="Arial" w:eastAsia="Arial" w:hAnsi="Arial"/>
          <w:sz w:val="16"/>
          <w:szCs w:val="16"/>
          <w:color w:val="auto"/>
        </w:rPr>
      </w:pPr>
    </w:p>
    <w:p>
      <w:pPr>
        <w:ind w:right="20" w:firstLine="1304"/>
        <w:spacing w:after="0" w:line="308" w:lineRule="auto"/>
        <w:tabs>
          <w:tab w:leader="none" w:pos="1551" w:val="left"/>
        </w:tabs>
        <w:numPr>
          <w:ilvl w:val="1"/>
          <w:numId w:val="97"/>
        </w:numPr>
        <w:rPr>
          <w:rFonts w:ascii="Arial" w:cs="Arial" w:eastAsia="Arial" w:hAnsi="Arial"/>
          <w:sz w:val="17"/>
          <w:szCs w:val="17"/>
          <w:color w:val="auto"/>
        </w:rPr>
      </w:pPr>
      <w:r>
        <w:rPr>
          <w:rFonts w:ascii="Arial" w:cs="Arial" w:eastAsia="Arial" w:hAnsi="Arial"/>
          <w:sz w:val="17"/>
          <w:szCs w:val="17"/>
          <w:u w:val="single" w:color="auto"/>
          <w:color w:val="auto"/>
        </w:rPr>
        <w:t>Accountants</w:t>
      </w:r>
      <w:r>
        <w:rPr>
          <w:rFonts w:ascii="Arial" w:cs="Arial" w:eastAsia="Arial" w:hAnsi="Arial"/>
          <w:sz w:val="17"/>
          <w:szCs w:val="17"/>
          <w:color w:val="auto"/>
        </w:rPr>
        <w:t>. For a period of five (5) years from the Effective Date or until such earlier time upon which the Company is required to be liquidated, the Company shall retain Withum or other independent public accountants reasonably acceptable to the Representative.</w:t>
      </w:r>
    </w:p>
    <w:p>
      <w:pPr>
        <w:spacing w:after="0" w:line="146" w:lineRule="exact"/>
        <w:rPr>
          <w:rFonts w:ascii="Arial" w:cs="Arial" w:eastAsia="Arial" w:hAnsi="Arial"/>
          <w:sz w:val="17"/>
          <w:szCs w:val="17"/>
          <w:color w:val="auto"/>
        </w:rPr>
      </w:pPr>
    </w:p>
    <w:p>
      <w:pPr>
        <w:jc w:val="both"/>
        <w:ind w:firstLine="1304"/>
        <w:spacing w:after="0" w:line="287" w:lineRule="auto"/>
        <w:tabs>
          <w:tab w:leader="none" w:pos="1551"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Form 8-K</w:t>
      </w:r>
      <w:r>
        <w:rPr>
          <w:rFonts w:ascii="Arial" w:cs="Arial" w:eastAsia="Arial" w:hAnsi="Arial"/>
          <w:sz w:val="16"/>
          <w:szCs w:val="16"/>
          <w:color w:val="auto"/>
        </w:rPr>
        <w:t>. The Company shall, on the date hereof, retain its independent public accountants to audit the financial statements of the Company as of the Closing Date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reflecting the receipt by the Company of the proceeds of the Offering and the Private Placement, as well as the proceeds from the exercise of the Over-Allotment if such exercise has occurred on the date of the Prospectus. Within four</w:t>
      </w:r>
    </w:p>
    <w:p>
      <w:pPr>
        <w:spacing w:after="0" w:line="2" w:lineRule="exact"/>
        <w:rPr>
          <w:rFonts w:ascii="Arial" w:cs="Arial" w:eastAsia="Arial" w:hAnsi="Arial"/>
          <w:sz w:val="16"/>
          <w:szCs w:val="16"/>
          <w:color w:val="auto"/>
        </w:rPr>
      </w:pPr>
    </w:p>
    <w:p>
      <w:pPr>
        <w:ind w:firstLine="8"/>
        <w:spacing w:after="0" w:line="260" w:lineRule="auto"/>
        <w:tabs>
          <w:tab w:leader="none" w:pos="257" w:val="left"/>
        </w:tabs>
        <w:numPr>
          <w:ilvl w:val="0"/>
          <w:numId w:val="98"/>
        </w:numPr>
        <w:rPr>
          <w:rFonts w:ascii="Arial" w:cs="Arial" w:eastAsia="Arial" w:hAnsi="Arial"/>
          <w:sz w:val="18"/>
          <w:szCs w:val="18"/>
          <w:color w:val="auto"/>
        </w:rPr>
      </w:pPr>
      <w:r>
        <w:rPr>
          <w:rFonts w:ascii="Arial" w:cs="Arial" w:eastAsia="Arial" w:hAnsi="Arial"/>
          <w:sz w:val="18"/>
          <w:szCs w:val="18"/>
          <w:color w:val="auto"/>
        </w:rPr>
        <w:t>Business Days of the Closing Date, the Company will file a Current Report on Form 8-K with the Commission, which Report shall contain the Audited Financial Statements.</w:t>
      </w:r>
    </w:p>
    <w:p>
      <w:pPr>
        <w:spacing w:after="0" w:line="185" w:lineRule="exact"/>
        <w:rPr>
          <w:rFonts w:ascii="Arial" w:cs="Arial" w:eastAsia="Arial" w:hAnsi="Arial"/>
          <w:sz w:val="18"/>
          <w:szCs w:val="18"/>
          <w:color w:val="auto"/>
        </w:rPr>
      </w:pPr>
    </w:p>
    <w:p>
      <w:pPr>
        <w:ind w:firstLine="1304"/>
        <w:spacing w:after="0" w:line="277" w:lineRule="auto"/>
        <w:tabs>
          <w:tab w:leader="none" w:pos="1551"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FINRA if it is aware that any 5% or greater shareholder of the Company becomes an affiliate or associated person of a FINRA member participating in the distribution of the Company’s Public Securities.</w:t>
      </w:r>
    </w:p>
    <w:p>
      <w:pPr>
        <w:spacing w:after="0" w:line="170" w:lineRule="exact"/>
        <w:rPr>
          <w:rFonts w:ascii="Arial" w:cs="Arial" w:eastAsia="Arial" w:hAnsi="Arial"/>
          <w:sz w:val="18"/>
          <w:szCs w:val="18"/>
          <w:color w:val="auto"/>
        </w:rPr>
      </w:pPr>
    </w:p>
    <w:p>
      <w:pPr>
        <w:ind w:firstLine="1304"/>
        <w:spacing w:after="0" w:line="277" w:lineRule="auto"/>
        <w:tabs>
          <w:tab w:leader="none" w:pos="1521"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proceedings and other legal matters necessary to carry out the provisions of this Agreement and the transactions contemplated hereby shall have been done to the reasonable satisfaction to counsel for the Underwriter.</w:t>
      </w:r>
    </w:p>
    <w:p>
      <w:pPr>
        <w:spacing w:after="0" w:line="170" w:lineRule="exact"/>
        <w:rPr>
          <w:rFonts w:ascii="Arial" w:cs="Arial" w:eastAsia="Arial" w:hAnsi="Arial"/>
          <w:sz w:val="18"/>
          <w:szCs w:val="18"/>
          <w:color w:val="auto"/>
        </w:rPr>
      </w:pPr>
    </w:p>
    <w:p>
      <w:pPr>
        <w:jc w:val="both"/>
        <w:ind w:firstLine="1304"/>
        <w:spacing w:after="0" w:line="275" w:lineRule="auto"/>
        <w:tabs>
          <w:tab w:leader="none" w:pos="1531"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shall cause the proceeds of the Offering to be held in the Trust Account to be invested only in “government securities” with specific maturity dates or in money market funds meeting certain conditions under Rule 2a-7 promulgated under the Investment Company Act as set forth in the Trust Agreement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76" w:lineRule="exact"/>
        <w:rPr>
          <w:rFonts w:ascii="Arial" w:cs="Arial" w:eastAsia="Arial" w:hAnsi="Arial"/>
          <w:sz w:val="17"/>
          <w:szCs w:val="17"/>
          <w:color w:val="auto"/>
        </w:rPr>
      </w:pPr>
    </w:p>
    <w:p>
      <w:pPr>
        <w:jc w:val="both"/>
        <w:ind w:firstLine="1304"/>
        <w:spacing w:after="0" w:line="254" w:lineRule="auto"/>
        <w:tabs>
          <w:tab w:leader="none" w:pos="1524"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Business Combination Announcement</w:t>
      </w:r>
      <w:r>
        <w:rPr>
          <w:rFonts w:ascii="Arial" w:cs="Arial" w:eastAsia="Arial" w:hAnsi="Arial"/>
          <w:sz w:val="18"/>
          <w:szCs w:val="18"/>
          <w:color w:val="auto"/>
        </w:rPr>
        <w:t>. Within four (4) Business Days following the consummation by the Company of a Business Combination, the Company shall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issued by a press release service announcing the consummation of the Business Combination and indicating that the Representative was one of the co-managing underwriters in the Offering and also indicating the name and location of any other financial advisors engaged by the Company as a merger and acquisitions advisor. The Company shall supply the Representative with a draft of the Business Combination Announcement and provide the Representative with a reasonable advance opportunity to comment thereon. The Company will not issue the Business Combination Announcement without the final approval of the Representative, which approval will not be unreasonably withheld.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right="20" w:firstLine="1304"/>
        <w:spacing w:after="0" w:line="277" w:lineRule="auto"/>
        <w:tabs>
          <w:tab w:leader="none" w:pos="1551"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agrees that it will not issue press releases or engage in any other publicity, without SVB Leerink’s prior written consent (not to be unreasonably withheld), for a period of twenty-five (25) days after the Effective Date.</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564"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Electronic Prospectus</w:t>
      </w:r>
      <w:r>
        <w:rPr>
          <w:rFonts w:ascii="Arial" w:cs="Arial" w:eastAsia="Arial" w:hAnsi="Arial"/>
          <w:sz w:val="16"/>
          <w:szCs w:val="16"/>
          <w:color w:val="auto"/>
        </w:rPr>
        <w:t>. The Company shall cause to be prepared and delivered to the Representative, at its expense, within two (2) Business Days from the Effective Date, an Electronic Prospectus to be used by the Underwriter in connection with the Offering. As used herein, the term “</w:t>
      </w:r>
      <w:r>
        <w:rPr>
          <w:rFonts w:ascii="Arial" w:cs="Arial" w:eastAsia="Arial" w:hAnsi="Arial"/>
          <w:sz w:val="16"/>
          <w:szCs w:val="16"/>
          <w:b w:val="1"/>
          <w:bCs w:val="1"/>
          <w:color w:val="auto"/>
        </w:rPr>
        <w:t>Electronic Prospectus</w:t>
      </w:r>
      <w:r>
        <w:rPr>
          <w:rFonts w:ascii="Arial" w:cs="Arial" w:eastAsia="Arial" w:hAnsi="Arial"/>
          <w:sz w:val="16"/>
          <w:szCs w:val="16"/>
          <w:color w:val="auto"/>
        </w:rPr>
        <w:t>” means a form of prospectus, and any amendment or supplement thereto, that meets each of the following conditions: (i) it shall be encoded in an electronic format, satisfactory to the Representative, that may be transmitted electronically by the Underwriter to offerees and purchasers of the Firm Securities and Option Securities for at least the period during which a Prospectus relating to the Firm Securities and Option Securities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Firm Securities and Option Securities is required to be delivered under the Securities Act, the Company shall transmit or cause to be transmitted promptly, without charge, a paper copy of the Prospectus.</w:t>
      </w:r>
    </w:p>
    <w:p>
      <w:pPr>
        <w:spacing w:after="0" w:line="170" w:lineRule="exact"/>
        <w:rPr>
          <w:rFonts w:ascii="Arial" w:cs="Arial" w:eastAsia="Arial" w:hAnsi="Arial"/>
          <w:sz w:val="16"/>
          <w:szCs w:val="16"/>
          <w:color w:val="auto"/>
        </w:rPr>
      </w:pPr>
    </w:p>
    <w:p>
      <w:pPr>
        <w:ind w:firstLine="1304"/>
        <w:spacing w:after="0" w:line="277" w:lineRule="auto"/>
        <w:tabs>
          <w:tab w:leader="none" w:pos="1591"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Private Placement Proceeds</w:t>
      </w:r>
      <w:r>
        <w:rPr>
          <w:rFonts w:ascii="Arial" w:cs="Arial" w:eastAsia="Arial" w:hAnsi="Arial"/>
          <w:sz w:val="18"/>
          <w:szCs w:val="18"/>
          <w:color w:val="auto"/>
        </w:rPr>
        <w:t>. On or prior to the Closing, the Company shall deposit all of the proceeds from the Private Placement in the Trust Account and shall provide the Representative with evidence of the same.</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 Amendment to Charter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72" w:val="left"/>
        </w:tabs>
        <w:numPr>
          <w:ilvl w:val="1"/>
          <w:numId w:val="99"/>
        </w:numPr>
        <w:rPr>
          <w:rFonts w:ascii="Arial" w:cs="Arial" w:eastAsia="Arial" w:hAnsi="Arial"/>
          <w:sz w:val="18"/>
          <w:szCs w:val="18"/>
          <w:color w:val="auto"/>
        </w:rPr>
      </w:pPr>
      <w:r>
        <w:rPr>
          <w:rFonts w:ascii="Arial" w:cs="Arial" w:eastAsia="Arial" w:hAnsi="Arial"/>
          <w:sz w:val="18"/>
          <w:szCs w:val="18"/>
          <w:color w:val="auto"/>
        </w:rPr>
        <w:t>Prior to the closing of a Business Combination, the Company covenants and agrees it will not seek to amend or modify its certificate of incorporation without the prior approval of its Board of Directors and the affirmative vote of a majority of the voting power of the Company’s shares of Common Stock.</w:t>
      </w:r>
    </w:p>
    <w:p>
      <w:pPr>
        <w:spacing w:after="0" w:line="183" w:lineRule="exact"/>
        <w:rPr>
          <w:rFonts w:ascii="Arial" w:cs="Arial" w:eastAsia="Arial" w:hAnsi="Arial"/>
          <w:sz w:val="18"/>
          <w:szCs w:val="18"/>
          <w:color w:val="auto"/>
        </w:rPr>
      </w:pPr>
    </w:p>
    <w:p>
      <w:pPr>
        <w:ind w:firstLine="1952"/>
        <w:spacing w:after="0" w:line="277" w:lineRule="auto"/>
        <w:tabs>
          <w:tab w:leader="none" w:pos="22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Company acknowledges that the purchasers of the Firm Securities and Option Securities in this Offering shall be deemed to be third party beneficiaries of this 3(x).</w:t>
      </w:r>
    </w:p>
    <w:p>
      <w:pPr>
        <w:spacing w:after="0" w:line="170" w:lineRule="exact"/>
        <w:rPr>
          <w:rFonts w:ascii="Arial" w:cs="Arial" w:eastAsia="Arial" w:hAnsi="Arial"/>
          <w:sz w:val="18"/>
          <w:szCs w:val="18"/>
          <w:color w:val="auto"/>
        </w:rPr>
      </w:pPr>
    </w:p>
    <w:p>
      <w:pPr>
        <w:ind w:firstLine="1952"/>
        <w:spacing w:after="0" w:line="277" w:lineRule="auto"/>
        <w:tabs>
          <w:tab w:leader="none" w:pos="226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Representative and the Company specifically agree that this Section 3(x) shall not be modified or amended in any way without the approval of a majority of the voting power of the Company’s shares of Common Stock.</w:t>
      </w:r>
    </w:p>
    <w:p>
      <w:pPr>
        <w:spacing w:after="0" w:line="170" w:lineRule="exact"/>
        <w:rPr>
          <w:rFonts w:ascii="Arial" w:cs="Arial" w:eastAsia="Arial" w:hAnsi="Arial"/>
          <w:sz w:val="18"/>
          <w:szCs w:val="18"/>
          <w:color w:val="auto"/>
        </w:rPr>
      </w:pPr>
    </w:p>
    <w:p>
      <w:pPr>
        <w:ind w:firstLine="1304"/>
        <w:spacing w:after="0" w:line="277" w:lineRule="auto"/>
        <w:tabs>
          <w:tab w:leader="none" w:pos="1578"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Financial Printer</w:t>
      </w:r>
      <w:r>
        <w:rPr>
          <w:rFonts w:ascii="Arial" w:cs="Arial" w:eastAsia="Arial" w:hAnsi="Arial"/>
          <w:sz w:val="18"/>
          <w:szCs w:val="18"/>
          <w:color w:val="auto"/>
        </w:rPr>
        <w:t>. The Company shall retain a financial printer, reasonably acceptable to the Representative, for the purpose of facilitating the Company’s EDGAR filings and the printing of the Preliminary Prospectus and Prospectus.</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54"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Listing on the Nasdaq Capital Market</w:t>
      </w:r>
      <w:r>
        <w:rPr>
          <w:rFonts w:ascii="Arial" w:cs="Arial" w:eastAsia="Arial" w:hAnsi="Arial"/>
          <w:sz w:val="18"/>
          <w:szCs w:val="18"/>
          <w:color w:val="auto"/>
        </w:rPr>
        <w:t>. The Company will use commercially reasonable efforts to maintain the listing of the Public Securities on the Nasdaq Capital Market or another national securities exchange until the earlier of five (5) years from the Effective Date or until the Public Securities are no longer registered under the Exchange Act.</w:t>
      </w:r>
    </w:p>
    <w:p>
      <w:pPr>
        <w:spacing w:after="0" w:line="184" w:lineRule="exact"/>
        <w:rPr>
          <w:sz w:val="20"/>
          <w:szCs w:val="20"/>
          <w:color w:val="auto"/>
        </w:rPr>
      </w:pPr>
    </w:p>
    <w:p>
      <w:pPr>
        <w:jc w:val="both"/>
        <w:ind w:firstLine="1304"/>
        <w:spacing w:after="0" w:line="286" w:lineRule="auto"/>
        <w:tabs>
          <w:tab w:leader="none" w:pos="162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Payment of Deferred Underwriting Commission on Business Combination</w:t>
      </w:r>
      <w:r>
        <w:rPr>
          <w:rFonts w:ascii="Arial" w:cs="Arial" w:eastAsia="Arial" w:hAnsi="Arial"/>
          <w:sz w:val="17"/>
          <w:szCs w:val="17"/>
          <w:color w:val="auto"/>
        </w:rPr>
        <w:t>. Upon the consummation of a Business Combination, the Company agrees that it will cause the Trustee to pay the Deferred Underwriting Commission directly from the Trust Account to as specified in Section 1(c).</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8"/>
        <w:spacing w:after="0" w:line="281" w:lineRule="auto"/>
        <w:tabs>
          <w:tab w:leader="none" w:pos="197"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 of Underwriter’s Obligations</w:t>
      </w:r>
      <w:r>
        <w:rPr>
          <w:rFonts w:ascii="Arial" w:cs="Arial" w:eastAsia="Arial" w:hAnsi="Arial"/>
          <w:sz w:val="17"/>
          <w:szCs w:val="17"/>
          <w:color w:val="auto"/>
        </w:rPr>
        <w:t>. The obligations of the Underwriter to purchase and pay for the Firm Securities and Option Securities,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168" w:lineRule="exact"/>
        <w:rPr>
          <w:rFonts w:ascii="Arial" w:cs="Arial" w:eastAsia="Arial" w:hAnsi="Arial"/>
          <w:sz w:val="17"/>
          <w:szCs w:val="17"/>
          <w:b w:val="1"/>
          <w:bCs w:val="1"/>
          <w:color w:val="auto"/>
        </w:rPr>
      </w:pPr>
    </w:p>
    <w:p>
      <w:pPr>
        <w:ind w:left="1540" w:hanging="236"/>
        <w:spacing w:after="0"/>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75" w:lineRule="auto"/>
        <w:tabs>
          <w:tab w:leader="none" w:pos="2172" w:val="left"/>
        </w:tabs>
        <w:numPr>
          <w:ilvl w:val="2"/>
          <w:numId w:val="101"/>
        </w:numPr>
        <w:rPr>
          <w:rFonts w:ascii="Arial" w:cs="Arial" w:eastAsia="Arial" w:hAnsi="Arial"/>
          <w:sz w:val="17"/>
          <w:szCs w:val="17"/>
          <w:color w:val="auto"/>
        </w:rPr>
      </w:pPr>
      <w:r>
        <w:rPr>
          <w:rFonts w:ascii="Arial" w:cs="Arial" w:eastAsia="Arial" w:hAnsi="Arial"/>
          <w:sz w:val="17"/>
          <w:szCs w:val="17"/>
          <w:i w:val="1"/>
          <w:iCs w:val="1"/>
          <w:color w:val="auto"/>
        </w:rPr>
        <w:t>Effectiveness of Registration Statement</w:t>
      </w:r>
      <w:r>
        <w:rPr>
          <w:rFonts w:ascii="Arial" w:cs="Arial" w:eastAsia="Arial" w:hAnsi="Arial"/>
          <w:sz w:val="17"/>
          <w:szCs w:val="17"/>
          <w:color w:val="auto"/>
        </w:rPr>
        <w:t>. The Registration Statement shall have become effective not later than 5:00 P.M.,</w:t>
      </w:r>
      <w:r>
        <w:rPr>
          <w:rFonts w:ascii="Arial" w:cs="Arial" w:eastAsia="Arial" w:hAnsi="Arial"/>
          <w:sz w:val="17"/>
          <w:szCs w:val="17"/>
          <w:i w:val="1"/>
          <w:iCs w:val="1"/>
          <w:color w:val="auto"/>
        </w:rPr>
        <w:t xml:space="preserve"> </w:t>
      </w:r>
      <w:r>
        <w:rPr>
          <w:rFonts w:ascii="Arial" w:cs="Arial" w:eastAsia="Arial" w:hAnsi="Arial"/>
          <w:sz w:val="17"/>
          <w:szCs w:val="17"/>
          <w:color w:val="auto"/>
        </w:rPr>
        <w:t>New York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 to the reasonable satisfaction of Kirkland &amp; Ellis LLP (“Kirkland”).</w:t>
      </w:r>
    </w:p>
    <w:p>
      <w:pPr>
        <w:spacing w:after="0" w:line="176" w:lineRule="exact"/>
        <w:rPr>
          <w:rFonts w:ascii="Arial" w:cs="Arial" w:eastAsia="Arial" w:hAnsi="Arial"/>
          <w:sz w:val="17"/>
          <w:szCs w:val="17"/>
          <w:color w:val="auto"/>
        </w:rPr>
      </w:pPr>
    </w:p>
    <w:p>
      <w:pPr>
        <w:ind w:right="20" w:firstLine="1952"/>
        <w:spacing w:after="0" w:line="277" w:lineRule="auto"/>
        <w:tabs>
          <w:tab w:leader="none" w:pos="2209" w:val="left"/>
        </w:tabs>
        <w:numPr>
          <w:ilvl w:val="2"/>
          <w:numId w:val="101"/>
        </w:numPr>
        <w:rPr>
          <w:rFonts w:ascii="Arial" w:cs="Arial" w:eastAsia="Arial" w:hAnsi="Arial"/>
          <w:sz w:val="18"/>
          <w:szCs w:val="18"/>
          <w:color w:val="auto"/>
        </w:rPr>
      </w:pPr>
      <w:r>
        <w:rPr>
          <w:rFonts w:ascii="Arial" w:cs="Arial" w:eastAsia="Arial" w:hAnsi="Arial"/>
          <w:sz w:val="18"/>
          <w:szCs w:val="18"/>
          <w:i w:val="1"/>
          <w:iCs w:val="1"/>
          <w:color w:val="auto"/>
        </w:rPr>
        <w:t>FINRA Clearance</w:t>
      </w:r>
      <w:r>
        <w:rPr>
          <w:rFonts w:ascii="Arial" w:cs="Arial" w:eastAsia="Arial" w:hAnsi="Arial"/>
          <w:sz w:val="18"/>
          <w:szCs w:val="18"/>
          <w:color w:val="auto"/>
        </w:rPr>
        <w:t>. By the Effective Date, the Representative shall have received clearance from FINRA as to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allowable or payable to the Underwriter as described in the Registration Statement.</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259" w:val="left"/>
        </w:tabs>
        <w:numPr>
          <w:ilvl w:val="2"/>
          <w:numId w:val="101"/>
        </w:numPr>
        <w:rPr>
          <w:rFonts w:ascii="Arial" w:cs="Arial" w:eastAsia="Arial" w:hAnsi="Arial"/>
          <w:sz w:val="18"/>
          <w:szCs w:val="18"/>
          <w:color w:val="auto"/>
        </w:rPr>
      </w:pPr>
      <w:r>
        <w:rPr>
          <w:rFonts w:ascii="Arial" w:cs="Arial" w:eastAsia="Arial" w:hAnsi="Arial"/>
          <w:sz w:val="18"/>
          <w:szCs w:val="18"/>
          <w:i w:val="1"/>
          <w:iCs w:val="1"/>
          <w:color w:val="auto"/>
        </w:rPr>
        <w:t>No Commission Stop Order</w:t>
      </w:r>
      <w:r>
        <w:rPr>
          <w:rFonts w:ascii="Arial" w:cs="Arial" w:eastAsia="Arial" w:hAnsi="Arial"/>
          <w:sz w:val="18"/>
          <w:szCs w:val="18"/>
          <w:color w:val="auto"/>
        </w:rPr>
        <w:t>. At each of the Closing Date and the Option Closing Date, the Commission has not issued any</w:t>
      </w:r>
      <w:r>
        <w:rPr>
          <w:rFonts w:ascii="Arial" w:cs="Arial" w:eastAsia="Arial" w:hAnsi="Arial"/>
          <w:sz w:val="18"/>
          <w:szCs w:val="18"/>
          <w:i w:val="1"/>
          <w:iCs w:val="1"/>
          <w:color w:val="auto"/>
        </w:rPr>
        <w:t xml:space="preserve"> </w:t>
      </w:r>
      <w:r>
        <w:rPr>
          <w:rFonts w:ascii="Arial" w:cs="Arial" w:eastAsia="Arial" w:hAnsi="Arial"/>
          <w:sz w:val="18"/>
          <w:szCs w:val="18"/>
          <w:color w:val="auto"/>
        </w:rPr>
        <w:t>order or threatened to issue any order preventing or suspending the use of any Preliminary Prospectus or the Prospectus or any part thereof, and has not instituted or threatened to institute any proceedings with respect to such an order.</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262" w:val="left"/>
        </w:tabs>
        <w:numPr>
          <w:ilvl w:val="2"/>
          <w:numId w:val="101"/>
        </w:numPr>
        <w:rPr>
          <w:rFonts w:ascii="Arial" w:cs="Arial" w:eastAsia="Arial" w:hAnsi="Arial"/>
          <w:sz w:val="18"/>
          <w:szCs w:val="18"/>
          <w:color w:val="auto"/>
        </w:rPr>
      </w:pPr>
      <w:r>
        <w:rPr>
          <w:rFonts w:ascii="Arial" w:cs="Arial" w:eastAsia="Arial" w:hAnsi="Arial"/>
          <w:sz w:val="18"/>
          <w:szCs w:val="18"/>
          <w:i w:val="1"/>
          <w:iCs w:val="1"/>
          <w:color w:val="auto"/>
        </w:rPr>
        <w:t>No Blue Sky Stop Orders</w:t>
      </w:r>
      <w:r>
        <w:rPr>
          <w:rFonts w:ascii="Arial" w:cs="Arial" w:eastAsia="Arial" w:hAnsi="Arial"/>
          <w:sz w:val="18"/>
          <w:szCs w:val="18"/>
          <w:color w:val="auto"/>
        </w:rPr>
        <w:t>. No order suspending the sale of the Firm Securities and Option Securities in any jurisdiction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by the Representative pursuant to this Agreement, if any, shall have been issued on either the Closing Date or the Option Closing Date, and no proceedings for that purpose shall have been instituted or shall be contemplated.</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2"/>
          <w:numId w:val="101"/>
        </w:numPr>
        <w:rPr>
          <w:rFonts w:ascii="Arial" w:cs="Arial" w:eastAsia="Arial" w:hAnsi="Arial"/>
          <w:sz w:val="16"/>
          <w:szCs w:val="16"/>
          <w:color w:val="auto"/>
        </w:rPr>
      </w:pPr>
      <w:r>
        <w:rPr>
          <w:rFonts w:ascii="Arial" w:cs="Arial" w:eastAsia="Arial" w:hAnsi="Arial"/>
          <w:sz w:val="16"/>
          <w:szCs w:val="16"/>
          <w:i w:val="1"/>
          <w:iCs w:val="1"/>
          <w:color w:val="auto"/>
        </w:rPr>
        <w:t>The Nasdaq Capital Market</w:t>
      </w:r>
      <w:r>
        <w:rPr>
          <w:rFonts w:ascii="Arial" w:cs="Arial" w:eastAsia="Arial" w:hAnsi="Arial"/>
          <w:sz w:val="16"/>
          <w:szCs w:val="16"/>
          <w:color w:val="auto"/>
        </w:rPr>
        <w:t>. By the Effective Date, the Public Securities shall have been approved for trading on the Nasdaq</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Capital Market.</w:t>
      </w:r>
    </w:p>
    <w:p>
      <w:pPr>
        <w:spacing w:after="0" w:line="210" w:lineRule="exact"/>
        <w:rPr>
          <w:rFonts w:ascii="Arial" w:cs="Arial" w:eastAsia="Arial" w:hAnsi="Arial"/>
          <w:sz w:val="16"/>
          <w:szCs w:val="16"/>
          <w:color w:val="auto"/>
        </w:rPr>
      </w:pPr>
    </w:p>
    <w:p>
      <w:pPr>
        <w:ind w:left="1560" w:hanging="256"/>
        <w:spacing w:after="0"/>
        <w:tabs>
          <w:tab w:leader="none" w:pos="1560"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Company Counsel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86" w:lineRule="auto"/>
        <w:tabs>
          <w:tab w:leader="none" w:pos="2159" w:val="left"/>
        </w:tabs>
        <w:numPr>
          <w:ilvl w:val="2"/>
          <w:numId w:val="101"/>
        </w:numPr>
        <w:rPr>
          <w:rFonts w:ascii="Arial" w:cs="Arial" w:eastAsia="Arial" w:hAnsi="Arial"/>
          <w:sz w:val="16"/>
          <w:szCs w:val="16"/>
          <w:color w:val="auto"/>
        </w:rPr>
      </w:pPr>
      <w:r>
        <w:rPr>
          <w:rFonts w:ascii="Arial" w:cs="Arial" w:eastAsia="Arial" w:hAnsi="Arial"/>
          <w:sz w:val="16"/>
          <w:szCs w:val="16"/>
          <w:i w:val="1"/>
          <w:iCs w:val="1"/>
          <w:color w:val="auto"/>
        </w:rPr>
        <w:t>Closing Date Opinion of Counsel</w:t>
      </w:r>
      <w:r>
        <w:rPr>
          <w:rFonts w:ascii="Arial" w:cs="Arial" w:eastAsia="Arial" w:hAnsi="Arial"/>
          <w:sz w:val="16"/>
          <w:szCs w:val="16"/>
          <w:color w:val="auto"/>
        </w:rPr>
        <w:t>. On the Closing Date, the Representative shall have received the favorable opinion of Loeb</w:t>
      </w:r>
      <w:r>
        <w:rPr>
          <w:rFonts w:ascii="Arial" w:cs="Arial" w:eastAsia="Arial" w:hAnsi="Arial"/>
          <w:sz w:val="16"/>
          <w:szCs w:val="16"/>
          <w:i w:val="1"/>
          <w:iCs w:val="1"/>
          <w:color w:val="auto"/>
        </w:rPr>
        <w:t xml:space="preserve"> </w:t>
      </w:r>
      <w:r>
        <w:rPr>
          <w:rFonts w:ascii="Arial" w:cs="Arial" w:eastAsia="Arial" w:hAnsi="Arial"/>
          <w:sz w:val="16"/>
          <w:szCs w:val="16"/>
          <w:color w:val="auto"/>
        </w:rPr>
        <w:t>&amp; Loeb LLP (“Loeb”), counsel to the Company, dated the Closing Date, addressed to the Representative and in form and substance reasonably satisfactory to the Representative. The opinion of counsel shall further include a statement to the effect that such counsel has participated in conferences with officers and other representatives of the Company, representatives of the independent public accountants for the Company and representatives of the Underwriter at which the contents of the Registration Statement, final Preliminary Prospectus, the Prospectus and related matters were discussed and although such counsel is not passing upon and does not assume any responsibility for the accuracy, completeness or fairness of the statements contained in the Registration Statement, final Preliminary Prospectus and the Prospectus (except as otherwise set forth in such opinion), no facts have come to the attention of such counsel which lead them to believe that either the Registration Statement, final Preliminary Prospectus or the Prospectus or any amendment or supplement thereto, as of the date of such opinion contained any untrue statement of a material fact or omitted to state a material fact required to be stated therein or necessary to make the statements therein (in the case of the Preliminary Prospectus and the Prospectus, in light of the circumstances under which they were made), not misleading (it being understood that such counsel need express no opinion with respect to the financial statements and related notes and schedules and other financial data included in the Registration Statement, final Preliminary Prospectus or the Prospectus or matters relating to the sale of securities in any jurisdiction outside the U.S.). The opinion of counsel shall state that such counsel is not opining as to the Placement Shares with respect to any rights to rescind or the effect any exercise of such rights will have on any other securities of the Company or on the Offering.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1952"/>
        <w:spacing w:after="0" w:line="279" w:lineRule="auto"/>
        <w:tabs>
          <w:tab w:leader="none" w:pos="2209" w:val="left"/>
        </w:tabs>
        <w:numPr>
          <w:ilvl w:val="1"/>
          <w:numId w:val="102"/>
        </w:numPr>
        <w:rPr>
          <w:rFonts w:ascii="Arial" w:cs="Arial" w:eastAsia="Arial" w:hAnsi="Arial"/>
          <w:sz w:val="17"/>
          <w:szCs w:val="17"/>
          <w:color w:val="auto"/>
        </w:rPr>
      </w:pPr>
      <w:r>
        <w:rPr>
          <w:rFonts w:ascii="Arial" w:cs="Arial" w:eastAsia="Arial" w:hAnsi="Arial"/>
          <w:sz w:val="17"/>
          <w:szCs w:val="17"/>
          <w:i w:val="1"/>
          <w:iCs w:val="1"/>
          <w:color w:val="auto"/>
        </w:rPr>
        <w:t>Option Closing Date Opinion of Counsel</w:t>
      </w:r>
      <w:r>
        <w:rPr>
          <w:rFonts w:ascii="Arial" w:cs="Arial" w:eastAsia="Arial" w:hAnsi="Arial"/>
          <w:sz w:val="17"/>
          <w:szCs w:val="17"/>
          <w:color w:val="auto"/>
        </w:rPr>
        <w:t>. On each Option Closing Date, if any, the Representative shall have received the</w:t>
      </w:r>
      <w:r>
        <w:rPr>
          <w:rFonts w:ascii="Arial" w:cs="Arial" w:eastAsia="Arial" w:hAnsi="Arial"/>
          <w:sz w:val="17"/>
          <w:szCs w:val="17"/>
          <w:i w:val="1"/>
          <w:iCs w:val="1"/>
          <w:color w:val="auto"/>
        </w:rPr>
        <w:t xml:space="preserve"> </w:t>
      </w:r>
      <w:r>
        <w:rPr>
          <w:rFonts w:ascii="Arial" w:cs="Arial" w:eastAsia="Arial" w:hAnsi="Arial"/>
          <w:sz w:val="17"/>
          <w:szCs w:val="17"/>
          <w:color w:val="auto"/>
        </w:rPr>
        <w:t>favorable opinion of Loeb, dated each Option Closing Date, addressed to the Representative and in form and substance reasonably satisfactory to counsel to the Representative, confirming as of each Option Closing Date, the statements made by Loeb in its opinion delivered on the Closing Date and also opining as to the issuance of the Option Securities and the securities underlying the Option Securities.</w:t>
      </w:r>
    </w:p>
    <w:p>
      <w:pPr>
        <w:spacing w:after="0" w:line="171" w:lineRule="exact"/>
        <w:rPr>
          <w:rFonts w:ascii="Arial" w:cs="Arial" w:eastAsia="Arial" w:hAnsi="Arial"/>
          <w:sz w:val="17"/>
          <w:szCs w:val="17"/>
          <w:color w:val="auto"/>
        </w:rPr>
      </w:pPr>
    </w:p>
    <w:p>
      <w:pPr>
        <w:jc w:val="both"/>
        <w:ind w:firstLine="1952"/>
        <w:spacing w:after="0" w:line="257" w:lineRule="auto"/>
        <w:tabs>
          <w:tab w:leader="none" w:pos="2286" w:val="left"/>
        </w:tabs>
        <w:numPr>
          <w:ilvl w:val="1"/>
          <w:numId w:val="102"/>
        </w:numPr>
        <w:rPr>
          <w:rFonts w:ascii="Arial" w:cs="Arial" w:eastAsia="Arial" w:hAnsi="Arial"/>
          <w:sz w:val="18"/>
          <w:szCs w:val="18"/>
          <w:color w:val="auto"/>
        </w:rPr>
      </w:pPr>
      <w:r>
        <w:rPr>
          <w:rFonts w:ascii="Arial" w:cs="Arial" w:eastAsia="Arial" w:hAnsi="Arial"/>
          <w:sz w:val="18"/>
          <w:szCs w:val="18"/>
          <w:i w:val="1"/>
          <w:iCs w:val="1"/>
          <w:color w:val="auto"/>
        </w:rPr>
        <w:t>Reliance</w:t>
      </w:r>
      <w:r>
        <w:rPr>
          <w:rFonts w:ascii="Arial" w:cs="Arial" w:eastAsia="Arial" w:hAnsi="Arial"/>
          <w:sz w:val="18"/>
          <w:szCs w:val="18"/>
          <w:color w:val="auto"/>
        </w:rPr>
        <w:t>. In rendering such opinion, such counsel may rely as to matters of fact, to the extent they deem proper,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certificates or other written statements of officers of the Company and officers of departments of various jurisdictions having custody of documents respecting the corporate existence or good standing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copies of any such statements or certificates shall be delivered to the Underwriter’s counsel if requested. The opinion of counsel for the Company shall include a statement to the effect that it may be relied upon by counsel for the Underwriter in its opinion delivered to the Underwriter.</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5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Cold Comfort Letter</w:t>
      </w:r>
      <w:r>
        <w:rPr>
          <w:rFonts w:ascii="Arial" w:cs="Arial" w:eastAsia="Arial" w:hAnsi="Arial"/>
          <w:sz w:val="18"/>
          <w:szCs w:val="18"/>
          <w:color w:val="auto"/>
        </w:rPr>
        <w:t xml:space="preserve">. At the time this Agreement is executed, and at each of the Closing Date and the Option Closing Date, if any, the Representative shall have received a letter, addressed to the Representative and in form and substance satisfactory in all respects (including the nature of the changes or decreases, if any, referred to in </w:t>
      </w:r>
      <w:r>
        <w:rPr>
          <w:rFonts w:ascii="Arial" w:cs="Arial" w:eastAsia="Arial" w:hAnsi="Arial"/>
          <w:sz w:val="18"/>
          <w:szCs w:val="18"/>
          <w:u w:val="single" w:color="auto"/>
          <w:color w:val="auto"/>
        </w:rPr>
        <w:t>Section 4.3.3</w:t>
      </w:r>
      <w:r>
        <w:rPr>
          <w:rFonts w:ascii="Arial" w:cs="Arial" w:eastAsia="Arial" w:hAnsi="Arial"/>
          <w:sz w:val="18"/>
          <w:szCs w:val="18"/>
          <w:color w:val="auto"/>
        </w:rPr>
        <w:t xml:space="preserve"> below) to the Representative from Withum dated, respectively, as of the date of this Agreement and as of the Closing Date and the Option Closing Date, if any:</w:t>
      </w:r>
    </w:p>
    <w:p>
      <w:pPr>
        <w:spacing w:after="0" w:line="186" w:lineRule="exact"/>
        <w:rPr>
          <w:rFonts w:ascii="Arial" w:cs="Arial" w:eastAsia="Arial" w:hAnsi="Arial"/>
          <w:sz w:val="18"/>
          <w:szCs w:val="18"/>
          <w:color w:val="auto"/>
        </w:rPr>
      </w:pPr>
    </w:p>
    <w:p>
      <w:pPr>
        <w:ind w:right="20" w:firstLine="1952"/>
        <w:spacing w:after="0" w:line="277" w:lineRule="auto"/>
        <w:tabs>
          <w:tab w:leader="none" w:pos="216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Confirming that they are an independent registered public accounting firm with respect to the Company within the meaning of the Act and the applicable Regulations;</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21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Stating that in their opinion the financial statements of the Company included in the Registration Statement, the Preliminary Prospectus and the Prospectus comply as to form in all material respects with the applicable accounting requirements of the Act and the Regulations thereunder;</w:t>
      </w:r>
    </w:p>
    <w:p>
      <w:pPr>
        <w:spacing w:after="0" w:line="183" w:lineRule="exact"/>
        <w:rPr>
          <w:rFonts w:ascii="Arial" w:cs="Arial" w:eastAsia="Arial" w:hAnsi="Arial"/>
          <w:sz w:val="18"/>
          <w:szCs w:val="18"/>
          <w:color w:val="auto"/>
        </w:rPr>
      </w:pPr>
    </w:p>
    <w:p>
      <w:pPr>
        <w:jc w:val="both"/>
        <w:ind w:firstLine="1952"/>
        <w:spacing w:after="0" w:line="287" w:lineRule="auto"/>
        <w:tabs>
          <w:tab w:leader="none" w:pos="2266" w:val="left"/>
        </w:tabs>
        <w:numPr>
          <w:ilvl w:val="1"/>
          <w:numId w:val="103"/>
        </w:numPr>
        <w:rPr>
          <w:rFonts w:ascii="Arial" w:cs="Arial" w:eastAsia="Arial" w:hAnsi="Arial"/>
          <w:sz w:val="16"/>
          <w:szCs w:val="16"/>
          <w:color w:val="auto"/>
        </w:rPr>
      </w:pPr>
      <w:r>
        <w:rPr>
          <w:rFonts w:ascii="Arial" w:cs="Arial" w:eastAsia="Arial" w:hAnsi="Arial"/>
          <w:sz w:val="16"/>
          <w:szCs w:val="16"/>
          <w:color w:val="auto"/>
        </w:rPr>
        <w:t>Stating that, on the basis of limited procedures which included a reading of the latest available minutes of the shareholders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 (a) at a date not later than five (5) days prior to the Effective Date, Closing Date or Option Closing Date, as the case may be, there was any change in the capital stock or long-term debt of the Company, or any decrease in the shareholders’ equity of the Company as compared with amounts shown in the June 11, 2020 balance sheet included in the Registration Statement, the Preliminary Prospectus and the Prospectus, other than as set forth in or contemplated by the Registration Statement, the Preliminary Prospectus and the Prospectus, or, if there was any decrease, setting forth the amount of such decrease; and (b) during the period from June 11, 2020 (balance sheet date) to a specified date not later than five (5) days prior to the Effective Date, Closing Date or Option Closing Date, as the case may be, there was any decrease in net loss or net loss per share of Common Stock, in each case as compared with the Statement of Operations for the period from May 25, 2020 (inception) to June 11, 2020 included in the Registration Statement and the Prospectus, or, if there was any such decrease, setting forth the amount of such decrease;</w:t>
      </w:r>
    </w:p>
    <w:p>
      <w:pPr>
        <w:spacing w:after="0" w:line="171" w:lineRule="exact"/>
        <w:rPr>
          <w:rFonts w:ascii="Arial" w:cs="Arial" w:eastAsia="Arial" w:hAnsi="Arial"/>
          <w:sz w:val="16"/>
          <w:szCs w:val="16"/>
          <w:color w:val="auto"/>
        </w:rPr>
      </w:pPr>
    </w:p>
    <w:p>
      <w:pPr>
        <w:jc w:val="both"/>
        <w:ind w:firstLine="1952"/>
        <w:spacing w:after="0" w:line="255" w:lineRule="auto"/>
        <w:tabs>
          <w:tab w:leader="none" w:pos="22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Stating they have compared specific dollar amounts, numbers of shares, percentages of earnings, statements and other financial information pertaining to the Company set forth in the Registration Statement, the Preliminary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the standards of the PCAOB) set forth in the letter and found them to be in agreement; and</w:t>
      </w:r>
    </w:p>
    <w:p>
      <w:pPr>
        <w:spacing w:after="0" w:line="192" w:lineRule="exact"/>
        <w:rPr>
          <w:rFonts w:ascii="Arial" w:cs="Arial" w:eastAsia="Arial" w:hAnsi="Arial"/>
          <w:sz w:val="18"/>
          <w:szCs w:val="18"/>
          <w:color w:val="auto"/>
        </w:rPr>
      </w:pPr>
    </w:p>
    <w:p>
      <w:pPr>
        <w:ind w:left="2220" w:hanging="268"/>
        <w:spacing w:after="0"/>
        <w:tabs>
          <w:tab w:leader="none" w:pos="22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Statements as to such other matters incident to the transaction contemplated hereby as the Representative may reasonably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left="1560" w:hanging="256"/>
        <w:spacing w:after="0"/>
        <w:tabs>
          <w:tab w:leader="none" w:pos="15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Officers’ Certificates</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91"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i w:val="1"/>
          <w:iCs w:val="1"/>
          <w:color w:val="auto"/>
        </w:rPr>
        <w:t>Officers’ Certificate</w:t>
      </w:r>
      <w:r>
        <w:rPr>
          <w:rFonts w:ascii="Arial" w:cs="Arial" w:eastAsia="Arial" w:hAnsi="Arial"/>
          <w:sz w:val="16"/>
          <w:szCs w:val="16"/>
          <w:color w:val="auto"/>
        </w:rPr>
        <w:t xml:space="preserve"> . At each of the Closing Date and the Option Closing Date, if any, the Representative shall have received a certificate of the Company signed by the Chief Executive Officer or the President and the Secretary or Assistant Secretary of the Company,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have been satisfied as of such date and that, as of Closing Date and the Option Closing Date, as the case may be, the representations and warranties of the Company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are true and correct. In addition, the Representative will have received such other and further certificates of officers of the Company as the Representative may reasonably request.</w:t>
      </w:r>
    </w:p>
    <w:p>
      <w:pPr>
        <w:spacing w:after="0" w:line="166" w:lineRule="exact"/>
        <w:rPr>
          <w:sz w:val="20"/>
          <w:szCs w:val="20"/>
          <w:color w:val="auto"/>
        </w:rPr>
      </w:pPr>
    </w:p>
    <w:p>
      <w:pPr>
        <w:jc w:val="both"/>
        <w:ind w:firstLine="1952"/>
        <w:spacing w:after="0" w:line="254" w:lineRule="auto"/>
        <w:tabs>
          <w:tab w:leader="none" w:pos="2236" w:val="left"/>
        </w:tabs>
        <w:numPr>
          <w:ilvl w:val="1"/>
          <w:numId w:val="105"/>
        </w:numPr>
        <w:rPr>
          <w:rFonts w:ascii="Arial" w:cs="Arial" w:eastAsia="Arial" w:hAnsi="Arial"/>
          <w:sz w:val="18"/>
          <w:szCs w:val="18"/>
          <w:color w:val="auto"/>
        </w:rPr>
      </w:pPr>
      <w:r>
        <w:rPr>
          <w:rFonts w:ascii="Arial" w:cs="Arial" w:eastAsia="Arial" w:hAnsi="Arial"/>
          <w:sz w:val="18"/>
          <w:szCs w:val="18"/>
          <w:i w:val="1"/>
          <w:iCs w:val="1"/>
          <w:color w:val="auto"/>
        </w:rPr>
        <w:t>Secretary’s Certificate</w:t>
      </w:r>
      <w:r>
        <w:rPr>
          <w:rFonts w:ascii="Arial" w:cs="Arial" w:eastAsia="Arial" w:hAnsi="Arial"/>
          <w:sz w:val="18"/>
          <w:szCs w:val="18"/>
          <w:color w:val="auto"/>
        </w:rPr>
        <w:t>. At each of the Closing Date and the Option Closing Date, if any, the Representative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 certificate of the Company signed by the Secretary or Assistant Secretary of the Company, dated the Closing Date or the Option Closing Date, as the case may be, certifying: (i) that the amended and restated certificate of incorporation and bylaws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the Nasdaq Stock Market; and (v) as to the incumbency of the officers of the Company. The documents referred to in such certificate shall be attached to such certificate.</w:t>
      </w:r>
    </w:p>
    <w:p>
      <w:pPr>
        <w:spacing w:after="0" w:line="194" w:lineRule="exact"/>
        <w:rPr>
          <w:rFonts w:ascii="Arial" w:cs="Arial" w:eastAsia="Arial" w:hAnsi="Arial"/>
          <w:sz w:val="18"/>
          <w:szCs w:val="18"/>
          <w:color w:val="auto"/>
        </w:rPr>
      </w:pPr>
    </w:p>
    <w:p>
      <w:pPr>
        <w:jc w:val="both"/>
        <w:ind w:firstLine="1304"/>
        <w:spacing w:after="0" w:line="268" w:lineRule="auto"/>
        <w:tabs>
          <w:tab w:leader="none" w:pos="1554"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No Material Changes</w:t>
      </w:r>
      <w:r>
        <w:rPr>
          <w:rFonts w:ascii="Arial" w:cs="Arial" w:eastAsia="Arial" w:hAnsi="Arial"/>
          <w:sz w:val="17"/>
          <w:szCs w:val="17"/>
          <w:color w:val="auto"/>
        </w:rPr>
        <w:t>. Prior to and on each of the Closing Date and the Option Closing Date, if any: (i) there shall have been no material adverse change or development that is likely to result in a material adverse change in the condition or prospects or the business activities, financial or otherwise, of the Company from the latest dates as of which such condition is set forth in the Registration Statement and Prospectus; (ii) no action, suit or proceeding, at law or in equity, shall have been pending or threatened against the Company or the Initial Shareholders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Preliminary Prospectus and Prospectus; (iii) no stop order shall have been issued under the Act and no proceedings therefor shall have been initiated or threatened by the Commission; and (iv) the Registration Statement, the Preliminary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neither the Registration Statement, the Preliminary Prospectus nor the Prospectus nor any amendment or supplement thereto shall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w:t>
      </w:r>
    </w:p>
    <w:p>
      <w:pPr>
        <w:spacing w:after="0" w:line="186" w:lineRule="exact"/>
        <w:rPr>
          <w:rFonts w:ascii="Arial" w:cs="Arial" w:eastAsia="Arial" w:hAnsi="Arial"/>
          <w:sz w:val="17"/>
          <w:szCs w:val="17"/>
          <w:color w:val="auto"/>
        </w:rPr>
      </w:pPr>
    </w:p>
    <w:p>
      <w:pPr>
        <w:ind w:left="1520" w:hanging="216"/>
        <w:spacing w:after="0"/>
        <w:tabs>
          <w:tab w:leader="none" w:pos="15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Delivery of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59" w:val="left"/>
        </w:tabs>
        <w:numPr>
          <w:ilvl w:val="1"/>
          <w:numId w:val="106"/>
        </w:numPr>
        <w:rPr>
          <w:rFonts w:ascii="Arial" w:cs="Arial" w:eastAsia="Arial" w:hAnsi="Arial"/>
          <w:sz w:val="18"/>
          <w:szCs w:val="18"/>
          <w:color w:val="auto"/>
        </w:rPr>
      </w:pPr>
      <w:r>
        <w:rPr>
          <w:rFonts w:ascii="Arial" w:cs="Arial" w:eastAsia="Arial" w:hAnsi="Arial"/>
          <w:sz w:val="18"/>
          <w:szCs w:val="18"/>
          <w:i w:val="1"/>
          <w:iCs w:val="1"/>
          <w:color w:val="auto"/>
        </w:rPr>
        <w:t>Effective Date Deliveries</w:t>
      </w:r>
      <w:r>
        <w:rPr>
          <w:rFonts w:ascii="Arial" w:cs="Arial" w:eastAsia="Arial" w:hAnsi="Arial"/>
          <w:sz w:val="18"/>
          <w:szCs w:val="18"/>
          <w:color w:val="auto"/>
        </w:rPr>
        <w:t>. On the Effective Date, the Company shall have delivered to the Representative executed copies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Trust Agreement, the Services Agreement, all of the Insider Letters, the Subscription Agreements, the Registration Rights Agreement and the Escrow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ind w:left="180" w:hanging="172"/>
        <w:spacing w:after="0"/>
        <w:tabs>
          <w:tab w:leader="none" w:pos="18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540" w:hanging="236"/>
        <w:spacing w:after="0"/>
        <w:tabs>
          <w:tab w:leader="none" w:pos="1540"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Indemnification of Underwriter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84" w:lineRule="auto"/>
        <w:tabs>
          <w:tab w:leader="none" w:pos="2159" w:val="left"/>
        </w:tabs>
        <w:numPr>
          <w:ilvl w:val="2"/>
          <w:numId w:val="107"/>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Subject to the conditions set forth below, the Company agrees to indemnify and hold harmless the Underwriter and</w:t>
      </w:r>
      <w:r>
        <w:rPr>
          <w:rFonts w:ascii="Arial" w:cs="Arial" w:eastAsia="Arial" w:hAnsi="Arial"/>
          <w:sz w:val="16"/>
          <w:szCs w:val="16"/>
          <w:i w:val="1"/>
          <w:iCs w:val="1"/>
          <w:color w:val="auto"/>
        </w:rPr>
        <w:t xml:space="preserve"> </w:t>
      </w:r>
      <w:r>
        <w:rPr>
          <w:rFonts w:ascii="Arial" w:cs="Arial" w:eastAsia="Arial" w:hAnsi="Arial"/>
          <w:sz w:val="16"/>
          <w:szCs w:val="16"/>
          <w:color w:val="auto"/>
        </w:rPr>
        <w:t>each dealer selected by the Representative that participates in the offer and sale of the Firm Securities and Option Securities (each a “</w:t>
      </w:r>
      <w:r>
        <w:rPr>
          <w:rFonts w:ascii="Arial" w:cs="Arial" w:eastAsia="Arial" w:hAnsi="Arial"/>
          <w:sz w:val="16"/>
          <w:szCs w:val="16"/>
          <w:b w:val="1"/>
          <w:bCs w:val="1"/>
          <w:color w:val="auto"/>
        </w:rPr>
        <w:t>Selected Dealer</w:t>
      </w:r>
      <w:r>
        <w:rPr>
          <w:rFonts w:ascii="Arial" w:cs="Arial" w:eastAsia="Arial" w:hAnsi="Arial"/>
          <w:sz w:val="16"/>
          <w:szCs w:val="16"/>
          <w:color w:val="auto"/>
        </w:rPr>
        <w:t>”) and each of their respective directors, officers and employees and each person, if any, who controls any such Underwriter (“</w:t>
      </w:r>
      <w:r>
        <w:rPr>
          <w:rFonts w:ascii="Arial" w:cs="Arial" w:eastAsia="Arial" w:hAnsi="Arial"/>
          <w:sz w:val="16"/>
          <w:szCs w:val="16"/>
          <w:b w:val="1"/>
          <w:bCs w:val="1"/>
          <w:color w:val="auto"/>
        </w:rPr>
        <w:t>Controlling Person</w:t>
      </w:r>
      <w:r>
        <w:rPr>
          <w:rFonts w:ascii="Arial" w:cs="Arial" w:eastAsia="Arial" w:hAnsi="Arial"/>
          <w:sz w:val="16"/>
          <w:szCs w:val="16"/>
          <w:color w:val="auto"/>
        </w:rPr>
        <w:t xml:space="preserve">”) within the meaning of Section 15 of the Act or Section 20(a)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 and the Company or between any of the Underwriter and any third party or otherwise) to which they or any of them may become subject under the Act, the Exchange Act or any other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(ii) in any post-effective amendment or amendments or any new registration statement and prospectus in which is included securities of the Company issued; or (iii)any application or other document or written communication (in this </w:t>
      </w:r>
      <w:r>
        <w:rPr>
          <w:rFonts w:ascii="Arial" w:cs="Arial" w:eastAsia="Arial" w:hAnsi="Arial"/>
          <w:sz w:val="16"/>
          <w:szCs w:val="16"/>
          <w:u w:val="single" w:color="auto"/>
          <w:color w:val="auto"/>
        </w:rPr>
        <w:t>Section 5</w:t>
      </w:r>
      <w:r>
        <w:rPr>
          <w:rFonts w:ascii="Arial" w:cs="Arial" w:eastAsia="Arial" w:hAnsi="Arial"/>
          <w:sz w:val="16"/>
          <w:szCs w:val="16"/>
          <w:color w:val="auto"/>
        </w:rPr>
        <w:t>, collectively called “</w:t>
      </w:r>
      <w:r>
        <w:rPr>
          <w:rFonts w:ascii="Arial" w:cs="Arial" w:eastAsia="Arial" w:hAnsi="Arial"/>
          <w:sz w:val="16"/>
          <w:szCs w:val="16"/>
          <w:b w:val="1"/>
          <w:bCs w:val="1"/>
          <w:color w:val="auto"/>
        </w:rPr>
        <w:t>Application</w:t>
      </w:r>
      <w:r>
        <w:rPr>
          <w:rFonts w:ascii="Arial" w:cs="Arial" w:eastAsia="Arial" w:hAnsi="Arial"/>
          <w:sz w:val="16"/>
          <w:szCs w:val="16"/>
          <w:color w:val="auto"/>
        </w:rPr>
        <w:t>”) executed by the Company or based upon written information furnished by the Company in any jurisdiction in order to qualify the Firm Securities and Option Securities under the securities laws thereof or filed with the Commission, any state securities commission or agency, the Nasdaq Stock Market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or the Prospectus, or any amendment or supplement thereof.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Act and the Regulations, and if the untrue statement or omission has been corrected in the Prospectus, unless such failure to deliver the Prospectus was a result of non-compliance by the Company with its obligations hereunder. The Company agrees to promptly notify the Representative of the commencement of any litigation or proceedings against the Company or any of its officers, directors or Controlling Persons in connection with the issue and sale of the Securities or in connection with the Preliminary Prospectus, the Registration Statement, or the Prospectus.</w:t>
      </w:r>
    </w:p>
    <w:p>
      <w:pPr>
        <w:spacing w:after="0" w:line="390" w:lineRule="exact"/>
        <w:rPr>
          <w:rFonts w:ascii="Arial" w:cs="Arial" w:eastAsia="Arial" w:hAnsi="Arial"/>
          <w:sz w:val="16"/>
          <w:szCs w:val="16"/>
          <w:color w:val="auto"/>
        </w:rPr>
      </w:pPr>
    </w:p>
    <w:p>
      <w:pPr>
        <w:jc w:val="both"/>
        <w:ind w:firstLine="1952"/>
        <w:spacing w:after="0" w:line="286" w:lineRule="auto"/>
        <w:tabs>
          <w:tab w:leader="none" w:pos="2222" w:val="left"/>
        </w:tabs>
        <w:numPr>
          <w:ilvl w:val="2"/>
          <w:numId w:val="107"/>
        </w:numPr>
        <w:rPr>
          <w:rFonts w:ascii="Arial" w:cs="Arial" w:eastAsia="Arial" w:hAnsi="Arial"/>
          <w:sz w:val="16"/>
          <w:szCs w:val="16"/>
          <w:color w:val="auto"/>
        </w:rPr>
      </w:pPr>
      <w:r>
        <w:rPr>
          <w:rFonts w:ascii="Arial" w:cs="Arial" w:eastAsia="Arial" w:hAnsi="Arial"/>
          <w:sz w:val="16"/>
          <w:szCs w:val="16"/>
          <w:i w:val="1"/>
          <w:iCs w:val="1"/>
          <w:color w:val="auto"/>
        </w:rPr>
        <w:t>Procedure</w:t>
      </w:r>
      <w:r>
        <w:rPr>
          <w:rFonts w:ascii="Arial" w:cs="Arial" w:eastAsia="Arial" w:hAnsi="Arial"/>
          <w:sz w:val="16"/>
          <w:szCs w:val="16"/>
          <w:color w:val="auto"/>
        </w:rPr>
        <w:t>. If any action is brought against an Underwriter or Controlling Person in respect of which indemnity may be</w:t>
      </w:r>
      <w:r>
        <w:rPr>
          <w:rFonts w:ascii="Arial" w:cs="Arial" w:eastAsia="Arial" w:hAnsi="Arial"/>
          <w:sz w:val="16"/>
          <w:szCs w:val="16"/>
          <w:i w:val="1"/>
          <w:iCs w:val="1"/>
          <w:color w:val="auto"/>
        </w:rPr>
        <w:t xml:space="preserve"> </w:t>
      </w:r>
      <w:r>
        <w:rPr>
          <w:rFonts w:ascii="Arial" w:cs="Arial" w:eastAsia="Arial" w:hAnsi="Arial"/>
          <w:sz w:val="16"/>
          <w:szCs w:val="16"/>
          <w:color w:val="auto"/>
        </w:rPr>
        <w:t>sought against the Company hereunder, such Underwriter shall promptly notify the Company in writing of the institution of such action and the Company shall assume the defense of such action, including the employment and fees of counsel (subject to the reasonable approval of such Underwriter) and payment of actual expenses. Such Underwriter or Controlling Person shall have the right to employ its or their own counsel in any such case, but the fees and expenses of such counsel shall be at the expense of such Underwriter or such Controlling Person unless: (i) the employment of such counsel at the expense of the Company shall have been authorized in writing by the Company in connection with the defense of such action within reasonable time under the circumstances;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or another conflict of interest or conflict as to legal representation exists, (in which case the Company shall not have the right to direct the defense of such action on behalf of the indemnified party or parties), in any of which events the reasonable fees and expenses of not more than one additional firm of attorneys selected by the Underwriter and/or Controlling Person shall be borne by the Company. Notwithstanding anything to the contrary contained herein, if the Underwriter or Controlling Person shall assume the defense of such action as provided above, the Company shall have the right to approve the terms of any settlement of such action which approval shall not be unreasonably withheld.</w:t>
      </w:r>
    </w:p>
    <w:p>
      <w:pPr>
        <w:spacing w:after="0" w:line="173" w:lineRule="exact"/>
        <w:rPr>
          <w:rFonts w:ascii="Arial" w:cs="Arial" w:eastAsia="Arial" w:hAnsi="Arial"/>
          <w:sz w:val="16"/>
          <w:szCs w:val="16"/>
          <w:color w:val="auto"/>
        </w:rPr>
      </w:pPr>
    </w:p>
    <w:p>
      <w:pPr>
        <w:jc w:val="both"/>
        <w:ind w:firstLine="1304"/>
        <w:spacing w:after="0" w:line="284" w:lineRule="auto"/>
        <w:tabs>
          <w:tab w:leader="none" w:pos="1551"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Indemnification of the Company</w:t>
      </w:r>
      <w:r>
        <w:rPr>
          <w:rFonts w:ascii="Arial" w:cs="Arial" w:eastAsia="Arial" w:hAnsi="Arial"/>
          <w:sz w:val="16"/>
          <w:szCs w:val="16"/>
          <w:color w:val="auto"/>
        </w:rPr>
        <w:t>. Each Underwriter, severally and not jointly, agrees to indemnify and hold harmless the Company, its directors, officers and employees, and agents who control the Company within the meaning of Section 15 of the Act or Section 20 of the Exchange Act, against any and all loss, liability, claim, damage and expense described in the foregoing indemnity from the Company to the Underwriter,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the Underwriter expressly for use in such Preliminary Prospectus, the Registration Statement, or the Prospectus, or any amendment or supplement thereto or in any such Application, which furnished written</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it is expressly agreed, consists solely of the information described in the last sentence of [ ]. In case any action shall be brought against the Company or any other person so indemnified based on any Preliminary Prospectus, the Registration Statement, or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Underwriter by the provisions of Section 5(b).</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ind w:left="1540" w:hanging="236"/>
        <w:spacing w:after="0"/>
        <w:tabs>
          <w:tab w:leader="none" w:pos="154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8" w:lineRule="auto"/>
        <w:tabs>
          <w:tab w:leader="none" w:pos="2159" w:val="left"/>
        </w:tabs>
        <w:numPr>
          <w:ilvl w:val="2"/>
          <w:numId w:val="108"/>
        </w:numPr>
        <w:rPr>
          <w:rFonts w:ascii="Arial" w:cs="Arial" w:eastAsia="Arial" w:hAnsi="Arial"/>
          <w:sz w:val="17"/>
          <w:szCs w:val="17"/>
          <w:color w:val="auto"/>
        </w:rPr>
      </w:pPr>
      <w:r>
        <w:rPr>
          <w:rFonts w:ascii="Arial" w:cs="Arial" w:eastAsia="Arial" w:hAnsi="Arial"/>
          <w:sz w:val="17"/>
          <w:szCs w:val="17"/>
          <w:i w:val="1"/>
          <w:iCs w:val="1"/>
          <w:color w:val="auto"/>
        </w:rPr>
        <w:t>Contribution Rights</w:t>
      </w:r>
      <w:r>
        <w:rPr>
          <w:rFonts w:ascii="Arial" w:cs="Arial" w:eastAsia="Arial" w:hAnsi="Arial"/>
          <w:sz w:val="17"/>
          <w:szCs w:val="17"/>
          <w:color w:val="auto"/>
        </w:rPr>
        <w:t>. In order to provide for just and equitable contribution under the Act in any case in which: (i) any person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entitled to indemnification under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provides for indemnification in such case; or (ii) contribution under the Act, the Exchange Act or otherwise may be required on the part of any such person in circumstances for which indemnification is provided under </w:t>
      </w:r>
      <w:r>
        <w:rPr>
          <w:rFonts w:ascii="Arial" w:cs="Arial" w:eastAsia="Arial" w:hAnsi="Arial"/>
          <w:sz w:val="17"/>
          <w:szCs w:val="17"/>
          <w:u w:val="single" w:color="auto"/>
          <w:color w:val="auto"/>
        </w:rPr>
        <w:t>this Section 5</w:t>
      </w:r>
      <w:r>
        <w:rPr>
          <w:rFonts w:ascii="Arial" w:cs="Arial" w:eastAsia="Arial" w:hAnsi="Arial"/>
          <w:sz w:val="17"/>
          <w:szCs w:val="17"/>
          <w:color w:val="auto"/>
        </w:rPr>
        <w:t xml:space="preserve">, then, and in each such case, the Company and the Underwriter shall contribute to the aggregate losses, liabilities, claims, damages and expenses of the nature contemplated by said indemnity agreement incurred by the Company and the Underwriter, as incurred, in such proportions that the Underwriter is responsible for that portion represented by the percentage that the underwriting discount appearing on the cover page of the Prospectus bears to the initial offering price appearing thereon and the Company is responsible for the balance; </w:t>
      </w:r>
      <w:r>
        <w:rPr>
          <w:rFonts w:ascii="Arial" w:cs="Arial" w:eastAsia="Arial" w:hAnsi="Arial"/>
          <w:sz w:val="17"/>
          <w:szCs w:val="17"/>
          <w:i w:val="1"/>
          <w:iCs w:val="1"/>
          <w:color w:val="auto"/>
        </w:rPr>
        <w:t>provided</w:t>
      </w:r>
      <w:r>
        <w:rPr>
          <w:rFonts w:ascii="Arial" w:cs="Arial" w:eastAsia="Arial" w:hAnsi="Arial"/>
          <w:sz w:val="17"/>
          <w:szCs w:val="17"/>
          <w:color w:val="auto"/>
        </w:rPr>
        <w:t>, that, no person guilty of a fraudulent misrepresentation (within the meaning of Section 11(f) of the Act) shall be entitled to contribution from any person who was not guilty of such fraudulent misrepresentation. Notwithstanding the provisions of this clause (c),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 or the Company, as applicable.</w:t>
      </w:r>
    </w:p>
    <w:p>
      <w:pPr>
        <w:spacing w:after="0" w:line="179" w:lineRule="exact"/>
        <w:rPr>
          <w:rFonts w:ascii="Arial" w:cs="Arial" w:eastAsia="Arial" w:hAnsi="Arial"/>
          <w:sz w:val="17"/>
          <w:szCs w:val="17"/>
          <w:color w:val="auto"/>
        </w:rPr>
      </w:pPr>
    </w:p>
    <w:p>
      <w:pPr>
        <w:jc w:val="both"/>
        <w:ind w:firstLine="1952"/>
        <w:spacing w:after="0" w:line="253" w:lineRule="auto"/>
        <w:tabs>
          <w:tab w:leader="none" w:pos="2209" w:val="left"/>
        </w:tabs>
        <w:numPr>
          <w:ilvl w:val="2"/>
          <w:numId w:val="108"/>
        </w:numPr>
        <w:rPr>
          <w:rFonts w:ascii="Arial" w:cs="Arial" w:eastAsia="Arial" w:hAnsi="Arial"/>
          <w:sz w:val="18"/>
          <w:szCs w:val="18"/>
          <w:color w:val="auto"/>
        </w:rPr>
      </w:pPr>
      <w:r>
        <w:rPr>
          <w:rFonts w:ascii="Arial" w:cs="Arial" w:eastAsia="Arial" w:hAnsi="Arial"/>
          <w:sz w:val="18"/>
          <w:szCs w:val="18"/>
          <w:i w:val="1"/>
          <w:iCs w:val="1"/>
          <w:color w:val="auto"/>
        </w:rPr>
        <w:t>Contribution Procedure</w:t>
      </w:r>
      <w:r>
        <w:rPr>
          <w:rFonts w:ascii="Arial" w:cs="Arial" w:eastAsia="Arial" w:hAnsi="Arial"/>
          <w:sz w:val="18"/>
          <w:szCs w:val="18"/>
          <w:color w:val="auto"/>
        </w:rPr>
        <w:t>. Within fifteen (15) days after receipt by any party to this Agreement (or its representative) of notice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commencement of any action, suit or proceeding, such party will, if a claim for contribution in respect thereof is to be made against another party (“</w:t>
      </w:r>
      <w:r>
        <w:rPr>
          <w:rFonts w:ascii="Arial" w:cs="Arial" w:eastAsia="Arial" w:hAnsi="Arial"/>
          <w:sz w:val="18"/>
          <w:szCs w:val="18"/>
          <w:b w:val="1"/>
          <w:bCs w:val="1"/>
          <w:color w:val="auto"/>
        </w:rPr>
        <w:t>Contributing Party</w:t>
      </w:r>
      <w:r>
        <w:rPr>
          <w:rFonts w:ascii="Arial" w:cs="Arial" w:eastAsia="Arial" w:hAnsi="Arial"/>
          <w:sz w:val="18"/>
          <w:szCs w:val="18"/>
          <w:color w:val="auto"/>
        </w:rPr>
        <w:t>”),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clause (c) are several and not joint.</w:t>
      </w:r>
    </w:p>
    <w:p>
      <w:pPr>
        <w:spacing w:after="0" w:line="187" w:lineRule="exact"/>
        <w:rPr>
          <w:rFonts w:ascii="Arial" w:cs="Arial" w:eastAsia="Arial" w:hAnsi="Arial"/>
          <w:sz w:val="18"/>
          <w:szCs w:val="18"/>
          <w:color w:val="auto"/>
        </w:rPr>
      </w:pPr>
    </w:p>
    <w:p>
      <w:pPr>
        <w:ind w:left="180" w:hanging="172"/>
        <w:spacing w:after="0"/>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Additional Covenants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right="20" w:firstLine="1304"/>
        <w:spacing w:after="0" w:line="286" w:lineRule="auto"/>
        <w:tabs>
          <w:tab w:leader="none" w:pos="1540"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Additional Shares or Options</w:t>
      </w:r>
      <w:r>
        <w:rPr>
          <w:rFonts w:ascii="Arial" w:cs="Arial" w:eastAsia="Arial" w:hAnsi="Arial"/>
          <w:sz w:val="17"/>
          <w:szCs w:val="17"/>
          <w:color w:val="auto"/>
        </w:rPr>
        <w:t>. The Company hereby agrees that until the Company consummates a Business Combination, it shall not issue any shares of Common Stock or any options or other securities convertible into shares of Common Stock, or any class of shares which participate in any manner in the Trust Account or which vote as a class with the Common Stock on a Business Combination.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1304"/>
        <w:spacing w:after="0" w:line="285" w:lineRule="auto"/>
        <w:tabs>
          <w:tab w:leader="none" w:pos="1564"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Trust Account Waiver Acknowledgments</w:t>
      </w:r>
      <w:r>
        <w:rPr>
          <w:rFonts w:ascii="Arial" w:cs="Arial" w:eastAsia="Arial" w:hAnsi="Arial"/>
          <w:sz w:val="16"/>
          <w:szCs w:val="16"/>
          <w:color w:val="auto"/>
        </w:rPr>
        <w:t>. The Company hereby agrees that it will not commence its due diligence investigation of any operating business or businesses which the Company seeks to acquire (each, a “</w:t>
      </w:r>
      <w:r>
        <w:rPr>
          <w:rFonts w:ascii="Arial" w:cs="Arial" w:eastAsia="Arial" w:hAnsi="Arial"/>
          <w:sz w:val="16"/>
          <w:szCs w:val="16"/>
          <w:b w:val="1"/>
          <w:bCs w:val="1"/>
          <w:color w:val="auto"/>
        </w:rPr>
        <w:t>Target Business</w:t>
      </w:r>
      <w:r>
        <w:rPr>
          <w:rFonts w:ascii="Arial" w:cs="Arial" w:eastAsia="Arial" w:hAnsi="Arial"/>
          <w:sz w:val="16"/>
          <w:szCs w:val="16"/>
          <w:color w:val="auto"/>
        </w:rPr>
        <w:t>”) unless and until such Target Business acknowledges in writing, whether through a letter of intent, memorandum of understanding or other similar document (and subsequently acknowledges the same in any definitive document replacing any of the foregoing), that: (i) it has read the Prospectus and understands that the Company has established the Trust Account, initially in an amount of $125,000,000 for the benefit of the public shareholders, and that (ii) for and in consideration of the Company agreeing to evaluate such Target Business for purposes of consummating a Business Combination with it, such Target Business agrees that it does not have any right, title, interest or claim of any kind in or to any monies of the Trust Account (“</w:t>
      </w:r>
      <w:r>
        <w:rPr>
          <w:rFonts w:ascii="Arial" w:cs="Arial" w:eastAsia="Arial" w:hAnsi="Arial"/>
          <w:sz w:val="16"/>
          <w:szCs w:val="16"/>
          <w:b w:val="1"/>
          <w:bCs w:val="1"/>
          <w:color w:val="auto"/>
        </w:rPr>
        <w:t>Claim</w:t>
      </w:r>
      <w:r>
        <w:rPr>
          <w:rFonts w:ascii="Arial" w:cs="Arial" w:eastAsia="Arial" w:hAnsi="Arial"/>
          <w:sz w:val="16"/>
          <w:szCs w:val="16"/>
          <w:color w:val="auto"/>
        </w:rPr>
        <w:t xml:space="preserve">”) and waives any Claim it may have in the future as a result of, or arising out of, any negotiations, contracts or agreements with the Company and will not seek recourse against the Trust Account for any reason whatsoever. The Company further agrees that it will use all reasonable efforts, prior to obtaining the services of any vendor, to obtain a written acknowledgment from such vendor, whether through a letter of intent, memorandum of understanding or other similar document (and subsequently acknowledges the same in any definitive document replacing any of the foregoing), that: (i) such vendor has read the Prospectus and understands that the Company has established the Trust Account, initially in an amount of $125,000,000 for the benefit of the public shareholders, and that (ii) for and in consideration of the Company agreeing to engage the services of the vendor, such vendor agrees that it does not have any Claim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respectively. Furthermore, each officer and director of the Company shall execute a waiver letter in the form attached hereto as Exhibit C.</w:t>
      </w:r>
    </w:p>
    <w:p>
      <w:pPr>
        <w:spacing w:after="0" w:line="176" w:lineRule="exact"/>
        <w:rPr>
          <w:rFonts w:ascii="Arial" w:cs="Arial" w:eastAsia="Arial" w:hAnsi="Arial"/>
          <w:sz w:val="16"/>
          <w:szCs w:val="16"/>
          <w:color w:val="auto"/>
        </w:rPr>
      </w:pPr>
    </w:p>
    <w:p>
      <w:pPr>
        <w:jc w:val="both"/>
        <w:ind w:firstLine="1304"/>
        <w:spacing w:after="0" w:line="286" w:lineRule="auto"/>
        <w:tabs>
          <w:tab w:leader="none" w:pos="1540"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Insider Letters</w:t>
      </w:r>
      <w:r>
        <w:rPr>
          <w:rFonts w:ascii="Arial" w:cs="Arial" w:eastAsia="Arial" w:hAnsi="Arial"/>
          <w:sz w:val="17"/>
          <w:szCs w:val="17"/>
          <w:color w:val="auto"/>
        </w:rPr>
        <w:t>. The Company shall not take any action or omit to take any action which would cause a breach of any of the Insider Letters executed between each Initial Shareholders and the Company, and the Company or the Subscription Agreements and will not allow any amendments to, or waivers of, such Insider Letters or the Subscription Agreements without the prior written consent of the Representative.</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1551"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The Company shall not take any action or omit to take any action that would cause the Company to be in material breach or violation of its amended and restated certificate of incorporation or by-laws. Except as provided herein, prior to the consummation of a Business Combination, the Company will not amend its amended and restated certificate of incorporation, without the prior written consent of the Representative.</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54"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Tender Offer Documents, Proxy Materials and Other Information</w:t>
      </w:r>
      <w:r>
        <w:rPr>
          <w:rFonts w:ascii="Arial" w:cs="Arial" w:eastAsia="Arial" w:hAnsi="Arial"/>
          <w:sz w:val="18"/>
          <w:szCs w:val="18"/>
          <w:color w:val="auto"/>
        </w:rPr>
        <w:t>. The Company shall provide counsel to the Representative with copies of all tender offer documents or proxy information and all related material filed with the Commission in connection with a Business Combination concurrently with such filing with the Commission. In addition, the Company shall furnish any other State in which the Offering was registered, such information as may be requested by such State.</w:t>
      </w:r>
    </w:p>
    <w:p>
      <w:pPr>
        <w:spacing w:after="0" w:line="186" w:lineRule="exact"/>
        <w:rPr>
          <w:rFonts w:ascii="Arial" w:cs="Arial" w:eastAsia="Arial" w:hAnsi="Arial"/>
          <w:sz w:val="18"/>
          <w:szCs w:val="18"/>
          <w:color w:val="auto"/>
        </w:rPr>
      </w:pPr>
    </w:p>
    <w:p>
      <w:pPr>
        <w:ind w:firstLine="1304"/>
        <w:spacing w:after="0" w:line="308" w:lineRule="auto"/>
        <w:tabs>
          <w:tab w:leader="none" w:pos="1534"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Acquisition/Liquidation Procedure</w:t>
      </w:r>
      <w:r>
        <w:rPr>
          <w:rFonts w:ascii="Arial" w:cs="Arial" w:eastAsia="Arial" w:hAnsi="Arial"/>
          <w:sz w:val="17"/>
          <w:szCs w:val="17"/>
          <w:color w:val="auto"/>
        </w:rPr>
        <w:t>. The Company agrees that it will comply with its Certificate of Incorporation in connection with the consummation of a Business Combination or the failure to consummate a Business Combination within 24 months from the Effective Date.</w:t>
      </w:r>
    </w:p>
    <w:p>
      <w:pPr>
        <w:spacing w:after="0" w:line="146" w:lineRule="exact"/>
        <w:rPr>
          <w:rFonts w:ascii="Arial" w:cs="Arial" w:eastAsia="Arial" w:hAnsi="Arial"/>
          <w:sz w:val="17"/>
          <w:szCs w:val="17"/>
          <w:color w:val="auto"/>
        </w:rPr>
      </w:pPr>
    </w:p>
    <w:p>
      <w:pPr>
        <w:jc w:val="both"/>
        <w:ind w:firstLine="1304"/>
        <w:spacing w:after="0" w:line="286" w:lineRule="auto"/>
        <w:tabs>
          <w:tab w:leader="none" w:pos="1551"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Rule 419</w:t>
      </w:r>
      <w:r>
        <w:rPr>
          <w:rFonts w:ascii="Arial" w:cs="Arial" w:eastAsia="Arial" w:hAnsi="Arial"/>
          <w:sz w:val="17"/>
          <w:szCs w:val="17"/>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65" w:lineRule="exact"/>
        <w:rPr>
          <w:rFonts w:ascii="Arial" w:cs="Arial" w:eastAsia="Arial" w:hAnsi="Arial"/>
          <w:sz w:val="17"/>
          <w:szCs w:val="17"/>
          <w:color w:val="auto"/>
        </w:rPr>
      </w:pPr>
    </w:p>
    <w:p>
      <w:pPr>
        <w:jc w:val="both"/>
        <w:ind w:firstLine="1304"/>
        <w:spacing w:after="0" w:line="257" w:lineRule="auto"/>
        <w:tabs>
          <w:tab w:leader="none" w:pos="1564"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Presentation of Potential Target Businesses</w:t>
      </w:r>
      <w:r>
        <w:rPr>
          <w:rFonts w:ascii="Arial" w:cs="Arial" w:eastAsia="Arial" w:hAnsi="Arial"/>
          <w:sz w:val="18"/>
          <w:szCs w:val="18"/>
          <w:color w:val="auto"/>
        </w:rPr>
        <w:t>. The Company shall cause the Company’s officers, directors and Initial Shareholders to agree that, in order to minimize potential conflicts of interest which may arise from multiple affiliations, the Company’s officers, directors and Initial Shareholders will present to the Company for its consideration, prior to presentation to any other person or company, any suitable opportunity to acquire an operating business, until the earlier of the consummation by the Company of a Business Combination or the liquidation of the Company, subject to any pre-existing fiduciary obligations the Initial Shareholders might have.</w:t>
      </w:r>
    </w:p>
    <w:p>
      <w:pPr>
        <w:spacing w:after="0" w:line="183" w:lineRule="exact"/>
        <w:rPr>
          <w:rFonts w:ascii="Arial" w:cs="Arial" w:eastAsia="Arial" w:hAnsi="Arial"/>
          <w:sz w:val="18"/>
          <w:szCs w:val="18"/>
          <w:color w:val="auto"/>
        </w:rPr>
      </w:pPr>
    </w:p>
    <w:p>
      <w:pPr>
        <w:ind w:right="20" w:firstLine="8"/>
        <w:spacing w:after="0" w:line="292" w:lineRule="auto"/>
        <w:tabs>
          <w:tab w:leader="none" w:pos="180"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Representations and Agreements to Survive Delivery</w:t>
      </w:r>
      <w:r>
        <w:rPr>
          <w:rFonts w:ascii="Arial" w:cs="Arial" w:eastAsia="Arial" w:hAnsi="Arial"/>
          <w:sz w:val="16"/>
          <w:szCs w:val="16"/>
          <w:color w:val="auto"/>
        </w:rPr>
        <w:t>. Except as the context otherwise requires, all representations, warranties and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contained in this Agreement shall be deemed to be representations, warranties and agreements at the Closing Date or the Option Closing Date, if any, and such representations, warranties and agreements of the Underwriter and the Company, including the indemnity agreements contained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remain operative and in full force and effect regardless of any investigation made by or on behalf of any Underwriter, the Company or any Controlling Person, and shall survive termination of this Agreement or the issuance and delivery of the Firm Securities and Option Securities to the Underwriter until the earlier of the expiration of any applicable statute of limitations and the seventh anniversary of the later of the Closing Date or the Option Closing Date, if any, at which time the representations, warranties and agreements shall terminate and be of no further force and effect.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ind w:left="180" w:hanging="172"/>
        <w:spacing w:after="0"/>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Effective Date of This Agreement and Termination Thereof</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1304"/>
        <w:spacing w:after="0" w:line="277" w:lineRule="auto"/>
        <w:tabs>
          <w:tab w:leader="none" w:pos="1567"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become effective on the Effective Date at the time the Registration Statement is declared effective by the Commission.</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564"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Representative shall have the right to terminate this Agreement at any time prior to any Closing Date: (i) if any domestic or international event or act or occurrence has materially disrupted, or in the Representative’s opinion will in the immediate future materially disrupt, general securities markets in the United States; or (ii) if trading on the New York Stock Exchange, the NYSE American, the Nasdaq Stock Market or on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initiation or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Firm Securities or Option Securities; or (vii) if any of the Company’s representations, warranties or covenants hereunder are breached; or (viii) if the Representative shall have become aware after the date hereof of such a material adverse change in the conditions or prospects of the Company, or such material adverse change in general market conditions, including, without limitation, as a result of terrorist activities after the date hereof, as in the Representative’s judgment would make it impracticable to proceed with the offering, sale and/or delivery of the Firm Securities and Option Securities or to enforce contracts made by the Underwriter for the sale of the Firm Securities or Option Securities.</w:t>
      </w:r>
    </w:p>
    <w:p>
      <w:pPr>
        <w:spacing w:after="0" w:line="167" w:lineRule="exact"/>
        <w:rPr>
          <w:rFonts w:ascii="Arial" w:cs="Arial" w:eastAsia="Arial" w:hAnsi="Arial"/>
          <w:sz w:val="16"/>
          <w:szCs w:val="16"/>
          <w:color w:val="auto"/>
        </w:rPr>
      </w:pPr>
    </w:p>
    <w:p>
      <w:pPr>
        <w:jc w:val="both"/>
        <w:ind w:firstLine="1304"/>
        <w:spacing w:after="0" w:line="259" w:lineRule="auto"/>
        <w:tabs>
          <w:tab w:leader="none" w:pos="154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In the event this Agreement shall not be carried out for any reason whatsoever, except as a result of the Representative’s or any Underwriter’s breach or default with respect to any of its material obligations pursuant to this Agreement, within the time specified herein or any extensions thereof pursuant to the terms herein, the obligations of the Company to pay the out-of-pocket expenses actually incurred by the Representative related to the transactions contemplated herein shall be governed by </w:t>
      </w:r>
      <w:r>
        <w:rPr>
          <w:rFonts w:ascii="Arial" w:cs="Arial" w:eastAsia="Arial" w:hAnsi="Arial"/>
          <w:sz w:val="18"/>
          <w:szCs w:val="18"/>
          <w:u w:val="single" w:color="auto"/>
          <w:color w:val="auto"/>
        </w:rPr>
        <w:t>Section 3(i)</w:t>
      </w:r>
      <w:r>
        <w:rPr>
          <w:rFonts w:ascii="Arial" w:cs="Arial" w:eastAsia="Arial" w:hAnsi="Arial"/>
          <w:sz w:val="18"/>
          <w:szCs w:val="18"/>
          <w:color w:val="auto"/>
        </w:rPr>
        <w:t xml:space="preserve"> hereof.</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51"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Notwithstanding any contrary provision contained in this Agreement, any election hereunder or any termination of this Agreement, and whether or not this Agreement is otherwise carried out,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not be in any way affected by such election or termination or failure to carry out the terms of this Agreement or any part hereof.</w:t>
      </w:r>
    </w:p>
    <w:p>
      <w:pPr>
        <w:spacing w:after="0" w:line="179" w:lineRule="exact"/>
        <w:rPr>
          <w:rFonts w:ascii="Arial" w:cs="Arial" w:eastAsia="Arial" w:hAnsi="Arial"/>
          <w:sz w:val="18"/>
          <w:szCs w:val="18"/>
          <w:color w:val="auto"/>
        </w:rPr>
      </w:pPr>
    </w:p>
    <w:p>
      <w:pPr>
        <w:ind w:left="180" w:hanging="172"/>
        <w:spacing w:after="0"/>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311" w:lineRule="auto"/>
        <w:tabs>
          <w:tab w:leader="none" w:pos="1554"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except as herein otherwise specifically provided, shall be in writing and shall be mailed, delivered by hand or reputable overnight courier or delivered by facsimile transmission (with printed confirmation of receipt) and confirmed, or by electronic transmission via PDF, and shall be deemed given when so mailed, delivered, or faxed or transmitted (or if mailed, three days after such mailing):</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SVB Leerink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Federal Street, 37th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Stuart R. Nayman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ind w:left="660"/>
        <w:spacing w:after="0"/>
        <w:rPr>
          <w:sz w:val="20"/>
          <w:szCs w:val="20"/>
          <w:color w:val="auto"/>
        </w:rPr>
      </w:pPr>
      <w:r>
        <w:rPr>
          <w:rFonts w:ascii="Arial" w:cs="Arial" w:eastAsia="Arial" w:hAnsi="Arial"/>
          <w:sz w:val="18"/>
          <w:szCs w:val="18"/>
          <w:color w:val="auto"/>
        </w:rPr>
        <w:t>Copy to (which copy shall not be deemed to constitute notice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Christian O. Nagler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christian.nagler@kirkland.com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 446-6460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BCTG Acquisition Corp..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11682 El Camino Real, Suite 320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Aaron Davis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Copy to (which copy shall not be deemed to constitute notice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Mitchell S. Nussbaum, Esq. and Giovanni Caruso,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gcaruso@loeb.com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 407-4000</w:t>
      </w:r>
    </w:p>
    <w:p>
      <w:pPr>
        <w:spacing w:after="0" w:line="211" w:lineRule="exact"/>
        <w:rPr>
          <w:sz w:val="20"/>
          <w:szCs w:val="20"/>
          <w:color w:val="auto"/>
        </w:rPr>
      </w:pPr>
    </w:p>
    <w:p>
      <w:pPr>
        <w:ind w:firstLine="1304"/>
        <w:spacing w:after="0" w:line="277" w:lineRule="auto"/>
        <w:tabs>
          <w:tab w:leader="none" w:pos="155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only be amended by a written instrument executed by each of the parties hereto.</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5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4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This Agreement shall inure solely to the benefit of and shall be binding upon the Representative, the Underwriter, the Company and the Controlling Persons, directors and officers referred to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186" w:lineRule="exact"/>
        <w:rPr>
          <w:rFonts w:ascii="Arial" w:cs="Arial" w:eastAsia="Arial" w:hAnsi="Arial"/>
          <w:sz w:val="18"/>
          <w:szCs w:val="18"/>
          <w:color w:val="auto"/>
        </w:rPr>
      </w:pPr>
    </w:p>
    <w:p>
      <w:pPr>
        <w:ind w:left="1520" w:hanging="216"/>
        <w:spacing w:after="0"/>
        <w:tabs>
          <w:tab w:leader="none" w:pos="15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Governing Law, Venue, etc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4" w:lineRule="auto"/>
        <w:tabs>
          <w:tab w:leader="none" w:pos="217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enforced in accordance with the laws of the State of New York, without giving effect to the conflict of laws principles thereof. Each of the Representative and the Company (and any individual signatory hereto):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such party may have or hereafter have to the venue of any such suit, action or proceeding; and (iii) irrevocably and exclusively consents to the jurisdiction of the New York Supreme Court, County of New York, and the United States District Court for the Southern District of New York in any such suit, action or proceeding.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firstLine="1952"/>
        <w:spacing w:after="0" w:line="270" w:lineRule="auto"/>
        <w:tabs>
          <w:tab w:leader="none" w:pos="2226" w:val="left"/>
        </w:tabs>
        <w:numPr>
          <w:ilvl w:val="1"/>
          <w:numId w:val="114"/>
        </w:numPr>
        <w:rPr>
          <w:rFonts w:ascii="Arial" w:cs="Arial" w:eastAsia="Arial" w:hAnsi="Arial"/>
          <w:sz w:val="17"/>
          <w:szCs w:val="17"/>
          <w:color w:val="auto"/>
        </w:rPr>
      </w:pPr>
      <w:r>
        <w:rPr>
          <w:rFonts w:ascii="Arial" w:cs="Arial" w:eastAsia="Arial" w:hAnsi="Arial"/>
          <w:sz w:val="17"/>
          <w:szCs w:val="17"/>
          <w:color w:val="auto"/>
        </w:rPr>
        <w:t>Any legal suit, action or proceeding arising out of or based upon this Agreement or the transactions contemplated hereby (“</w:t>
      </w:r>
      <w:r>
        <w:rPr>
          <w:rFonts w:ascii="Arial" w:cs="Arial" w:eastAsia="Arial" w:hAnsi="Arial"/>
          <w:sz w:val="17"/>
          <w:szCs w:val="17"/>
          <w:b w:val="1"/>
          <w:bCs w:val="1"/>
          <w:color w:val="auto"/>
        </w:rPr>
        <w:t>Related Proceedings</w:t>
      </w:r>
      <w:r>
        <w:rPr>
          <w:rFonts w:ascii="Arial" w:cs="Arial" w:eastAsia="Arial" w:hAnsi="Arial"/>
          <w:sz w:val="17"/>
          <w:szCs w:val="17"/>
          <w:color w:val="auto"/>
        </w:rPr>
        <w:t>”)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Arial" w:cs="Arial" w:eastAsia="Arial" w:hAnsi="Arial"/>
          <w:sz w:val="17"/>
          <w:szCs w:val="17"/>
          <w:b w:val="1"/>
          <w:bCs w:val="1"/>
          <w:color w:val="auto"/>
        </w:rPr>
        <w:t>Specified</w:t>
      </w:r>
      <w:r>
        <w:rPr>
          <w:rFonts w:ascii="Arial" w:cs="Arial" w:eastAsia="Arial" w:hAnsi="Arial"/>
          <w:sz w:val="17"/>
          <w:szCs w:val="17"/>
          <w:color w:val="auto"/>
        </w:rPr>
        <w:t xml:space="preserve"> </w:t>
      </w:r>
      <w:r>
        <w:rPr>
          <w:rFonts w:ascii="Arial" w:cs="Arial" w:eastAsia="Arial" w:hAnsi="Arial"/>
          <w:sz w:val="17"/>
          <w:szCs w:val="17"/>
          <w:b w:val="1"/>
          <w:bCs w:val="1"/>
          <w:color w:val="auto"/>
        </w:rPr>
        <w:t>Courts</w:t>
      </w:r>
      <w:r>
        <w:rPr>
          <w:rFonts w:ascii="Arial" w:cs="Arial" w:eastAsia="Arial" w:hAnsi="Arial"/>
          <w:sz w:val="17"/>
          <w:szCs w:val="17"/>
          <w:color w:val="auto"/>
        </w:rPr>
        <w:t>”), and each party irrevocably submits to the exclusive jurisdiction (except for proceedings instituted in regard to the enforcement of a judgment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any such court (a “</w:t>
      </w:r>
      <w:r>
        <w:rPr>
          <w:rFonts w:ascii="Arial" w:cs="Arial" w:eastAsia="Arial" w:hAnsi="Arial"/>
          <w:sz w:val="17"/>
          <w:szCs w:val="17"/>
          <w:b w:val="1"/>
          <w:bCs w:val="1"/>
          <w:color w:val="auto"/>
        </w:rPr>
        <w:t>Related Judgment</w:t>
      </w:r>
      <w:r>
        <w:rPr>
          <w:rFonts w:ascii="Arial" w:cs="Arial" w:eastAsia="Arial" w:hAnsi="Arial"/>
          <w:sz w:val="17"/>
          <w:szCs w:val="17"/>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0" w:lineRule="exact"/>
        <w:rPr>
          <w:rFonts w:ascii="Arial" w:cs="Arial" w:eastAsia="Arial" w:hAnsi="Arial"/>
          <w:sz w:val="17"/>
          <w:szCs w:val="17"/>
          <w:color w:val="auto"/>
        </w:rPr>
      </w:pPr>
    </w:p>
    <w:p>
      <w:pPr>
        <w:jc w:val="both"/>
        <w:ind w:right="20" w:firstLine="1952"/>
        <w:spacing w:after="0" w:line="259" w:lineRule="auto"/>
        <w:tabs>
          <w:tab w:leader="none" w:pos="226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COMPANY (ON BEHALF OF ITSELF AND, TO THE FULLEST EXTENT PERMITTED BY LAW, ON BEHALF OF ITS EQUITY HOLDERS AND CREDITORS) HEREBY WAIVES ANY RIGHT TO A TRIAL BY JURY IN RESPECT OF ANY CLAIM BASED UPON, ARISING OUT OF OR IN CONNECTION WITH THIS AGREEMENT AND THE TRANSACTIONS CONTEMPLATED BY THIS AGREEMENT, THE REGISTRATION STATEMENT AND THE PROSPECTUS.</w:t>
      </w:r>
    </w:p>
    <w:p>
      <w:pPr>
        <w:spacing w:after="0" w:line="186" w:lineRule="exact"/>
        <w:rPr>
          <w:rFonts w:ascii="Arial" w:cs="Arial" w:eastAsia="Arial" w:hAnsi="Arial"/>
          <w:sz w:val="18"/>
          <w:szCs w:val="18"/>
          <w:color w:val="auto"/>
        </w:rPr>
      </w:pPr>
    </w:p>
    <w:p>
      <w:pPr>
        <w:ind w:firstLine="1952"/>
        <w:spacing w:after="0" w:line="342" w:lineRule="auto"/>
        <w:tabs>
          <w:tab w:leader="none" w:pos="225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Company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23" w:lineRule="exact"/>
        <w:rPr>
          <w:rFonts w:ascii="Arial" w:cs="Arial" w:eastAsia="Arial" w:hAnsi="Arial"/>
          <w:sz w:val="16"/>
          <w:szCs w:val="16"/>
          <w:color w:val="auto"/>
        </w:rPr>
      </w:pPr>
    </w:p>
    <w:p>
      <w:pPr>
        <w:jc w:val="both"/>
        <w:ind w:firstLine="1304"/>
        <w:spacing w:after="0" w:line="279" w:lineRule="auto"/>
        <w:tabs>
          <w:tab w:leader="none" w:pos="1578"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171" w:lineRule="exact"/>
        <w:rPr>
          <w:rFonts w:ascii="Arial" w:cs="Arial" w:eastAsia="Arial" w:hAnsi="Arial"/>
          <w:sz w:val="17"/>
          <w:szCs w:val="17"/>
          <w:color w:val="auto"/>
        </w:rPr>
      </w:pPr>
    </w:p>
    <w:p>
      <w:pPr>
        <w:jc w:val="both"/>
        <w:ind w:firstLine="1304"/>
        <w:spacing w:after="0" w:line="273" w:lineRule="auto"/>
        <w:tabs>
          <w:tab w:leader="none" w:pos="1564"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Waiver, Etc</w:t>
      </w:r>
      <w:r>
        <w:rPr>
          <w:rFonts w:ascii="Arial" w:cs="Arial" w:eastAsia="Arial" w:hAnsi="Arial"/>
          <w:sz w:val="17"/>
          <w:szCs w:val="17"/>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77" w:lineRule="exact"/>
        <w:rPr>
          <w:rFonts w:ascii="Arial" w:cs="Arial" w:eastAsia="Arial" w:hAnsi="Arial"/>
          <w:sz w:val="17"/>
          <w:szCs w:val="17"/>
          <w:color w:val="auto"/>
        </w:rPr>
      </w:pPr>
    </w:p>
    <w:p>
      <w:pPr>
        <w:jc w:val="both"/>
        <w:ind w:firstLine="1304"/>
        <w:spacing w:after="0" w:line="269" w:lineRule="auto"/>
        <w:tabs>
          <w:tab w:leader="none" w:pos="1511"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No Fiduciary Relationship</w:t>
      </w:r>
      <w:r>
        <w:rPr>
          <w:rFonts w:ascii="Arial" w:cs="Arial" w:eastAsia="Arial" w:hAnsi="Arial"/>
          <w:sz w:val="17"/>
          <w:szCs w:val="17"/>
          <w:color w:val="auto"/>
        </w:rPr>
        <w:t>. The Company hereby acknowledges that the Underwriter is acting solely as underwriter in connection with the Offering. The Company further acknowledges that the Underwriter is acting pursuant to a contractual relationship created solely by this Agreement entered into on an arm’s length basis and in no event do the parties intend that the Underwriter act or be responsible as a fiduciary to the Company, its management, shareholders, creditors or any other person in connection with any activity that the Underwriter may undertake or have undertaken in furtherance of the Offering, either before or after the date hereof. The Underwriter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Underwriter agree that they are each responsible for making their own independent judgments with respect to any such transactions, and that any opinions or views expressed by the Underwriter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 with respect to any breach or alleged breach of any fiduciary or similar duty to the Company in connection with the transactions contemplated by this Agreement or any matters leading up to such transactions.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ind w:left="1500" w:hanging="216"/>
        <w:spacing w:after="0"/>
        <w:tabs>
          <w:tab w:leader="none" w:pos="15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p>
    <w:p>
      <w:pPr>
        <w:spacing w:after="0" w:line="225" w:lineRule="exact"/>
        <w:rPr>
          <w:rFonts w:ascii="Arial" w:cs="Arial" w:eastAsia="Arial" w:hAnsi="Arial"/>
          <w:sz w:val="18"/>
          <w:szCs w:val="18"/>
          <w:color w:val="auto"/>
        </w:rPr>
      </w:pPr>
    </w:p>
    <w:p>
      <w:pPr>
        <w:jc w:val="both"/>
        <w:ind w:left="-20" w:firstLine="1952"/>
        <w:spacing w:after="0" w:line="279" w:lineRule="auto"/>
        <w:tabs>
          <w:tab w:leader="none" w:pos="2149"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herein, were governed by the laws of the United States or a state of the United States.</w:t>
      </w:r>
    </w:p>
    <w:p>
      <w:pPr>
        <w:spacing w:after="0" w:line="171" w:lineRule="exact"/>
        <w:rPr>
          <w:rFonts w:ascii="Arial" w:cs="Arial" w:eastAsia="Arial" w:hAnsi="Arial"/>
          <w:sz w:val="17"/>
          <w:szCs w:val="17"/>
          <w:color w:val="auto"/>
        </w:rPr>
      </w:pPr>
    </w:p>
    <w:p>
      <w:pPr>
        <w:jc w:val="both"/>
        <w:ind w:left="-20" w:firstLine="1952"/>
        <w:spacing w:after="0" w:line="279" w:lineRule="auto"/>
        <w:tabs>
          <w:tab w:leader="none" w:pos="220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67" w:lineRule="exact"/>
        <w:rPr>
          <w:rFonts w:ascii="Arial" w:cs="Arial" w:eastAsia="Arial" w:hAnsi="Arial"/>
          <w:sz w:val="17"/>
          <w:szCs w:val="17"/>
          <w:color w:val="auto"/>
        </w:rPr>
      </w:pPr>
    </w:p>
    <w:p>
      <w:pPr>
        <w:jc w:val="both"/>
        <w:ind w:left="-20" w:firstLine="1952"/>
        <w:spacing w:after="0" w:line="292" w:lineRule="auto"/>
        <w:tabs>
          <w:tab w:leader="none" w:pos="224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For purposes of this Agreement, (A) “</w:t>
      </w:r>
      <w:r>
        <w:rPr>
          <w:rFonts w:ascii="Arial" w:cs="Arial" w:eastAsia="Arial" w:hAnsi="Arial"/>
          <w:sz w:val="16"/>
          <w:szCs w:val="16"/>
          <w:b w:val="1"/>
          <w:bCs w:val="1"/>
          <w:color w:val="auto"/>
        </w:rPr>
        <w:t>BHC Act Affiliate</w:t>
      </w:r>
      <w:r>
        <w:rPr>
          <w:rFonts w:ascii="Arial" w:cs="Arial" w:eastAsia="Arial" w:hAnsi="Arial"/>
          <w:sz w:val="16"/>
          <w:szCs w:val="16"/>
          <w:color w:val="auto"/>
        </w:rPr>
        <w:t>” has the meaning assigned to the term “</w:t>
      </w:r>
      <w:r>
        <w:rPr>
          <w:rFonts w:ascii="Arial" w:cs="Arial" w:eastAsia="Arial" w:hAnsi="Arial"/>
          <w:sz w:val="16"/>
          <w:szCs w:val="16"/>
          <w:b w:val="1"/>
          <w:bCs w:val="1"/>
          <w:color w:val="auto"/>
        </w:rPr>
        <w:t>affiliate</w:t>
      </w:r>
      <w:r>
        <w:rPr>
          <w:rFonts w:ascii="Arial" w:cs="Arial" w:eastAsia="Arial" w:hAnsi="Arial"/>
          <w:sz w:val="16"/>
          <w:szCs w:val="16"/>
          <w:color w:val="auto"/>
        </w:rPr>
        <w:t>” in, and shall be interpreted in accordance with, 12 U.S.C. Sec. 1841(k); (B) “</w:t>
      </w:r>
      <w:r>
        <w:rPr>
          <w:rFonts w:ascii="Arial" w:cs="Arial" w:eastAsia="Arial" w:hAnsi="Arial"/>
          <w:sz w:val="16"/>
          <w:szCs w:val="16"/>
          <w:b w:val="1"/>
          <w:bCs w:val="1"/>
          <w:color w:val="auto"/>
        </w:rPr>
        <w:t>Covered Entity</w:t>
      </w:r>
      <w:r>
        <w:rPr>
          <w:rFonts w:ascii="Arial" w:cs="Arial" w:eastAsia="Arial" w:hAnsi="Arial"/>
          <w:sz w:val="16"/>
          <w:szCs w:val="16"/>
          <w:color w:val="auto"/>
        </w:rPr>
        <w:t>” means any of the following: (i) a “covered entity” as that term is defined in, and interpreted in accordance with, 12 C.F.R. Sec. 252.82(b); (ii) a “covered bank” as that term is defined in, and interpreted in accordance with, 12 C.F.R. Sec. 47.3(b); or (iii) a “covered FSI” as that term is defined in, and interpreted in accordance with, 12 C.F.R. Sec. 382.2(b); (C) “</w:t>
      </w:r>
      <w:r>
        <w:rPr>
          <w:rFonts w:ascii="Arial" w:cs="Arial" w:eastAsia="Arial" w:hAnsi="Arial"/>
          <w:sz w:val="16"/>
          <w:szCs w:val="16"/>
          <w:b w:val="1"/>
          <w:bCs w:val="1"/>
          <w:color w:val="auto"/>
        </w:rPr>
        <w:t>Default Right</w:t>
      </w:r>
      <w:r>
        <w:rPr>
          <w:rFonts w:ascii="Arial" w:cs="Arial" w:eastAsia="Arial" w:hAnsi="Arial"/>
          <w:sz w:val="16"/>
          <w:szCs w:val="16"/>
          <w:color w:val="auto"/>
        </w:rPr>
        <w:t>” has the meaning assigned to that term in, and shall be interpreted in accordance with, 12 C.F.R. Sec.Sec. 252.81, 47.2 or 382.1, as applicable; and (D) “</w:t>
      </w:r>
      <w:r>
        <w:rPr>
          <w:rFonts w:ascii="Arial" w:cs="Arial" w:eastAsia="Arial" w:hAnsi="Arial"/>
          <w:sz w:val="16"/>
          <w:szCs w:val="16"/>
          <w:b w:val="1"/>
          <w:bCs w:val="1"/>
          <w:color w:val="auto"/>
        </w:rPr>
        <w:t>U.S.</w:t>
      </w:r>
      <w:r>
        <w:rPr>
          <w:rFonts w:ascii="Arial" w:cs="Arial" w:eastAsia="Arial" w:hAnsi="Arial"/>
          <w:sz w:val="16"/>
          <w:szCs w:val="16"/>
          <w:color w:val="auto"/>
        </w:rPr>
        <w:t xml:space="preserve"> </w:t>
      </w:r>
      <w:r>
        <w:rPr>
          <w:rFonts w:ascii="Arial" w:cs="Arial" w:eastAsia="Arial" w:hAnsi="Arial"/>
          <w:sz w:val="16"/>
          <w:szCs w:val="16"/>
          <w:b w:val="1"/>
          <w:bCs w:val="1"/>
          <w:color w:val="auto"/>
        </w:rPr>
        <w:t>Special Resolution Regime</w:t>
      </w:r>
      <w:r>
        <w:rPr>
          <w:rFonts w:ascii="Arial" w:cs="Arial" w:eastAsia="Arial" w:hAnsi="Arial"/>
          <w:sz w:val="16"/>
          <w:szCs w:val="16"/>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43" w:name="page144"/>
    <w:bookmarkEnd w:id="143"/>
    <w:p>
      <w:pPr>
        <w:ind w:firstLine="648"/>
        <w:spacing w:after="0" w:line="277" w:lineRule="auto"/>
        <w:rPr>
          <w:sz w:val="20"/>
          <w:szCs w:val="20"/>
          <w:color w:val="auto"/>
        </w:rPr>
      </w:pPr>
      <w:r>
        <w:rPr>
          <w:rFonts w:ascii="Arial" w:cs="Arial" w:eastAsia="Arial" w:hAnsi="Arial"/>
          <w:sz w:val="18"/>
          <w:szCs w:val="18"/>
          <w:color w:val="auto"/>
        </w:rPr>
        <w:t>If the foregoing correctly sets forth the understanding between the Underwriter and the Company, please so indicate in the space provided below for that purpose, whereupon this letter shall constitute a binding agreement between us.</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BCTG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Agreed to and accepted on the date first above written.</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SVB LEERINK LLC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8" w:right="51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8340" w:type="dxa"/>
            <w:vAlign w:val="bottom"/>
            <w:gridSpan w:val="3"/>
          </w:tcPr>
          <w:p>
            <w:pPr>
              <w:jc w:val="center"/>
              <w:ind w:right="2940"/>
              <w:spacing w:after="0"/>
              <w:rPr>
                <w:sz w:val="20"/>
                <w:szCs w:val="20"/>
                <w:color w:val="auto"/>
              </w:rPr>
            </w:pPr>
            <w:r>
              <w:rPr>
                <w:rFonts w:ascii="Arial" w:cs="Arial" w:eastAsia="Arial" w:hAnsi="Arial"/>
                <w:sz w:val="18"/>
                <w:szCs w:val="18"/>
                <w:b w:val="1"/>
                <w:bCs w:val="1"/>
                <w:color w:val="auto"/>
                <w:w w:val="99"/>
              </w:rPr>
              <w:t>SCHEDULE A</w:t>
            </w: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4"/>
                <w:szCs w:val="24"/>
                <w:color w:val="auto"/>
              </w:rPr>
            </w:pPr>
          </w:p>
        </w:tc>
        <w:tc>
          <w:tcPr>
            <w:tcW w:w="8340" w:type="dxa"/>
            <w:vAlign w:val="bottom"/>
            <w:gridSpan w:val="3"/>
          </w:tcPr>
          <w:p>
            <w:pPr>
              <w:jc w:val="center"/>
              <w:ind w:right="2920"/>
              <w:spacing w:after="0"/>
              <w:rPr>
                <w:sz w:val="20"/>
                <w:szCs w:val="20"/>
                <w:color w:val="auto"/>
              </w:rPr>
            </w:pPr>
            <w:r>
              <w:rPr>
                <w:rFonts w:ascii="Arial" w:cs="Arial" w:eastAsia="Arial" w:hAnsi="Arial"/>
                <w:sz w:val="18"/>
                <w:szCs w:val="18"/>
                <w:color w:val="auto"/>
                <w:w w:val="94"/>
              </w:rPr>
              <w:t>BCTG ACQUISITION CORP.</w:t>
            </w:r>
          </w:p>
        </w:tc>
        <w:tc>
          <w:tcPr>
            <w:tcW w:w="0" w:type="dxa"/>
            <w:vAlign w:val="bottom"/>
          </w:tcPr>
          <w:p>
            <w:pPr>
              <w:spacing w:after="0"/>
              <w:rPr>
                <w:sz w:val="1"/>
                <w:szCs w:val="1"/>
                <w:color w:val="auto"/>
              </w:rPr>
            </w:pPr>
          </w:p>
        </w:tc>
      </w:tr>
      <w:tr>
        <w:trPr>
          <w:trHeight w:val="453"/>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Underwriters</w:t>
            </w:r>
          </w:p>
        </w:tc>
        <w:tc>
          <w:tcPr>
            <w:tcW w:w="6180" w:type="dxa"/>
            <w:vAlign w:val="bottom"/>
            <w:tcBorders>
              <w:bottom w:val="single" w:sz="8" w:color="auto"/>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SVB Leerink LLC</w:t>
            </w:r>
          </w:p>
        </w:tc>
        <w:tc>
          <w:tcPr>
            <w:tcW w:w="618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18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12,500,000 Shares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9"/>
        </w:trPr>
        <w:tc>
          <w:tcPr>
            <w:tcW w:w="29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gridSpan w:val="2"/>
          </w:tcPr>
          <w:p>
            <w:pPr>
              <w:jc w:val="center"/>
              <w:ind w:right="2810"/>
              <w:spacing w:after="0"/>
              <w:rPr>
                <w:sz w:val="20"/>
                <w:szCs w:val="20"/>
                <w:color w:val="auto"/>
              </w:rPr>
            </w:pPr>
            <w:r>
              <w:rPr>
                <w:rFonts w:ascii="Arial" w:cs="Arial" w:eastAsia="Arial" w:hAnsi="Arial"/>
                <w:sz w:val="22"/>
                <w:szCs w:val="22"/>
                <w:color w:val="auto"/>
                <w:w w:val="89"/>
              </w:rPr>
              <w:t>Schedule A-1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Target Business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BCTG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Email: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Reference is made to the Final Prospectus of BCTG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dated August [ ], 2020 (the “</w:t>
      </w:r>
      <w:r>
        <w:rPr>
          <w:rFonts w:ascii="Arial" w:cs="Arial" w:eastAsia="Arial" w:hAnsi="Arial"/>
          <w:sz w:val="18"/>
          <w:szCs w:val="18"/>
          <w:b w:val="1"/>
          <w:bCs w:val="1"/>
          <w:color w:val="auto"/>
        </w:rPr>
        <w:t>Prospectus</w:t>
      </w:r>
      <w:r>
        <w:rPr>
          <w:rFonts w:ascii="Arial" w:cs="Arial" w:eastAsia="Arial" w:hAnsi="Arial"/>
          <w:sz w:val="18"/>
          <w:szCs w:val="18"/>
          <w:color w:val="auto"/>
        </w:rPr>
        <w:t>”). Capitalized terms used and not otherwise defined herein shall have the meanings assigned to them in the Prospectus.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read the Prospectus and understand that the Company has established a “</w:t>
      </w:r>
      <w:r>
        <w:rPr>
          <w:rFonts w:ascii="Arial" w:cs="Arial" w:eastAsia="Arial" w:hAnsi="Arial"/>
          <w:sz w:val="18"/>
          <w:szCs w:val="18"/>
          <w:b w:val="1"/>
          <w:bCs w:val="1"/>
          <w:color w:val="auto"/>
        </w:rPr>
        <w:t>trust account</w:t>
      </w:r>
      <w:r>
        <w:rPr>
          <w:rFonts w:ascii="Arial" w:cs="Arial" w:eastAsia="Arial" w:hAnsi="Arial"/>
          <w:sz w:val="18"/>
          <w:szCs w:val="18"/>
          <w:color w:val="auto"/>
        </w:rPr>
        <w:t>”, initially in an amount of at least $125,000,000 for the benefit of the “</w:t>
      </w:r>
      <w:r>
        <w:rPr>
          <w:rFonts w:ascii="Arial" w:cs="Arial" w:eastAsia="Arial" w:hAnsi="Arial"/>
          <w:sz w:val="18"/>
          <w:szCs w:val="18"/>
          <w:b w:val="1"/>
          <w:bCs w:val="1"/>
          <w:color w:val="auto"/>
        </w:rPr>
        <w:t>public shareholders</w:t>
      </w:r>
      <w:r>
        <w:rPr>
          <w:rFonts w:ascii="Arial" w:cs="Arial" w:eastAsia="Arial" w:hAnsi="Arial"/>
          <w:sz w:val="18"/>
          <w:szCs w:val="18"/>
          <w:color w:val="auto"/>
        </w:rPr>
        <w:t>” and the Underwriter of the Company’s initial public offering (the “</w:t>
      </w:r>
      <w:r>
        <w:rPr>
          <w:rFonts w:ascii="Arial" w:cs="Arial" w:eastAsia="Arial" w:hAnsi="Arial"/>
          <w:sz w:val="18"/>
          <w:szCs w:val="18"/>
          <w:b w:val="1"/>
          <w:bCs w:val="1"/>
          <w:color w:val="auto"/>
        </w:rPr>
        <w:t>Underwriter</w:t>
      </w:r>
      <w:r>
        <w:rPr>
          <w:rFonts w:ascii="Arial" w:cs="Arial" w:eastAsia="Arial" w:hAnsi="Arial"/>
          <w:sz w:val="18"/>
          <w:szCs w:val="18"/>
          <w:color w:val="auto"/>
        </w:rPr>
        <w:t>”)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evaluate the undersigned for purposes of consummating a business combination or other form of acquisition with it, the undersigned hereby agrees that it does not have any right, title, interest or claim of any kind in or to any monies in the trust account (the “</w:t>
      </w:r>
      <w:r>
        <w:rPr>
          <w:rFonts w:ascii="Arial" w:cs="Arial" w:eastAsia="Arial" w:hAnsi="Arial"/>
          <w:sz w:val="18"/>
          <w:szCs w:val="18"/>
          <w:b w:val="1"/>
          <w:bCs w:val="1"/>
          <w:color w:val="auto"/>
        </w:rPr>
        <w:t>Claim</w:t>
      </w:r>
      <w:r>
        <w:rPr>
          <w:rFonts w:ascii="Arial" w:cs="Arial" w:eastAsia="Arial" w:hAnsi="Arial"/>
          <w:sz w:val="18"/>
          <w:szCs w:val="18"/>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Target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Target Business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Vendor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BCTG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Email: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Reference is made to the Final Prospectus of BCTG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dated August 3, 2020 (the “</w:t>
      </w:r>
      <w:r>
        <w:rPr>
          <w:rFonts w:ascii="Arial" w:cs="Arial" w:eastAsia="Arial" w:hAnsi="Arial"/>
          <w:sz w:val="18"/>
          <w:szCs w:val="18"/>
          <w:b w:val="1"/>
          <w:bCs w:val="1"/>
          <w:color w:val="auto"/>
        </w:rPr>
        <w:t>Prospectus</w:t>
      </w:r>
      <w:r>
        <w:rPr>
          <w:rFonts w:ascii="Arial" w:cs="Arial" w:eastAsia="Arial" w:hAnsi="Arial"/>
          <w:sz w:val="18"/>
          <w:szCs w:val="18"/>
          <w:color w:val="auto"/>
        </w:rPr>
        <w:t>”). Capitalized terms used and not otherwise defined herein shall have the meanings assigned to them in the Prospectus.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read the Prospectus and understand that the Company has established a “</w:t>
      </w:r>
      <w:r>
        <w:rPr>
          <w:rFonts w:ascii="Arial" w:cs="Arial" w:eastAsia="Arial" w:hAnsi="Arial"/>
          <w:sz w:val="18"/>
          <w:szCs w:val="18"/>
          <w:b w:val="1"/>
          <w:bCs w:val="1"/>
          <w:color w:val="auto"/>
        </w:rPr>
        <w:t>trust account</w:t>
      </w:r>
      <w:r>
        <w:rPr>
          <w:rFonts w:ascii="Arial" w:cs="Arial" w:eastAsia="Arial" w:hAnsi="Arial"/>
          <w:sz w:val="18"/>
          <w:szCs w:val="18"/>
          <w:color w:val="auto"/>
        </w:rPr>
        <w:t>”, initially in an amount of at least $125,000,000 for the benefit of the “</w:t>
      </w:r>
      <w:r>
        <w:rPr>
          <w:rFonts w:ascii="Arial" w:cs="Arial" w:eastAsia="Arial" w:hAnsi="Arial"/>
          <w:sz w:val="18"/>
          <w:szCs w:val="18"/>
          <w:b w:val="1"/>
          <w:bCs w:val="1"/>
          <w:color w:val="auto"/>
        </w:rPr>
        <w:t>public shareholders</w:t>
      </w:r>
      <w:r>
        <w:rPr>
          <w:rFonts w:ascii="Arial" w:cs="Arial" w:eastAsia="Arial" w:hAnsi="Arial"/>
          <w:sz w:val="18"/>
          <w:szCs w:val="18"/>
          <w:color w:val="auto"/>
        </w:rPr>
        <w:t>” and the Underwriter of the Company’s initial public offering (the “</w:t>
      </w:r>
      <w:r>
        <w:rPr>
          <w:rFonts w:ascii="Arial" w:cs="Arial" w:eastAsia="Arial" w:hAnsi="Arial"/>
          <w:sz w:val="18"/>
          <w:szCs w:val="18"/>
          <w:b w:val="1"/>
          <w:bCs w:val="1"/>
          <w:color w:val="auto"/>
        </w:rPr>
        <w:t>Underwriter</w:t>
      </w:r>
      <w:r>
        <w:rPr>
          <w:rFonts w:ascii="Arial" w:cs="Arial" w:eastAsia="Arial" w:hAnsi="Arial"/>
          <w:sz w:val="18"/>
          <w:szCs w:val="18"/>
          <w:color w:val="auto"/>
        </w:rPr>
        <w:t>”)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use the products or services of the undersigned, the undersigned hereby agrees that it does not have any right, title, interest or claim of any kind in or to any monies in the trust account (the “</w:t>
      </w:r>
      <w:r>
        <w:rPr>
          <w:rFonts w:ascii="Arial" w:cs="Arial" w:eastAsia="Arial" w:hAnsi="Arial"/>
          <w:sz w:val="18"/>
          <w:szCs w:val="18"/>
          <w:b w:val="1"/>
          <w:bCs w:val="1"/>
          <w:color w:val="auto"/>
        </w:rPr>
        <w:t>Claim</w:t>
      </w:r>
      <w:r>
        <w:rPr>
          <w:rFonts w:ascii="Arial" w:cs="Arial" w:eastAsia="Arial" w:hAnsi="Arial"/>
          <w:sz w:val="18"/>
          <w:szCs w:val="18"/>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Vendor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Director/Officer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BCTG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Attn: [</w:t>
        <w:tab/>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undersigned officer or director of BCTG Acquisition Corp. (the “</w:t>
      </w:r>
      <w:r>
        <w:rPr>
          <w:rFonts w:ascii="Arial" w:cs="Arial" w:eastAsia="Arial" w:hAnsi="Arial"/>
          <w:sz w:val="17"/>
          <w:szCs w:val="17"/>
          <w:b w:val="1"/>
          <w:bCs w:val="1"/>
          <w:color w:val="auto"/>
        </w:rPr>
        <w:t>Company</w:t>
      </w:r>
      <w:r>
        <w:rPr>
          <w:rFonts w:ascii="Arial" w:cs="Arial" w:eastAsia="Arial" w:hAnsi="Arial"/>
          <w:sz w:val="17"/>
          <w:szCs w:val="17"/>
          <w:color w:val="auto"/>
        </w:rPr>
        <w:t>”) hereby acknowledges that the Company has established the “</w:t>
      </w:r>
      <w:r>
        <w:rPr>
          <w:rFonts w:ascii="Arial" w:cs="Arial" w:eastAsia="Arial" w:hAnsi="Arial"/>
          <w:sz w:val="17"/>
          <w:szCs w:val="17"/>
          <w:b w:val="1"/>
          <w:bCs w:val="1"/>
          <w:color w:val="auto"/>
        </w:rPr>
        <w:t>trust</w:t>
      </w:r>
      <w:r>
        <w:rPr>
          <w:rFonts w:ascii="Arial" w:cs="Arial" w:eastAsia="Arial" w:hAnsi="Arial"/>
          <w:sz w:val="17"/>
          <w:szCs w:val="17"/>
          <w:color w:val="auto"/>
        </w:rPr>
        <w:t xml:space="preserve"> </w:t>
      </w:r>
      <w:r>
        <w:rPr>
          <w:rFonts w:ascii="Arial" w:cs="Arial" w:eastAsia="Arial" w:hAnsi="Arial"/>
          <w:sz w:val="17"/>
          <w:szCs w:val="17"/>
          <w:b w:val="1"/>
          <w:bCs w:val="1"/>
          <w:color w:val="auto"/>
        </w:rPr>
        <w:t>account</w:t>
      </w:r>
      <w:r>
        <w:rPr>
          <w:rFonts w:ascii="Arial" w:cs="Arial" w:eastAsia="Arial" w:hAnsi="Arial"/>
          <w:sz w:val="17"/>
          <w:szCs w:val="17"/>
          <w:color w:val="auto"/>
        </w:rPr>
        <w:t>”, initially in an amount of at least $125,000,000 for the benefit of the “</w:t>
      </w:r>
      <w:r>
        <w:rPr>
          <w:rFonts w:ascii="Arial" w:cs="Arial" w:eastAsia="Arial" w:hAnsi="Arial"/>
          <w:sz w:val="17"/>
          <w:szCs w:val="17"/>
          <w:b w:val="1"/>
          <w:bCs w:val="1"/>
          <w:color w:val="auto"/>
        </w:rPr>
        <w:t>public shareholders</w:t>
      </w:r>
      <w:r>
        <w:rPr>
          <w:rFonts w:ascii="Arial" w:cs="Arial" w:eastAsia="Arial" w:hAnsi="Arial"/>
          <w:sz w:val="17"/>
          <w:szCs w:val="17"/>
          <w:color w:val="auto"/>
        </w:rPr>
        <w:t>” and the underwriter of the Company’s initial public</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(the “</w:t>
      </w:r>
      <w:r>
        <w:rPr>
          <w:rFonts w:ascii="Arial" w:cs="Arial" w:eastAsia="Arial" w:hAnsi="Arial"/>
          <w:sz w:val="17"/>
          <w:szCs w:val="17"/>
          <w:b w:val="1"/>
          <w:bCs w:val="1"/>
          <w:color w:val="auto"/>
        </w:rPr>
        <w:t>Underwriter</w:t>
      </w:r>
      <w:r>
        <w:rPr>
          <w:rFonts w:ascii="Arial" w:cs="Arial" w:eastAsia="Arial" w:hAnsi="Arial"/>
          <w:sz w:val="17"/>
          <w:szCs w:val="17"/>
          <w:color w:val="auto"/>
        </w:rPr>
        <w:t>”)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agrees that, except for its liquidation rights with respect to any Common Stock acquired in the Offering or in the aftermarket, it does not have any right, title, interest or claim of any kind in or to any monies in the trust account (the “</w:t>
      </w:r>
      <w:r>
        <w:rPr>
          <w:rFonts w:ascii="Arial" w:cs="Arial" w:eastAsia="Arial" w:hAnsi="Arial"/>
          <w:sz w:val="18"/>
          <w:szCs w:val="18"/>
          <w:b w:val="1"/>
          <w:bCs w:val="1"/>
          <w:color w:val="auto"/>
        </w:rPr>
        <w:t>Claim</w:t>
      </w:r>
      <w:r>
        <w:rPr>
          <w:rFonts w:ascii="Arial" w:cs="Arial" w:eastAsia="Arial" w:hAnsi="Arial"/>
          <w:sz w:val="18"/>
          <w:szCs w:val="18"/>
          <w:color w:val="auto"/>
        </w:rPr>
        <w:t>”) and hereby waives any Claim it may have in the future as a result of, or arising out of, any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such waiver shall not apply to any shares acquired by the undersigned in the public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Print Name of Officer/Director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Officer/Director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BCTG ACQUISITION CORP.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for the purpose of incorporating and organizing a corporation under the General Corporation Law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does hereby execute this Certificate of Incorporation and does hereby certify as follows: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BCTG Acquisition Corp. (hereinafter called the "Corporation").</w:t>
      </w:r>
    </w:p>
    <w:p>
      <w:pPr>
        <w:spacing w:after="0" w:line="225" w:lineRule="exact"/>
        <w:rPr>
          <w:sz w:val="20"/>
          <w:szCs w:val="20"/>
          <w:color w:val="auto"/>
        </w:rPr>
      </w:pPr>
    </w:p>
    <w:p>
      <w:pPr>
        <w:jc w:val="both"/>
        <w:ind w:right="20" w:firstLine="1296"/>
        <w:spacing w:after="0" w:line="312" w:lineRule="auto"/>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 The registered office of the Corporation is to be located at 3411 Silverside Road, Tatnall Building, #104, in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Wilmington, in the County of New Castle, Delaware 19901. The name of its registered agent at that address is Corporate Creations Network Inc.</w:t>
      </w:r>
    </w:p>
    <w:p>
      <w:pPr>
        <w:spacing w:after="0" w:line="14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purpose of the Corporation is to engage in any lawful act or activity for which corporations may be organized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Corporation Law of Delaware.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The name and mailing address of the incorporator is: Jaszick Maldonado, c/o Loeb &amp; Loeb LLP, 345 Park Avenue, New York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NY 10154.</w:t>
      </w:r>
    </w:p>
    <w:p>
      <w:pPr>
        <w:spacing w:after="0" w:line="20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The total number of shares which the Corporation shall have authority to issue is five million (5,000,000)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$0.0001 par value.</w:t>
      </w:r>
    </w:p>
    <w:p>
      <w:pPr>
        <w:spacing w:after="0" w:line="162"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SIXTH</w:t>
      </w:r>
      <w:r>
        <w:rPr>
          <w:rFonts w:ascii="Arial" w:cs="Arial" w:eastAsia="Arial" w:hAnsi="Arial"/>
          <w:sz w:val="17"/>
          <w:szCs w:val="17"/>
          <w:color w:val="auto"/>
        </w:rPr>
        <w:t>: A Director of the Corporation shall not be liable to the Corporation or its stockholders for monetary damages for breach of</w:t>
      </w:r>
      <w:r>
        <w:rPr>
          <w:rFonts w:ascii="Arial" w:cs="Arial" w:eastAsia="Arial" w:hAnsi="Arial"/>
          <w:sz w:val="17"/>
          <w:szCs w:val="17"/>
          <w:b w:val="1"/>
          <w:bCs w:val="1"/>
          <w:color w:val="auto"/>
        </w:rPr>
        <w:t xml:space="preserve"> </w:t>
      </w:r>
      <w:r>
        <w:rPr>
          <w:rFonts w:ascii="Arial" w:cs="Arial" w:eastAsia="Arial" w:hAnsi="Arial"/>
          <w:sz w:val="17"/>
          <w:szCs w:val="17"/>
          <w:color w:val="auto"/>
        </w:rPr>
        <w:t>fiduciary duty as a Director of the Corporation, except to the extent that exculpation from liability is not permitted under the General Corporation Law of the State of Delaware as in effect at the time such liability is determined. No amendment or repeal of this paragraph shall apply to or have any effect on the liability or alleged liability of any Director of the Corporation for or with respect to any acts or omissions of such Director occurring</w:t>
      </w:r>
    </w:p>
    <w:p>
      <w:pPr>
        <w:spacing w:after="0" w:line="16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b w:val="1"/>
          <w:bCs w:val="1"/>
          <w:color w:val="auto"/>
        </w:rPr>
        <w:t>SEVENTH</w:t>
      </w:r>
      <w:r>
        <w:rPr>
          <w:rFonts w:ascii="Arial" w:cs="Arial" w:eastAsia="Arial" w:hAnsi="Arial"/>
          <w:sz w:val="17"/>
          <w:szCs w:val="17"/>
          <w:color w:val="auto"/>
        </w:rPr>
        <w:t>: In furtherance and not in imitation of the powers conferred by statute, the Board of Directors of the Corporation is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to make, alter or repeal the By-Laws of the Corporation; provided, however, that no By-Laws hereafter adopted by the Board of Directors or stockholders shall invalidate any prior act of the Directors which would have been valid if such By-Laws had not been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both"/>
        <w:ind w:firstLine="1296"/>
        <w:spacing w:after="0" w:line="287" w:lineRule="auto"/>
        <w:rPr>
          <w:sz w:val="20"/>
          <w:szCs w:val="20"/>
          <w:color w:val="auto"/>
        </w:rPr>
      </w:pPr>
      <w:r>
        <w:rPr>
          <w:rFonts w:ascii="Arial" w:cs="Arial" w:eastAsia="Arial" w:hAnsi="Arial"/>
          <w:sz w:val="16"/>
          <w:szCs w:val="16"/>
          <w:b w:val="1"/>
          <w:bCs w:val="1"/>
          <w:color w:val="auto"/>
        </w:rPr>
        <w:t>EIGHTH</w:t>
      </w:r>
      <w:r>
        <w:rPr>
          <w:rFonts w:ascii="Arial" w:cs="Arial" w:eastAsia="Arial" w:hAnsi="Arial"/>
          <w:sz w:val="16"/>
          <w:szCs w:val="16"/>
          <w:color w:val="auto"/>
        </w:rPr>
        <w:t>: The Corporation shall, to the maximum extent permitted from time to time under the law of the State of Delaware, indemnify</w:t>
      </w:r>
      <w:r>
        <w:rPr>
          <w:rFonts w:ascii="Arial" w:cs="Arial" w:eastAsia="Arial" w:hAnsi="Arial"/>
          <w:sz w:val="16"/>
          <w:szCs w:val="16"/>
          <w:b w:val="1"/>
          <w:bCs w:val="1"/>
          <w:color w:val="auto"/>
        </w:rPr>
        <w:t xml:space="preserve"> </w:t>
      </w:r>
      <w:r>
        <w:rPr>
          <w:rFonts w:ascii="Arial" w:cs="Arial" w:eastAsia="Arial" w:hAnsi="Arial"/>
          <w:sz w:val="16"/>
          <w:szCs w:val="16"/>
          <w:color w:val="auto"/>
        </w:rPr>
        <w:t>and upon request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Corporation or while a Director or officer is or was serving at the request of the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(and not otherwise recovered) in connection with the investigation, preparation to defend or defense of such action, suit, proceeding or claim; provided, however, that the foregoing shall not require the Corporation to indemnify or advance expenses to any person in connection with any action, suit, proceeding, claim or counterclaim initiated by or on behalf of such person. Such indemnification shall not be exclusive of other indemnification rights arising under any By-Law, agreement, vote of Directors or stockholders or otherwise and shall inure to the benefits of the heirs and legal representatives of such person. Any person seeking indemnification under this paragraph shall be deemed to have met the standard of conduct required for such indemnification unless the contrary shall be established. Any repeal or modification of the foregoing provisions of this paragraph shall not adversely affect any right or protection of a Director or officer of the Corporation with respect to any acts or omissions of such Director or officer occurring prior to such repeal or modification.</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NINTH</w:t>
      </w:r>
      <w:r>
        <w:rPr>
          <w:rFonts w:ascii="Arial" w:cs="Arial" w:eastAsia="Arial" w:hAnsi="Arial"/>
          <w:sz w:val="18"/>
          <w:szCs w:val="18"/>
          <w:color w:val="auto"/>
        </w:rPr>
        <w:t>: In furtherance of and not in limitation of powers conferred by statute, it is further provided:</w:t>
      </w:r>
    </w:p>
    <w:p>
      <w:pPr>
        <w:spacing w:after="0" w:line="229" w:lineRule="exact"/>
        <w:rPr>
          <w:sz w:val="20"/>
          <w:szCs w:val="20"/>
          <w:color w:val="auto"/>
        </w:rPr>
      </w:pPr>
    </w:p>
    <w:p>
      <w:pPr>
        <w:ind w:left="1480" w:hanging="176"/>
        <w:spacing w:after="0"/>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Election of Directors need not be by written ballot unless the By-Laws of the Corporation so provide.</w:t>
      </w:r>
    </w:p>
    <w:p>
      <w:pPr>
        <w:spacing w:after="0" w:line="225" w:lineRule="exact"/>
        <w:rPr>
          <w:rFonts w:ascii="Arial" w:cs="Arial" w:eastAsia="Arial" w:hAnsi="Arial"/>
          <w:sz w:val="18"/>
          <w:szCs w:val="18"/>
          <w:color w:val="auto"/>
        </w:rPr>
      </w:pPr>
    </w:p>
    <w:p>
      <w:pPr>
        <w:ind w:left="1480" w:hanging="176"/>
        <w:spacing w:after="0"/>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Meetings of stockholders may be held within or without the State of Delaware, as the By Laws may provide.</w:t>
      </w:r>
    </w:p>
    <w:p>
      <w:pPr>
        <w:spacing w:after="0" w:line="225" w:lineRule="exact"/>
        <w:rPr>
          <w:rFonts w:ascii="Arial" w:cs="Arial" w:eastAsia="Arial" w:hAnsi="Arial"/>
          <w:sz w:val="18"/>
          <w:szCs w:val="18"/>
          <w:color w:val="auto"/>
        </w:rPr>
      </w:pPr>
    </w:p>
    <w:p>
      <w:pPr>
        <w:ind w:firstLine="1304"/>
        <w:spacing w:after="0" w:line="277" w:lineRule="auto"/>
        <w:tabs>
          <w:tab w:leader="none" w:pos="147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the extent permitted by law, the books of the Corporation may be kept outside the State of Delaware at such place or places as may be designated from time to time by the Board of Directors or in the By-Laws of the Corporation.</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TENTH</w:t>
      </w:r>
      <w:r>
        <w:rPr>
          <w:rFonts w:ascii="Arial" w:cs="Arial" w:eastAsia="Arial" w:hAnsi="Arial"/>
          <w:sz w:val="18"/>
          <w:szCs w:val="18"/>
          <w:color w:val="auto"/>
        </w:rPr>
        <w:t>: Except as otherwise provided herein, the Corporation reserves the right to amend, alter, change or repeal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Certificate of Incorporation, in the manner now or hereafter prescribed by statute, and all rights conferred upon stockholders herein are granted subject to this reservation.</w:t>
      </w:r>
    </w:p>
    <w:p>
      <w:pPr>
        <w:spacing w:after="0" w:line="176"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being the incorporator herein before named, has executed this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May, 2020.</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Jaszick Maldonado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Jaszick Maldonado,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BCTG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BCTG Acquisition Corp., a corporation existing under the laws of the State of Delaware, by its Chief Executive Officer, hereby certifies as follows:</w:t>
      </w:r>
    </w:p>
    <w:p>
      <w:pPr>
        <w:spacing w:after="0" w:line="237" w:lineRule="exact"/>
        <w:rPr>
          <w:sz w:val="20"/>
          <w:szCs w:val="20"/>
          <w:color w:val="auto"/>
        </w:rPr>
      </w:pPr>
    </w:p>
    <w:p>
      <w:pPr>
        <w:ind w:left="180" w:hanging="172"/>
        <w:spacing w:after="0"/>
        <w:tabs>
          <w:tab w:leader="none" w:pos="180"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The name of the corporation is BCTG Acquisition Corp. (hereinafter called the “Corporation”).</w:t>
      </w:r>
    </w:p>
    <w:p>
      <w:pPr>
        <w:spacing w:after="0" w:line="225" w:lineRule="exact"/>
        <w:rPr>
          <w:rFonts w:ascii="Arial" w:cs="Arial" w:eastAsia="Arial" w:hAnsi="Arial"/>
          <w:sz w:val="18"/>
          <w:szCs w:val="18"/>
          <w:color w:val="010000"/>
        </w:rPr>
      </w:pPr>
    </w:p>
    <w:p>
      <w:pPr>
        <w:ind w:left="180" w:hanging="172"/>
        <w:spacing w:after="0"/>
        <w:tabs>
          <w:tab w:leader="none" w:pos="180"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The Corporation’s Certificate of Incorporation was filed in the office of the Secretary of State of the State of Delaware on May 21, 2020.</w:t>
      </w:r>
    </w:p>
    <w:p>
      <w:pPr>
        <w:spacing w:after="0" w:line="225" w:lineRule="exact"/>
        <w:rPr>
          <w:rFonts w:ascii="Arial" w:cs="Arial" w:eastAsia="Arial" w:hAnsi="Arial"/>
          <w:sz w:val="18"/>
          <w:szCs w:val="18"/>
          <w:color w:val="010000"/>
        </w:rPr>
      </w:pPr>
    </w:p>
    <w:p>
      <w:pPr>
        <w:ind w:left="180" w:hanging="172"/>
        <w:spacing w:after="0"/>
        <w:tabs>
          <w:tab w:leader="none" w:pos="180"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This Amended Restated Certificate of Incorporation restates, integrates and amends the Certificate of Incorporation of the Corporation.</w:t>
      </w:r>
    </w:p>
    <w:p>
      <w:pPr>
        <w:spacing w:after="0" w:line="225" w:lineRule="exact"/>
        <w:rPr>
          <w:rFonts w:ascii="Arial" w:cs="Arial" w:eastAsia="Arial" w:hAnsi="Arial"/>
          <w:sz w:val="18"/>
          <w:szCs w:val="18"/>
          <w:color w:val="010000"/>
        </w:rPr>
      </w:pPr>
    </w:p>
    <w:p>
      <w:pPr>
        <w:ind w:firstLine="8"/>
        <w:spacing w:after="0" w:line="342" w:lineRule="auto"/>
        <w:tabs>
          <w:tab w:leader="none" w:pos="180" w:val="left"/>
        </w:tabs>
        <w:numPr>
          <w:ilvl w:val="0"/>
          <w:numId w:val="118"/>
        </w:numPr>
        <w:rPr>
          <w:rFonts w:ascii="Arial" w:cs="Arial" w:eastAsia="Arial" w:hAnsi="Arial"/>
          <w:sz w:val="16"/>
          <w:szCs w:val="16"/>
          <w:color w:val="010000"/>
        </w:rPr>
      </w:pPr>
      <w:r>
        <w:rPr>
          <w:rFonts w:ascii="Arial" w:cs="Arial" w:eastAsia="Arial" w:hAnsi="Arial"/>
          <w:sz w:val="16"/>
          <w:szCs w:val="16"/>
          <w:color w:val="auto"/>
        </w:rPr>
        <w:t>This Amended and Restated Certificate of Incorporation was duly adopted by the written consent of the directors and stockholders of the Corporation in accordance with the applicable provisions of Sections 141(f), 228, 242 and 245 of the General Corporation Law of the State of Delaware (“GCL”).</w:t>
      </w:r>
    </w:p>
    <w:p>
      <w:pPr>
        <w:spacing w:after="0" w:line="123" w:lineRule="exact"/>
        <w:rPr>
          <w:rFonts w:ascii="Arial" w:cs="Arial" w:eastAsia="Arial" w:hAnsi="Arial"/>
          <w:sz w:val="16"/>
          <w:szCs w:val="16"/>
          <w:color w:val="010000"/>
        </w:rPr>
      </w:pPr>
    </w:p>
    <w:p>
      <w:pPr>
        <w:ind w:left="180" w:hanging="172"/>
        <w:spacing w:after="0"/>
        <w:tabs>
          <w:tab w:leader="none" w:pos="180"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The text of the Certificate of Incorporation of the Corporation is hereby amended and restated to read in full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010000"/>
        </w:rPr>
        <w:t xml:space="preserve">FIRST: </w:t>
      </w:r>
      <w:r>
        <w:rPr>
          <w:rFonts w:ascii="Arial" w:cs="Arial" w:eastAsia="Arial" w:hAnsi="Arial"/>
          <w:sz w:val="18"/>
          <w:szCs w:val="18"/>
          <w:color w:val="000000"/>
        </w:rPr>
        <w:t>The name of the corporation is BCTG Acquisition Corp.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 xml:space="preserve">SECOND: </w:t>
      </w:r>
      <w:r>
        <w:rPr>
          <w:rFonts w:ascii="Arial" w:cs="Arial" w:eastAsia="Arial" w:hAnsi="Arial"/>
          <w:sz w:val="16"/>
          <w:szCs w:val="16"/>
          <w:color w:val="000000"/>
        </w:rPr>
        <w:t>The registered office of the Corporation is to be located at 3411 Silverside Road, Tatnall Building, #104, Wilmington, Delaware 19901.</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its registered agent at that address is Corporate Creations Network Inc.</w:t>
      </w:r>
    </w:p>
    <w:p>
      <w:pPr>
        <w:spacing w:after="0" w:line="21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010000"/>
        </w:rPr>
        <w:t xml:space="preserve">THIRD: </w:t>
      </w:r>
      <w:r>
        <w:rPr>
          <w:rFonts w:ascii="Arial" w:cs="Arial" w:eastAsia="Arial" w:hAnsi="Arial"/>
          <w:sz w:val="18"/>
          <w:szCs w:val="18"/>
          <w:color w:val="000000"/>
        </w:rPr>
        <w:t>The purpose of the Corporation is to engage in any lawful act or activity for which corporations may be organized under the General</w:t>
      </w:r>
      <w:r>
        <w:rPr>
          <w:rFonts w:ascii="Arial" w:cs="Arial" w:eastAsia="Arial" w:hAnsi="Arial"/>
          <w:sz w:val="18"/>
          <w:szCs w:val="18"/>
          <w:color w:val="010000"/>
        </w:rPr>
        <w:t xml:space="preserve"> </w:t>
      </w:r>
      <w:r>
        <w:rPr>
          <w:rFonts w:ascii="Arial" w:cs="Arial" w:eastAsia="Arial" w:hAnsi="Arial"/>
          <w:sz w:val="18"/>
          <w:szCs w:val="18"/>
          <w:color w:val="000000"/>
        </w:rPr>
        <w:t>Corporation Law of Delaware (“GCL”).</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010000"/>
        </w:rPr>
        <w:t xml:space="preserve">FOURTH: </w:t>
      </w:r>
      <w:r>
        <w:rPr>
          <w:rFonts w:ascii="Arial" w:cs="Arial" w:eastAsia="Arial" w:hAnsi="Arial"/>
          <w:sz w:val="18"/>
          <w:szCs w:val="18"/>
          <w:color w:val="000000"/>
        </w:rPr>
        <w:t>The name and mailing address of the incorporator is: Jaszick Maldonado, c/o Loeb &amp; Loeb LLP, 345 Park Avenue, New York NY</w:t>
      </w:r>
      <w:r>
        <w:rPr>
          <w:rFonts w:ascii="Arial" w:cs="Arial" w:eastAsia="Arial" w:hAnsi="Arial"/>
          <w:sz w:val="18"/>
          <w:szCs w:val="18"/>
          <w:color w:val="010000"/>
        </w:rPr>
        <w:t xml:space="preserve"> </w:t>
      </w:r>
      <w:r>
        <w:rPr>
          <w:rFonts w:ascii="Arial" w:cs="Arial" w:eastAsia="Arial" w:hAnsi="Arial"/>
          <w:sz w:val="18"/>
          <w:szCs w:val="18"/>
          <w:color w:val="000000"/>
        </w:rPr>
        <w:t>10154.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jc w:val="both"/>
        <w:spacing w:after="0" w:line="263" w:lineRule="auto"/>
        <w:rPr>
          <w:sz w:val="20"/>
          <w:szCs w:val="20"/>
          <w:color w:val="auto"/>
        </w:rPr>
      </w:pPr>
      <w:r>
        <w:rPr>
          <w:rFonts w:ascii="Arial" w:cs="Arial" w:eastAsia="Arial" w:hAnsi="Arial"/>
          <w:sz w:val="18"/>
          <w:szCs w:val="18"/>
          <w:color w:val="010000"/>
        </w:rPr>
        <w:t xml:space="preserve">FIFTH: </w:t>
      </w:r>
      <w:r>
        <w:rPr>
          <w:rFonts w:ascii="Arial" w:cs="Arial" w:eastAsia="Arial" w:hAnsi="Arial"/>
          <w:sz w:val="18"/>
          <w:szCs w:val="18"/>
          <w:color w:val="000000"/>
        </w:rPr>
        <w:t>The total number of shares of all classes of capital stock which the Corporation shall have authority to issue is [31,000,000], of which</w:t>
      </w:r>
      <w:r>
        <w:rPr>
          <w:rFonts w:ascii="Arial" w:cs="Arial" w:eastAsia="Arial" w:hAnsi="Arial"/>
          <w:sz w:val="18"/>
          <w:szCs w:val="18"/>
          <w:color w:val="010000"/>
        </w:rPr>
        <w:t xml:space="preserve"> </w:t>
      </w:r>
      <w:r>
        <w:rPr>
          <w:rFonts w:ascii="Arial" w:cs="Arial" w:eastAsia="Arial" w:hAnsi="Arial"/>
          <w:sz w:val="18"/>
          <w:szCs w:val="18"/>
          <w:color w:val="000000"/>
        </w:rPr>
        <w:t>[30,000,000] shares shall be common stock, par value $.0001 per share (“Common Stock”), and 1,000,000 shares shall be preferred stock, par value $.0001 per share (“Preferred Stock”).</w:t>
      </w:r>
    </w:p>
    <w:p>
      <w:pPr>
        <w:spacing w:after="0" w:line="184"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010000"/>
        </w:rPr>
        <w:t xml:space="preserve">A. </w:t>
      </w:r>
      <w:r>
        <w:rPr>
          <w:rFonts w:ascii="Arial" w:cs="Arial" w:eastAsia="Arial" w:hAnsi="Arial"/>
          <w:sz w:val="17"/>
          <w:szCs w:val="17"/>
          <w:u w:val="single" w:color="auto"/>
          <w:color w:val="000000"/>
        </w:rPr>
        <w:t>Preferred Stock.</w:t>
      </w:r>
      <w:r>
        <w:rPr>
          <w:rFonts w:ascii="Arial" w:cs="Arial" w:eastAsia="Arial" w:hAnsi="Arial"/>
          <w:sz w:val="17"/>
          <w:szCs w:val="17"/>
          <w:color w:val="010000"/>
        </w:rPr>
        <w:t xml:space="preserve"> </w:t>
      </w:r>
      <w:r>
        <w:rPr>
          <w:rFonts w:ascii="Arial" w:cs="Arial" w:eastAsia="Arial" w:hAnsi="Arial"/>
          <w:sz w:val="17"/>
          <w:szCs w:val="17"/>
          <w:color w:val="000000"/>
        </w:rPr>
        <w:t>The Board of Directors is expressly granted authority to issue shares of the Preferred Stock, in one or more series,</w:t>
      </w:r>
      <w:r>
        <w:rPr>
          <w:rFonts w:ascii="Arial" w:cs="Arial" w:eastAsia="Arial" w:hAnsi="Arial"/>
          <w:sz w:val="17"/>
          <w:szCs w:val="17"/>
          <w:color w:val="010000"/>
        </w:rPr>
        <w:t xml:space="preserve"> </w:t>
      </w:r>
      <w:r>
        <w:rPr>
          <w:rFonts w:ascii="Arial" w:cs="Arial" w:eastAsia="Arial" w:hAnsi="Arial"/>
          <w:sz w:val="17"/>
          <w:szCs w:val="17"/>
          <w:color w:val="000000"/>
        </w:rPr>
        <w:t>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81" w:lineRule="exact"/>
        <w:rPr>
          <w:sz w:val="20"/>
          <w:szCs w:val="20"/>
          <w:color w:val="auto"/>
        </w:rPr>
      </w:pPr>
    </w:p>
    <w:p>
      <w:pPr>
        <w:jc w:val="both"/>
        <w:ind w:left="640"/>
        <w:spacing w:after="0" w:line="308" w:lineRule="auto"/>
        <w:rPr>
          <w:sz w:val="20"/>
          <w:szCs w:val="20"/>
          <w:color w:val="auto"/>
        </w:rPr>
      </w:pPr>
      <w:r>
        <w:rPr>
          <w:rFonts w:ascii="Arial" w:cs="Arial" w:eastAsia="Arial" w:hAnsi="Arial"/>
          <w:sz w:val="17"/>
          <w:szCs w:val="17"/>
          <w:color w:val="010000"/>
        </w:rPr>
        <w:t xml:space="preserve">B. </w:t>
      </w:r>
      <w:r>
        <w:rPr>
          <w:rFonts w:ascii="Arial" w:cs="Arial" w:eastAsia="Arial" w:hAnsi="Arial"/>
          <w:sz w:val="17"/>
          <w:szCs w:val="17"/>
          <w:u w:val="single" w:color="auto"/>
          <w:color w:val="000000"/>
        </w:rPr>
        <w:t>Common Stock.</w:t>
      </w:r>
      <w:r>
        <w:rPr>
          <w:rFonts w:ascii="Arial" w:cs="Arial" w:eastAsia="Arial" w:hAnsi="Arial"/>
          <w:sz w:val="17"/>
          <w:szCs w:val="17"/>
          <w:color w:val="010000"/>
        </w:rPr>
        <w:t xml:space="preserve"> </w:t>
      </w:r>
      <w:r>
        <w:rPr>
          <w:rFonts w:ascii="Arial" w:cs="Arial" w:eastAsia="Arial" w:hAnsi="Arial"/>
          <w:sz w:val="17"/>
          <w:szCs w:val="17"/>
          <w:color w:val="000000"/>
        </w:rPr>
        <w:t>Except as otherwise required by law or as otherwise provided in any Preferred Stock Designation, the holders of the</w:t>
      </w:r>
      <w:r>
        <w:rPr>
          <w:rFonts w:ascii="Arial" w:cs="Arial" w:eastAsia="Arial" w:hAnsi="Arial"/>
          <w:sz w:val="17"/>
          <w:szCs w:val="17"/>
          <w:color w:val="010000"/>
        </w:rPr>
        <w:t xml:space="preserve"> </w:t>
      </w:r>
      <w:r>
        <w:rPr>
          <w:rFonts w:ascii="Arial" w:cs="Arial" w:eastAsia="Arial" w:hAnsi="Arial"/>
          <w:sz w:val="17"/>
          <w:szCs w:val="17"/>
          <w:color w:val="000000"/>
        </w:rPr>
        <w:t>Common Stock shall exclusively possess all voting power and each share of Common Stock shall have one vote.</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010000"/>
        </w:rPr>
        <w:t xml:space="preserve">SIXTH: </w:t>
      </w:r>
      <w:r>
        <w:rPr>
          <w:rFonts w:ascii="Arial" w:cs="Arial" w:eastAsia="Arial" w:hAnsi="Arial"/>
          <w:sz w:val="17"/>
          <w:szCs w:val="17"/>
          <w:color w:val="000000"/>
        </w:rPr>
        <w:t>This Article Sixth shall apply during the period commencing upon the filing of this Certificate of Incorporation and terminating upon the</w:t>
      </w:r>
      <w:r>
        <w:rPr>
          <w:rFonts w:ascii="Arial" w:cs="Arial" w:eastAsia="Arial" w:hAnsi="Arial"/>
          <w:sz w:val="17"/>
          <w:szCs w:val="17"/>
          <w:color w:val="010000"/>
        </w:rPr>
        <w:t xml:space="preserve"> </w:t>
      </w:r>
      <w:r>
        <w:rPr>
          <w:rFonts w:ascii="Arial" w:cs="Arial" w:eastAsia="Arial" w:hAnsi="Arial"/>
          <w:sz w:val="17"/>
          <w:szCs w:val="17"/>
          <w:color w:val="000000"/>
        </w:rPr>
        <w:t>consummation of any “Business Combination” (as defined below). A “Business Combination” shall mean any merger, capital stock exchange, asset acquisition, stock purchase, recapitalization, reorganization or other similar business combination involving the Corporation and one or more businesses or entities (“Target Business”), or entering into contractual arrangements that give the Corporation control over such a Target Business, and, if the Corporation is then listed on a national securities exchange, the Target Business has a fair market value equal to at least 80% of the balance in the Trust Fund (defined below), less any taxes payable on interest earned, at the time of signing a definitive agreement in connection with the initial Business Combination. “IPO Shares” shall mean the shares sold pursuant to the registration statement on Form S-1 (“Registration Statement”) filed with the Securities and Exchange Commission (“Commission”) in connection with the Corporation’s initial public offering (“IPO”). The “fair market value” for purposes of this Article Sixth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w:t>
      </w:r>
    </w:p>
    <w:p>
      <w:pPr>
        <w:spacing w:after="0" w:line="186" w:lineRule="exact"/>
        <w:rPr>
          <w:sz w:val="20"/>
          <w:szCs w:val="20"/>
          <w:color w:val="auto"/>
        </w:rPr>
      </w:pPr>
    </w:p>
    <w:p>
      <w:pPr>
        <w:jc w:val="both"/>
        <w:ind w:left="640" w:right="20"/>
        <w:spacing w:after="0" w:line="259" w:lineRule="auto"/>
        <w:rPr>
          <w:sz w:val="20"/>
          <w:szCs w:val="20"/>
          <w:color w:val="auto"/>
        </w:rPr>
      </w:pPr>
      <w:r>
        <w:rPr>
          <w:rFonts w:ascii="Arial" w:cs="Arial" w:eastAsia="Arial" w:hAnsi="Arial"/>
          <w:sz w:val="18"/>
          <w:szCs w:val="18"/>
          <w:color w:val="010000"/>
        </w:rPr>
        <w:t xml:space="preserve">A. </w:t>
      </w:r>
      <w:r>
        <w:rPr>
          <w:rFonts w:ascii="Arial" w:cs="Arial" w:eastAsia="Arial" w:hAnsi="Arial"/>
          <w:sz w:val="18"/>
          <w:szCs w:val="18"/>
          <w:color w:val="000000"/>
        </w:rPr>
        <w:t>Prior to the consummation of a Business Combination, the Corporation shall either (i) submit any Business Combination to its holders</w:t>
      </w:r>
      <w:r>
        <w:rPr>
          <w:rFonts w:ascii="Arial" w:cs="Arial" w:eastAsia="Arial" w:hAnsi="Arial"/>
          <w:sz w:val="18"/>
          <w:szCs w:val="18"/>
          <w:color w:val="010000"/>
        </w:rPr>
        <w:t xml:space="preserve"> </w:t>
      </w:r>
      <w:r>
        <w:rPr>
          <w:rFonts w:ascii="Arial" w:cs="Arial" w:eastAsia="Arial" w:hAnsi="Arial"/>
          <w:sz w:val="18"/>
          <w:szCs w:val="18"/>
          <w:color w:val="000000"/>
        </w:rPr>
        <w:t>of Common Stock for approval (“Proxy Solicitation”) pursuant to the proxy rules promulgated under the Securities Exchange Act of 1934, as amended (“Exchange Act”), or (ii) provide its holders of IPO Shares with the opportunity to sell their shares to the Corporation by means of a tender offer (“Tender Offer”).</w:t>
      </w:r>
    </w:p>
    <w:p>
      <w:pPr>
        <w:spacing w:after="0" w:line="39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52" w:name="page153"/>
    <w:bookmarkEnd w:id="152"/>
    <w:p>
      <w:pPr>
        <w:jc w:val="both"/>
        <w:ind w:left="180"/>
        <w:spacing w:after="0" w:line="286" w:lineRule="auto"/>
        <w:rPr>
          <w:sz w:val="20"/>
          <w:szCs w:val="20"/>
          <w:color w:val="auto"/>
        </w:rPr>
      </w:pPr>
      <w:r>
        <w:rPr>
          <w:rFonts w:ascii="Arial" w:cs="Arial" w:eastAsia="Arial" w:hAnsi="Arial"/>
          <w:sz w:val="17"/>
          <w:szCs w:val="17"/>
          <w:color w:val="010000"/>
        </w:rPr>
        <w:t xml:space="preserve">B. </w:t>
      </w:r>
      <w:r>
        <w:rPr>
          <w:rFonts w:ascii="Arial" w:cs="Arial" w:eastAsia="Arial" w:hAnsi="Arial"/>
          <w:sz w:val="17"/>
          <w:szCs w:val="17"/>
          <w:color w:val="000000"/>
        </w:rPr>
        <w:t>If the Corporation engages in a Proxy Solicitation with respect to a Business Combination, the Corporation will consummate the</w:t>
      </w:r>
      <w:r>
        <w:rPr>
          <w:rFonts w:ascii="Arial" w:cs="Arial" w:eastAsia="Arial" w:hAnsi="Arial"/>
          <w:sz w:val="17"/>
          <w:szCs w:val="17"/>
          <w:color w:val="010000"/>
        </w:rPr>
        <w:t xml:space="preserve"> </w:t>
      </w:r>
      <w:r>
        <w:rPr>
          <w:rFonts w:ascii="Arial" w:cs="Arial" w:eastAsia="Arial" w:hAnsi="Arial"/>
          <w:sz w:val="17"/>
          <w:szCs w:val="17"/>
          <w:color w:val="000000"/>
        </w:rPr>
        <w:t>Business Combination only if a majority of the then outstanding shares of Common Stock present and entitled to vote at the meeting to approve the Business Combination are voted for the approval of such Business Combination.</w:t>
      </w:r>
    </w:p>
    <w:p>
      <w:pPr>
        <w:spacing w:after="0" w:line="165" w:lineRule="exact"/>
        <w:rPr>
          <w:sz w:val="20"/>
          <w:szCs w:val="20"/>
          <w:color w:val="auto"/>
        </w:rPr>
      </w:pPr>
    </w:p>
    <w:p>
      <w:pPr>
        <w:jc w:val="both"/>
        <w:ind w:left="180"/>
        <w:spacing w:after="0" w:line="285" w:lineRule="auto"/>
        <w:rPr>
          <w:sz w:val="20"/>
          <w:szCs w:val="20"/>
          <w:color w:val="auto"/>
        </w:rPr>
      </w:pPr>
      <w:r>
        <w:rPr>
          <w:rFonts w:ascii="Arial" w:cs="Arial" w:eastAsia="Arial" w:hAnsi="Arial"/>
          <w:sz w:val="16"/>
          <w:szCs w:val="16"/>
          <w:color w:val="010000"/>
        </w:rPr>
        <w:t xml:space="preserve">C. </w:t>
      </w:r>
      <w:r>
        <w:rPr>
          <w:rFonts w:ascii="Arial" w:cs="Arial" w:eastAsia="Arial" w:hAnsi="Arial"/>
          <w:sz w:val="16"/>
          <w:szCs w:val="16"/>
          <w:color w:val="000000"/>
        </w:rPr>
        <w:t>In the event that a Business Combination is consummated by the Corporation or the Corporation holds a vote of its stockholders to</w:t>
      </w:r>
      <w:r>
        <w:rPr>
          <w:rFonts w:ascii="Arial" w:cs="Arial" w:eastAsia="Arial" w:hAnsi="Arial"/>
          <w:sz w:val="16"/>
          <w:szCs w:val="16"/>
          <w:color w:val="010000"/>
        </w:rPr>
        <w:t xml:space="preserve"> </w:t>
      </w:r>
      <w:r>
        <w:rPr>
          <w:rFonts w:ascii="Arial" w:cs="Arial" w:eastAsia="Arial" w:hAnsi="Arial"/>
          <w:sz w:val="16"/>
          <w:szCs w:val="16"/>
          <w:color w:val="000000"/>
        </w:rPr>
        <w:t>amend its Certificate of Incorporation, any holder of IPO Shares who (i)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“Conversion Price”). “Trust Fund”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(“Group”)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176"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010000"/>
        </w:rPr>
        <w:t xml:space="preserve">D. </w:t>
      </w:r>
      <w:r>
        <w:rPr>
          <w:rFonts w:ascii="Arial" w:cs="Arial" w:eastAsia="Arial" w:hAnsi="Arial"/>
          <w:sz w:val="18"/>
          <w:szCs w:val="18"/>
          <w:color w:val="000000"/>
        </w:rPr>
        <w:t>The Corporation will not consummate any Business Combination unless it (or any successor) has net tangible assets of at least</w:t>
      </w:r>
      <w:r>
        <w:rPr>
          <w:rFonts w:ascii="Arial" w:cs="Arial" w:eastAsia="Arial" w:hAnsi="Arial"/>
          <w:sz w:val="18"/>
          <w:szCs w:val="18"/>
          <w:color w:val="010000"/>
        </w:rPr>
        <w:t xml:space="preserve"> </w:t>
      </w:r>
      <w:r>
        <w:rPr>
          <w:rFonts w:ascii="Arial" w:cs="Arial" w:eastAsia="Arial" w:hAnsi="Arial"/>
          <w:sz w:val="18"/>
          <w:szCs w:val="18"/>
          <w:color w:val="000000"/>
        </w:rPr>
        <w:t>$5,000,001 upon consummation of such Business Combination.</w:t>
      </w:r>
    </w:p>
    <w:p>
      <w:pPr>
        <w:spacing w:after="0" w:line="37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3" w:name="page154"/>
    <w:bookmarkEnd w:id="153"/>
    <w:p>
      <w:pPr>
        <w:jc w:val="both"/>
        <w:ind w:left="180"/>
        <w:spacing w:after="0" w:line="268" w:lineRule="auto"/>
        <w:rPr>
          <w:sz w:val="20"/>
          <w:szCs w:val="20"/>
          <w:color w:val="auto"/>
        </w:rPr>
      </w:pPr>
      <w:r>
        <w:rPr>
          <w:rFonts w:ascii="Arial" w:cs="Arial" w:eastAsia="Arial" w:hAnsi="Arial"/>
          <w:sz w:val="17"/>
          <w:szCs w:val="17"/>
          <w:color w:val="010000"/>
        </w:rPr>
        <w:t xml:space="preserve">E. </w:t>
      </w:r>
      <w:r>
        <w:rPr>
          <w:rFonts w:ascii="Arial" w:cs="Arial" w:eastAsia="Arial" w:hAnsi="Arial"/>
          <w:sz w:val="17"/>
          <w:szCs w:val="17"/>
          <w:color w:val="000000"/>
        </w:rPr>
        <w:t>In the event that the Corporation does not consummate a Business Combination by 24 months from the consummation of the IPO</w:t>
      </w:r>
      <w:r>
        <w:rPr>
          <w:rFonts w:ascii="Arial" w:cs="Arial" w:eastAsia="Arial" w:hAnsi="Arial"/>
          <w:sz w:val="17"/>
          <w:szCs w:val="17"/>
          <w:color w:val="010000"/>
        </w:rPr>
        <w:t xml:space="preserve"> </w:t>
      </w:r>
      <w:r>
        <w:rPr>
          <w:rFonts w:ascii="Arial" w:cs="Arial" w:eastAsia="Arial" w:hAnsi="Arial"/>
          <w:sz w:val="17"/>
          <w:szCs w:val="17"/>
          <w:color w:val="000000"/>
        </w:rPr>
        <w:t>(such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186"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010000"/>
        </w:rPr>
        <w:t xml:space="preserve">F. </w:t>
      </w:r>
      <w:r>
        <w:rPr>
          <w:rFonts w:ascii="Arial" w:cs="Arial" w:eastAsia="Arial" w:hAnsi="Arial"/>
          <w:sz w:val="18"/>
          <w:szCs w:val="18"/>
          <w:color w:val="000000"/>
        </w:rPr>
        <w:t>A holder of IPO Shares shall only be entitled to receive distributions from the Trust Fund in the event (i) he demands conversion of his</w:t>
      </w:r>
      <w:r>
        <w:rPr>
          <w:rFonts w:ascii="Arial" w:cs="Arial" w:eastAsia="Arial" w:hAnsi="Arial"/>
          <w:sz w:val="18"/>
          <w:szCs w:val="18"/>
          <w:color w:val="010000"/>
        </w:rPr>
        <w:t xml:space="preserve"> </w:t>
      </w:r>
      <w:r>
        <w:rPr>
          <w:rFonts w:ascii="Arial" w:cs="Arial" w:eastAsia="Arial" w:hAnsi="Arial"/>
          <w:sz w:val="18"/>
          <w:szCs w:val="18"/>
          <w:color w:val="000000"/>
        </w:rPr>
        <w:t>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 A public holder that holds IPO Shares beneficially through a nominee must identify itself to the Corporation in connection with any election to receive distributions from the Trust Fund in order to validly convert such IPO Shares in accordance with paragraph C above.</w:t>
      </w:r>
    </w:p>
    <w:p>
      <w:pPr>
        <w:spacing w:after="0" w:line="192" w:lineRule="exact"/>
        <w:rPr>
          <w:sz w:val="20"/>
          <w:szCs w:val="20"/>
          <w:color w:val="auto"/>
        </w:rPr>
      </w:pPr>
    </w:p>
    <w:p>
      <w:pPr>
        <w:jc w:val="both"/>
        <w:ind w:left="180"/>
        <w:spacing w:after="0" w:line="286" w:lineRule="auto"/>
        <w:rPr>
          <w:sz w:val="20"/>
          <w:szCs w:val="20"/>
          <w:color w:val="auto"/>
        </w:rPr>
      </w:pPr>
      <w:r>
        <w:rPr>
          <w:rFonts w:ascii="Arial" w:cs="Arial" w:eastAsia="Arial" w:hAnsi="Arial"/>
          <w:sz w:val="17"/>
          <w:szCs w:val="17"/>
          <w:color w:val="010000"/>
        </w:rPr>
        <w:t xml:space="preserve">G. </w:t>
      </w:r>
      <w:r>
        <w:rPr>
          <w:rFonts w:ascii="Arial" w:cs="Arial" w:eastAsia="Arial" w:hAnsi="Arial"/>
          <w:sz w:val="17"/>
          <w:szCs w:val="17"/>
          <w:color w:val="000000"/>
        </w:rPr>
        <w:t>Prior to the consummation of a Business Combination, the Board of Directors may not issue (i) any shares of Common Stock or any</w:t>
      </w:r>
      <w:r>
        <w:rPr>
          <w:rFonts w:ascii="Arial" w:cs="Arial" w:eastAsia="Arial" w:hAnsi="Arial"/>
          <w:sz w:val="17"/>
          <w:szCs w:val="17"/>
          <w:color w:val="010000"/>
        </w:rPr>
        <w:t xml:space="preserve"> </w:t>
      </w:r>
      <w:r>
        <w:rPr>
          <w:rFonts w:ascii="Arial" w:cs="Arial" w:eastAsia="Arial" w:hAnsi="Arial"/>
          <w:sz w:val="17"/>
          <w:szCs w:val="17"/>
          <w:color w:val="000000"/>
        </w:rPr>
        <w:t>securities convertible into Common Stock; or (ii) any securities which participate in or are otherwise entitled in any manner to any of the proceeds in the Trust Fund or which vote as a class with the Common Stock on a Business Combination.</w:t>
      </w:r>
    </w:p>
    <w:p>
      <w:pPr>
        <w:spacing w:after="0" w:line="37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4" w:name="page155"/>
    <w:bookmarkEnd w:id="154"/>
    <w:p>
      <w:pPr>
        <w:jc w:val="both"/>
        <w:ind w:left="640"/>
        <w:spacing w:after="0" w:line="267" w:lineRule="auto"/>
        <w:rPr>
          <w:sz w:val="20"/>
          <w:szCs w:val="20"/>
          <w:color w:val="auto"/>
        </w:rPr>
      </w:pPr>
      <w:r>
        <w:rPr>
          <w:rFonts w:ascii="Arial" w:cs="Arial" w:eastAsia="Arial" w:hAnsi="Arial"/>
          <w:sz w:val="17"/>
          <w:szCs w:val="17"/>
          <w:color w:val="010000"/>
        </w:rPr>
        <w:t xml:space="preserve">H. </w:t>
      </w:r>
      <w:r>
        <w:rPr>
          <w:rFonts w:ascii="Arial" w:cs="Arial" w:eastAsia="Arial" w:hAnsi="Arial"/>
          <w:sz w:val="17"/>
          <w:szCs w:val="17"/>
          <w:color w:val="000000"/>
        </w:rPr>
        <w:t>The Board of Directors shall be divided into three classes: First Class, Second Class and Third Class. The number of directors in each</w:t>
      </w:r>
      <w:r>
        <w:rPr>
          <w:rFonts w:ascii="Arial" w:cs="Arial" w:eastAsia="Arial" w:hAnsi="Arial"/>
          <w:sz w:val="17"/>
          <w:szCs w:val="17"/>
          <w:color w:val="010000"/>
        </w:rPr>
        <w:t xml:space="preserve"> </w:t>
      </w:r>
      <w:r>
        <w:rPr>
          <w:rFonts w:ascii="Arial" w:cs="Arial" w:eastAsia="Arial" w:hAnsi="Arial"/>
          <w:sz w:val="17"/>
          <w:szCs w:val="17"/>
          <w:color w:val="000000"/>
        </w:rPr>
        <w:t>class shall be as nearly equal as possible. At the first election of directors by the incorporator, the incorporator shall elect a Third Class director for a term expiring at the Corporation’s third annual meeting of stockholders. The Third Class director shall then appoint additional First Class, Second Class and Third Class directors, as necessary. The directors in First Class shall be elected for a term expiring at the first annual meeting of stockholders, the directors in Second Class shall be elected for a term expiring at the second annual meeting of stockholders and the directors in Third Class shall be elected for a term expiring at the third annual meeting of stockholders. Commencing at the first annual meeting of stockholders, and at each annual meeting thereafter, directors elected to succeed those directors whose terms expire shall be elected for a term of office to expire at the third succeeding annual meeting of stockholders after their election. Except as the 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of Directors, including unfilled vacancies resulting from the removal of directors for cause, may be filled by the vote of a majority of the remaining directors then in office, although less than a quorum (as defined in the Corporation’s Bylaws), or by the sole remaining director. All directors shall hold office until the expiration of their respective terms of office and until their successors shall have been elected and qualified or until his or her earlier resignation, removal or death.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010000"/>
        </w:rPr>
        <w:t xml:space="preserve">SEVENTH: </w:t>
      </w:r>
      <w:r>
        <w:rPr>
          <w:rFonts w:ascii="Arial" w:cs="Arial" w:eastAsia="Arial" w:hAnsi="Arial"/>
          <w:sz w:val="18"/>
          <w:szCs w:val="18"/>
          <w:color w:val="000000"/>
        </w:rPr>
        <w:t>The following provisions are inserted for the management of the business and for the conduct of the affairs of the Corporation, and</w:t>
      </w:r>
      <w:r>
        <w:rPr>
          <w:rFonts w:ascii="Arial" w:cs="Arial" w:eastAsia="Arial" w:hAnsi="Arial"/>
          <w:sz w:val="18"/>
          <w:szCs w:val="18"/>
          <w:color w:val="010000"/>
        </w:rPr>
        <w:t xml:space="preserve"> </w:t>
      </w:r>
      <w:r>
        <w:rPr>
          <w:rFonts w:ascii="Arial" w:cs="Arial" w:eastAsia="Arial" w:hAnsi="Arial"/>
          <w:sz w:val="18"/>
          <w:szCs w:val="18"/>
          <w:color w:val="000000"/>
        </w:rPr>
        <w:t>for further definition, limitation and regulation of the powers of the Corporation and of its directors and stockholders: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010000"/>
        </w:rPr>
        <w:t xml:space="preserve">A. </w:t>
      </w:r>
      <w:r>
        <w:rPr>
          <w:rFonts w:ascii="Arial" w:cs="Arial" w:eastAsia="Arial" w:hAnsi="Arial"/>
          <w:sz w:val="18"/>
          <w:szCs w:val="18"/>
          <w:color w:val="000000"/>
        </w:rPr>
        <w:t>Election of directors need not be by ballot unless the by-laws of the Corporation so provide.</w:t>
      </w:r>
    </w:p>
    <w:p>
      <w:pPr>
        <w:spacing w:after="0" w:line="225" w:lineRule="exact"/>
        <w:rPr>
          <w:sz w:val="20"/>
          <w:szCs w:val="20"/>
          <w:color w:val="auto"/>
        </w:rPr>
      </w:pPr>
    </w:p>
    <w:p>
      <w:pPr>
        <w:jc w:val="both"/>
        <w:ind w:left="640"/>
        <w:spacing w:after="0" w:line="277" w:lineRule="auto"/>
        <w:rPr>
          <w:sz w:val="20"/>
          <w:szCs w:val="20"/>
          <w:color w:val="auto"/>
        </w:rPr>
      </w:pPr>
      <w:r>
        <w:rPr>
          <w:rFonts w:ascii="Arial" w:cs="Arial" w:eastAsia="Arial" w:hAnsi="Arial"/>
          <w:sz w:val="18"/>
          <w:szCs w:val="18"/>
          <w:color w:val="010000"/>
        </w:rPr>
        <w:t xml:space="preserve">B. </w:t>
      </w:r>
      <w:r>
        <w:rPr>
          <w:rFonts w:ascii="Arial" w:cs="Arial" w:eastAsia="Arial" w:hAnsi="Arial"/>
          <w:sz w:val="18"/>
          <w:szCs w:val="18"/>
          <w:color w:val="000000"/>
        </w:rPr>
        <w:t>The Board of Directors shall have the power, without the assent or vote of the stockholders, to make, alter, amend, change, add to or</w:t>
      </w:r>
      <w:r>
        <w:rPr>
          <w:rFonts w:ascii="Arial" w:cs="Arial" w:eastAsia="Arial" w:hAnsi="Arial"/>
          <w:sz w:val="18"/>
          <w:szCs w:val="18"/>
          <w:color w:val="010000"/>
        </w:rPr>
        <w:t xml:space="preserve"> </w:t>
      </w:r>
      <w:r>
        <w:rPr>
          <w:rFonts w:ascii="Arial" w:cs="Arial" w:eastAsia="Arial" w:hAnsi="Arial"/>
          <w:sz w:val="18"/>
          <w:szCs w:val="18"/>
          <w:color w:val="000000"/>
        </w:rPr>
        <w:t>repeal the by-laws of the Corporation as provided in the by-laws of the Corporation.</w:t>
      </w:r>
    </w:p>
    <w:p>
      <w:pPr>
        <w:spacing w:after="0" w:line="170" w:lineRule="exact"/>
        <w:rPr>
          <w:sz w:val="20"/>
          <w:szCs w:val="20"/>
          <w:color w:val="auto"/>
        </w:rPr>
      </w:pPr>
    </w:p>
    <w:p>
      <w:pPr>
        <w:jc w:val="both"/>
        <w:ind w:left="640"/>
        <w:spacing w:after="0" w:line="254" w:lineRule="auto"/>
        <w:rPr>
          <w:sz w:val="20"/>
          <w:szCs w:val="20"/>
          <w:color w:val="auto"/>
        </w:rPr>
      </w:pPr>
      <w:r>
        <w:rPr>
          <w:rFonts w:ascii="Arial" w:cs="Arial" w:eastAsia="Arial" w:hAnsi="Arial"/>
          <w:sz w:val="18"/>
          <w:szCs w:val="18"/>
          <w:color w:val="010000"/>
        </w:rPr>
        <w:t xml:space="preserve">C. </w:t>
      </w:r>
      <w:r>
        <w:rPr>
          <w:rFonts w:ascii="Arial" w:cs="Arial" w:eastAsia="Arial" w:hAnsi="Arial"/>
          <w:sz w:val="18"/>
          <w:szCs w:val="18"/>
          <w:color w:val="000000"/>
        </w:rPr>
        <w:t>The directors in their discretion may submit any contract or act for approval or ratification at any annual meeting of the stockholders</w:t>
      </w:r>
      <w:r>
        <w:rPr>
          <w:rFonts w:ascii="Arial" w:cs="Arial" w:eastAsia="Arial" w:hAnsi="Arial"/>
          <w:sz w:val="18"/>
          <w:szCs w:val="18"/>
          <w:color w:val="010000"/>
        </w:rPr>
        <w:t xml:space="preserve"> </w:t>
      </w:r>
      <w:r>
        <w:rPr>
          <w:rFonts w:ascii="Arial" w:cs="Arial" w:eastAsia="Arial" w:hAnsi="Arial"/>
          <w:sz w:val="18"/>
          <w:szCs w:val="18"/>
          <w:color w:val="000000"/>
        </w:rPr>
        <w:t>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95"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010000"/>
        </w:rPr>
        <w:t xml:space="preserve">D. </w:t>
      </w:r>
      <w:r>
        <w:rPr>
          <w:rFonts w:ascii="Arial" w:cs="Arial" w:eastAsia="Arial" w:hAnsi="Arial"/>
          <w:sz w:val="18"/>
          <w:szCs w:val="18"/>
          <w:color w:val="000000"/>
        </w:rPr>
        <w:t>In addition to the powers and authorities hereinbefore or by statute expressly conferred upon them, the directors are hereby</w:t>
      </w:r>
      <w:r>
        <w:rPr>
          <w:rFonts w:ascii="Arial" w:cs="Arial" w:eastAsia="Arial" w:hAnsi="Arial"/>
          <w:sz w:val="18"/>
          <w:szCs w:val="18"/>
          <w:color w:val="010000"/>
        </w:rPr>
        <w:t xml:space="preserve"> </w:t>
      </w:r>
      <w:r>
        <w:rPr>
          <w:rFonts w:ascii="Arial" w:cs="Arial" w:eastAsia="Arial" w:hAnsi="Arial"/>
          <w:sz w:val="18"/>
          <w:szCs w:val="18"/>
          <w:color w:val="000000"/>
        </w:rPr>
        <w:t>empowered to exercise all such powers and do all such acts and things as may be exercised or done by the Corporation; subject, nevertheless, to the provisions of the statutes of Delaware, of this Amended and Restated Certificate of Incorporation, and to any bylaws from time to time made by the stockholders; provided, however, that no bylaw so made shall invalidate any prior act of the directors which would have been valid if such bylaw had not been made.</w:t>
      </w:r>
    </w:p>
    <w:p>
      <w:pPr>
        <w:spacing w:after="0" w:line="39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010000"/>
        </w:rPr>
        <w:t>EIGHTH:</w:t>
      </w:r>
    </w:p>
    <w:p>
      <w:pPr>
        <w:spacing w:after="0" w:line="225" w:lineRule="exact"/>
        <w:rPr>
          <w:sz w:val="20"/>
          <w:szCs w:val="20"/>
          <w:color w:val="auto"/>
        </w:rPr>
      </w:pPr>
    </w:p>
    <w:p>
      <w:pPr>
        <w:jc w:val="both"/>
        <w:ind w:left="640"/>
        <w:spacing w:after="0" w:line="291" w:lineRule="auto"/>
        <w:rPr>
          <w:sz w:val="20"/>
          <w:szCs w:val="20"/>
          <w:color w:val="auto"/>
        </w:rPr>
      </w:pPr>
      <w:r>
        <w:rPr>
          <w:rFonts w:ascii="Arial" w:cs="Arial" w:eastAsia="Arial" w:hAnsi="Arial"/>
          <w:sz w:val="16"/>
          <w:szCs w:val="16"/>
          <w:color w:val="010000"/>
        </w:rPr>
        <w:t xml:space="preserve">A. </w:t>
      </w:r>
      <w:r>
        <w:rPr>
          <w:rFonts w:ascii="Arial" w:cs="Arial" w:eastAsia="Arial" w:hAnsi="Arial"/>
          <w:sz w:val="16"/>
          <w:szCs w:val="16"/>
          <w:color w:val="000000"/>
        </w:rPr>
        <w:t>A director of the Corporation shall not be personally liable to the Corporation or its stockholders for monetary damages for breach of</w:t>
      </w:r>
      <w:r>
        <w:rPr>
          <w:rFonts w:ascii="Arial" w:cs="Arial" w:eastAsia="Arial" w:hAnsi="Arial"/>
          <w:sz w:val="16"/>
          <w:szCs w:val="16"/>
          <w:color w:val="010000"/>
        </w:rPr>
        <w:t xml:space="preserve"> </w:t>
      </w:r>
      <w:r>
        <w:rPr>
          <w:rFonts w:ascii="Arial" w:cs="Arial" w:eastAsia="Arial" w:hAnsi="Arial"/>
          <w:sz w:val="16"/>
          <w:szCs w:val="16"/>
          <w:color w:val="000000"/>
        </w:rPr>
        <w:t>fiduciary duty as a director, except for liability (i) for any breach of the director’s duty of loyalty to the Corporation or its stockholders,</w:t>
      </w:r>
    </w:p>
    <w:p>
      <w:pPr>
        <w:jc w:val="both"/>
        <w:ind w:left="640" w:firstLine="4"/>
        <w:spacing w:after="0" w:line="252" w:lineRule="auto"/>
        <w:tabs>
          <w:tab w:leader="none" w:pos="90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94"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010000"/>
        </w:rPr>
        <w:t xml:space="preserve">B. </w:t>
      </w:r>
      <w:r>
        <w:rPr>
          <w:rFonts w:ascii="Arial" w:cs="Arial" w:eastAsia="Arial" w:hAnsi="Arial"/>
          <w:sz w:val="18"/>
          <w:szCs w:val="18"/>
          <w:color w:val="000000"/>
        </w:rPr>
        <w:t>The Corporation, to the full extent permitted by Section 145 of the GCL, as amended from time to time, shall indemnify all persons</w:t>
      </w:r>
      <w:r>
        <w:rPr>
          <w:rFonts w:ascii="Arial" w:cs="Arial" w:eastAsia="Arial" w:hAnsi="Arial"/>
          <w:sz w:val="18"/>
          <w:szCs w:val="18"/>
          <w:color w:val="010000"/>
        </w:rPr>
        <w:t xml:space="preserve"> </w:t>
      </w:r>
      <w:r>
        <w:rPr>
          <w:rFonts w:ascii="Arial" w:cs="Arial" w:eastAsia="Arial" w:hAnsi="Arial"/>
          <w:sz w:val="18"/>
          <w:szCs w:val="18"/>
          <w:color w:val="000000"/>
        </w:rPr>
        <w:t>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w:t>
      </w:r>
    </w:p>
    <w:p>
      <w:pPr>
        <w:spacing w:after="0" w:line="192"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010000"/>
        </w:rPr>
        <w:t xml:space="preserve">C. </w:t>
      </w:r>
      <w:r>
        <w:rPr>
          <w:rFonts w:ascii="Arial" w:cs="Arial" w:eastAsia="Arial" w:hAnsi="Arial"/>
          <w:sz w:val="17"/>
          <w:szCs w:val="17"/>
          <w:color w:val="000000"/>
        </w:rPr>
        <w:t>Notwithstanding the foregoing provisions of this Article Eighth, no indemnification nor advancement of expenses will extend to any</w:t>
      </w:r>
      <w:r>
        <w:rPr>
          <w:rFonts w:ascii="Arial" w:cs="Arial" w:eastAsia="Arial" w:hAnsi="Arial"/>
          <w:sz w:val="17"/>
          <w:szCs w:val="17"/>
          <w:color w:val="010000"/>
        </w:rPr>
        <w:t xml:space="preserve"> </w:t>
      </w:r>
      <w:r>
        <w:rPr>
          <w:rFonts w:ascii="Arial" w:cs="Arial" w:eastAsia="Arial" w:hAnsi="Arial"/>
          <w:sz w:val="17"/>
          <w:szCs w:val="17"/>
          <w:color w:val="000000"/>
        </w:rPr>
        <w:t>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380"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56" w:name="page157"/>
    <w:bookmarkEnd w:id="156"/>
    <w:p>
      <w:pPr>
        <w:jc w:val="both"/>
        <w:ind w:left="660"/>
        <w:spacing w:after="0" w:line="269" w:lineRule="auto"/>
        <w:rPr>
          <w:sz w:val="20"/>
          <w:szCs w:val="20"/>
          <w:color w:val="auto"/>
        </w:rPr>
      </w:pPr>
      <w:r>
        <w:rPr>
          <w:rFonts w:ascii="Arial" w:cs="Arial" w:eastAsia="Arial" w:hAnsi="Arial"/>
          <w:sz w:val="17"/>
          <w:szCs w:val="17"/>
          <w:color w:val="010000"/>
        </w:rPr>
        <w:t xml:space="preserve">NINTH: </w:t>
      </w:r>
      <w:r>
        <w:rPr>
          <w:rFonts w:ascii="Arial" w:cs="Arial" w:eastAsia="Arial" w:hAnsi="Arial"/>
          <w:sz w:val="17"/>
          <w:szCs w:val="17"/>
          <w:color w:val="000000"/>
        </w:rPr>
        <w:t>Whenever a compromise or arrangement is proposed between this Corporation and its creditors or any class of them and/or between this</w:t>
      </w:r>
      <w:r>
        <w:rPr>
          <w:rFonts w:ascii="Arial" w:cs="Arial" w:eastAsia="Arial" w:hAnsi="Arial"/>
          <w:sz w:val="17"/>
          <w:szCs w:val="17"/>
          <w:color w:val="010000"/>
        </w:rPr>
        <w:t xml:space="preserve"> </w:t>
      </w:r>
      <w:r>
        <w:rPr>
          <w:rFonts w:ascii="Arial" w:cs="Arial" w:eastAsia="Arial" w:hAnsi="Arial"/>
          <w:sz w:val="17"/>
          <w:szCs w:val="17"/>
          <w:color w:val="000000"/>
        </w:rPr>
        <w:t>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2"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010000"/>
        </w:rPr>
        <w:t xml:space="preserve">TENTH: </w:t>
      </w:r>
      <w:r>
        <w:rPr>
          <w:rFonts w:ascii="Arial" w:cs="Arial" w:eastAsia="Arial" w:hAnsi="Arial"/>
          <w:sz w:val="17"/>
          <w:szCs w:val="17"/>
          <w:color w:val="000000"/>
        </w:rPr>
        <w:t>Unless the Corporation consents in writing to the selection of an alternative forum, the Court of Chancery of the State of Delaware shall,</w:t>
      </w:r>
      <w:r>
        <w:rPr>
          <w:rFonts w:ascii="Arial" w:cs="Arial" w:eastAsia="Arial" w:hAnsi="Arial"/>
          <w:sz w:val="17"/>
          <w:szCs w:val="17"/>
          <w:color w:val="010000"/>
        </w:rPr>
        <w:t xml:space="preserve"> </w:t>
      </w:r>
      <w:r>
        <w:rPr>
          <w:rFonts w:ascii="Arial" w:cs="Arial" w:eastAsia="Arial" w:hAnsi="Arial"/>
          <w:sz w:val="17"/>
          <w:szCs w:val="17"/>
          <w:color w:val="000000"/>
        </w:rPr>
        <w:t>to the fullest extent permitted by law, be the sole and exclusive forum for any (i) derivative action or proceeding brought on behalf of the Corporation, (ii) action asserting a claim of breach of a fiduciary duty owed by any director, officer, employee or agent of the Corporation to the Corporation or the Corporation’s stockholders, or any claim for aiding and abetting any such alleged breach, (iii) action asserting a claim against the Corporation or any director or officer of the Corporation arising pursuant to any provision of the GCL or the amended and restated certificate of incorporation or the bylaws of the Corporation or (iv) action asserting a claim against us or any director or officer of the Corporation governed by the internal affairs doctrine except for, as to each of (i) through (iv)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of 1933, as amended, as to which the Court of Chancery and the federal district court for the District of Delaware shall concurrently be the sole and exclusive forums. Notwithstanding the foregoing, the inclusion of this provision will not be deemed to be a waiver by the Corporation’s stockholders of the Corporation’s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WITNESS WHEREOF, the Corporation has caused this Amended and Restated Certificate of Incorporation to be signed by Aaron I. Davis, its Chief Executive Officer, as of the ___ day of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285432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Aaron I. Davis, Chief Executive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80"/>
        <w:spacing w:after="0"/>
        <w:rPr>
          <w:sz w:val="20"/>
          <w:szCs w:val="20"/>
          <w:color w:val="auto"/>
        </w:rPr>
      </w:pPr>
      <w:r>
        <w:rPr>
          <w:rFonts w:ascii="Arial" w:cs="Arial" w:eastAsia="Arial" w:hAnsi="Arial"/>
          <w:sz w:val="25"/>
          <w:szCs w:val="25"/>
          <w:b w:val="1"/>
          <w:bCs w:val="1"/>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8"/>
          <w:szCs w:val="28"/>
          <w:b w:val="1"/>
          <w:bCs w:val="1"/>
          <w:color w:val="auto"/>
        </w:rPr>
        <w:t>BCTG ACQUISITION CORP.</w:t>
      </w:r>
    </w:p>
    <w:p>
      <w:pPr>
        <w:spacing w:after="0" w:line="241" w:lineRule="exact"/>
        <w:rPr>
          <w:sz w:val="20"/>
          <w:szCs w:val="20"/>
          <w:color w:val="auto"/>
        </w:rPr>
      </w:pPr>
    </w:p>
    <w:p>
      <w:pPr>
        <w:ind w:left="3040"/>
        <w:spacing w:after="0"/>
        <w:rPr>
          <w:sz w:val="20"/>
          <w:szCs w:val="20"/>
          <w:color w:val="auto"/>
        </w:rPr>
      </w:pPr>
      <w:r>
        <w:rPr>
          <w:rFonts w:ascii="Arial" w:cs="Arial" w:eastAsia="Arial" w:hAnsi="Arial"/>
          <w:sz w:val="25"/>
          <w:szCs w:val="25"/>
          <w:b w:val="1"/>
          <w:bCs w:val="1"/>
          <w:color w:val="auto"/>
        </w:rPr>
        <w:t>- A Delaware Corporation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2232025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BCTG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registered office of the corporation shall be located in such place as may be provided from time to time in the Certificate of Incorporation.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as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the stockholders of the corporation shall be held wholly or partially by means of remote communication or at such place, within or without the State of Delaware, on such date and at such time as may be determined by the board of directors and as shall be designated in the notice of said meeting.</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for any purpose or purposes, unless otherwise prescribed by statute or by the Certificate of Incorporation, may be held wholly or partially by means of remote communication or at any place, within or without the State of Delaware, and may be called by resolution of the board of directors, or by the Chairman or the President.</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Notice and Purpose of Meetings</w:t>
      </w:r>
      <w:r>
        <w:rPr>
          <w:rFonts w:ascii="Arial" w:cs="Arial" w:eastAsia="Arial" w:hAnsi="Arial"/>
          <w:sz w:val="18"/>
          <w:szCs w:val="18"/>
          <w:color w:val="auto"/>
        </w:rPr>
        <w:t>. Written or printed notice of the meeting stating the place, day and hour of the meeting and, in case of a special meeting, stating the purpose or purposes for which the meeting is called, and in case of a meeting held by remote communication stating such means, shall be delivered not less than 10 nor more than 60 days before the date of the meeting, either personally, or by mail, or if prior consent has been received by a stockholder by electronic transmission, by or at the direction of the Chairman or the President, the Secretary, or the persons calling the meeting, to each stockholder of record entitled to vote at such meeting.</w:t>
      </w:r>
    </w:p>
    <w:p>
      <w:pPr>
        <w:spacing w:after="0" w:line="18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Quorum</w:t>
      </w:r>
      <w:r>
        <w:rPr>
          <w:rFonts w:ascii="Arial" w:cs="Arial" w:eastAsia="Arial" w:hAnsi="Arial"/>
          <w:sz w:val="17"/>
          <w:szCs w:val="17"/>
          <w:color w:val="auto"/>
        </w:rPr>
        <w:t>. The holders of a majority of the shares of capital stock issued and outstanding and entitled to vote, represented in person or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jc w:val="both"/>
        <w:ind w:firstLine="1296"/>
        <w:spacing w:after="0" w:line="25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Voting Process</w:t>
      </w:r>
      <w:r>
        <w:rPr>
          <w:rFonts w:ascii="Arial" w:cs="Arial" w:eastAsia="Arial" w:hAnsi="Arial"/>
          <w:sz w:val="18"/>
          <w:szCs w:val="18"/>
          <w:color w:val="auto"/>
        </w:rPr>
        <w:t>. If a quorum is present or represented, the affirmative vote of a majority of the shares of stock present or represented at the meeting, by ballot, proxy or electronic ballot, shall be the act of the stockholders unless the vote of a greater number of shares of stock is required by law, by the Certificate of Incorporation or by these by-laws. Each outstanding share of stock having voting power, shall be entitled to one vote on each matter submitted to a vote at a meeting of stockholders. A stockholder may vote either in person, by proxy executed in writing by the stockholder or by his duly authorized attorney-in-fact, or by an electronic ballot from which it can be determined that the ballot was authorized by a stockholder or proxyholder. The term, validity and enforceability of any proxy shall be determined in accordance with the General Corporation Law of the State of Delaware.</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Written Consent of Stockholders Without a Meeting</w:t>
      </w:r>
      <w:r>
        <w:rPr>
          <w:rFonts w:ascii="Arial" w:cs="Arial" w:eastAsia="Arial" w:hAnsi="Arial"/>
          <w:sz w:val="18"/>
          <w:szCs w:val="18"/>
          <w:color w:val="auto"/>
        </w:rPr>
        <w:t>. Whenever the stockholders are required or permitted to take any action by vote, such action may be taken without a meeting, without prior notice and without a vote, if a written consent or electronic transmission, setting forth the action so taken, shall be signed or e-mailed by the holders of outstanding stock having not less than the minimum number of votes that would be necessary to authorize or take such action at a meeting called for such purpose.</w:t>
      </w:r>
    </w:p>
    <w:p>
      <w:pPr>
        <w:spacing w:after="0" w:line="18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Powers</w:t>
      </w:r>
      <w:r>
        <w:rPr>
          <w:rFonts w:ascii="Arial" w:cs="Arial" w:eastAsia="Arial" w:hAnsi="Arial"/>
          <w:sz w:val="16"/>
          <w:szCs w:val="16"/>
          <w:color w:val="auto"/>
        </w:rPr>
        <w:t>. The business affairs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 The board of directors may adopt such rules and regulations, not inconsistent with the Certificate of Incorporation or these by-laws or applicable laws, as it may deem proper for the conduct of its meetings and the management of the Corporation.</w:t>
      </w:r>
    </w:p>
    <w:p>
      <w:pPr>
        <w:spacing w:after="0" w:line="15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Qualifications, Term</w:t>
      </w:r>
      <w:r>
        <w:rPr>
          <w:rFonts w:ascii="Arial" w:cs="Arial" w:eastAsia="Arial" w:hAnsi="Arial"/>
          <w:sz w:val="18"/>
          <w:szCs w:val="18"/>
          <w:color w:val="auto"/>
        </w:rPr>
        <w:t>. The board of directors shall consist of one or more members. The number of directors shall be fixed by the board of directors and may thereafter be changed from time to time by resolution of the board of directors. Directors need not be residents of the State of Delaware nor stockholders of the corporation.</w:t>
      </w:r>
    </w:p>
    <w:p>
      <w:pPr>
        <w:spacing w:after="0" w:line="18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and newly created directorships resulting from any increase in the number of directors may be filled by a majority of the directors then in office, though less than a quorum, and the directors so chosen shall hold office until the next annual election and until their successors are duly elected and shall qualify. A vacancy created by the removal of a director by the stockholders may be filled by the stockholders.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Place of Meetings</w:t>
      </w:r>
      <w:r>
        <w:rPr>
          <w:rFonts w:ascii="Arial" w:cs="Arial" w:eastAsia="Arial" w:hAnsi="Arial"/>
          <w:sz w:val="16"/>
          <w:szCs w:val="16"/>
          <w:color w:val="auto"/>
        </w:rPr>
        <w:t>. Meetings of the board of directors, regular or special, may be held either within or without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jc w:val="both"/>
        <w:ind w:firstLine="1296"/>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upon such notice, or without notice, and at such time and at such place as shall from time to time be determined by the board.</w:t>
      </w:r>
    </w:p>
    <w:p>
      <w:pPr>
        <w:spacing w:after="0" w:line="17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the Chairman or the President or by the number of directors who then legally constitute a quorum. Notice of the time and place of all special meetings of the board of directors shall be orally or in writing, by telephone, including a voice messaging system or other system or technology designed to record and communicate messages, facsimile, telegraph or telex, or by electronic mail or other electronic means, during normal business hours, at least 24 hours before the date and time of the meeting. If notice is sent by U.S. mail, it shall be sent by first class mail, charges prepaid, at least three days before the date of the meeting. .</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Notice; Waiver</w:t>
      </w:r>
      <w:r>
        <w:rPr>
          <w:rFonts w:ascii="Arial" w:cs="Arial" w:eastAsia="Arial" w:hAnsi="Arial"/>
          <w:sz w:val="18"/>
          <w:szCs w:val="18"/>
          <w:color w:val="auto"/>
        </w:rPr>
        <w:t>. Attendance of a director at any meeting shall constitute a waiver of notice of such meeting, except where a director attends for the express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87"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Quorum</w:t>
      </w:r>
      <w:r>
        <w:rPr>
          <w:rFonts w:ascii="Arial" w:cs="Arial" w:eastAsia="Arial" w:hAnsi="Arial"/>
          <w:sz w:val="16"/>
          <w:szCs w:val="16"/>
          <w:color w:val="auto"/>
        </w:rPr>
        <w:t>. A majority of the directors then in office shall constitute a quorum for the transaction of business unless a greater number is required by law, by the Certificate of Incorporation or by these by-laws. If a quorum shall not be present at any meeting of directors, the directors present thereat may adjourn the meeting from time to time, without notice other than announcement at the meeting, until a quorum shall be present.</w:t>
      </w:r>
    </w:p>
    <w:p>
      <w:pPr>
        <w:spacing w:after="0" w:line="14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required or permitted to be taken at a meeting of the directors may be taken without a meeting if a consent in writing or by electronic transmission, setting forth the action so taken, shall be signed by all of the directors entitled to vote with respect to the subject matter thereof. In addition, meetings of the board may be held by means of conference telephone or voice communication as permitted by the General Corporation Law of the State of Delaware.</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w:t>
      </w:r>
      <w:r>
        <w:rPr>
          <w:rFonts w:ascii="Arial" w:cs="Arial" w:eastAsia="Arial" w:hAnsi="Arial"/>
          <w:sz w:val="18"/>
          <w:szCs w:val="18"/>
          <w:color w:val="auto"/>
        </w:rPr>
        <w:t>. Except as otherwise provided by law or in the Certificate of Incorporation or these by-laws, if a quorum is present, the affirmative vote of a majority of the members of the board of directors will be required for any action.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Subject to any provisions of applicable law, any or all of the directors may be removed by vote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ind w:left="51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COMMITTEES</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Designation of Committees</w:t>
      </w:r>
      <w:r>
        <w:rPr>
          <w:rFonts w:ascii="Arial" w:cs="Arial" w:eastAsia="Arial" w:hAnsi="Arial"/>
          <w:sz w:val="18"/>
          <w:szCs w:val="18"/>
          <w:color w:val="auto"/>
        </w:rPr>
        <w:t>. The board of directors may, by resolution adopted by a majority of the whole board, designate one or more committees, each of which shall, except as otherwise prescribed by law, have such authority of the board of directors as shall be specified in the resolution of the board designating such committee. The board of directors shall have the power at any time to change the membership of, to fill all vacancies in and to discharge any such committee, either with or without cause.</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Procedure; Meetings; Quorum</w:t>
      </w:r>
      <w:r>
        <w:rPr>
          <w:rFonts w:ascii="Arial" w:cs="Arial" w:eastAsia="Arial" w:hAnsi="Arial"/>
          <w:sz w:val="18"/>
          <w:szCs w:val="18"/>
          <w:color w:val="auto"/>
        </w:rPr>
        <w:t>. Committee meetings, of which no notice shall be necessary, may be held at such times and places as shall be fixed by resolution adopted by a majority of the members thereof. So far as applicable, the provisions of Article III of these by-laws relating to notice, quorum and voting requirements applicable to meetings of the board of directors shall govern meetings of any committee of the board. Each committee of the board of directors shall keep written minutes of its proceedings and circulate summaries of such written minutes to the board of directors before or at the next meeting of the board.</w:t>
      </w:r>
    </w:p>
    <w:p>
      <w:pPr>
        <w:spacing w:after="0" w:line="18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w:t>
      </w:r>
      <w:r>
        <w:rPr>
          <w:rFonts w:ascii="Arial" w:cs="Arial" w:eastAsia="Arial" w:hAnsi="Arial"/>
          <w:sz w:val="16"/>
          <w:szCs w:val="16"/>
          <w:color w:val="auto"/>
        </w:rPr>
        <w:t>. The board of directors at its first meeting after each annual meeting of stockholders shall choose a Chief Executive Officer, a Secretary and a Treasurer, none of whom need be a member of the board. The board of directors may also choose a Chairman from among the directors, one or more Executive Vice Presidents, one or more Vice Presidents, Assistant Secretaries and Assistant Treasurers. The board of directors may appoint such other officers and agents as it shall deem necessary, who shall hold their offices for such terms and shall exercise such powers and perform such duties as shall be determined from time to time by the board of directors. More than two offices may be held by the same person.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Compensation</w:t>
      </w:r>
      <w:r>
        <w:rPr>
          <w:rFonts w:ascii="Arial" w:cs="Arial" w:eastAsia="Arial" w:hAnsi="Arial"/>
          <w:sz w:val="16"/>
          <w:szCs w:val="16"/>
          <w:color w:val="auto"/>
        </w:rPr>
        <w:t>. The salaries or other compensation of all officers of the corporation shall be fixed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officer shall be prevented from receiving a salary or other compensation by reason of the fact that he is also a director.</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Term; Removal; Vacancy</w:t>
      </w:r>
      <w:r>
        <w:rPr>
          <w:rFonts w:ascii="Arial" w:cs="Arial" w:eastAsia="Arial" w:hAnsi="Arial"/>
          <w:sz w:val="18"/>
          <w:szCs w:val="18"/>
          <w:color w:val="auto"/>
        </w:rPr>
        <w:t>. The officers of the corporation shall hold office until their successors are chosen and qualify. Any officer may be removed at any time, with or without cause, by the affirmative vote of a majority of the whole board of directors. Any vacancy occurring in any office of the corporation shall be filled by the board of directors.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Chairman</w:t>
      </w:r>
      <w:r>
        <w:rPr>
          <w:rFonts w:ascii="Arial" w:cs="Arial" w:eastAsia="Arial" w:hAnsi="Arial"/>
          <w:sz w:val="18"/>
          <w:szCs w:val="18"/>
          <w:color w:val="auto"/>
        </w:rPr>
        <w:t>. The Chairman shall, if one be elected, preside at all meetings of the board of directors.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be the chief executive officer of the corporation, shall preside at all meetings of the stockholders and the board of directors in the absence of the Chairman, shall have general supervision over the business of the corporation and shall see that all directions and resolutions of the board of directors are carried into effect.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in the absence or disability of the Chief Executive Officer, perform the duties and exercise the powers of the Chief Executive Officer and shall perform such other duties and have such other powers as the board of directors may from time to time prescribe.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jc w:val="both"/>
        <w:ind w:firstLine="1296"/>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Vice President</w:t>
      </w:r>
      <w:r>
        <w:rPr>
          <w:rFonts w:ascii="Arial" w:cs="Arial" w:eastAsia="Arial" w:hAnsi="Arial"/>
          <w:sz w:val="18"/>
          <w:szCs w:val="18"/>
          <w:color w:val="auto"/>
        </w:rPr>
        <w:t>. The Executive Vice Presidents shall, in the absence or disability of the President, perform the duties and exercise the powers of the President and shall perform such other duties and have such other powers as the board of directors may from time to time prescribe. If there shall be more than one Executive Vice President, the Executive Vice Presidents shall perform such duties and exercise such powers in the absence or disability of the President, in the order determined by the board of directors. The Vice Presidents shall, in the absence or disability of the President and of the Executive Vice Presidents, perform the duties and exercise the powers of the President and shall perform such other duties and have such other powers as the board of directors may from time to time prescribe. If there shall be more than one vice president, the vice presidents shall perform such duties and exercise such powers in the absence or disability of the President and of the Executive Vice President, in the order determined by the board of directors.</w:t>
      </w:r>
    </w:p>
    <w:p>
      <w:pPr>
        <w:spacing w:after="0" w:line="19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attend all meetings of the board of directors and all meetings of the stockholders and record all the proceedings of the meetings of the corporation and of the board of directors in a book to be kept for that purpose. He shall give, or cause to be given, notice of all meetings of the stockholders and special meetings of the board of directors, and shall perform such other duties as may be prescribed by the board of directors or President, under whose supervision he shall be. He shall have custody of the corporate seal of the corporation and he, or an assistant secretary, shall have the authority to affix the same to an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Assistant Secretary</w:t>
      </w:r>
      <w:r>
        <w:rPr>
          <w:rFonts w:ascii="Arial" w:cs="Arial" w:eastAsia="Arial" w:hAnsi="Arial"/>
          <w:sz w:val="17"/>
          <w:szCs w:val="17"/>
          <w:color w:val="auto"/>
        </w:rPr>
        <w:t>. The Assistant Secretary, if there shall be one, or if there shall be more than one, the assistant secretaries in the order determined by the board of directors, shall, in the absence or disability of the Secretary, perform the duties and exercise the powers of the Secretary and shall perform such other duties and have such powers as the board of directors may from time to time prescribe.</w:t>
      </w:r>
    </w:p>
    <w:p>
      <w:pPr>
        <w:spacing w:after="0" w:line="16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or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Chairman, the President and the board of directors, at its regular meetings, or when the board of directors so requires, an account of all of his transactions as Treasurer and of the financial condition of the corporation.</w:t>
      </w:r>
    </w:p>
    <w:p>
      <w:pPr>
        <w:spacing w:after="0" w:line="19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Assistant Treasurer</w:t>
      </w:r>
      <w:r>
        <w:rPr>
          <w:rFonts w:ascii="Arial" w:cs="Arial" w:eastAsia="Arial" w:hAnsi="Arial"/>
          <w:sz w:val="17"/>
          <w:szCs w:val="17"/>
          <w:color w:val="auto"/>
        </w:rPr>
        <w:t>. The Assistant Treasurer, if there shall be one,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of directors may from time to time prescribe.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11"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Form</w:t>
      </w:r>
      <w:r>
        <w:rPr>
          <w:rFonts w:ascii="Arial" w:cs="Arial" w:eastAsia="Arial" w:hAnsi="Arial"/>
          <w:sz w:val="18"/>
          <w:szCs w:val="18"/>
          <w:color w:val="auto"/>
        </w:rPr>
        <w:t>. The shares of the capital stock of the corporation shall be represented by certificates in such form as shall be approved by the board of directors and shall be signed by the Chairman, the President, an Executive Vice President or a Vice President, and by the Treasurer or an assistant treasurer or the Secretary or an Assistant Secretary of the corporation, and may be sealed with the seal of the corporation or a facsimile thereof.</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Lost and Destroyed Certificates</w:t>
      </w:r>
      <w:r>
        <w:rPr>
          <w:rFonts w:ascii="Arial" w:cs="Arial" w:eastAsia="Arial" w:hAnsi="Arial"/>
          <w:sz w:val="18"/>
          <w:szCs w:val="18"/>
          <w:color w:val="auto"/>
        </w:rPr>
        <w:t>. The board of directors may direct a new certificate to be issued in place of any certificate theretofore issued by the corporation alleged to have been lost or destroyed. When authorizing such issue of a new certificate, the board of directors, in its discretion and as a condition precedent to the issuance thereof, may prescribe such terms and conditions as it deems expedient, and may require such indemnities as it deems adequate, to protect the corporation from any claim that may be made against it with respect to any such certificate alleged to have been lost or destroyed.</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Transfer of Shares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a new certificate shall be issued to the person entitled thereto, and the old certificate cancelled and the transaction recorded upon the books of the corporation.</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SECTION 1. (a) The corporation shall indemnify, subject to the requirements of subsection (d) of this Section,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68" w:lineRule="exact"/>
        <w:rPr>
          <w:sz w:val="20"/>
          <w:szCs w:val="20"/>
          <w:color w:val="auto"/>
        </w:rPr>
      </w:pPr>
    </w:p>
    <w:p>
      <w:pPr>
        <w:jc w:val="both"/>
        <w:ind w:firstLine="1304"/>
        <w:spacing w:after="0" w:line="269" w:lineRule="auto"/>
        <w:tabs>
          <w:tab w:leader="none" w:pos="155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corporation shall indemnify, subject to the requirements of subsection (d) of this Section,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jc w:val="both"/>
        <w:ind w:firstLine="1304"/>
        <w:spacing w:after="0" w:line="286" w:lineRule="auto"/>
        <w:tabs>
          <w:tab w:leader="none" w:pos="15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To the extent that a director, officer, employee or agent of the corporation has been successful on the merits or otherwise in defense of any action, suit or proceeding referred to in subsections (a) and (b) of this Section, or in defense of any claim, issue or matter therein, the corporation shall indemnify him against expenses (including attorneys' fees) actually and reasonably incurred by him in connection therewith.</w:t>
      </w:r>
    </w:p>
    <w:p>
      <w:pPr>
        <w:spacing w:after="0" w:line="165" w:lineRule="exact"/>
        <w:rPr>
          <w:rFonts w:ascii="Arial" w:cs="Arial" w:eastAsia="Arial" w:hAnsi="Arial"/>
          <w:sz w:val="17"/>
          <w:szCs w:val="17"/>
          <w:color w:val="auto"/>
        </w:rPr>
      </w:pPr>
    </w:p>
    <w:p>
      <w:pPr>
        <w:jc w:val="both"/>
        <w:ind w:firstLine="1304"/>
        <w:spacing w:after="0" w:line="255" w:lineRule="auto"/>
        <w:tabs>
          <w:tab w:leader="none" w:pos="154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subsections (a) and (b) of this Section.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w:t>
      </w:r>
    </w:p>
    <w:p>
      <w:pPr>
        <w:spacing w:after="0" w:line="192" w:lineRule="exact"/>
        <w:rPr>
          <w:rFonts w:ascii="Arial" w:cs="Arial" w:eastAsia="Arial" w:hAnsi="Arial"/>
          <w:sz w:val="18"/>
          <w:szCs w:val="18"/>
          <w:color w:val="auto"/>
        </w:rPr>
      </w:pPr>
    </w:p>
    <w:p>
      <w:pPr>
        <w:jc w:val="both"/>
        <w:ind w:firstLine="1304"/>
        <w:spacing w:after="0" w:line="301" w:lineRule="auto"/>
        <w:tabs>
          <w:tab w:leader="none" w:pos="154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Expenses incurred by a director, officer, employee or agent in defending a civil or criminal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incurred by other employees and agents may be so paid upon such terms and conditions, if any, as the Board of Directors deems appropriate.</w:t>
      </w:r>
    </w:p>
    <w:p>
      <w:pPr>
        <w:spacing w:after="0" w:line="157" w:lineRule="exact"/>
        <w:rPr>
          <w:rFonts w:ascii="Arial" w:cs="Arial" w:eastAsia="Arial" w:hAnsi="Arial"/>
          <w:sz w:val="16"/>
          <w:szCs w:val="16"/>
          <w:color w:val="auto"/>
        </w:rPr>
      </w:pPr>
    </w:p>
    <w:p>
      <w:pPr>
        <w:jc w:val="both"/>
        <w:ind w:firstLine="1304"/>
        <w:spacing w:after="0" w:line="301" w:lineRule="auto"/>
        <w:tabs>
          <w:tab w:leader="none" w:pos="152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limit the corporation from providing any other indemnification or advancement of expenses permitted by law nor shall they be deemed exclusive of any other rights to which a person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57" w:lineRule="exact"/>
        <w:rPr>
          <w:rFonts w:ascii="Arial" w:cs="Arial" w:eastAsia="Arial" w:hAnsi="Arial"/>
          <w:sz w:val="16"/>
          <w:szCs w:val="16"/>
          <w:color w:val="auto"/>
        </w:rPr>
      </w:pPr>
    </w:p>
    <w:p>
      <w:pPr>
        <w:jc w:val="both"/>
        <w:ind w:firstLine="1304"/>
        <w:spacing w:after="0" w:line="279" w:lineRule="auto"/>
        <w:tabs>
          <w:tab w:leader="none" w:pos="155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jc w:val="both"/>
        <w:ind w:firstLine="1304"/>
        <w:spacing w:after="0" w:line="293" w:lineRule="auto"/>
        <w:tabs>
          <w:tab w:leader="none" w:pos="155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For the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64" w:lineRule="exact"/>
        <w:rPr>
          <w:rFonts w:ascii="Arial" w:cs="Arial" w:eastAsia="Arial" w:hAnsi="Arial"/>
          <w:sz w:val="16"/>
          <w:szCs w:val="16"/>
          <w:color w:val="auto"/>
        </w:rPr>
      </w:pPr>
    </w:p>
    <w:p>
      <w:pPr>
        <w:jc w:val="both"/>
        <w:ind w:firstLine="1304"/>
        <w:spacing w:after="0" w:line="273" w:lineRule="auto"/>
        <w:tabs>
          <w:tab w:leader="none" w:pos="151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any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151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by the Board of Directors, continue as to a person who has ceased to be a director, officer, employee or agent of the corporation and shall inure to the benefit of the heirs executors and administrators of such a person.</w:t>
      </w:r>
    </w:p>
    <w:p>
      <w:pPr>
        <w:spacing w:after="0" w:line="183" w:lineRule="exact"/>
        <w:rPr>
          <w:rFonts w:ascii="Arial" w:cs="Arial" w:eastAsia="Arial" w:hAnsi="Arial"/>
          <w:sz w:val="18"/>
          <w:szCs w:val="18"/>
          <w:color w:val="auto"/>
        </w:rPr>
      </w:pPr>
    </w:p>
    <w:p>
      <w:pPr>
        <w:ind w:firstLine="1304"/>
        <w:spacing w:after="0" w:line="308" w:lineRule="auto"/>
        <w:tabs>
          <w:tab w:leader="none" w:pos="156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officers and directors of the Company, as individuals, shall not be liable until all funds of the Company have been distributed, with the exception of the proceeds contained in a trust account, that is subject to the trust agreement to be entered into by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GENERAL PROVISIONS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be determined, and may be changed, by resolution of the board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Seal</w:t>
      </w:r>
      <w:r>
        <w:rPr>
          <w:rFonts w:ascii="Arial" w:cs="Arial" w:eastAsia="Arial" w:hAnsi="Arial"/>
          <w:sz w:val="17"/>
          <w:szCs w:val="17"/>
          <w:color w:val="auto"/>
        </w:rPr>
        <w:t>. The corporate seal shall have inscribed thereon the name of the corporation, the year of its organization and the words “Corporate Seal, Delaware.” The seal may be used by causing it or a facsimile thereof to be impressed or affixed or in any manner reproduced.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SECTION 1. These by-laws may be altered, amended, supplemented or repealed or new by-laws may be adopted (a) at any regular or special meeting of stockholders at which a quorum is present or represented, by the affirmative vote of the holders of a majority of the shares entitled to vote, provided notice of the proposed alteration, amendment or repeal be contained in the notice of such meeting, or (b) by a resolution adopted by a majority of the whole board of directors at any regular or special meeting of the board. The stockholders shall have authority to change or repeal any by-laws adopted by the directors.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ind w:left="10400"/>
        <w:spacing w:after="0"/>
        <w:rPr>
          <w:sz w:val="20"/>
          <w:szCs w:val="20"/>
          <w:color w:val="auto"/>
        </w:rPr>
      </w:pPr>
      <w:r>
        <w:rPr>
          <w:rFonts w:ascii="Arial" w:cs="Arial" w:eastAsia="Arial" w:hAnsi="Arial"/>
          <w:sz w:val="16"/>
          <w:szCs w:val="16"/>
          <w:b w:val="1"/>
          <w:bCs w:val="1"/>
          <w:color w:val="auto"/>
        </w:rPr>
        <w:t>Exhibit 4.1</w:t>
      </w:r>
    </w:p>
    <w:p>
      <w:pPr>
        <w:sectPr>
          <w:pgSz w:w="11900" w:h="16838" w:orient="portrait"/>
          <w:cols w:equalWidth="0" w:num="1">
            <w:col w:w="11240"/>
          </w:cols>
          <w:pgMar w:left="320" w:top="121" w:right="339" w:bottom="1440" w:gutter="0" w:footer="0" w:header="0"/>
        </w:sect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NUMBER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SHARES</w:t>
      </w:r>
    </w:p>
    <w:p>
      <w:pPr>
        <w:spacing w:after="0" w:line="453" w:lineRule="exact"/>
        <w:rPr>
          <w:sz w:val="20"/>
          <w:szCs w:val="20"/>
          <w:color w:val="auto"/>
        </w:rPr>
      </w:pPr>
    </w:p>
    <w:p>
      <w:pPr>
        <w:sectPr>
          <w:pgSz w:w="11900" w:h="16838" w:orient="portrait"/>
          <w:cols w:equalWidth="0" w:num="2">
            <w:col w:w="9840" w:space="720"/>
            <w:col w:w="680"/>
          </w:cols>
          <w:pgMar w:left="320" w:top="121"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SEE REVERSE FOR CERTAIN DEFINITIONS</w:t>
      </w:r>
    </w:p>
    <w:p>
      <w:pPr>
        <w:spacing w:after="0" w:line="221" w:lineRule="exact"/>
        <w:rPr>
          <w:sz w:val="20"/>
          <w:szCs w:val="20"/>
          <w:color w:val="auto"/>
        </w:rPr>
      </w:pPr>
    </w:p>
    <w:p>
      <w:pPr>
        <w:ind w:left="9720"/>
        <w:spacing w:after="0"/>
        <w:rPr>
          <w:sz w:val="20"/>
          <w:szCs w:val="20"/>
          <w:color w:val="auto"/>
        </w:rPr>
      </w:pPr>
      <w:r>
        <w:rPr>
          <w:rFonts w:ascii="Arial" w:cs="Arial" w:eastAsia="Arial" w:hAnsi="Arial"/>
          <w:sz w:val="16"/>
          <w:szCs w:val="16"/>
          <w:b w:val="1"/>
          <w:bCs w:val="1"/>
          <w:color w:val="auto"/>
        </w:rPr>
        <w:t>CUSIP 05492W 103</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INCORPORATED UNDER THE LAWS OF THE STATE OF DELAWARE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FULLY PAID AND NON-ASSESSABLE SHARES OF THE PAR VALUE OF $0.0001 EACH OF THE COMMON STOCK OF</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ectPr>
          <w:pgSz w:w="11900" w:h="16838" w:orient="portrait"/>
          <w:cols w:equalWidth="0" w:num="1">
            <w:col w:w="11240"/>
          </w:cols>
          <w:pgMar w:left="320" w:top="121" w:right="3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transferable on the books of the Company in person or by duly authorized attorney upon surrender of this certificate properly endorsed.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will be forced to redeem all of its shares of common stock if it is unable to complete a business combination by September [•], 2022 (or such later date as the Company’s amended and restated certificate of incorporation may be amended to provide for), all as more fully described in the Company’s final prospectus dated September [•],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the seal of the Company and the facsimile signatures of its duly authorized officers.</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[Corporate Seal]</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142875</wp:posOffset>
            </wp:positionV>
            <wp:extent cx="241744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174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257175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will furnish without charge to each stockholder who so requests the powers, designations, preferences and relative, participating, optional or other special rights of each class of stock or series thereof of the Company and the qualifications, limitations, or restrictions of such preferences and/or rights. This certificate and the shares represented thereby are issued and shall be held subject to all the provisions of the Company’s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TEN COM</w:t>
            </w:r>
          </w:p>
        </w:tc>
        <w:tc>
          <w:tcPr>
            <w:tcW w:w="3660" w:type="dxa"/>
            <w:vAlign w:val="bottom"/>
            <w:gridSpan w:val="2"/>
          </w:tcPr>
          <w:p>
            <w:pPr>
              <w:ind w:left="100"/>
              <w:spacing w:after="0"/>
              <w:rPr>
                <w:sz w:val="20"/>
                <w:szCs w:val="20"/>
                <w:color w:val="auto"/>
              </w:rPr>
            </w:pPr>
            <w:r>
              <w:rPr>
                <w:rFonts w:ascii="Arial" w:cs="Arial" w:eastAsia="Arial" w:hAnsi="Arial"/>
                <w:sz w:val="18"/>
                <w:szCs w:val="18"/>
                <w:color w:val="auto"/>
              </w:rPr>
              <w:t>—  as tenants in common</w:t>
            </w:r>
          </w:p>
        </w:tc>
        <w:tc>
          <w:tcPr>
            <w:tcW w:w="2160" w:type="dxa"/>
            <w:vAlign w:val="bottom"/>
          </w:tcPr>
          <w:p>
            <w:pPr>
              <w:ind w:left="260"/>
              <w:spacing w:after="0"/>
              <w:rPr>
                <w:sz w:val="20"/>
                <w:szCs w:val="20"/>
                <w:color w:val="auto"/>
              </w:rPr>
            </w:pPr>
            <w:r>
              <w:rPr>
                <w:rFonts w:ascii="Arial" w:cs="Arial" w:eastAsia="Arial" w:hAnsi="Arial"/>
                <w:sz w:val="18"/>
                <w:szCs w:val="18"/>
                <w:color w:val="auto"/>
              </w:rPr>
              <w:t>UNIF GIFT MIN ACT</w:t>
            </w:r>
          </w:p>
        </w:tc>
        <w:tc>
          <w:tcPr>
            <w:tcW w:w="20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1630"/>
              <w:spacing w:after="0"/>
              <w:rPr>
                <w:sz w:val="20"/>
                <w:szCs w:val="20"/>
                <w:color w:val="auto"/>
              </w:rPr>
            </w:pPr>
            <w:r>
              <w:rPr>
                <w:rFonts w:ascii="Arial" w:cs="Arial" w:eastAsia="Arial" w:hAnsi="Arial"/>
                <w:sz w:val="18"/>
                <w:szCs w:val="18"/>
                <w:color w:val="auto"/>
                <w:w w:val="88"/>
              </w:rPr>
              <w:t>Custodian</w:t>
            </w:r>
          </w:p>
        </w:tc>
        <w:tc>
          <w:tcPr>
            <w:tcW w:w="0" w:type="dxa"/>
            <w:vAlign w:val="bottom"/>
          </w:tcPr>
          <w:p>
            <w:pPr>
              <w:spacing w:after="0"/>
              <w:rPr>
                <w:sz w:val="1"/>
                <w:szCs w:val="1"/>
                <w:color w:val="auto"/>
              </w:rPr>
            </w:pPr>
          </w:p>
        </w:tc>
      </w:tr>
      <w:tr>
        <w:trPr>
          <w:trHeight w:val="230"/>
        </w:trPr>
        <w:tc>
          <w:tcPr>
            <w:tcW w:w="920" w:type="dxa"/>
            <w:vAlign w:val="bottom"/>
          </w:tcPr>
          <w:p>
            <w:pPr>
              <w:spacing w:after="0" w:line="203" w:lineRule="exact"/>
              <w:rPr>
                <w:sz w:val="20"/>
                <w:szCs w:val="20"/>
                <w:color w:val="auto"/>
              </w:rPr>
            </w:pPr>
            <w:r>
              <w:rPr>
                <w:rFonts w:ascii="Arial" w:cs="Arial" w:eastAsia="Arial" w:hAnsi="Arial"/>
                <w:sz w:val="18"/>
                <w:szCs w:val="18"/>
                <w:color w:val="auto"/>
              </w:rPr>
              <w:t>TEN ENT</w:t>
            </w:r>
          </w:p>
        </w:tc>
        <w:tc>
          <w:tcPr>
            <w:tcW w:w="360" w:type="dxa"/>
            <w:vAlign w:val="bottom"/>
          </w:tcPr>
          <w:p>
            <w:pPr>
              <w:ind w:left="100"/>
              <w:spacing w:after="0" w:line="203" w:lineRule="exact"/>
              <w:rPr>
                <w:sz w:val="20"/>
                <w:szCs w:val="20"/>
                <w:color w:val="auto"/>
              </w:rPr>
            </w:pPr>
            <w:r>
              <w:rPr>
                <w:rFonts w:ascii="Arial" w:cs="Arial" w:eastAsia="Arial" w:hAnsi="Arial"/>
                <w:sz w:val="18"/>
                <w:szCs w:val="18"/>
                <w:color w:val="auto"/>
              </w:rPr>
              <w:t>—</w:t>
            </w:r>
          </w:p>
        </w:tc>
        <w:tc>
          <w:tcPr>
            <w:tcW w:w="3300" w:type="dxa"/>
            <w:vAlign w:val="bottom"/>
          </w:tcPr>
          <w:p>
            <w:pPr>
              <w:ind w:left="80"/>
              <w:spacing w:after="0" w:line="203" w:lineRule="exact"/>
              <w:rPr>
                <w:sz w:val="20"/>
                <w:szCs w:val="20"/>
                <w:color w:val="auto"/>
              </w:rPr>
            </w:pPr>
            <w:r>
              <w:rPr>
                <w:rFonts w:ascii="Arial" w:cs="Arial" w:eastAsia="Arial" w:hAnsi="Arial"/>
                <w:sz w:val="18"/>
                <w:szCs w:val="18"/>
                <w:color w:val="auto"/>
              </w:rPr>
              <w:t>as tenants by the entireties</w:t>
            </w:r>
          </w:p>
        </w:tc>
        <w:tc>
          <w:tcPr>
            <w:tcW w:w="2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(Cust)</w:t>
            </w:r>
          </w:p>
        </w:tc>
        <w:tc>
          <w:tcPr>
            <w:tcW w:w="1000" w:type="dxa"/>
            <w:vAlign w:val="bottom"/>
          </w:tcPr>
          <w:p>
            <w:pPr>
              <w:spacing w:after="0"/>
              <w:rPr>
                <w:sz w:val="20"/>
                <w:szCs w:val="20"/>
                <w:color w:val="auto"/>
              </w:rPr>
            </w:pPr>
          </w:p>
        </w:tc>
        <w:tc>
          <w:tcPr>
            <w:tcW w:w="146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403"/>
        </w:trPr>
        <w:tc>
          <w:tcPr>
            <w:tcW w:w="920" w:type="dxa"/>
            <w:vAlign w:val="bottom"/>
          </w:tcPr>
          <w:p>
            <w:pPr>
              <w:spacing w:after="0"/>
              <w:rPr>
                <w:sz w:val="20"/>
                <w:szCs w:val="20"/>
                <w:color w:val="auto"/>
              </w:rPr>
            </w:pPr>
            <w:r>
              <w:rPr>
                <w:rFonts w:ascii="Arial" w:cs="Arial" w:eastAsia="Arial" w:hAnsi="Arial"/>
                <w:sz w:val="18"/>
                <w:szCs w:val="18"/>
                <w:color w:val="auto"/>
              </w:rPr>
              <w:t>JT TEN</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as joint tenants with right of survivorship</w:t>
            </w:r>
          </w:p>
        </w:tc>
        <w:tc>
          <w:tcPr>
            <w:tcW w:w="2160" w:type="dxa"/>
            <w:vAlign w:val="bottom"/>
          </w:tcPr>
          <w:p>
            <w:pPr>
              <w:spacing w:after="0"/>
              <w:rPr>
                <w:sz w:val="24"/>
                <w:szCs w:val="24"/>
                <w:color w:val="auto"/>
              </w:rPr>
            </w:pPr>
          </w:p>
        </w:tc>
        <w:tc>
          <w:tcPr>
            <w:tcW w:w="4500" w:type="dxa"/>
            <w:vAlign w:val="bottom"/>
            <w:gridSpan w:val="4"/>
          </w:tcPr>
          <w:p>
            <w:pPr>
              <w:jc w:val="right"/>
              <w:ind w:right="1650"/>
              <w:spacing w:after="0"/>
              <w:rPr>
                <w:sz w:val="20"/>
                <w:szCs w:val="20"/>
                <w:color w:val="auto"/>
              </w:rPr>
            </w:pPr>
            <w:r>
              <w:rPr>
                <w:rFonts w:ascii="Arial" w:cs="Arial" w:eastAsia="Arial" w:hAnsi="Arial"/>
                <w:sz w:val="18"/>
                <w:szCs w:val="18"/>
                <w:color w:val="auto"/>
              </w:rPr>
              <w:t>under Uniform Gifts to Minors Act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and not as tenants in common</w:t>
            </w:r>
          </w:p>
        </w:tc>
        <w:tc>
          <w:tcPr>
            <w:tcW w:w="2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60" w:type="dxa"/>
            <w:vAlign w:val="bottom"/>
            <w:gridSpan w:val="2"/>
            <w:vMerge w:val="restart"/>
          </w:tcPr>
          <w:p>
            <w:pPr>
              <w:ind w:left="80"/>
              <w:spacing w:after="0"/>
              <w:rPr>
                <w:sz w:val="20"/>
                <w:szCs w:val="20"/>
                <w:color w:val="auto"/>
              </w:rPr>
            </w:pPr>
            <w:r>
              <w:rPr>
                <w:rFonts w:ascii="Arial" w:cs="Arial" w:eastAsia="Arial" w:hAnsi="Arial"/>
                <w:sz w:val="18"/>
                <w:szCs w:val="18"/>
                <w:color w:val="auto"/>
              </w:rPr>
              <w:t>(State)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i w:val="1"/>
          <w:iCs w:val="1"/>
          <w:color w:val="auto"/>
        </w:rPr>
        <w:t>For value received,</w:t>
      </w:r>
      <w:r>
        <w:rPr>
          <w:sz w:val="20"/>
          <w:szCs w:val="20"/>
          <w:color w:val="auto"/>
        </w:rPr>
        <w:tab/>
      </w:r>
      <w:r>
        <w:rPr>
          <w:rFonts w:ascii="Arial" w:cs="Arial" w:eastAsia="Arial" w:hAnsi="Arial"/>
          <w:sz w:val="16"/>
          <w:szCs w:val="16"/>
          <w:i w:val="1"/>
          <w:iCs w:val="1"/>
          <w:color w:val="auto"/>
        </w:rPr>
        <w:t>hereby sells, assigns and transfers unto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of the capital stock represented by the within Certificate, and hereby irrevocably constitutes and appoints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the said stock on the books of the within named Company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each case, as more fully described in the Company’s final prospectus dated September [•], 2020, the holder(s) of this certificate shall be entitled to receive a pro-rata portion of certain funds held in the trust account established in connection with its initial public offering only in the event that (i) the Company redeems the shares of common stock sold in the Company’s initial public offering and liquidates because it does not consummate an initial business combination by September [•], 2022 (or such later date as the Company’s amended and restated certificate of incorporation may be amended to provide for), (ii) the Company offers to redeem the shares of common stock sold in its initial public offering in connection with a stockholder vote to amend the Company’s amended and restated certificate of incorporation (A) to modify the substance or timing of the ability of holders of common stock sold in the Company’s initial public offering to seek redemption in connection with the Company’s initial business combination or the Company’s obligation to redeem 100% of such common stock if it does not consummate an initial business combination by September [•], 2022 or (B) with respect to any other provision relating to stockholders’ rights or pre-initial business combination activity, and the holder(s) of this certificate elects to have the shares of common stock held by him, her or it redeemed pursuant to that offer, or (iii) if the holder(s) seek(s) to redeem for cash his, her or its respective shares of common stock in connection with a tender offer (or proxy solicitation, solely in the event the Company seeks stockholder approval of the proposed initial business combination) setting forth the details of a proposed initial business combination. In no other circumstances shall the holder(s)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857250" cy="8572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345 Park Avenue</w:t>
      </w:r>
    </w:p>
    <w:p>
      <w:pPr>
        <w:spacing w:after="0" w:line="23" w:lineRule="exact"/>
        <w:rPr>
          <w:sz w:val="20"/>
          <w:szCs w:val="20"/>
          <w:color w:val="auto"/>
        </w:rPr>
      </w:pPr>
    </w:p>
    <w:p>
      <w:pPr>
        <w:jc w:val="right"/>
        <w:ind w:right="1020"/>
        <w:spacing w:after="0"/>
        <w:tabs>
          <w:tab w:leader="none" w:pos="2780" w:val="left"/>
          <w:tab w:leader="none" w:pos="2000" w:val="left"/>
        </w:tabs>
        <w:rPr>
          <w:sz w:val="20"/>
          <w:szCs w:val="20"/>
          <w:color w:val="auto"/>
        </w:rPr>
      </w:pPr>
      <w:r>
        <w:rPr>
          <w:rFonts w:ascii="Arial" w:cs="Arial" w:eastAsia="Arial" w:hAnsi="Arial"/>
          <w:sz w:val="18"/>
          <w:szCs w:val="18"/>
          <w:color w:val="auto"/>
        </w:rPr>
        <w:t>New York, NY 10154-1895</w:t>
      </w:r>
      <w:r>
        <w:rPr>
          <w:sz w:val="20"/>
          <w:szCs w:val="20"/>
          <w:color w:val="auto"/>
        </w:rPr>
        <w:tab/>
      </w:r>
      <w:r>
        <w:rPr>
          <w:rFonts w:ascii="Arial" w:cs="Arial" w:eastAsia="Arial" w:hAnsi="Arial"/>
          <w:sz w:val="18"/>
          <w:szCs w:val="18"/>
          <w:b w:val="1"/>
          <w:bCs w:val="1"/>
          <w:color w:val="auto"/>
        </w:rPr>
        <w:t>Main</w:t>
      </w:r>
      <w:r>
        <w:rPr>
          <w:sz w:val="20"/>
          <w:szCs w:val="20"/>
          <w:color w:val="auto"/>
        </w:rPr>
        <w:tab/>
      </w:r>
      <w:r>
        <w:rPr>
          <w:rFonts w:ascii="Arial" w:cs="Arial" w:eastAsia="Arial" w:hAnsi="Arial"/>
          <w:sz w:val="16"/>
          <w:szCs w:val="16"/>
          <w:color w:val="auto"/>
        </w:rPr>
        <w:t>212.407.4000</w:t>
      </w:r>
    </w:p>
    <w:p>
      <w:pPr>
        <w:spacing w:after="0" w:line="9" w:lineRule="exact"/>
        <w:rPr>
          <w:sz w:val="20"/>
          <w:szCs w:val="20"/>
          <w:color w:val="auto"/>
        </w:rPr>
      </w:pPr>
    </w:p>
    <w:p>
      <w:pPr>
        <w:jc w:val="both"/>
        <w:ind w:left="8440"/>
        <w:spacing w:after="0"/>
        <w:tabs>
          <w:tab w:leader="none" w:pos="9200" w:val="left"/>
        </w:tabs>
        <w:rPr>
          <w:sz w:val="20"/>
          <w:szCs w:val="20"/>
          <w:color w:val="auto"/>
        </w:rPr>
      </w:pPr>
      <w:r>
        <w:rPr>
          <w:rFonts w:ascii="Arial" w:cs="Arial" w:eastAsia="Arial" w:hAnsi="Arial"/>
          <w:sz w:val="18"/>
          <w:szCs w:val="18"/>
          <w:b w:val="1"/>
          <w:bCs w:val="1"/>
          <w:color w:val="auto"/>
        </w:rPr>
        <w:t>Fax</w:t>
      </w:r>
      <w:r>
        <w:rPr>
          <w:sz w:val="20"/>
          <w:szCs w:val="20"/>
          <w:color w:val="auto"/>
        </w:rPr>
        <w:tab/>
      </w:r>
      <w:r>
        <w:rPr>
          <w:rFonts w:ascii="Arial" w:cs="Arial" w:eastAsia="Arial" w:hAnsi="Arial"/>
          <w:sz w:val="18"/>
          <w:szCs w:val="18"/>
          <w:color w:val="auto"/>
        </w:rPr>
        <w:t>212.407.4990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BCTG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BCTG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have acted as counsel to BCTG Acquisition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its filing of the Registration Statement on Form S-1, as amended, prior to being declared effective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under the Securities Act of 1933, as amended (the “Act”), with the Securities and Exchange Commission. The Registration Statement relates to an underwritten public offering and sale of (i) 12,500,000 shares (collectively, the “</w:t>
      </w:r>
      <w:r>
        <w:rPr>
          <w:rFonts w:ascii="Arial" w:cs="Arial" w:eastAsia="Arial" w:hAnsi="Arial"/>
          <w:sz w:val="17"/>
          <w:szCs w:val="17"/>
          <w:b w:val="1"/>
          <w:bCs w:val="1"/>
          <w:color w:val="auto"/>
        </w:rPr>
        <w:t>Shares</w:t>
      </w:r>
      <w:r>
        <w:rPr>
          <w:rFonts w:ascii="Arial" w:cs="Arial" w:eastAsia="Arial" w:hAnsi="Arial"/>
          <w:sz w:val="17"/>
          <w:szCs w:val="17"/>
          <w:color w:val="auto"/>
        </w:rPr>
        <w:t>”, and each, a “</w:t>
      </w:r>
      <w:r>
        <w:rPr>
          <w:rFonts w:ascii="Arial" w:cs="Arial" w:eastAsia="Arial" w:hAnsi="Arial"/>
          <w:sz w:val="17"/>
          <w:szCs w:val="17"/>
          <w:b w:val="1"/>
          <w:bCs w:val="1"/>
          <w:color w:val="auto"/>
        </w:rPr>
        <w:t>Share</w:t>
      </w:r>
      <w:r>
        <w:rPr>
          <w:rFonts w:ascii="Arial" w:cs="Arial" w:eastAsia="Arial" w:hAnsi="Arial"/>
          <w:sz w:val="17"/>
          <w:szCs w:val="17"/>
          <w:color w:val="auto"/>
        </w:rPr>
        <w:t>”) of the Company’s common stock, par value $.0001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and (ii) up to 1,875,000 Shares (the “</w:t>
      </w:r>
      <w:r>
        <w:rPr>
          <w:rFonts w:ascii="Arial" w:cs="Arial" w:eastAsia="Arial" w:hAnsi="Arial"/>
          <w:sz w:val="17"/>
          <w:szCs w:val="17"/>
          <w:b w:val="1"/>
          <w:bCs w:val="1"/>
          <w:color w:val="auto"/>
        </w:rPr>
        <w:t>Over-Allotment Shares</w:t>
      </w:r>
      <w:r>
        <w:rPr>
          <w:rFonts w:ascii="Arial" w:cs="Arial" w:eastAsia="Arial" w:hAnsi="Arial"/>
          <w:sz w:val="17"/>
          <w:szCs w:val="17"/>
          <w:color w:val="auto"/>
        </w:rPr>
        <w:t>”) for which the underwriters have been granted an over-allotment option.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this opinion letter, we have examined the Registration Statement and originals, or copies certified or otherwise identified to our satisfaction of the Company’s Amended and Restated Certificate of Incorporation and Bylaws, and such other documents, records and instruments as we have deemed appropriate for purposes of the opinion set forth herein. We have, to the extent deemed appropriate, relied upon certain representations of certain officers of the Company as to questions of fact material to this opinion.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the foregoing, we are of the opinion that the Shares and Over-Allotment Shares have been duly authorized by the Company and, when issued and sold by the Company and delivered by the Company against receipt of the purchase price therefor, in the manner contemplated by the Registration Statement, will be validly issued, fully paid and non-assessable.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opining solely on all applicable statutory provisions of Delaware corporate law, including the rules and regulations underlying those provisions, all applicable provisions of the Constitution of the State of Delaware and all applicable judicial and regulatory determinations. No opinion is expressed herein as to compliance with or the effect of federal or state securities or blue sky laws.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use of this opinion as an exhibit to the Registration Statement, to the use of our name as your U.S. counsel and to all references made to us in the Registration Statement and in the prospectus forming a part thereof. In giving this consent, we do not hereby admit that we are in the category of persons whose consent is required under Section 7 of the Act, or the rules and regulations promulgated thereunder.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ectPr>
          <w:pgSz w:w="11900" w:h="16838" w:orient="portrait"/>
          <w:cols w:equalWidth="0" w:num="1">
            <w:col w:w="11240"/>
          </w:cols>
          <w:pgMar w:left="320" w:top="12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[__],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BCTG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letter (this “</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is being delivered to you in accordance with the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entered into by and among BCTG Acquisition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SVB Leerink LLC, as representative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of the several underwriters (each, an “</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relating to an underwritten initial public offering (the “</w:t>
      </w:r>
      <w:r>
        <w:rPr>
          <w:rFonts w:ascii="Arial" w:cs="Arial" w:eastAsia="Arial" w:hAnsi="Arial"/>
          <w:sz w:val="18"/>
          <w:szCs w:val="18"/>
          <w:b w:val="1"/>
          <w:bCs w:val="1"/>
          <w:i w:val="1"/>
          <w:i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of 12,500,000 shares of the Company’s common stock (including up to 1,875,000 shares of common stock that may be purchased to cover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over-allotments, if 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The Common Stock will be sold in the Public Offering pursuant to a registration statement on Form S-1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filed by the Company with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and the Company has applied to have the shares of Common Stock listed on The Nasdaq Capital Market. Certain capitalized terms used herein are defined in paragraph 11 hereof.</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induce the Company and the Representative to enter into the Underwriting Agreement and to proceed with the Public Offering and for other good and valuable consideration, the receipt and sufficiency of which are hereby acknowledged, each of BCTG Holdings, LLC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and the undersigned individuals, each of whom is a member of the Company’s board of directors and/or management team (each, an “</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hereby agrees with the Company as follows:</w:t>
      </w:r>
    </w:p>
    <w:p>
      <w:pPr>
        <w:spacing w:after="0" w:line="187" w:lineRule="exact"/>
        <w:rPr>
          <w:sz w:val="20"/>
          <w:szCs w:val="20"/>
          <w:color w:val="auto"/>
        </w:rPr>
      </w:pPr>
    </w:p>
    <w:p>
      <w:pPr>
        <w:jc w:val="both"/>
        <w:ind w:firstLine="656"/>
        <w:spacing w:after="0" w:line="275" w:lineRule="auto"/>
        <w:tabs>
          <w:tab w:leader="none" w:pos="83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Sponsor and each Insider agrees that if the Company seeks stockholder approval of a proposed Business Combination, then in connection with such proposed Business Combination, it, he or she shall (i) vote any shares of Common Stock owned by it, him or her in favor of any proposed Business Combination and (ii) not redeem any shares of Common Stock owned by it, him or her in connection with such stockholder approval. If the Company engages in a tender offer in connection with any proposed Business Combination, the Sponsor and each Insider agrees that it, he or she will not seek to sell its, his or her shares of Common Stock to the Company in connection with such tender offer.</w:t>
      </w:r>
    </w:p>
    <w:p>
      <w:pPr>
        <w:spacing w:after="0" w:line="176" w:lineRule="exact"/>
        <w:rPr>
          <w:rFonts w:ascii="Arial" w:cs="Arial" w:eastAsia="Arial" w:hAnsi="Arial"/>
          <w:sz w:val="17"/>
          <w:szCs w:val="17"/>
          <w:color w:val="auto"/>
        </w:rPr>
      </w:pPr>
    </w:p>
    <w:p>
      <w:pPr>
        <w:jc w:val="both"/>
        <w:ind w:firstLine="656"/>
        <w:spacing w:after="0" w:line="285" w:lineRule="auto"/>
        <w:tabs>
          <w:tab w:leader="none" w:pos="83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Sponsor and each Insider agrees that in the event that the Company fails to consummate a Business Combination within 24 months from the closing of the Public Offering, or such later period approved by the Company’s stockholders in accordance with the Company’s amended and restated certificate of incorporation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the Sponsor and each Insider shall take all reasonable steps to cause the Company to (i) cease all operations except for the purpose of winding up, (ii) as promptly as reasonably possible but not more than 10 Business Days thereafter, subject to lawfully available funds therefor, redeem 100% of the Common Stock sold in the Public Offering (the “</w:t>
      </w:r>
      <w:r>
        <w:rPr>
          <w:rFonts w:ascii="Arial" w:cs="Arial" w:eastAsia="Arial" w:hAnsi="Arial"/>
          <w:sz w:val="16"/>
          <w:szCs w:val="16"/>
          <w:b w:val="1"/>
          <w:bCs w:val="1"/>
          <w:i w:val="1"/>
          <w:iCs w:val="1"/>
          <w:color w:val="auto"/>
        </w:rPr>
        <w:t>Offering Shares</w:t>
      </w:r>
      <w:r>
        <w:rPr>
          <w:rFonts w:ascii="Arial" w:cs="Arial" w:eastAsia="Arial" w:hAnsi="Arial"/>
          <w:sz w:val="16"/>
          <w:szCs w:val="16"/>
          <w:color w:val="auto"/>
        </w:rPr>
        <w:t>”), at a per-share price, payable in cash, equal to the aggregate amount then on deposit in the Trust Account (as defined below), including interest earned on the funds held in the Trust Account and not previously released to the Company to pay its taxes (as described in the Prospectus), divided by the number of then outstanding Offering Shares, which redemption will completely extinguish all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other requirements of applicable law. The Sponsor and each Insider agrees not to propose any amendment to the Charter to modify (i) the substance or timing of the ability of holders of Offering Shares to seek redemption in connection with a Business Combination or the Company’s obligation to redeem 100% of the Offering Shares if the Company does not complete a Business Combination by the date set forth in the Charter or (ii) the other provisions relating to stockholders’ rights or pre-initial Business Combination activities, unless the Company provides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taxes (as described in the Prospectus), divided by the number of then outstanding Offering Shares.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jc w:val="both"/>
        <w:ind w:firstLine="648"/>
        <w:spacing w:after="0" w:line="269" w:lineRule="auto"/>
        <w:rPr>
          <w:sz w:val="20"/>
          <w:szCs w:val="20"/>
          <w:color w:val="auto"/>
        </w:rPr>
      </w:pPr>
      <w:r>
        <w:rPr>
          <w:rFonts w:ascii="Arial" w:cs="Arial" w:eastAsia="Arial" w:hAnsi="Arial"/>
          <w:sz w:val="17"/>
          <w:szCs w:val="17"/>
          <w:color w:val="auto"/>
        </w:rPr>
        <w:t>The Sponsor and each Insider acknowledges that, with respect to any Founder Shares and Private Placement Shares held by it, him or her, it, he or she has no right, title, interest or claim of any kind in or to any monies held in the Trust Account as a result of any liquidation of the Company (although the Sponsor, each Insider, and its, his or her affiliates shall be entitled to redemption and liquidation rights with respect to any Offering Shares it holds if the Company fails to consummate a Business Combination within the time period set forth in the Charter). The Sponsor and each Insider further waives, with respect to any shares of Capital Stock held by it, him or her, if any, any redemption rights it, he or she may have in connection with the consummation of a Business Combination, including, without limitation, any such rights available in the context of a stockholder vote to approve such Business Combination or a stockholder vote to approve an amendment to the Charter to (i) modify the substance or timing of the Company’s obligation to redeem 100% of the Offering Shares if the Company has not consummated a Business Combination within the time period set forth in the Charter or in the context of a tender offer made by the Company to purchase shares of Capital Stock or (ii) with respect to any other provision relating to stockholders’ rights or pre-initial Business Combination activity.</w:t>
      </w:r>
    </w:p>
    <w:p>
      <w:pPr>
        <w:spacing w:after="0" w:line="185" w:lineRule="exact"/>
        <w:rPr>
          <w:sz w:val="20"/>
          <w:szCs w:val="20"/>
          <w:color w:val="auto"/>
        </w:rPr>
      </w:pPr>
    </w:p>
    <w:p>
      <w:pPr>
        <w:jc w:val="both"/>
        <w:ind w:firstLine="656"/>
        <w:spacing w:after="0" w:line="268" w:lineRule="auto"/>
        <w:tabs>
          <w:tab w:leader="none" w:pos="83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During the period commencing on the effective date of the Underwriting Agreement and ending 180 days after such date, the Sponsor and each Insider shall not, without the prior written consent of the Representative, (i) sell, offer to sell, contract or agree to sell, hypothecate, pledge, grant any option to purchase or otherwise dispose of or agree to dispose of, directly or indirectly, any shares of Common Stock (including Private Placement Shares) or Founder Shares owned by it, him or her, (ii) establish or increase a put equivalent position or liquidate or decrease a call equivalent position within the meaning of Section 16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the rules and regulations of the Commission promulgated thereunder, with respect to any shares of Common Stock (including Private Placement Shares) or Founder Shares owned by it, him or her, (iii) enter into any swap or other arrangement that transfers to another, in whole or in part, any of the economic consequences of ownership of any shares of Common Stock (including Private Placement Shares) or Founder Shares owned by it, him or her, whether any such transaction is to be settled by delivery of such securities, in cash or otherwise, or (iv) publicly announce any intention to effect any transaction specified in clause (i), (ii) or (iii). Each of the Insiders and the Sponsor acknowledges and agrees that, prior to the effective date of any release or waiver of the restrictions set forth in this paragraph 3 or paragraph 7 below, the Company shall announce the impending release or waiver by press release through a major news service at least two Business Days before the effective date of the release or waiver. Any release or waiver granted shall only be effective two Business Days after the publication date of such press release. The provisions of this paragraph will not apply if the release or waiver is effected solely to permit a transfer not for consideration and the transferee has agreed in writing to be bound by the same terms described in this Letter Agreement to the extent and for the duration that such terms remain in effect at the time of the transfer.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jc w:val="both"/>
        <w:ind w:firstLine="656"/>
        <w:spacing w:after="0" w:line="268" w:lineRule="auto"/>
        <w:tabs>
          <w:tab w:leader="none" w:pos="83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 the event of the liquidation of the Trust Account upon the failure of the Company to consummate its initial Business Combination within the time period set forth in the Charter, the Sponsor (the “</w:t>
      </w:r>
      <w:r>
        <w:rPr>
          <w:rFonts w:ascii="Arial" w:cs="Arial" w:eastAsia="Arial" w:hAnsi="Arial"/>
          <w:sz w:val="17"/>
          <w:szCs w:val="17"/>
          <w:b w:val="1"/>
          <w:bCs w:val="1"/>
          <w:i w:val="1"/>
          <w:iCs w:val="1"/>
          <w:color w:val="auto"/>
        </w:rPr>
        <w:t>Indemnitor</w:t>
      </w:r>
      <w:r>
        <w:rPr>
          <w:rFonts w:ascii="Arial" w:cs="Arial" w:eastAsia="Arial" w:hAnsi="Arial"/>
          <w:sz w:val="17"/>
          <w:szCs w:val="17"/>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or products sold to the Company or (ii) any prospective target business with which the Company has entered into a written letter of intent, confidentiality or other similar agreement or Business Combination agreement (a “</w:t>
      </w:r>
      <w:r>
        <w:rPr>
          <w:rFonts w:ascii="Arial" w:cs="Arial" w:eastAsia="Arial" w:hAnsi="Arial"/>
          <w:sz w:val="17"/>
          <w:szCs w:val="17"/>
          <w:b w:val="1"/>
          <w:bCs w:val="1"/>
          <w:i w:val="1"/>
          <w:iCs w:val="1"/>
          <w:color w:val="auto"/>
        </w:rPr>
        <w:t>Target</w:t>
      </w:r>
      <w:r>
        <w:rPr>
          <w:rFonts w:ascii="Arial" w:cs="Arial" w:eastAsia="Arial" w:hAnsi="Arial"/>
          <w:sz w:val="17"/>
          <w:szCs w:val="17"/>
          <w:color w:val="auto"/>
        </w:rPr>
        <w:t>”); provided, however, that such indemnification of the Company by the Indemnitor (x) shall apply only to the extent necessary to ensure that such claims by a third party or a Target do not reduce the amount of funds in the Trust Account to below the lesser of (i) $10.00 per Offering Share and (ii) the actual amount per Offering Share held in the Trust Account as of the date of the liquidation of the Trust Account, if less than $10.00 per Offering Share is then held in the Trust Account due to reductions in the value of the trust assets, less interest earned on the Trust Account which may be withdrawn to pay taxes, (y) shall not apply to any claims by a third party or a Target which executed a waiver of any and all rights to the monies held in the Trust Account (whether or not such waiver is enforceable) and (z) shall not apply to any claims under the Company’s indemnity of the Underwriters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181" w:lineRule="exact"/>
        <w:rPr>
          <w:rFonts w:ascii="Arial" w:cs="Arial" w:eastAsia="Arial" w:hAnsi="Arial"/>
          <w:sz w:val="17"/>
          <w:szCs w:val="17"/>
          <w:color w:val="auto"/>
        </w:rPr>
      </w:pPr>
    </w:p>
    <w:p>
      <w:pPr>
        <w:ind w:left="840" w:hanging="184"/>
        <w:spacing w:after="0"/>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firstLine="656"/>
        <w:spacing w:after="0" w:line="259" w:lineRule="auto"/>
        <w:tabs>
          <w:tab w:leader="none" w:pos="83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Sponsor and each Insider hereby agrees and acknowledges that: (i) the Company would be irreparably injured in the event of a breach by the Sponsor or an Insider of its, his or her obligations under paragraphs 1, 2, 3, 4, 5, 7(a), 7(b) or 9,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186" w:lineRule="exact"/>
        <w:rPr>
          <w:rFonts w:ascii="Arial" w:cs="Arial" w:eastAsia="Arial" w:hAnsi="Arial"/>
          <w:sz w:val="18"/>
          <w:szCs w:val="18"/>
          <w:color w:val="auto"/>
        </w:rPr>
      </w:pPr>
    </w:p>
    <w:p>
      <w:pPr>
        <w:jc w:val="both"/>
        <w:ind w:firstLine="656"/>
        <w:spacing w:after="0" w:line="254" w:lineRule="auto"/>
        <w:tabs>
          <w:tab w:leader="none" w:pos="82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The Sponsor and each Insider (to the extent that such Insider holds Founder Shares) agrees that it shall not Transfer any Founder Shares until the earlier of (a) one year after the date of the consummation of the Company’s initial Business Combination and (b) the date on which the closing price of the Common Stock equals or exceeds $12.00 per share (as adjusted for stock splits, stock dividends, reorganizations and recapitalizations) for any 20 trading days within any 30-trading day period commencing after the Company’s initial Business Combination or earlier if, subsequent to the Company’s initial Business Combination, the Company consummates a subsequent liquidation, merger, stock exchange or other similar transaction which results in all of the Company’s stockholders having the right to exchange their shares of Common Stock for cash, securities or other property (the “</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w:t>
      </w:r>
    </w:p>
    <w:p>
      <w:pPr>
        <w:spacing w:after="0" w:line="195" w:lineRule="exact"/>
        <w:rPr>
          <w:sz w:val="20"/>
          <w:szCs w:val="20"/>
          <w:color w:val="auto"/>
        </w:rPr>
      </w:pPr>
    </w:p>
    <w:p>
      <w:pPr>
        <w:ind w:firstLine="656"/>
        <w:spacing w:after="0" w:line="277" w:lineRule="auto"/>
        <w:tabs>
          <w:tab w:leader="none" w:pos="92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Sponsor agrees that it shall not transfer any Private Placement Shares until 30 days after the completion of a Business Combination (the “</w:t>
      </w:r>
      <w:r>
        <w:rPr>
          <w:rFonts w:ascii="Arial" w:cs="Arial" w:eastAsia="Arial" w:hAnsi="Arial"/>
          <w:sz w:val="18"/>
          <w:szCs w:val="18"/>
          <w:b w:val="1"/>
          <w:bCs w:val="1"/>
          <w:i w:val="1"/>
          <w:iCs w:val="1"/>
          <w:color w:val="auto"/>
        </w:rPr>
        <w:t>Private Placement Shares Lock-up Period</w:t>
      </w:r>
      <w:r>
        <w:rPr>
          <w:rFonts w:ascii="Arial" w:cs="Arial" w:eastAsia="Arial" w:hAnsi="Arial"/>
          <w:sz w:val="18"/>
          <w:szCs w:val="18"/>
          <w:color w:val="auto"/>
        </w:rPr>
        <w:t>”, together with the Founder Shares Lock-up Period, the “</w:t>
      </w:r>
      <w:r>
        <w:rPr>
          <w:rFonts w:ascii="Arial" w:cs="Arial" w:eastAsia="Arial" w:hAnsi="Arial"/>
          <w:sz w:val="18"/>
          <w:szCs w:val="18"/>
          <w:b w:val="1"/>
          <w:bCs w:val="1"/>
          <w:i w:val="1"/>
          <w:iCs w:val="1"/>
          <w:color w:val="auto"/>
        </w:rPr>
        <w:t>Lock-up Periods</w:t>
      </w:r>
      <w:r>
        <w:rPr>
          <w:rFonts w:ascii="Arial" w:cs="Arial" w:eastAsia="Arial" w:hAnsi="Arial"/>
          <w:sz w:val="18"/>
          <w:szCs w:val="18"/>
          <w:color w:val="auto"/>
        </w:rPr>
        <w: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jc w:val="both"/>
        <w:ind w:firstLine="656"/>
        <w:spacing w:after="0" w:line="268" w:lineRule="auto"/>
        <w:tabs>
          <w:tab w:leader="none" w:pos="96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Notwithstanding the provisions set forth in paragraph 7(i) and (ii), Transfers of the Founder Shares and Private Placement Shares that are held by the Sponsor, any Insider or any of their permitted transferees (that have complied with this paragraph 7(iii)), are permitted (a) to any persons (including their affiliates and stockholders) participating in the private placement of the Founder Shares, officers, directors, stockholders employees and members of the Sponsor and its affiliates; (b) amongst the Sponsor and Insiders or to the Company’s officers, directors and employees; (c) if the Sponsor or Insider is an entity, as a distribution to its partners, stockholders or members upon its liquidation, (d) by bona fide gift to a member of the Insider’s immediate family or to a trust, the beneficiary of which is the Insider or a member of the Insider’s immediate family for estate planning purposes, (e) by virtue of the laws of descent and distribution upon death of the Insider, (f) pursuant to a qualified domestic relations order, (g) by certain pledges to secure obligations incurred in connection with purchases of the Company’s securities, (h) by private sales at prices no greater than the price at which the Founder Shares were originally purchased or (i) for the cancellation of up to 468,750 shares of Common Stock subject to forfeiture by the Sponsor to the extent that the Underwriters’ over-allotment is not exercised in full or in part or in connection with the consummation of the Company’s initial Business Combination, in each case (except for clause (i) or with the Company’s prior consent) on the condition that such transfers may be implemented only upon the respective transferee’s written agreement to be bound by the terms and conditions of this Agreement and of the Stock Escrow Agreement entered into as of the date hereof and signed by the holder transferring such Founder Shares.</w:t>
      </w:r>
    </w:p>
    <w:p>
      <w:pPr>
        <w:spacing w:after="0" w:line="186" w:lineRule="exact"/>
        <w:rPr>
          <w:sz w:val="20"/>
          <w:szCs w:val="20"/>
          <w:color w:val="auto"/>
        </w:rPr>
      </w:pPr>
    </w:p>
    <w:p>
      <w:pPr>
        <w:jc w:val="both"/>
        <w:ind w:firstLine="656"/>
        <w:spacing w:after="0" w:line="290" w:lineRule="auto"/>
        <w:tabs>
          <w:tab w:leader="none" w:pos="82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Sponsor and each Insider represents and warrants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respects and does not omit any material information with respect to the Insider’s background. Each Insider’s questionnaire furnished to the Company is true and accurate in all respects.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 (iii) pertaining to any dealings in any securities and it, he or she is not currently a defendant in any such criminal proceeding.</w:t>
      </w:r>
    </w:p>
    <w:p>
      <w:pPr>
        <w:spacing w:after="0" w:line="165" w:lineRule="exact"/>
        <w:rPr>
          <w:rFonts w:ascii="Arial" w:cs="Arial" w:eastAsia="Arial" w:hAnsi="Arial"/>
          <w:sz w:val="16"/>
          <w:szCs w:val="16"/>
          <w:color w:val="auto"/>
        </w:rPr>
      </w:pPr>
    </w:p>
    <w:p>
      <w:pPr>
        <w:jc w:val="both"/>
        <w:ind w:firstLine="656"/>
        <w:spacing w:after="0" w:line="259" w:lineRule="auto"/>
        <w:tabs>
          <w:tab w:leader="none" w:pos="82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Except as disclosed in the Prospectus, none of the Sponsor, our officers and directors, or any affiliate of the Sponsor or our officers shall receive from the Company any finder’s fee, reimbursement, consulting fee, monies in respect of any repayment of a loan or other compensation prior to, or in connection with any services rendered in order to effectuate, the consummation of the Company’s initial Business Combination (regardless of the type of transaction that it is).</w:t>
      </w:r>
    </w:p>
    <w:p>
      <w:pPr>
        <w:spacing w:after="0" w:line="186" w:lineRule="exact"/>
        <w:rPr>
          <w:rFonts w:ascii="Arial" w:cs="Arial" w:eastAsia="Arial" w:hAnsi="Arial"/>
          <w:sz w:val="18"/>
          <w:szCs w:val="18"/>
          <w:color w:val="auto"/>
        </w:rPr>
      </w:pPr>
    </w:p>
    <w:p>
      <w:pPr>
        <w:jc w:val="both"/>
        <w:ind w:firstLine="656"/>
        <w:spacing w:after="0" w:line="286" w:lineRule="auto"/>
        <w:tabs>
          <w:tab w:leader="none" w:pos="91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or director of the Company and hereby consents to being named in the Prospectus as an officer or director of the Company.</w:t>
      </w:r>
    </w:p>
    <w:p>
      <w:pPr>
        <w:spacing w:after="0" w:line="165" w:lineRule="exact"/>
        <w:rPr>
          <w:rFonts w:ascii="Arial" w:cs="Arial" w:eastAsia="Arial" w:hAnsi="Arial"/>
          <w:sz w:val="17"/>
          <w:szCs w:val="17"/>
          <w:color w:val="auto"/>
        </w:rPr>
      </w:pPr>
    </w:p>
    <w:p>
      <w:pPr>
        <w:jc w:val="both"/>
        <w:ind w:firstLine="656"/>
        <w:spacing w:after="0" w:line="267" w:lineRule="auto"/>
        <w:tabs>
          <w:tab w:leader="none" w:pos="91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As used herein, (i)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xml:space="preserve">” shall mean a merger, capital stock exchange, asset acquisition, stock purchase, reorganization or similar business combination, involving the Company and one or more businesses; (ii)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each day that is not a Saturday, Sunday or other day on which banking institutions in The City of New York, New York, are authorized or required by law to close; (iii) “</w:t>
      </w:r>
      <w:r>
        <w:rPr>
          <w:rFonts w:ascii="Arial" w:cs="Arial" w:eastAsia="Arial" w:hAnsi="Arial"/>
          <w:sz w:val="17"/>
          <w:szCs w:val="17"/>
          <w:b w:val="1"/>
          <w:bCs w:val="1"/>
          <w:i w:val="1"/>
          <w:iCs w:val="1"/>
          <w:color w:val="auto"/>
        </w:rPr>
        <w:t>Capital Stock</w:t>
      </w:r>
      <w:r>
        <w:rPr>
          <w:rFonts w:ascii="Arial" w:cs="Arial" w:eastAsia="Arial" w:hAnsi="Arial"/>
          <w:sz w:val="17"/>
          <w:szCs w:val="17"/>
          <w:color w:val="auto"/>
        </w:rPr>
        <w:t>” shall mean, collectively, the Common Stock (including the Private Placement Shares) and the Founder Shares; (iv) “</w:t>
      </w:r>
      <w:r>
        <w:rPr>
          <w:rFonts w:ascii="Arial" w:cs="Arial" w:eastAsia="Arial" w:hAnsi="Arial"/>
          <w:sz w:val="17"/>
          <w:szCs w:val="17"/>
          <w:b w:val="1"/>
          <w:bCs w:val="1"/>
          <w:i w:val="1"/>
          <w:iCs w:val="1"/>
          <w:color w:val="auto"/>
        </w:rPr>
        <w:t>Founder Shares</w:t>
      </w:r>
      <w:r>
        <w:rPr>
          <w:rFonts w:ascii="Arial" w:cs="Arial" w:eastAsia="Arial" w:hAnsi="Arial"/>
          <w:sz w:val="17"/>
          <w:szCs w:val="17"/>
          <w:color w:val="auto"/>
        </w:rPr>
        <w:t>” shall mean the 3,593,750 shares of the Company’s Common Stock, par value $0.0001 per share, (up to 468,750 shares of which are subject to complete or partial forfeiture by the Sponsor if the over-allotment option is not exercised by the Underwriters) outstanding immediately prior to the consummation of the Public Offering; (v) “</w:t>
      </w:r>
      <w:r>
        <w:rPr>
          <w:rFonts w:ascii="Arial" w:cs="Arial" w:eastAsia="Arial" w:hAnsi="Arial"/>
          <w:sz w:val="17"/>
          <w:szCs w:val="17"/>
          <w:b w:val="1"/>
          <w:bCs w:val="1"/>
          <w:i w:val="1"/>
          <w:i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Stockholders</w:t>
      </w:r>
      <w:r>
        <w:rPr>
          <w:rFonts w:ascii="Arial" w:cs="Arial" w:eastAsia="Arial" w:hAnsi="Arial"/>
          <w:sz w:val="17"/>
          <w:szCs w:val="17"/>
          <w:color w:val="auto"/>
        </w:rPr>
        <w:t>” shall mean the Sponsor and any Insider that holds Founder Shares prior to the consummation of the Public Offering; (vi) “</w:t>
      </w:r>
      <w:r>
        <w:rPr>
          <w:rFonts w:ascii="Arial" w:cs="Arial" w:eastAsia="Arial" w:hAnsi="Arial"/>
          <w:sz w:val="17"/>
          <w:szCs w:val="17"/>
          <w:b w:val="1"/>
          <w:bCs w:val="1"/>
          <w:i w:val="1"/>
          <w:iCs w:val="1"/>
          <w:color w:val="auto"/>
        </w:rPr>
        <w:t>Private Placement Shares</w:t>
      </w:r>
      <w:r>
        <w:rPr>
          <w:rFonts w:ascii="Arial" w:cs="Arial" w:eastAsia="Arial" w:hAnsi="Arial"/>
          <w:sz w:val="17"/>
          <w:szCs w:val="17"/>
          <w:color w:val="auto"/>
        </w:rPr>
        <w:t>” shall mean 450,000 shares of Common Stock (or 487,500 shares of Common Stock if the Underwriters’ over-allotment option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exercised in full) that the Sponsor has agreed to purchase for an aggregate purchase price of $4,500,000 in the aggregate (or $4,875,500 in the aggregate if the Underwriters’ over-allotment option is exercised in full), in a private placement that shall occur simultaneously with the consummation of the Public Offering; (vii) “</w:t>
      </w:r>
      <w:r>
        <w:rPr>
          <w:rFonts w:ascii="Arial" w:cs="Arial" w:eastAsia="Arial" w:hAnsi="Arial"/>
          <w:sz w:val="17"/>
          <w:szCs w:val="17"/>
          <w:b w:val="1"/>
          <w:bCs w:val="1"/>
          <w:i w:val="1"/>
          <w:iCs w:val="1"/>
          <w:color w:val="auto"/>
        </w:rPr>
        <w:t>Public Stockholders</w:t>
      </w:r>
      <w:r>
        <w:rPr>
          <w:rFonts w:ascii="Arial" w:cs="Arial" w:eastAsia="Arial" w:hAnsi="Arial"/>
          <w:sz w:val="17"/>
          <w:szCs w:val="17"/>
          <w:color w:val="auto"/>
        </w:rPr>
        <w:t>” shall mean the holders of the Offering Shares; (viii)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shall mean the trust fund into which a portion of the net proceeds of the Public Offering and the sale of Private Placement Shares shall be deposited; and (ix)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jc w:val="both"/>
        <w:ind w:left="-20" w:firstLine="656"/>
        <w:spacing w:after="0" w:line="263" w:lineRule="auto"/>
        <w:tabs>
          <w:tab w:leader="none" w:pos="91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will maintain an insurance policy or policies providing directors’ and officers’ liability insurance, and each Director shall be covered by such policy or policies, in accordance with its or their terms, to the maximum extent of the coverage available for any of the Company’s directors or officers.</w:t>
      </w:r>
    </w:p>
    <w:p>
      <w:pPr>
        <w:spacing w:after="0" w:line="183" w:lineRule="exact"/>
        <w:rPr>
          <w:rFonts w:ascii="Arial" w:cs="Arial" w:eastAsia="Arial" w:hAnsi="Arial"/>
          <w:sz w:val="18"/>
          <w:szCs w:val="18"/>
          <w:color w:val="auto"/>
        </w:rPr>
      </w:pPr>
    </w:p>
    <w:p>
      <w:pPr>
        <w:jc w:val="both"/>
        <w:ind w:left="-20" w:firstLine="656"/>
        <w:spacing w:after="0" w:line="279" w:lineRule="auto"/>
        <w:tabs>
          <w:tab w:leader="none" w:pos="91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71" w:lineRule="exact"/>
        <w:rPr>
          <w:rFonts w:ascii="Arial" w:cs="Arial" w:eastAsia="Arial" w:hAnsi="Arial"/>
          <w:sz w:val="17"/>
          <w:szCs w:val="17"/>
          <w:color w:val="auto"/>
        </w:rPr>
      </w:pPr>
    </w:p>
    <w:p>
      <w:pPr>
        <w:jc w:val="both"/>
        <w:ind w:left="-20" w:firstLine="656"/>
        <w:spacing w:after="0" w:line="259" w:lineRule="auto"/>
        <w:tabs>
          <w:tab w:leader="none" w:pos="92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186" w:lineRule="exact"/>
        <w:rPr>
          <w:rFonts w:ascii="Arial" w:cs="Arial" w:eastAsia="Arial" w:hAnsi="Arial"/>
          <w:sz w:val="18"/>
          <w:szCs w:val="18"/>
          <w:color w:val="auto"/>
        </w:rPr>
      </w:pPr>
    </w:p>
    <w:p>
      <w:pPr>
        <w:jc w:val="both"/>
        <w:ind w:left="-20" w:firstLine="656"/>
        <w:spacing w:after="0" w:line="259" w:lineRule="auto"/>
        <w:tabs>
          <w:tab w:leader="none" w:pos="91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Nothing in this Letter Agreement shall be construed to confer upon, or give to, any person or corporation other than the parties hereto any right, remedy or claim under or by reason of this Letter Agreement or of any covenant, condition, stipulation, promise or agreement hereof.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186" w:lineRule="exact"/>
        <w:rPr>
          <w:rFonts w:ascii="Arial" w:cs="Arial" w:eastAsia="Arial" w:hAnsi="Arial"/>
          <w:sz w:val="18"/>
          <w:szCs w:val="18"/>
          <w:color w:val="auto"/>
        </w:rPr>
      </w:pPr>
    </w:p>
    <w:p>
      <w:pPr>
        <w:ind w:left="-20" w:firstLine="656"/>
        <w:spacing w:after="0" w:line="277" w:lineRule="auto"/>
        <w:tabs>
          <w:tab w:leader="none" w:pos="9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70" w:lineRule="exact"/>
        <w:rPr>
          <w:rFonts w:ascii="Arial" w:cs="Arial" w:eastAsia="Arial" w:hAnsi="Arial"/>
          <w:sz w:val="18"/>
          <w:szCs w:val="18"/>
          <w:color w:val="auto"/>
        </w:rPr>
      </w:pPr>
    </w:p>
    <w:p>
      <w:pPr>
        <w:jc w:val="both"/>
        <w:ind w:left="-20" w:firstLine="656"/>
        <w:spacing w:after="0" w:line="259" w:lineRule="auto"/>
        <w:tabs>
          <w:tab w:leader="none" w:pos="9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74" w:name="page175"/>
    <w:bookmarkEnd w:id="174"/>
    <w:p>
      <w:pPr>
        <w:jc w:val="both"/>
        <w:ind w:firstLine="656"/>
        <w:spacing w:after="0" w:line="275" w:lineRule="auto"/>
        <w:tabs>
          <w:tab w:leader="none" w:pos="92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176" w:lineRule="exact"/>
        <w:rPr>
          <w:rFonts w:ascii="Arial" w:cs="Arial" w:eastAsia="Arial" w:hAnsi="Arial"/>
          <w:sz w:val="17"/>
          <w:szCs w:val="17"/>
          <w:color w:val="auto"/>
        </w:rPr>
      </w:pPr>
    </w:p>
    <w:p>
      <w:pPr>
        <w:ind w:firstLine="656"/>
        <w:spacing w:after="0" w:line="342" w:lineRule="auto"/>
        <w:tabs>
          <w:tab w:leader="none" w:pos="92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23" w:lineRule="exact"/>
        <w:rPr>
          <w:rFonts w:ascii="Arial" w:cs="Arial" w:eastAsia="Arial" w:hAnsi="Arial"/>
          <w:sz w:val="16"/>
          <w:szCs w:val="16"/>
          <w:color w:val="auto"/>
        </w:rPr>
      </w:pPr>
    </w:p>
    <w:p>
      <w:pPr>
        <w:jc w:val="both"/>
        <w:ind w:firstLine="656"/>
        <w:spacing w:after="0" w:line="263" w:lineRule="auto"/>
        <w:tabs>
          <w:tab w:leader="none" w:pos="94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This Letter Agreement shall terminate on the earlier of (i) the expiration of the Lock-up Periods or (ii) the liquidation of the Company; provided, however, that this Letter Agreement shall earlier terminate in the event that the Public Offering is not consummated by December 31, 2020; provided further that paragraph 4 of this Letter Agreement shall survive such liquidation.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ind w:left="564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BCTG HOLDINGS,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Aaron I. Davis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jc w:val="right"/>
        <w:ind w:right="319"/>
        <w:spacing w:after="0"/>
        <w:rPr>
          <w:sz w:val="20"/>
          <w:szCs w:val="20"/>
          <w:color w:val="auto"/>
        </w:rPr>
      </w:pPr>
      <w:r>
        <w:rPr>
          <w:rFonts w:ascii="Arial" w:cs="Arial" w:eastAsia="Arial" w:hAnsi="Arial"/>
          <w:sz w:val="18"/>
          <w:szCs w:val="18"/>
          <w:color w:val="auto"/>
        </w:rPr>
        <w:t>Christopher Fuglesang, Ph.D., J.D.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Michael Beauchamp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Andrew Ellis, M.D., J.D.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Carole L. Nuechterlein, J.D.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Richard Heyman, Ph.D.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Charles M. Baum, M.D., Ph.D.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Jamie G. Christensen, Ph.D.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BCTG ACQUISITION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Aaron I. Davis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is made as of September __, 2020 by and between BCTG Acquisition Corp. (the “Company”) and Continental Stock Transfer &amp; Trust Company (“Trustee”).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Company’s registration statement on Form S-1, No. 333-240237 (“Registration Statement”) for its initial public offering of securities (“IPO”) has been declared effective as of the date hereof (“Effective Date”) by the Securities and Exchange Commission (capitalized terms used herein and not otherwise defined shall have the meanings set forth in the Registration Statement);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SVB Leerink LLC (“SVB Leerink”) is acting as the underwriter in the IPO; and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as described in the Registration Statement, and in accordance with the Company’s Amended and Restated Certificate of Incorporation, $125,000,000 of the gross proceeds of the IPO ($143,750,000 if the over-allotment option is exercised in full) will be delivered to the Trustee to be deposited and held in a trust account for the benefit of the Company and the holders of the Company’s common stock, par value $.0001 per share (“Common Stock”), issued in the IPO as hereinafter provided (the proceeds to be delivered to the Trustee will be referred to herein as the “Property”; the shareholders for whose benefit the Trustee shall hold the Property will be referred to as the “Public Shareholders,” and the Public Shareholders and the Company will be referred to together as the “Beneficiaries”); and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IT IS AGREED:</w:t>
      </w:r>
    </w:p>
    <w:p>
      <w:pPr>
        <w:spacing w:after="0" w:line="225" w:lineRule="exact"/>
        <w:rPr>
          <w:sz w:val="20"/>
          <w:szCs w:val="20"/>
          <w:color w:val="auto"/>
        </w:rPr>
      </w:pPr>
    </w:p>
    <w:p>
      <w:pPr>
        <w:ind w:left="840" w:hanging="184"/>
        <w:spacing w:after="0"/>
        <w:tabs>
          <w:tab w:leader="none" w:pos="84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1304"/>
        <w:spacing w:after="0" w:line="311" w:lineRule="auto"/>
        <w:tabs>
          <w:tab w:leader="none" w:pos="1551" w:val="left"/>
        </w:tabs>
        <w:numPr>
          <w:ilvl w:val="1"/>
          <w:numId w:val="131"/>
        </w:numPr>
        <w:rPr>
          <w:rFonts w:ascii="Arial" w:cs="Arial" w:eastAsia="Arial" w:hAnsi="Arial"/>
          <w:sz w:val="16"/>
          <w:szCs w:val="16"/>
          <w:color w:val="auto"/>
        </w:rPr>
      </w:pPr>
      <w:r>
        <w:rPr>
          <w:rFonts w:ascii="Arial" w:cs="Arial" w:eastAsia="Arial" w:hAnsi="Arial"/>
          <w:sz w:val="16"/>
          <w:szCs w:val="16"/>
          <w:color w:val="auto"/>
        </w:rPr>
        <w:t>Hold the Property in trust for the Beneficiaries in accordance with the terms of this Agreement in a segregated trust account (“Trust Account”) established by the Trustee at JPMorgan Chase Bank, N.A. in the United States (or at another U.S. chartered commercial bank with consolidated assets of $100 billion or more), maintained by Trustee, and at a brokerage institution selected by the Trustee that is reasonably satisfactory to the Company;</w:t>
      </w:r>
    </w:p>
    <w:p>
      <w:pPr>
        <w:spacing w:after="0" w:line="148" w:lineRule="exact"/>
        <w:rPr>
          <w:rFonts w:ascii="Arial" w:cs="Arial" w:eastAsia="Arial" w:hAnsi="Arial"/>
          <w:sz w:val="16"/>
          <w:szCs w:val="16"/>
          <w:color w:val="auto"/>
        </w:rPr>
      </w:pPr>
    </w:p>
    <w:p>
      <w:pPr>
        <w:ind w:left="1560" w:hanging="256"/>
        <w:spacing w:after="0"/>
        <w:tabs>
          <w:tab w:leader="none" w:pos="15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5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 a timely manner, upon the instruction of the Company, invest and reinvest the Property (i) in United States government treasury bills, notes or bonds having a maturity of 185 days or less and/or (ii) in money market funds meeting certain conditions under Rule 2a-7 promulgated under the Investment Company Act of 1940, as amended, and that invest solely in U.S. treasuries, as determined by the Company, it being understood that the Trust Account will earn no interest while the account funds are uninvested awaiting the Company’s instructions hereunder and the Trustee may earn bank credits and other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ind w:left="1560" w:hanging="256"/>
        <w:spacing w:after="0"/>
        <w:tabs>
          <w:tab w:leader="none" w:pos="156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Collect and receive, when due, all principal and income arising from the Property, which shall become part of the “Property,” as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 is used herein;</w:t>
      </w:r>
    </w:p>
    <w:p>
      <w:pPr>
        <w:spacing w:after="0" w:line="210" w:lineRule="exact"/>
        <w:rPr>
          <w:rFonts w:ascii="Arial" w:cs="Arial" w:eastAsia="Arial" w:hAnsi="Arial"/>
          <w:sz w:val="16"/>
          <w:szCs w:val="16"/>
          <w:color w:val="auto"/>
        </w:rPr>
      </w:pPr>
    </w:p>
    <w:p>
      <w:pPr>
        <w:ind w:left="1580" w:hanging="276"/>
        <w:spacing w:after="0"/>
        <w:tabs>
          <w:tab w:leader="none" w:pos="158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Notify the Company and SVB Leerink of all communications received by it with respect to any Property requiring action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1540" w:hanging="236"/>
        <w:spacing w:after="0"/>
        <w:tabs>
          <w:tab w:leader="none" w:pos="15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Supply any necessary information or documents as may be requested by the Company in connection with the Company’s preparation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its tax returns;</w:t>
      </w:r>
    </w:p>
    <w:p>
      <w:pPr>
        <w:spacing w:after="0" w:line="210" w:lineRule="exact"/>
        <w:rPr>
          <w:rFonts w:ascii="Arial" w:cs="Arial" w:eastAsia="Arial" w:hAnsi="Arial"/>
          <w:sz w:val="16"/>
          <w:szCs w:val="16"/>
          <w:color w:val="auto"/>
        </w:rPr>
      </w:pPr>
    </w:p>
    <w:p>
      <w:pPr>
        <w:ind w:firstLine="1304"/>
        <w:spacing w:after="0" w:line="277" w:lineRule="auto"/>
        <w:tabs>
          <w:tab w:leader="none" w:pos="157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firstLine="1304"/>
        <w:spacing w:after="0" w:line="277" w:lineRule="auto"/>
        <w:tabs>
          <w:tab w:leader="none" w:pos="156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 and</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183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Commence liquidation of the Trust Account only after and promptly after receipt of, and only in accordance with, the terms of a letter (“Termination Letter”), in a form substantially similar to that attached hereto as either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signed on behalf of the Company by its President, Chief Executive Officer or Chairman of the Board and Secretary or Assistant Secretary,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24-month anniversary of the closing of the IPO (“Last Date”), the Trust Account shall be liquidated in accordance with the procedures set forth in the Termination Letter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distributed to the Public Shareholders as of the Last Date.</w:t>
      </w:r>
    </w:p>
    <w:p>
      <w:pPr>
        <w:spacing w:after="0" w:line="194" w:lineRule="exact"/>
        <w:rPr>
          <w:rFonts w:ascii="Arial" w:cs="Arial" w:eastAsia="Arial" w:hAnsi="Arial"/>
          <w:sz w:val="18"/>
          <w:szCs w:val="18"/>
          <w:color w:val="auto"/>
        </w:rPr>
      </w:pPr>
    </w:p>
    <w:p>
      <w:pPr>
        <w:ind w:left="840" w:hanging="184"/>
        <w:spacing w:after="0"/>
        <w:tabs>
          <w:tab w:leader="none" w:pos="8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Limited Distributions of Income from Trust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4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Upon written request from the Company, which may be given from time to time in a form substantially similar to that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the Trustee shall distribute to the Company the amount of interest income earned on the Trust Account requested by the Company to cover any income or other tax obligation owed by the Company as a result of such interest income.</w:t>
      </w:r>
    </w:p>
    <w:p>
      <w:pPr>
        <w:spacing w:after="0" w:line="183" w:lineRule="exact"/>
        <w:rPr>
          <w:rFonts w:ascii="Arial" w:cs="Arial" w:eastAsia="Arial" w:hAnsi="Arial"/>
          <w:sz w:val="18"/>
          <w:szCs w:val="18"/>
          <w:color w:val="auto"/>
        </w:rPr>
      </w:pPr>
    </w:p>
    <w:p>
      <w:pPr>
        <w:ind w:firstLine="1304"/>
        <w:spacing w:after="0" w:line="308" w:lineRule="auto"/>
        <w:tabs>
          <w:tab w:leader="none" w:pos="1576"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limited distributions referred to in Section 2(a) above shall be made only from income collected on the Property. Except as provided in Section 2(a) above, no other distributions from the Trust Account shall be permitted except in accordance with Section 1(i) hereof.</w:t>
      </w:r>
    </w:p>
    <w:p>
      <w:pPr>
        <w:spacing w:after="0" w:line="146" w:lineRule="exact"/>
        <w:rPr>
          <w:rFonts w:ascii="Arial" w:cs="Arial" w:eastAsia="Arial" w:hAnsi="Arial"/>
          <w:sz w:val="17"/>
          <w:szCs w:val="17"/>
          <w:color w:val="auto"/>
        </w:rPr>
      </w:pPr>
    </w:p>
    <w:p>
      <w:pPr>
        <w:ind w:firstLine="1304"/>
        <w:spacing w:after="0" w:line="277" w:lineRule="auto"/>
        <w:tabs>
          <w:tab w:leader="none" w:pos="154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Company shall provide SVB Leerink with a copy of any Termination Letters and/or any other correspondence that it issues to the Trustee with respect to any proposed withdrawal from the Trust Account promptly after such issuance.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ind w:left="840" w:hanging="184"/>
        <w:spacing w:after="0"/>
        <w:tabs>
          <w:tab w:leader="none" w:pos="8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firstLine="1304"/>
        <w:spacing w:after="0" w:line="279" w:lineRule="auto"/>
        <w:tabs>
          <w:tab w:leader="none" w:pos="1551" w:val="left"/>
        </w:tabs>
        <w:numPr>
          <w:ilvl w:val="1"/>
          <w:numId w:val="134"/>
        </w:numPr>
        <w:rPr>
          <w:rFonts w:ascii="Arial" w:cs="Arial" w:eastAsia="Arial" w:hAnsi="Arial"/>
          <w:sz w:val="17"/>
          <w:szCs w:val="17"/>
          <w:color w:val="auto"/>
        </w:rPr>
      </w:pPr>
      <w:r>
        <w:rPr>
          <w:rFonts w:ascii="Arial" w:cs="Arial" w:eastAsia="Arial" w:hAnsi="Arial"/>
          <w:sz w:val="17"/>
          <w:szCs w:val="17"/>
          <w:color w:val="auto"/>
        </w:rPr>
        <w:t>Give all instructions to the Trustee hereunder in writing, signed by the Company’s Chairman of the Board, Chief Executive Officer, President or Chief Financial Officer. In addition, except with respect to its duties under paragraphs 1(i) and 2(a) above, the Trustee shall be entitled to rely on, and shall be protected in relying on, any verbal or telephonic advice or instruction which it in good faith believes to be given by any one of the persons authorized above to give written instructions, provided that the Company shall promptly confirm such instructions in writing;</w:t>
      </w:r>
    </w:p>
    <w:p>
      <w:pPr>
        <w:spacing w:after="0" w:line="171" w:lineRule="exact"/>
        <w:rPr>
          <w:rFonts w:ascii="Arial" w:cs="Arial" w:eastAsia="Arial" w:hAnsi="Arial"/>
          <w:sz w:val="17"/>
          <w:szCs w:val="17"/>
          <w:color w:val="auto"/>
        </w:rPr>
      </w:pPr>
    </w:p>
    <w:p>
      <w:pPr>
        <w:jc w:val="both"/>
        <w:ind w:firstLine="1304"/>
        <w:spacing w:after="0" w:line="288" w:lineRule="auto"/>
        <w:tabs>
          <w:tab w:leader="none" w:pos="1566" w:val="left"/>
        </w:tabs>
        <w:numPr>
          <w:ilvl w:val="1"/>
          <w:numId w:val="134"/>
        </w:numPr>
        <w:rPr>
          <w:rFonts w:ascii="Arial" w:cs="Arial" w:eastAsia="Arial" w:hAnsi="Arial"/>
          <w:sz w:val="16"/>
          <w:szCs w:val="16"/>
          <w:color w:val="auto"/>
        </w:rPr>
      </w:pPr>
      <w:r>
        <w:rPr>
          <w:rFonts w:ascii="Arial" w:cs="Arial" w:eastAsia="Arial" w:hAnsi="Arial"/>
          <w:sz w:val="16"/>
          <w:szCs w:val="16"/>
          <w:color w:val="auto"/>
        </w:rPr>
        <w:t>Subject to the provisions of Sections 5 and 7(g) of this Agreement, hold the Trustee harmless and indemnify the Trustee from and against, any and all expenses, including reasonable counsel fees and disbursements, or loss suffered by the Trustee in connection with any claim, potential claim, action, suit or other proceeding brought against the Trustee involving any claim, or in connection with any claim or demand which in any way arises out of or relates to this Agreement, the services of the Trustee hereunder, or the Property or any income earned from investment of the Property, except for expenses and losses resulting from the Trustee’s gross negligence or willful misconduct. Promptly after the receipt by the Trustee of notice of demand or claim or the commencement of any action, suit or proceeding, pursuant to which the Trustee intends to seek indemnification under this paragraph, it shall notify the Company in writing of such claim (hereinafter referred to as the “Indemnified Claim”).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168" w:lineRule="exact"/>
        <w:rPr>
          <w:rFonts w:ascii="Arial" w:cs="Arial" w:eastAsia="Arial" w:hAnsi="Arial"/>
          <w:sz w:val="16"/>
          <w:szCs w:val="16"/>
          <w:color w:val="auto"/>
        </w:rPr>
      </w:pPr>
    </w:p>
    <w:p>
      <w:pPr>
        <w:jc w:val="both"/>
        <w:ind w:firstLine="1304"/>
        <w:spacing w:after="0" w:line="255" w:lineRule="auto"/>
        <w:tabs>
          <w:tab w:leader="none" w:pos="15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Pay the Trustee an initial acceptance fee, an annual fee and a transaction processing fee for each disbursement made pursuant to Section 2(a) as set forth on Schedule A hereto, which fees shall be subject to modification by the parties from time to time. It is expressly understood that the Property shall not be used to pay such fees except for disbursements made to the Company pursuant to Sections 1(i) solely in connection with the consummation of a Business Combination. The Company shall pay the Trustee the initial acceptance fee and first year’s fee at the consummation of the IPO and thereafter on the anniversary of the Effective Date. Except as set forth in this Section 3(c) and Section 3(b) hereof, the Company shall not be responsible for any other fees or charges of the Trustee.</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55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connection with any vote of the Company’s shareholders regarding a Business Combination, provide to the Trustee an affidavit or certificate of a firm regularly engaged in the business of soliciting proxies and/or tabulating shareholder votes verifying the vote of the Company’s shareholders regarding such Business Combination; and</w:t>
      </w:r>
    </w:p>
    <w:p>
      <w:pPr>
        <w:spacing w:after="0" w:line="183" w:lineRule="exact"/>
        <w:rPr>
          <w:rFonts w:ascii="Arial" w:cs="Arial" w:eastAsia="Arial" w:hAnsi="Arial"/>
          <w:sz w:val="18"/>
          <w:szCs w:val="18"/>
          <w:color w:val="auto"/>
        </w:rPr>
      </w:pPr>
    </w:p>
    <w:p>
      <w:pPr>
        <w:ind w:firstLine="1304"/>
        <w:spacing w:after="0" w:line="277" w:lineRule="auto"/>
        <w:tabs>
          <w:tab w:leader="none" w:pos="157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the event that the Company directs the Trustee to commence liquidation of the Trust Account pursuant to Section 1(i), the Company agrees that it will not direct the Trustee to make any payments that are not specifically authorized by this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ind w:left="840" w:hanging="184"/>
        <w:spacing w:after="0"/>
        <w:tabs>
          <w:tab w:leader="none" w:pos="8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firstLine="1304"/>
        <w:spacing w:after="0" w:line="277" w:lineRule="auto"/>
        <w:tabs>
          <w:tab w:leader="none" w:pos="154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Take any action with respect to the Property, other than as directed in paragraphs 1 and 2 hereof and the Trustee shall have no liability to any party except for liability arising out of its own gross negligence or willful misconduct;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59"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Change the investment of any Property, other than in compliance with paragraph 1(c);</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firstLine="1304"/>
        <w:spacing w:after="0" w:line="308" w:lineRule="auto"/>
        <w:tabs>
          <w:tab w:leader="none" w:pos="156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46" w:lineRule="exact"/>
        <w:rPr>
          <w:rFonts w:ascii="Arial" w:cs="Arial" w:eastAsia="Arial" w:hAnsi="Arial"/>
          <w:sz w:val="17"/>
          <w:szCs w:val="17"/>
          <w:color w:val="auto"/>
        </w:rPr>
      </w:pPr>
    </w:p>
    <w:p>
      <w:pPr>
        <w:jc w:val="both"/>
        <w:ind w:firstLine="1304"/>
        <w:spacing w:after="0" w:line="271" w:lineRule="auto"/>
        <w:tabs>
          <w:tab w:leader="none" w:pos="1528"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exercise of its own best judgment, except for its gross negligence or willful misconduct. The Trustee may rely conclusively and shall be protected in acting upon any order, notice, demand, certificate, opinion or advice of counsel (including counsel chosen by the Trustee), statement, instrument, report or other paper or document (not only as to its due execution and the validity and effectiveness of its provisions, but also as to the truth and acceptability of any information therein contained) which is believed by the Trustee, in good faith,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78" w:lineRule="exact"/>
        <w:rPr>
          <w:rFonts w:ascii="Arial" w:cs="Arial" w:eastAsia="Arial" w:hAnsi="Arial"/>
          <w:sz w:val="17"/>
          <w:szCs w:val="17"/>
          <w:color w:val="auto"/>
        </w:rPr>
      </w:pPr>
    </w:p>
    <w:p>
      <w:pPr>
        <w:ind w:firstLine="1304"/>
        <w:spacing w:after="0" w:line="277" w:lineRule="auto"/>
        <w:tabs>
          <w:tab w:leader="none" w:pos="1559" w:val="left"/>
        </w:tabs>
        <w:numPr>
          <w:ilvl w:val="1"/>
          <w:numId w:val="135"/>
        </w:numPr>
        <w:rPr>
          <w:rFonts w:ascii="Arial" w:cs="Arial" w:eastAsia="Arial" w:hAnsi="Arial"/>
          <w:sz w:val="18"/>
          <w:szCs w:val="18"/>
          <w:color w:val="auto"/>
        </w:rPr>
      </w:pPr>
      <w:r>
        <w:rPr>
          <w:rFonts w:ascii="Arial" w:cs="Arial" w:eastAsia="Arial" w:hAnsi="Arial"/>
          <w:sz w:val="18"/>
          <w:szCs w:val="18"/>
          <w:color w:val="auto"/>
        </w:rPr>
        <w:t>Verify the correctness of the information set forth in the Registration Statement or to confirm or assure that any acquisition made by the Company or any other action taken by it is as contemplated by the Registration Statement;</w:t>
      </w:r>
    </w:p>
    <w:p>
      <w:pPr>
        <w:spacing w:after="0" w:line="170" w:lineRule="exact"/>
        <w:rPr>
          <w:rFonts w:ascii="Arial" w:cs="Arial" w:eastAsia="Arial" w:hAnsi="Arial"/>
          <w:sz w:val="18"/>
          <w:szCs w:val="18"/>
          <w:color w:val="auto"/>
        </w:rPr>
      </w:pPr>
    </w:p>
    <w:p>
      <w:pPr>
        <w:ind w:right="20" w:firstLine="1304"/>
        <w:spacing w:after="0" w:line="342" w:lineRule="auto"/>
        <w:tabs>
          <w:tab w:leader="none" w:pos="15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File local, state and/or federal tax returns or information returns with any taxing authority on behalf of the Trust Account and payee statements with the Company documenting the taxes, if any, payable by the Company or the Trust Account, relating to the income earned on the Property;</w:t>
      </w:r>
    </w:p>
    <w:p>
      <w:pPr>
        <w:spacing w:after="0" w:line="123" w:lineRule="exact"/>
        <w:rPr>
          <w:rFonts w:ascii="Arial" w:cs="Arial" w:eastAsia="Arial" w:hAnsi="Arial"/>
          <w:sz w:val="16"/>
          <w:szCs w:val="16"/>
          <w:color w:val="auto"/>
        </w:rPr>
      </w:pPr>
    </w:p>
    <w:p>
      <w:pPr>
        <w:ind w:firstLine="1304"/>
        <w:spacing w:after="0" w:line="308" w:lineRule="auto"/>
        <w:tabs>
          <w:tab w:leader="none" w:pos="1518" w:val="left"/>
        </w:tabs>
        <w:numPr>
          <w:ilvl w:val="1"/>
          <w:numId w:val="135"/>
        </w:numPr>
        <w:rPr>
          <w:rFonts w:ascii="Arial" w:cs="Arial" w:eastAsia="Arial" w:hAnsi="Arial"/>
          <w:sz w:val="17"/>
          <w:szCs w:val="17"/>
          <w:color w:val="auto"/>
        </w:rPr>
      </w:pPr>
      <w:r>
        <w:rPr>
          <w:rFonts w:ascii="Arial" w:cs="Arial" w:eastAsia="Arial" w:hAnsi="Arial"/>
          <w:sz w:val="17"/>
          <w:szCs w:val="17"/>
          <w:color w:val="auto"/>
        </w:rPr>
        <w:t>Pay any taxes on behalf of the Trust Account (it being expressly understood that the Property shall not be used to pay any such taxes and that such taxes, if any, shall be paid by the Company from funds not held in the Trust Account or released to it under Section 2(a) hereof);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ind w:firstLine="1304"/>
        <w:spacing w:after="0" w:line="277" w:lineRule="auto"/>
        <w:tabs>
          <w:tab w:leader="none" w:pos="153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Verify calculations, qualify or otherwise approve Company requests for distributions pursuant to Section 1(i) or 2(a) above.</w:t>
      </w:r>
    </w:p>
    <w:p>
      <w:pPr>
        <w:spacing w:after="0" w:line="236" w:lineRule="exact"/>
        <w:rPr>
          <w:rFonts w:ascii="Arial" w:cs="Arial" w:eastAsia="Arial" w:hAnsi="Arial"/>
          <w:sz w:val="17"/>
          <w:szCs w:val="17"/>
          <w:color w:val="auto"/>
        </w:rPr>
      </w:pPr>
    </w:p>
    <w:p>
      <w:pPr>
        <w:jc w:val="both"/>
        <w:ind w:firstLine="656"/>
        <w:spacing w:after="0" w:line="257" w:lineRule="auto"/>
        <w:tabs>
          <w:tab w:leader="none" w:pos="82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(“Claim”) to, or to any monies in, the Trust Account, and hereby irrevocably waives any Claim to, or to any monies in, the Trust Account that it may have now or in the future. In the event the Trustee has any Claim against the Company under this Agreement, including, without limitation, under Section 3(b) or Section 3(c) hereof, the Trustee shall pursue such Claim solely against the Company and its assets outside the Trust Account and not against the Property or any monies in the Trust Account.</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firstLine="1304"/>
        <w:spacing w:after="0" w:line="271" w:lineRule="auto"/>
        <w:tabs>
          <w:tab w:leader="none" w:pos="1542"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If the Trustee gives written notice to the Company that it desires to resign under this Agreement, the Company shall use its reasonable efforts to locate a successor trustee during which time the Trustee shall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firstLine="1304"/>
        <w:spacing w:after="0" w:line="263" w:lineRule="auto"/>
        <w:tabs>
          <w:tab w:leader="none" w:pos="155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At such time that the Trustee has completed the liquidation of the Trust Account in accordance with the provisions of paragraph 1(i) hereof, and distributed the Property in accordance with the provisions of the Termination Letter, this Agreement shall terminate except with respect to Paragraph 3(b).</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93" w:lineRule="auto"/>
        <w:tabs>
          <w:tab w:leader="none" w:pos="155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information, or of any change in its authorized personnel. In executing funds transfers, the Trustee will rely upon all information supplied to it by the Company, including account names, account numbers and all other identifying information relating to a beneficiary, beneficiary’s bank or intermediary bank. The Trustee shall not be liable for any loss, liability or expense resulting from any error in the information or transmission of the wire.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firstLine="1304"/>
        <w:spacing w:after="0" w:line="286" w:lineRule="auto"/>
        <w:tabs>
          <w:tab w:leader="none" w:pos="157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It may be executed in several original or facsimile counterparts, each one of which shall constitute an original, and together shall constitute but one instrument.</w:t>
      </w:r>
    </w:p>
    <w:p>
      <w:pPr>
        <w:spacing w:after="0" w:line="165" w:lineRule="exact"/>
        <w:rPr>
          <w:rFonts w:ascii="Arial" w:cs="Arial" w:eastAsia="Arial" w:hAnsi="Arial"/>
          <w:sz w:val="17"/>
          <w:szCs w:val="17"/>
          <w:color w:val="auto"/>
        </w:rPr>
      </w:pPr>
    </w:p>
    <w:p>
      <w:pPr>
        <w:jc w:val="both"/>
        <w:ind w:firstLine="1304"/>
        <w:spacing w:after="0" w:line="255" w:lineRule="auto"/>
        <w:tabs>
          <w:tab w:leader="none" w:pos="154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Except for Section 1(i) (which may only be amended with the approval of the holders of a majority of the outstanding shares of Common Stock sold in the IPO), this Agreement or any provision hereof may only be changed, amended or modified by a writing signed by each of the parties hereto; provided, however, that no such change, amendment or modification may be made without the prior written consent of SVB Leerink. As to any claim, cross-claim or counterclaim in any way relating to this Agreement, each party waives the right to trial by jury. The Trustee may require from Company counsel an opinion as to the propriety of any proposed amendment.</w:t>
      </w:r>
    </w:p>
    <w:p>
      <w:pPr>
        <w:spacing w:after="0" w:line="192" w:lineRule="exact"/>
        <w:rPr>
          <w:rFonts w:ascii="Arial" w:cs="Arial" w:eastAsia="Arial" w:hAnsi="Arial"/>
          <w:sz w:val="18"/>
          <w:szCs w:val="18"/>
          <w:color w:val="auto"/>
        </w:rPr>
      </w:pPr>
    </w:p>
    <w:p>
      <w:pPr>
        <w:ind w:firstLine="1304"/>
        <w:spacing w:after="0" w:line="277" w:lineRule="auto"/>
        <w:tabs>
          <w:tab w:leader="none" w:pos="15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Borough of Manhattan, for purposes of resolving any disputes hereunder.</w:t>
      </w:r>
    </w:p>
    <w:p>
      <w:pPr>
        <w:spacing w:after="0" w:line="170" w:lineRule="exact"/>
        <w:rPr>
          <w:rFonts w:ascii="Arial" w:cs="Arial" w:eastAsia="Arial" w:hAnsi="Arial"/>
          <w:sz w:val="18"/>
          <w:szCs w:val="18"/>
          <w:color w:val="auto"/>
        </w:rPr>
      </w:pPr>
    </w:p>
    <w:p>
      <w:pPr>
        <w:ind w:firstLine="1304"/>
        <w:spacing w:after="0" w:line="342" w:lineRule="auto"/>
        <w:tabs>
          <w:tab w:leader="none" w:pos="154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BCTG Acquisition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11682 El Camino Real, Suite 320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Aaron I. Davis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either case with a copy (which copy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SVB Leerink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Federal Street, 37th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Stuart R. Nayman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ind w:left="12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Mitchell S. Nussbaum, Esq. and Giovanni Caruso, Esq.</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No.: (212) 407-4990</w:t>
      </w:r>
    </w:p>
    <w:p>
      <w:pPr>
        <w:spacing w:after="0" w:line="211" w:lineRule="exact"/>
        <w:rPr>
          <w:sz w:val="20"/>
          <w:szCs w:val="20"/>
          <w:color w:val="auto"/>
        </w:rPr>
      </w:pPr>
    </w:p>
    <w:p>
      <w:pPr>
        <w:ind w:left="1500" w:hanging="216"/>
        <w:spacing w:after="0"/>
        <w:tabs>
          <w:tab w:leader="none" w:pos="15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This Agreement may not be assigned by the Trustee without the prior consent of the Company.</w:t>
      </w:r>
    </w:p>
    <w:p>
      <w:pPr>
        <w:spacing w:after="0" w:line="225" w:lineRule="exact"/>
        <w:rPr>
          <w:rFonts w:ascii="Arial" w:cs="Arial" w:eastAsia="Arial" w:hAnsi="Arial"/>
          <w:sz w:val="18"/>
          <w:szCs w:val="18"/>
          <w:color w:val="auto"/>
        </w:rPr>
      </w:pPr>
    </w:p>
    <w:p>
      <w:pPr>
        <w:ind w:left="-20" w:firstLine="1304"/>
        <w:spacing w:after="0" w:line="277" w:lineRule="auto"/>
        <w:tabs>
          <w:tab w:leader="none" w:pos="15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of the Trustee and the Company hereby represents that it has the full right and power and has been duly authorized to enter into this Agreement and to perform its respective obligations as contemplated hereunder.</w:t>
      </w:r>
    </w:p>
    <w:p>
      <w:pPr>
        <w:spacing w:after="0" w:line="170" w:lineRule="exact"/>
        <w:rPr>
          <w:rFonts w:ascii="Arial" w:cs="Arial" w:eastAsia="Arial" w:hAnsi="Arial"/>
          <w:sz w:val="18"/>
          <w:szCs w:val="18"/>
          <w:color w:val="auto"/>
        </w:rPr>
      </w:pPr>
    </w:p>
    <w:p>
      <w:pPr>
        <w:ind w:left="4680" w:right="800" w:hanging="3396"/>
        <w:spacing w:after="0" w:line="527" w:lineRule="auto"/>
        <w:tabs>
          <w:tab w:leader="none" w:pos="152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 that SVB Leerink is a third party beneficiary of this Agreement. [Signature Page Follows]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83" w:name="page184"/>
    <w:bookmarkEnd w:id="183"/>
    <w:p>
      <w:pPr>
        <w:spacing w:after="0"/>
        <w:rPr>
          <w:sz w:val="20"/>
          <w:szCs w:val="20"/>
          <w:color w:val="auto"/>
        </w:rPr>
      </w:pPr>
      <w:r>
        <w:rPr>
          <w:rFonts w:ascii="Arial" w:cs="Arial" w:eastAsia="Arial" w:hAnsi="Arial"/>
          <w:sz w:val="17"/>
          <w:szCs w:val="17"/>
          <w:color w:val="auto"/>
        </w:rPr>
        <w:t>IN WITNESS WHEREOF, the parties have duly executed this Investment Management Trust Agreement as of the date first written above.</w:t>
      </w:r>
    </w:p>
    <w:p>
      <w:pPr>
        <w:spacing w:after="0" w:line="237"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CONTINENTAL STOCK TRANSFER &amp; TRUST</w:t>
      </w:r>
    </w:p>
    <w:p>
      <w:pPr>
        <w:spacing w:after="0" w:line="3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COMPANY, as Trustee</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 Francis Wolf</w:t>
      </w:r>
    </w:p>
    <w:p>
      <w:pPr>
        <w:spacing w:after="0" w:line="23" w:lineRule="exact"/>
        <w:rPr>
          <w:sz w:val="20"/>
          <w:szCs w:val="20"/>
          <w:color w:val="auto"/>
        </w:rPr>
      </w:pPr>
    </w:p>
    <w:p>
      <w:pPr>
        <w:ind w:left="702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BCTG ACQUISITION CORP.</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 Aaron I. Davis</w:t>
      </w:r>
    </w:p>
    <w:p>
      <w:pPr>
        <w:spacing w:after="0" w:line="23" w:lineRule="exact"/>
        <w:rPr>
          <w:sz w:val="20"/>
          <w:szCs w:val="20"/>
          <w:color w:val="auto"/>
        </w:rPr>
      </w:pPr>
    </w:p>
    <w:p>
      <w:pPr>
        <w:ind w:left="702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Investment Management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908" w:right="121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40" w:type="dxa"/>
            <w:vAlign w:val="bottom"/>
            <w:gridSpan w:val="9"/>
          </w:tcPr>
          <w:p>
            <w:pPr>
              <w:ind w:left="340"/>
              <w:spacing w:after="0"/>
              <w:rPr>
                <w:sz w:val="20"/>
                <w:szCs w:val="20"/>
                <w:color w:val="auto"/>
              </w:rPr>
            </w:pPr>
            <w:r>
              <w:rPr>
                <w:rFonts w:ascii="Arial" w:cs="Arial" w:eastAsia="Arial" w:hAnsi="Arial"/>
                <w:sz w:val="18"/>
                <w:szCs w:val="18"/>
                <w:b w:val="1"/>
                <w:bCs w:val="1"/>
                <w:color w:val="auto"/>
              </w:rPr>
              <w:t>SCHEDULE A</w:t>
            </w:r>
          </w:p>
        </w:tc>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3840" w:type="dxa"/>
            <w:vAlign w:val="bottom"/>
            <w:gridSpan w:val="9"/>
          </w:tcPr>
          <w:p>
            <w:pPr>
              <w:spacing w:after="0"/>
              <w:rPr>
                <w:sz w:val="20"/>
                <w:szCs w:val="20"/>
                <w:color w:val="auto"/>
              </w:rPr>
            </w:pPr>
            <w:r>
              <w:rPr>
                <w:rFonts w:ascii="Arial" w:cs="Arial" w:eastAsia="Arial" w:hAnsi="Arial"/>
                <w:sz w:val="18"/>
                <w:szCs w:val="18"/>
                <w:b w:val="1"/>
                <w:bCs w:val="1"/>
                <w:color w:val="auto"/>
              </w:rPr>
              <w:t>Fee Item</w:t>
            </w:r>
          </w:p>
        </w:tc>
        <w:tc>
          <w:tcPr>
            <w:tcW w:w="3800" w:type="dxa"/>
            <w:vAlign w:val="bottom"/>
            <w:gridSpan w:val="10"/>
          </w:tcPr>
          <w:p>
            <w:pPr>
              <w:ind w:left="720"/>
              <w:spacing w:after="0"/>
              <w:rPr>
                <w:sz w:val="20"/>
                <w:szCs w:val="20"/>
                <w:color w:val="auto"/>
              </w:rPr>
            </w:pPr>
            <w:r>
              <w:rPr>
                <w:rFonts w:ascii="Arial" w:cs="Arial" w:eastAsia="Arial" w:hAnsi="Arial"/>
                <w:sz w:val="18"/>
                <w:szCs w:val="18"/>
                <w:b w:val="1"/>
                <w:bCs w:val="1"/>
                <w:color w:val="auto"/>
              </w:rPr>
              <w:t>Time and method of payment</w:t>
            </w:r>
          </w:p>
        </w:tc>
        <w:tc>
          <w:tcPr>
            <w:tcW w:w="3620" w:type="dxa"/>
            <w:vAlign w:val="bottom"/>
            <w:gridSpan w:val="2"/>
          </w:tcPr>
          <w:p>
            <w:pPr>
              <w:jc w:val="right"/>
              <w:ind w:right="1500"/>
              <w:spacing w:after="0"/>
              <w:rPr>
                <w:sz w:val="20"/>
                <w:szCs w:val="20"/>
                <w:color w:val="auto"/>
              </w:rPr>
            </w:pPr>
            <w:r>
              <w:rPr>
                <w:rFonts w:ascii="Arial" w:cs="Arial" w:eastAsia="Arial" w:hAnsi="Arial"/>
                <w:sz w:val="18"/>
                <w:szCs w:val="18"/>
                <w:b w:val="1"/>
                <w:bCs w:val="1"/>
                <w:color w:val="auto"/>
              </w:rPr>
              <w:t>Amount</w:t>
            </w:r>
          </w:p>
        </w:tc>
      </w:tr>
      <w:tr>
        <w:trPr>
          <w:trHeight w:val="202"/>
        </w:trPr>
        <w:tc>
          <w:tcPr>
            <w:tcW w:w="3720" w:type="dxa"/>
            <w:vAlign w:val="bottom"/>
            <w:tcBorders>
              <w:top w:val="single" w:sz="8" w:color="auto"/>
            </w:tcBorders>
            <w:gridSpan w:val="8"/>
          </w:tcPr>
          <w:p>
            <w:pPr>
              <w:spacing w:after="0" w:line="201" w:lineRule="exact"/>
              <w:rPr>
                <w:sz w:val="20"/>
                <w:szCs w:val="20"/>
                <w:color w:val="auto"/>
              </w:rPr>
            </w:pPr>
            <w:r>
              <w:rPr>
                <w:rFonts w:ascii="Arial" w:cs="Arial" w:eastAsia="Arial" w:hAnsi="Arial"/>
                <w:sz w:val="18"/>
                <w:szCs w:val="18"/>
                <w:color w:val="auto"/>
              </w:rPr>
              <w:t>Initial acceptance fee</w:t>
            </w:r>
          </w:p>
        </w:tc>
        <w:tc>
          <w:tcPr>
            <w:tcW w:w="120" w:type="dxa"/>
            <w:vAlign w:val="bottom"/>
          </w:tcPr>
          <w:p>
            <w:pPr>
              <w:spacing w:after="0"/>
              <w:rPr>
                <w:sz w:val="17"/>
                <w:szCs w:val="17"/>
                <w:color w:val="auto"/>
              </w:rPr>
            </w:pPr>
          </w:p>
        </w:tc>
        <w:tc>
          <w:tcPr>
            <w:tcW w:w="3700" w:type="dxa"/>
            <w:vAlign w:val="bottom"/>
            <w:tcBorders>
              <w:top w:val="single" w:sz="8" w:color="auto"/>
            </w:tcBorders>
            <w:gridSpan w:val="9"/>
          </w:tcPr>
          <w:p>
            <w:pPr>
              <w:spacing w:after="0" w:line="201" w:lineRule="exact"/>
              <w:rPr>
                <w:sz w:val="20"/>
                <w:szCs w:val="20"/>
                <w:color w:val="auto"/>
              </w:rPr>
            </w:pPr>
            <w:r>
              <w:rPr>
                <w:rFonts w:ascii="Arial" w:cs="Arial" w:eastAsia="Arial" w:hAnsi="Arial"/>
                <w:sz w:val="18"/>
                <w:szCs w:val="18"/>
                <w:color w:val="auto"/>
              </w:rPr>
              <w:t>Initial closing of IPO by wire transfer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$3,500</w:t>
            </w:r>
          </w:p>
        </w:tc>
        <w:tc>
          <w:tcPr>
            <w:tcW w:w="20" w:type="dxa"/>
            <w:vAlign w:val="bottom"/>
          </w:tcPr>
          <w:p>
            <w:pPr>
              <w:spacing w:after="0"/>
              <w:rPr>
                <w:sz w:val="17"/>
                <w:szCs w:val="17"/>
                <w:color w:val="auto"/>
              </w:rPr>
            </w:pPr>
          </w:p>
        </w:tc>
      </w:tr>
      <w:tr>
        <w:trPr>
          <w:trHeight w:val="216"/>
        </w:trPr>
        <w:tc>
          <w:tcPr>
            <w:tcW w:w="3840" w:type="dxa"/>
            <w:vAlign w:val="bottom"/>
            <w:gridSpan w:val="9"/>
          </w:tcPr>
          <w:p>
            <w:pPr>
              <w:spacing w:after="0"/>
              <w:rPr>
                <w:sz w:val="20"/>
                <w:szCs w:val="20"/>
                <w:color w:val="auto"/>
              </w:rPr>
            </w:pPr>
            <w:r>
              <w:rPr>
                <w:rFonts w:ascii="Arial" w:cs="Arial" w:eastAsia="Arial" w:hAnsi="Arial"/>
                <w:sz w:val="18"/>
                <w:szCs w:val="18"/>
                <w:color w:val="auto"/>
              </w:rPr>
              <w:t>Trustee administration fee</w:t>
            </w:r>
          </w:p>
        </w:tc>
        <w:tc>
          <w:tcPr>
            <w:tcW w:w="3800" w:type="dxa"/>
            <w:vAlign w:val="bottom"/>
            <w:gridSpan w:val="10"/>
          </w:tcPr>
          <w:p>
            <w:pPr>
              <w:spacing w:after="0"/>
              <w:rPr>
                <w:sz w:val="20"/>
                <w:szCs w:val="20"/>
                <w:color w:val="auto"/>
              </w:rPr>
            </w:pPr>
            <w:r>
              <w:rPr>
                <w:rFonts w:ascii="Arial" w:cs="Arial" w:eastAsia="Arial" w:hAnsi="Arial"/>
                <w:sz w:val="18"/>
                <w:szCs w:val="18"/>
                <w:color w:val="auto"/>
                <w:w w:val="97"/>
              </w:rPr>
              <w:t>Payable annually. First year fee payable at initial</w:t>
            </w:r>
          </w:p>
        </w:tc>
        <w:tc>
          <w:tcPr>
            <w:tcW w:w="3620" w:type="dxa"/>
            <w:vAlign w:val="bottom"/>
            <w:gridSpan w:val="2"/>
          </w:tcPr>
          <w:p>
            <w:pPr>
              <w:jc w:val="right"/>
              <w:ind w:right="20"/>
              <w:spacing w:after="0"/>
              <w:rPr>
                <w:sz w:val="20"/>
                <w:szCs w:val="20"/>
                <w:color w:val="auto"/>
              </w:rPr>
            </w:pPr>
            <w:r>
              <w:rPr>
                <w:rFonts w:ascii="Arial" w:cs="Arial" w:eastAsia="Arial" w:hAnsi="Arial"/>
                <w:sz w:val="18"/>
                <w:szCs w:val="18"/>
                <w:color w:val="auto"/>
              </w:rPr>
              <w:t>$10,000/year</w:t>
            </w:r>
          </w:p>
        </w:tc>
      </w:tr>
      <w:tr>
        <w:trPr>
          <w:trHeight w:val="216"/>
        </w:trPr>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w w:val="97"/>
              </w:rPr>
              <w:t>closing of IPO by wire transfer, thereafter by wire</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transfer or check</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40" w:type="dxa"/>
            <w:vAlign w:val="bottom"/>
            <w:gridSpan w:val="9"/>
          </w:tcPr>
          <w:p>
            <w:pPr>
              <w:spacing w:after="0"/>
              <w:rPr>
                <w:sz w:val="20"/>
                <w:szCs w:val="20"/>
                <w:color w:val="auto"/>
              </w:rPr>
            </w:pPr>
            <w:r>
              <w:rPr>
                <w:rFonts w:ascii="Arial" w:cs="Arial" w:eastAsia="Arial" w:hAnsi="Arial"/>
                <w:sz w:val="18"/>
                <w:szCs w:val="18"/>
                <w:color w:val="auto"/>
                <w:w w:val="99"/>
              </w:rPr>
              <w:t>Transaction processing fee for disbursements to</w:t>
            </w:r>
          </w:p>
        </w:tc>
        <w:tc>
          <w:tcPr>
            <w:tcW w:w="3800" w:type="dxa"/>
            <w:vAlign w:val="bottom"/>
            <w:gridSpan w:val="10"/>
          </w:tcPr>
          <w:p>
            <w:pPr>
              <w:spacing w:after="0"/>
              <w:rPr>
                <w:sz w:val="20"/>
                <w:szCs w:val="20"/>
                <w:color w:val="auto"/>
              </w:rPr>
            </w:pPr>
            <w:r>
              <w:rPr>
                <w:rFonts w:ascii="Arial" w:cs="Arial" w:eastAsia="Arial" w:hAnsi="Arial"/>
                <w:sz w:val="18"/>
                <w:szCs w:val="18"/>
                <w:color w:val="auto"/>
                <w:w w:val="98"/>
              </w:rPr>
              <w:t>Billed to Company following disbursement made</w:t>
            </w:r>
          </w:p>
        </w:tc>
        <w:tc>
          <w:tcPr>
            <w:tcW w:w="3620" w:type="dxa"/>
            <w:vAlign w:val="bottom"/>
            <w:gridSpan w:val="2"/>
          </w:tcPr>
          <w:p>
            <w:pPr>
              <w:jc w:val="right"/>
              <w:ind w:right="20"/>
              <w:spacing w:after="0"/>
              <w:rPr>
                <w:sz w:val="20"/>
                <w:szCs w:val="20"/>
                <w:color w:val="auto"/>
              </w:rPr>
            </w:pPr>
            <w:r>
              <w:rPr>
                <w:rFonts w:ascii="Arial" w:cs="Arial" w:eastAsia="Arial" w:hAnsi="Arial"/>
                <w:sz w:val="18"/>
                <w:szCs w:val="18"/>
                <w:color w:val="auto"/>
              </w:rPr>
              <w:t>$250/item</w:t>
            </w:r>
          </w:p>
        </w:tc>
      </w:tr>
      <w:tr>
        <w:trPr>
          <w:trHeight w:val="190"/>
        </w:trPr>
        <w:tc>
          <w:tcPr>
            <w:tcW w:w="3840" w:type="dxa"/>
            <w:vAlign w:val="bottom"/>
            <w:gridSpan w:val="9"/>
          </w:tcPr>
          <w:p>
            <w:pPr>
              <w:spacing w:after="0" w:line="190" w:lineRule="exact"/>
              <w:rPr>
                <w:sz w:val="20"/>
                <w:szCs w:val="20"/>
                <w:color w:val="auto"/>
              </w:rPr>
            </w:pPr>
            <w:r>
              <w:rPr>
                <w:rFonts w:ascii="Arial" w:cs="Arial" w:eastAsia="Arial" w:hAnsi="Arial"/>
                <w:sz w:val="18"/>
                <w:szCs w:val="18"/>
                <w:color w:val="auto"/>
              </w:rPr>
              <w:t>Company under Sections 1(i) and 2(a)</w:t>
            </w:r>
          </w:p>
        </w:tc>
        <w:tc>
          <w:tcPr>
            <w:tcW w:w="3800" w:type="dxa"/>
            <w:vAlign w:val="bottom"/>
            <w:gridSpan w:val="10"/>
          </w:tcPr>
          <w:p>
            <w:pPr>
              <w:spacing w:after="0" w:line="190" w:lineRule="exact"/>
              <w:rPr>
                <w:sz w:val="20"/>
                <w:szCs w:val="20"/>
                <w:color w:val="auto"/>
              </w:rPr>
            </w:pPr>
            <w:r>
              <w:rPr>
                <w:rFonts w:ascii="Arial" w:cs="Arial" w:eastAsia="Arial" w:hAnsi="Arial"/>
                <w:sz w:val="18"/>
                <w:szCs w:val="18"/>
                <w:color w:val="auto"/>
              </w:rPr>
              <w:t>to Company under Sections 1(i) and 2(a)</w:t>
            </w:r>
          </w:p>
        </w:tc>
        <w:tc>
          <w:tcPr>
            <w:tcW w:w="3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r>
      <w:tr>
        <w:trPr>
          <w:trHeight w:val="222"/>
        </w:trPr>
        <w:tc>
          <w:tcPr>
            <w:tcW w:w="3840" w:type="dxa"/>
            <w:vAlign w:val="bottom"/>
            <w:gridSpan w:val="9"/>
          </w:tcPr>
          <w:p>
            <w:pPr>
              <w:spacing w:after="0"/>
              <w:rPr>
                <w:sz w:val="20"/>
                <w:szCs w:val="20"/>
                <w:color w:val="auto"/>
              </w:rPr>
            </w:pPr>
            <w:r>
              <w:rPr>
                <w:rFonts w:ascii="Arial" w:cs="Arial" w:eastAsia="Arial" w:hAnsi="Arial"/>
                <w:sz w:val="18"/>
                <w:szCs w:val="18"/>
                <w:color w:val="auto"/>
              </w:rPr>
              <w:t>Paying Agent services as required pursuant to</w:t>
            </w:r>
          </w:p>
        </w:tc>
        <w:tc>
          <w:tcPr>
            <w:tcW w:w="3800" w:type="dxa"/>
            <w:vAlign w:val="bottom"/>
            <w:gridSpan w:val="10"/>
          </w:tcPr>
          <w:p>
            <w:pPr>
              <w:spacing w:after="0"/>
              <w:rPr>
                <w:sz w:val="20"/>
                <w:szCs w:val="20"/>
                <w:color w:val="auto"/>
              </w:rPr>
            </w:pPr>
            <w:r>
              <w:rPr>
                <w:rFonts w:ascii="Arial" w:cs="Arial" w:eastAsia="Arial" w:hAnsi="Arial"/>
                <w:sz w:val="18"/>
                <w:szCs w:val="18"/>
                <w:color w:val="auto"/>
              </w:rPr>
              <w:t>Billed to Company upon delivery of service</w:t>
            </w:r>
          </w:p>
        </w:tc>
        <w:tc>
          <w:tcPr>
            <w:tcW w:w="3620" w:type="dxa"/>
            <w:vAlign w:val="bottom"/>
            <w:gridSpan w:val="2"/>
          </w:tcPr>
          <w:p>
            <w:pPr>
              <w:jc w:val="right"/>
              <w:ind w:right="20"/>
              <w:spacing w:after="0"/>
              <w:rPr>
                <w:sz w:val="20"/>
                <w:szCs w:val="20"/>
                <w:color w:val="auto"/>
              </w:rPr>
            </w:pPr>
            <w:r>
              <w:rPr>
                <w:rFonts w:ascii="Arial" w:cs="Arial" w:eastAsia="Arial" w:hAnsi="Arial"/>
                <w:sz w:val="18"/>
                <w:szCs w:val="18"/>
                <w:color w:val="auto"/>
              </w:rPr>
              <w:t>Prevailing rates</w:t>
            </w:r>
          </w:p>
        </w:tc>
      </w:tr>
      <w:tr>
        <w:trPr>
          <w:trHeight w:val="190"/>
        </w:trPr>
        <w:tc>
          <w:tcPr>
            <w:tcW w:w="3840" w:type="dxa"/>
            <w:vAlign w:val="bottom"/>
            <w:gridSpan w:val="9"/>
          </w:tcPr>
          <w:p>
            <w:pPr>
              <w:spacing w:after="0" w:line="190" w:lineRule="exact"/>
              <w:rPr>
                <w:sz w:val="20"/>
                <w:szCs w:val="20"/>
                <w:color w:val="auto"/>
              </w:rPr>
            </w:pPr>
            <w:r>
              <w:rPr>
                <w:rFonts w:ascii="Arial" w:cs="Arial" w:eastAsia="Arial" w:hAnsi="Arial"/>
                <w:sz w:val="18"/>
                <w:szCs w:val="18"/>
                <w:color w:val="auto"/>
              </w:rPr>
              <w:t>Sections 1(i) and 2(a)</w:t>
            </w:r>
          </w:p>
        </w:tc>
        <w:tc>
          <w:tcPr>
            <w:tcW w:w="3800" w:type="dxa"/>
            <w:vAlign w:val="bottom"/>
            <w:gridSpan w:val="10"/>
          </w:tcPr>
          <w:p>
            <w:pPr>
              <w:spacing w:after="0" w:line="190" w:lineRule="exact"/>
              <w:rPr>
                <w:sz w:val="20"/>
                <w:szCs w:val="20"/>
                <w:color w:val="auto"/>
              </w:rPr>
            </w:pPr>
            <w:r>
              <w:rPr>
                <w:rFonts w:ascii="Arial" w:cs="Arial" w:eastAsia="Arial" w:hAnsi="Arial"/>
                <w:sz w:val="18"/>
                <w:szCs w:val="18"/>
                <w:color w:val="auto"/>
              </w:rPr>
              <w:t>pursuant to Sections 1(i) and 2(a)</w:t>
            </w:r>
          </w:p>
        </w:tc>
        <w:tc>
          <w:tcPr>
            <w:tcW w:w="3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02"/>
        </w:trPr>
        <w:tc>
          <w:tcPr>
            <w:tcW w:w="92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85" w:name="page186"/>
    <w:bookmarkEnd w:id="185"/>
    <w:p>
      <w:pPr>
        <w:ind w:left="103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paragraph 1(i) of the Investment Management Trust Agreement between BCTG Acquisition Corp. (“Company”) and Continental Stock Transfer &amp; Trust Company (“Trustee”), dated as of September [___] 2020 (“Trust Agreement”), this is to advise you that the Company has entered into an agreement with [__________________] (“Target Business”) to consummate a business combination with Target Business (“Business</w:t>
      </w:r>
    </w:p>
    <w:p>
      <w:pPr>
        <w:jc w:val="both"/>
        <w:spacing w:after="0" w:line="255" w:lineRule="auto"/>
        <w:rPr>
          <w:sz w:val="20"/>
          <w:szCs w:val="20"/>
          <w:color w:val="auto"/>
        </w:rPr>
      </w:pPr>
      <w:r>
        <w:rPr>
          <w:rFonts w:ascii="Arial" w:cs="Arial" w:eastAsia="Arial" w:hAnsi="Arial"/>
          <w:sz w:val="18"/>
          <w:szCs w:val="18"/>
          <w:color w:val="auto"/>
        </w:rPr>
        <w:t xml:space="preserve">Combination”) on or about </w:t>
      </w:r>
      <w:r>
        <w:rPr>
          <w:rFonts w:ascii="Arial" w:cs="Arial" w:eastAsia="Arial" w:hAnsi="Arial"/>
          <w:sz w:val="18"/>
          <w:szCs w:val="18"/>
          <w:b w:val="1"/>
          <w:bCs w:val="1"/>
          <w:color w:val="auto"/>
        </w:rPr>
        <w:t>[insert date]</w:t>
      </w:r>
      <w:r>
        <w:rPr>
          <w:rFonts w:ascii="Arial" w:cs="Arial" w:eastAsia="Arial" w:hAnsi="Arial"/>
          <w:sz w:val="18"/>
          <w:szCs w:val="18"/>
          <w:color w:val="auto"/>
        </w:rPr>
        <w:t>. The Company shall notify you at least 48 hours in advance of the actual date of the consummation of the Business Combination (“Consummation Date”). Capitalized terms used herein and not otherwise defined shall have the meanings set forth in the Trust Agreement.</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terms of the Trust Agreement, we hereby authorize you to commence liquidation of the Trust Account investments such that, on the Consummation Date, all of the funds held in the Trust Account will be immediately available for transfer to the account or accounts that the Company shall direct on the Consummation Date. It is acknowledged and agreed that while the funds are on deposit in the Trust Account awaiting distribution, the Company will not earn any interest or dividends.</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and (ii) the Company shall deliver to you (a) [an affidavit] [a certificate] of [__________________], which verifies the vote of the</w:t>
      </w:r>
    </w:p>
    <w:p>
      <w:pPr>
        <w:jc w:val="both"/>
        <w:spacing w:after="0" w:line="252" w:lineRule="auto"/>
        <w:rPr>
          <w:sz w:val="20"/>
          <w:szCs w:val="20"/>
          <w:color w:val="auto"/>
        </w:rPr>
      </w:pPr>
      <w:r>
        <w:rPr>
          <w:rFonts w:ascii="Arial" w:cs="Arial" w:eastAsia="Arial" w:hAnsi="Arial"/>
          <w:sz w:val="18"/>
          <w:szCs w:val="18"/>
          <w:color w:val="auto"/>
        </w:rPr>
        <w:t>Company’s shareholders in connection with the Business Combination if a vote is held and (b) joint written instructions from the Company and SVB Leerink LLC with respect to the transfer of the funds held in the Trust Account (“Instruction Letter”). You are hereby directed and authorized to transfer the funds held in the Trust Account immediately upon your receipt of the counsel’s letter and the Instruction Letter, in accordance with the terms of the Instruction Letter. In the event that certain deposits held in the Trust Account may not be liquidated by the Consummation Date without penalty, you will notify the Company of the same and the Company shall direct you as to whether such funds should remain in the Trust Account and distributed after the Consummation Date to the Company. Upon the distribution of all the funds in the Trust Account pursuant to the terms hereof, the Trust Agreement shall be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648"/>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the Trust Agreement on the business day immediately following the Consummation Date as set forth in the notice.</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BCTG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Aaron I. Davis, Chief Executive Officer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Andrew Ellis,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SVB Leerink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paragraph 1(i) of the Investment Management Trust Agreement between BCTG Acquisition Corp. (“Company”) and Continental Stock Transfer &amp; Trust Company (“Trustee”), dated as of September [__], 2020 (“Trust Agreement”), this is to advise you that the Company has been unable to effect a Business Combination with a Target Company within the time frame specified in the Company’s Amended and Restated Certificate of Incorporation, as described in the Company’s prospectus relating to its IPO. Capitalized terms used herein and not otherwise defined shall have the meanings set forth in the Trust Agreement.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the Trust Account investments and to transfer the total proceeds to the Trust Checking Account at [•] to await distribution to the Public Shareholders. The Company has selected [____________, 20__] as</w:t>
      </w:r>
    </w:p>
    <w:p>
      <w:pPr>
        <w:jc w:val="both"/>
        <w:spacing w:after="0" w:line="271" w:lineRule="auto"/>
        <w:rPr>
          <w:sz w:val="20"/>
          <w:szCs w:val="20"/>
          <w:color w:val="auto"/>
        </w:rPr>
      </w:pPr>
      <w:r>
        <w:rPr>
          <w:rFonts w:ascii="Arial" w:cs="Arial" w:eastAsia="Arial" w:hAnsi="Arial"/>
          <w:sz w:val="17"/>
          <w:szCs w:val="17"/>
          <w:color w:val="auto"/>
        </w:rPr>
        <w:t>the effective date for the purpose of determining when the Public Shareholders will be entitled to receive their share of the 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Shareholders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7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BCTG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Aaron I. Davis, Chief Executive Officer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Andrew Ellis,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SVB Leerink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Trust Account - Withdrawal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Pursuant to paragraph 2(a) of the Investment Management Trust Agreement between BCTG Acquisition Corp. (“Company”) and Continental Stock Transfer &amp; Trust Company (“Trustee”), dated as of September [___], 2020 (“Trust Agreement”), the Company hereby requests that you deliver to the Company [$_______] of the interest income earned on the Property as of the date hereof. The Company needs such funds to pay for its [franchise] tax</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obligations as a result of such interest income. In accordance with the terms of the Trust Agreement, you are hereby directed and authorized to transfer (via wire transfer) such funds promptly upon your receipt of this letter to the Company’s operating account at: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 INFORMATION]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BCTG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Aaron I. Davis, Chief Executive Officer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Andrew Ellis,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SVB Leerink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ESCROW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STOCK ESCROW AGREEMENT, dated as of September [•], 2020 (“Agreement”), by and among BCTG ACQUISITION CORP., a Delaware corporation (“Company”), and the initial shareholders listed on the signature pages hereto (collectively, the “Initial Shareholders”) and CONTINENTAL STOCK TRANSFER &amp; TRUST COMPANY, a New York corporation (“Escrow Agent”).</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WHEREAS, the Company has entered into an Underwriting Agreement, dated as of September [•], 2020 (“Underwriting Agreement”), with SVB Leerink LLC (“SVB”) acting as representative of the several underwriters (collectively, the “Underwriters”), pursuant to which, among other matters, the Underwriters have agreed to purchase 12,500,000 shares of common stock (“Common Stock”) of the Company, plus an additional 1,875,000 shares of Common Stock if the Underwriters exercise their over-allotment option in full, as more fully described in the Company’s final Prospectus, dated September [•], 2020 (“Prospectus”), comprising part of the Company’s Registration Statement on Form S-1 (File No. 333-240237) under the Securities Act of 1933, as amended (“Registration Statement”), declared effective on September [•], 2020 (“Effective Date”).</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WHEREAS, the Initial Shareholders have agreed as a condition of the sale of the Common Stock to deposit their Insider Shares (as defined in the Prospectus), as set forth opposite their respective names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(collectively “Escrow Shares”), in escrow as hereinafter provided.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Initial Shareholders desire that the Escrow Agent accept the Escrow Shares, in escrow, to be held and disbursed as hereinafter provided.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jc w:val="both"/>
        <w:ind w:firstLine="656"/>
        <w:spacing w:after="0" w:line="263" w:lineRule="auto"/>
        <w:tabs>
          <w:tab w:leader="none" w:pos="841"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Appointment of Escrow Agent</w:t>
      </w:r>
      <w:r>
        <w:rPr>
          <w:rFonts w:ascii="Arial" w:cs="Arial" w:eastAsia="Arial" w:hAnsi="Arial"/>
          <w:sz w:val="18"/>
          <w:szCs w:val="18"/>
          <w:color w:val="auto"/>
        </w:rPr>
        <w:t>. The Company and the Initial Shareholders hereby appoint the Escrow Agent to act in accordance with and subject to the terms of this Agreement and the Escrow Agent hereby accepts such appointment and agrees to act in accordance with and subject to such terms.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82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Deposit of Escrow Shares</w:t>
      </w:r>
      <w:r>
        <w:rPr>
          <w:rFonts w:ascii="Arial" w:cs="Arial" w:eastAsia="Arial" w:hAnsi="Arial"/>
          <w:sz w:val="18"/>
          <w:szCs w:val="18"/>
          <w:color w:val="auto"/>
        </w:rPr>
        <w:t>. On or prior to the date hereof, the Escrow Shares shall have been issued to each of the Initial Shareholders in book entry representing each Initial Shareholder’s respective Escrow Shares, to be held and disbursed subject to the terms and conditions of this Agreement. Each of the Initial Shareholders acknowledges that such Initial Shareholder’s Escrow Shares are legended to reflect the deposit of such Escrow Shares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ind w:left="840" w:hanging="184"/>
        <w:spacing w:after="0"/>
        <w:tabs>
          <w:tab w:leader="none" w:pos="8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Disbursement of the Escrow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3.1 The Escrow Agent shall hold the Escrow Shares during the period (the “Escrow Period”) commencing on the date hereof and ending on the earlier of (i) one (1) year after the date of the consummation of the Company’s initial business combination (as described in the Registration Statement, hereinafter a “Business Combination”) and (ii) the date on which the closing price of the Common Stock equals or exceeds $12.00 per share (as adjusted for stock splits, stock dividends, reorganizations and recapitalizations) for any 20 trading days within any 30-trading day period commencing after the Company’s initial Business Combination, or earlier if, subsequent to the Business Combination, the Company consummates a subsequent liquidation, merger, stock exchange or other similar transaction which results in all of the Company’s stockholders having the right to exchange their shares of Common Stock for cash, securities or other property. The Company shall promptly provide notice of the consummation of a Business Combination to the Escrow Agent. Upon completion of the Escrow Period, the Escrow Agent shall disburse such amount of each Initial Shareholder’s Escrow Shares (and any applicable share power) to such Initial Shareholder; provided, however, that if the Escrow Agent is notified by the Company pursuant to Section 6.7 hereof that the Company is being liquidated at any time during the Escrow Period, then the Escrow Agent shall promptly destroy the certificates representing the Escrow Shares; provided further, however, that if, subsequent to the Business Combination, the Company (or the surviving entity) subsequently consummates a liquidation, merger, stock exchange or other similar transaction which results in all of the shareholders of such entity having the right to exchange their shares of Common Stock for cash, securities or other property, then the Escrow Agent will, upon receipt of a notice executed by the Chairman of the Board, Chief Executive Officer or other authorized officer of the Company, in form reasonably acceptable to the Escrow Agent, certifying that such transaction is then being consummated or such conditions have been achieved, as applicable, release the Escrow Shares to the Initial Shareholders. The Escrow Agent shall have no further duties hereunder after the disbursement or destruction of the Escrow Shares in accordance with this Section 3.1.</w:t>
      </w:r>
    </w:p>
    <w:p>
      <w:pPr>
        <w:spacing w:after="0" w:line="191"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3.2 Notwithstanding Section 3.1, if the Underwriters do not exercise their over-allotment option to purchase an additional 1,875,000 shares of Common Stock of the Company in full within 45 days of the date of the Prospectus (as described in the Underwriting Agreement), the Sponsor agrees that the Escrow Agent shall return to the Company for cancellation, at no cost, the number of Escrow Shares held by the Sponsor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determined by multiplying (a) the product of (i) 468,750 multiplied by (ii) a fraction, (x) the numerator of which is the number of Escrow Shares held by the Sponsor, and (y) the denominator of which is the total number of Escrow Shares, by (b) a fraction, (i) the numerator of which is 1,875,000 minus the number of shares of Common Stock purchased by the Underwriters upon the exercise of their over-allotment option, and (ii) the denominator of which is 1,875,000. The Company shall promptly provide notice to the Escrow Agent of the expiration or termination of the Underwriters’ over-allotment option and the number of shares of Common Stock, if any, purchased by the Underwriters in connection with their exercise thereof.</w:t>
      </w:r>
    </w:p>
    <w:p>
      <w:pPr>
        <w:spacing w:after="0" w:line="165" w:lineRule="exact"/>
        <w:rPr>
          <w:sz w:val="20"/>
          <w:szCs w:val="20"/>
          <w:color w:val="auto"/>
        </w:rPr>
      </w:pPr>
    </w:p>
    <w:p>
      <w:pPr>
        <w:ind w:left="840" w:hanging="184"/>
        <w:spacing w:after="0"/>
        <w:tabs>
          <w:tab w:leader="none" w:pos="84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Rights of Initial Shareholders in Escrow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Voting Rights as a Shareholder</w:t>
      </w:r>
      <w:r>
        <w:rPr>
          <w:rFonts w:ascii="Arial" w:cs="Arial" w:eastAsia="Arial" w:hAnsi="Arial"/>
          <w:sz w:val="18"/>
          <w:szCs w:val="18"/>
          <w:color w:val="auto"/>
        </w:rPr>
        <w:t>. Subject to the terms of the Insider Letters described in Section 4.4 hereof and except as herein provided, the Initial Shareholders shall retain all of their rights as shareholders of the Company during the Escrow Period, including, without limitation, the right to vote such shares.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Dividends and Other Distributions in Respect of the Escrow Shares</w:t>
      </w:r>
      <w:r>
        <w:rPr>
          <w:rFonts w:ascii="Arial" w:cs="Arial" w:eastAsia="Arial" w:hAnsi="Arial"/>
          <w:sz w:val="18"/>
          <w:szCs w:val="18"/>
          <w:color w:val="auto"/>
        </w:rPr>
        <w:t>. During the Escrow Period, all dividends payable in cash with respect to the Escrow Shares shall be paid to the Initial Shareholders, but all dividends payable in stock or other non-cash property (“Non-Cash Dividends”) shall be delivered to the Escrow Agent to hold in accordance with the terms hereof. As used herein, the term “Escrow Shares” shall be deemed to include the Non-Cash Dividends distributed thereon, if any.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1" w:name="page192"/>
    <w:bookmarkEnd w:id="191"/>
    <w:p>
      <w:pPr>
        <w:jc w:val="both"/>
        <w:ind w:firstLine="1296"/>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During the Escrow Period, the only permitted transfers of the Escrow Shares will be (1) to any persons (including their affiliates and stockholders) participating in the private placement of the Insider Shares, officers, directors, stockholders employees and members of the Sponsor and its affiliates; (2) amongst the Initial Shareholders or to the Company’s officers, directors and employees; (3) if the Initial Shareholder is an entity, as a distribution to its partners, stockholders or members upon its liquidation, (4) by bona fide gift to a member of the Initial Shareholder’s immediate family or to a trust, the beneficiary of which is the Initial Shareholder or a member of the Initial Shareholder’s immediate family for estate planning purposes, (5) by virtue of the laws of descent and distribution upon death of the Initial Shareholder, (6) pursuant to a qualified domestic relations order, (7) by certain pledges to secure obligations incurred in connection with purchases of the Company’s securities, (8) by private sales at prices no greater than the price at which the Insider Shares were originally purchased or (9) for the cancellation of up to 468,750 shares of Common Stock subject to forfeiture to the extent that the Underwriters’ over-allotment is not exercised in full or in part or in connection with the consummation of the Business Combination, in each case (except for clause 9 or with the Company’s prior consent) on the condition that such transfers may be implemented only upon the respective transferee’s written agreement to be bound by the terms and conditions of this Agreement and of the Insider Letter (as defined below) signed by the Initial Shareholder transferring the Escrow Shares.</w:t>
      </w:r>
    </w:p>
    <w:p>
      <w:pPr>
        <w:spacing w:after="0" w:line="17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Insider Letters</w:t>
      </w:r>
      <w:r>
        <w:rPr>
          <w:rFonts w:ascii="Arial" w:cs="Arial" w:eastAsia="Arial" w:hAnsi="Arial"/>
          <w:sz w:val="18"/>
          <w:szCs w:val="18"/>
          <w:color w:val="auto"/>
        </w:rPr>
        <w:t>. Each of the Initial Shareholders has executed a letter agreement with SVB and the Company, dated as of September [•], 2020, and the form of which is filed as an exhibit to the Registration Statement (“Insider Letter”), respecting the rights and obligations of such Initial Shareholder in certain events, including but not limited to the liquidation of the Company.</w:t>
      </w:r>
    </w:p>
    <w:p>
      <w:pPr>
        <w:spacing w:after="0" w:line="184" w:lineRule="exact"/>
        <w:rPr>
          <w:sz w:val="20"/>
          <w:szCs w:val="20"/>
          <w:color w:val="auto"/>
        </w:rPr>
      </w:pPr>
    </w:p>
    <w:p>
      <w:pPr>
        <w:ind w:left="840" w:hanging="184"/>
        <w:spacing w:after="0"/>
        <w:tabs>
          <w:tab w:leader="none" w:pos="8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Concerning the Escrow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Good Faith Reliance</w:t>
      </w:r>
      <w:r>
        <w:rPr>
          <w:rFonts w:ascii="Arial" w:cs="Arial" w:eastAsia="Arial" w:hAnsi="Arial"/>
          <w:sz w:val="16"/>
          <w:szCs w:val="16"/>
          <w:color w:val="auto"/>
        </w:rPr>
        <w:t>. The Escrow Agent shall not be liable for any action taken or omitted by it in good faith and in the exercise of its own best judgment,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6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Escrow Agent shall be indemnified and held harmless by the Company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or the Escrow Shares held by it hereunder, other than expenses or losses arising from the gross negligence or willful misconduct of the Escrow Agent. Promptly after the receipt by the Escrow Agent of notice of any demand or claim or the commencement of any action, suit or proceeding, the Escrow Agent shall notify the other parties hereto in writing. In the event of the receipt of such notice, the Escrow Agent, in its sole discretion, may commence an action in the nature of interpleader in an appropriate court to determine ownership or disposition of the Escrow Shares or it may deposit the Escrow Shares with the clerk of any appropriate court or it may retain the Escrow Shares pending receipt of a final, non-appealable order of a court having jurisdiction over all of the parties hereto directing to whom and under what circumstances the Escrow Shares are to be disbursed and delivered. The provisions of this Section 5.2 shall survive in the event the Escrow Agent resigns or is discharged pursuant to Sections 5.5 or 5.6 below.</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2" w:name="page193"/>
    <w:bookmarkEnd w:id="192"/>
    <w:p>
      <w:pPr>
        <w:jc w:val="both"/>
        <w:ind w:firstLine="1296"/>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Compensation</w:t>
      </w:r>
      <w:r>
        <w:rPr>
          <w:rFonts w:ascii="Arial" w:cs="Arial" w:eastAsia="Arial" w:hAnsi="Arial"/>
          <w:sz w:val="16"/>
          <w:szCs w:val="16"/>
          <w:color w:val="auto"/>
        </w:rPr>
        <w:t>. The Escrow Agent shall be entitled to reasonable compensation from the Company for all services rendered by it hereunder. The Escrow Agent shall also be entitled to reimbursement from the Company for all expenses paid or incurred by it in the administration of its duties hereunder including, but not limited to, all counsel, advisors’ and agents’ fees and disbursements and all taxes or other governmental charges.</w:t>
      </w:r>
    </w:p>
    <w:p>
      <w:pPr>
        <w:spacing w:after="0" w:line="14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on and after the date hereof, the Company and the Initial Shareholders shall deliver or cause to be delivered to the Escrow Agent such further documents and instruments and shall do or cause to be done such further acts as the Escrow Agent shall reasonably request to carry out more effectively the provisions and purposes of this Agreement, to evidence compliance herewith or to assure itself that it is protected in acting hereunder.</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Resignation</w:t>
      </w:r>
      <w:r>
        <w:rPr>
          <w:rFonts w:ascii="Arial" w:cs="Arial" w:eastAsia="Arial" w:hAnsi="Arial"/>
          <w:sz w:val="18"/>
          <w:szCs w:val="18"/>
          <w:color w:val="auto"/>
        </w:rPr>
        <w:t>. The Escrow Agent may resign at any time and be discharged from its duties as escrow agent hereunder by its giving the other parties hereto written notice and such resignation shall become effective as hereinafter provided. Such resignation shall become effective at such time that the Escrow Agent shall turn over, to a successor escrow agent appointed by the Company, the Escrow Shares held hereunder. If no new escrow agent is so appointed within the 60-day period following the giving of such notice of resignation, the Escrow Agent may deposit the Escrow Shares with any court it reasonably deems appropriate.</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Discharge of Escrow Agent</w:t>
      </w:r>
      <w:r>
        <w:rPr>
          <w:rFonts w:ascii="Arial" w:cs="Arial" w:eastAsia="Arial" w:hAnsi="Arial"/>
          <w:sz w:val="18"/>
          <w:szCs w:val="18"/>
          <w:color w:val="auto"/>
        </w:rPr>
        <w:t>. The Escrow Agent shall resign and be discharged from its duties as escrow agent hereunder if so requested in writing at any time by the other parties hereto, jointly, provided, however, that such resignation shall become effective only upon acceptance of appointment by a successor escrow agent as provided in Section 5.5.</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Liability</w:t>
      </w:r>
      <w:r>
        <w:rPr>
          <w:rFonts w:ascii="Arial" w:cs="Arial" w:eastAsia="Arial" w:hAnsi="Arial"/>
          <w:sz w:val="18"/>
          <w:szCs w:val="18"/>
          <w:color w:val="auto"/>
        </w:rPr>
        <w:t>. Notwithstanding anything herein to the contrary, the Escrow Agent shall not be relieved from liability hereunder for its own gross negligence or its own willful misconduct.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Waiver</w:t>
      </w:r>
      <w:r>
        <w:rPr>
          <w:rFonts w:ascii="Arial" w:cs="Arial" w:eastAsia="Arial" w:hAnsi="Arial"/>
          <w:sz w:val="18"/>
          <w:szCs w:val="18"/>
          <w:color w:val="auto"/>
        </w:rPr>
        <w:t>. The Escrow Agent hereby waives any right of set-off or any other right, title, interest or claim of any kind (“Claim”) in, or to any distribution of, the Trust Account (as defined in that certain Investment Management Trust Agreement, dated as of the date hereof, by and between the Company and the Escrow Agent as trustee thereunder) and hereby agrees not to seek recourse, reimbursement, payment or satisfaction for any Claim against the Trust Account for any reason whatsoever.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3" w:name="page194"/>
    <w:bookmarkEnd w:id="193"/>
    <w:p>
      <w:pPr>
        <w:ind w:left="840" w:hanging="184"/>
        <w:spacing w:after="0"/>
        <w:tabs>
          <w:tab w:leader="none" w:pos="8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for all purposes be deemed to be made under and shall be construed in accordance with the laws of the State of New York, without giving effect to conflicts of law principles that would result in the application of the substantive laws of another jurisdiction.</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Each of the Initial Shareholders hereby acknowledges that SVB is a third-party beneficiary of this Agreement and this Agreement may not be modified or changed without the prior written consent of SVB.</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of the parties hereto with respect to the subject matter hereof and, except as expressly provided herein, may not be changed or modified except by an instrument in writing signed by the party to the charged.</w:t>
      </w:r>
    </w:p>
    <w:p>
      <w:pPr>
        <w:spacing w:after="0" w:line="14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thereof.</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respective parties hereto and their legal representatives, successors and assigns.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which may be given hereunder shall be in writing and either be delivered personally or be mailed, certified or registered mail, or by private national courier service, return receipt requested, postage prepaid, and shall be deemed given when so delivered personally or, if mailed, two days after the date of mailing, as follows:</w:t>
      </w:r>
    </w:p>
    <w:p>
      <w:pPr>
        <w:sectPr>
          <w:pgSz w:w="11900" w:h="16838" w:orient="portrait"/>
          <w:cols w:equalWidth="0" w:num="1">
            <w:col w:w="11240"/>
          </w:cols>
          <w:pgMar w:left="320" w:top="800" w:right="339" w:bottom="1440" w:gutter="0" w:footer="0" w:header="0"/>
        </w:sectPr>
      </w:pP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If to the Company, to: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BCTG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11682 El Camino Real, Suite 320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Aaron I. Davis</w:t>
      </w:r>
    </w:p>
    <w:p>
      <w:pPr>
        <w:spacing w:after="0" w:line="200" w:lineRule="exact"/>
        <w:rPr>
          <w:sz w:val="20"/>
          <w:szCs w:val="20"/>
          <w:color w:val="auto"/>
        </w:rPr>
      </w:pPr>
    </w:p>
    <w:p>
      <w:pPr>
        <w:sectPr>
          <w:pgSz w:w="11900" w:h="16838" w:orient="portrait"/>
          <w:cols w:equalWidth="0" w:num="2">
            <w:col w:w="3780" w:space="720"/>
            <w:col w:w="6740"/>
          </w:cols>
          <w:pgMar w:left="320" w:top="800" w:right="339" w:bottom="1440" w:gutter="0" w:footer="0" w:header="0"/>
          <w:type w:val="continuous"/>
        </w:sectPr>
      </w:pPr>
    </w:p>
    <w:p>
      <w:pPr>
        <w:spacing w:after="0" w:line="1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If to an Initial Shareholder, to his address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1120"/>
        <w:spacing w:after="0"/>
        <w:tabs>
          <w:tab w:leader="none" w:pos="4480" w:val="left"/>
        </w:tabs>
        <w:rPr>
          <w:sz w:val="20"/>
          <w:szCs w:val="20"/>
          <w:color w:val="auto"/>
        </w:rPr>
      </w:pPr>
      <w:r>
        <w:rPr>
          <w:rFonts w:ascii="Arial" w:cs="Arial" w:eastAsia="Arial" w:hAnsi="Arial"/>
          <w:sz w:val="18"/>
          <w:szCs w:val="18"/>
          <w:color w:val="auto"/>
        </w:rPr>
        <w:t>and if to the Escrow Agent, to:</w:t>
      </w:r>
      <w:r>
        <w:rPr>
          <w:sz w:val="20"/>
          <w:szCs w:val="20"/>
          <w:color w:val="auto"/>
        </w:rPr>
        <w:tab/>
      </w:r>
      <w:r>
        <w:rPr>
          <w:rFonts w:ascii="Arial" w:cs="Arial" w:eastAsia="Arial" w:hAnsi="Arial"/>
          <w:sz w:val="16"/>
          <w:szCs w:val="16"/>
          <w:color w:val="auto"/>
        </w:rPr>
        <w:t>Continental Stock Transfer &amp; Trust Company</w:t>
      </w:r>
    </w:p>
    <w:p>
      <w:pPr>
        <w:ind w:left="450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Erika Young</w:t>
      </w:r>
    </w:p>
    <w:p>
      <w:pPr>
        <w:spacing w:after="0" w:line="21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 copy (which copy shall not constitute notice) sent hereunder shall be sent to:</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SVB Leerink LLC</w:t>
      </w:r>
    </w:p>
    <w:p>
      <w:pPr>
        <w:ind w:left="4500"/>
        <w:spacing w:after="0" w:line="202" w:lineRule="auto"/>
        <w:rPr>
          <w:sz w:val="20"/>
          <w:szCs w:val="20"/>
          <w:color w:val="auto"/>
        </w:rPr>
      </w:pPr>
      <w:r>
        <w:rPr>
          <w:rFonts w:ascii="Arial" w:cs="Arial" w:eastAsia="Arial" w:hAnsi="Arial"/>
          <w:sz w:val="18"/>
          <w:szCs w:val="18"/>
          <w:color w:val="auto"/>
        </w:rPr>
        <w:t>One Federal Street, 37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Boston, Massachusetts 02110</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Stuart R. Nayman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194" w:name="page195"/>
    <w:bookmarkEnd w:id="194"/>
    <w:p>
      <w:pPr>
        <w:ind w:left="336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Christian O. Nagler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446-4900</w:t>
      </w:r>
    </w:p>
    <w:p>
      <w:pPr>
        <w:spacing w:after="0" w:line="200" w:lineRule="exact"/>
        <w:rPr>
          <w:sz w:val="20"/>
          <w:szCs w:val="20"/>
          <w:color w:val="auto"/>
        </w:rPr>
      </w:pPr>
    </w:p>
    <w:p>
      <w:pPr>
        <w:sectPr>
          <w:pgSz w:w="11900" w:h="16838" w:orient="portrait"/>
          <w:cols w:equalWidth="0" w:num="2">
            <w:col w:w="3780" w:space="720"/>
            <w:col w:w="6740"/>
          </w:cols>
          <w:pgMar w:left="320" w:top="827" w:right="339" w:bottom="1440" w:gutter="0" w:footer="0" w:header="0"/>
        </w:sectPr>
      </w:pPr>
    </w:p>
    <w:p>
      <w:pPr>
        <w:spacing w:after="0" w:line="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Mitchell S. Nussbaum, Esq. and Giovanni Caruso,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(212) 407-4000</w:t>
      </w:r>
    </w:p>
    <w:p>
      <w:pPr>
        <w:spacing w:after="0" w:line="200" w:lineRule="exact"/>
        <w:rPr>
          <w:sz w:val="20"/>
          <w:szCs w:val="20"/>
          <w:color w:val="auto"/>
        </w:rPr>
      </w:pPr>
    </w:p>
    <w:p>
      <w:pPr>
        <w:sectPr>
          <w:pgSz w:w="11900" w:h="16838" w:orient="portrait"/>
          <w:cols w:equalWidth="0" w:num="2">
            <w:col w:w="3780" w:space="720"/>
            <w:col w:w="6740"/>
          </w:cols>
          <w:pgMar w:left="320" w:top="827" w:right="339" w:bottom="1440" w:gutter="0" w:footer="0" w:header="0"/>
          <w:type w:val="continuous"/>
        </w:sectPr>
      </w:pPr>
    </w:p>
    <w:p>
      <w:pPr>
        <w:spacing w:after="0" w:line="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parties may change the persons and addresses to which the notices or other communications are to be sent by giving written notice to any such change in the manner provided herein for giving notice.</w:t>
      </w:r>
    </w:p>
    <w:p>
      <w:pPr>
        <w:spacing w:after="0" w:line="170"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Liquidation of the Company</w:t>
      </w:r>
      <w:r>
        <w:rPr>
          <w:rFonts w:ascii="Arial" w:cs="Arial" w:eastAsia="Arial" w:hAnsi="Arial"/>
          <w:sz w:val="17"/>
          <w:szCs w:val="17"/>
          <w:color w:val="auto"/>
        </w:rPr>
        <w:t>. The Company shall give the Escrow Agent written notification of the liquidation and dissolution of the Company in the event that the Company fails to consummate a Business Combination within the time period specified in the Prospectus.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195" w:name="page196"/>
    <w:bookmarkEnd w:id="195"/>
    <w:p>
      <w:pPr>
        <w:spacing w:after="0"/>
        <w:rPr>
          <w:sz w:val="20"/>
          <w:szCs w:val="20"/>
          <w:color w:val="auto"/>
        </w:rPr>
      </w:pPr>
      <w:r>
        <w:rPr>
          <w:rFonts w:ascii="Arial" w:cs="Arial" w:eastAsia="Arial" w:hAnsi="Arial"/>
          <w:sz w:val="18"/>
          <w:szCs w:val="18"/>
          <w:color w:val="auto"/>
        </w:rPr>
        <w:t>WITNESS the execution of this Agreement as of the date first above written.</w:t>
      </w:r>
    </w:p>
    <w:p>
      <w:pPr>
        <w:spacing w:after="0" w:line="221"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BCTG ACQUISITION CORP.</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14605</wp:posOffset>
            </wp:positionV>
            <wp:extent cx="257175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Aaron I. Davis</w:t>
      </w:r>
    </w:p>
    <w:p>
      <w:pPr>
        <w:spacing w:after="0" w:line="23"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INITIAL SHAREHOLDERS:</w:t>
      </w: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BCTG HOLDINGS, LLC</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14605</wp:posOffset>
            </wp:positionV>
            <wp:extent cx="257175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Andrew Ellis</w:t>
      </w:r>
    </w:p>
    <w:p>
      <w:pPr>
        <w:spacing w:after="0" w:line="23"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297180</wp:posOffset>
            </wp:positionV>
            <wp:extent cx="284607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306070</wp:posOffset>
            </wp:positionV>
            <wp:extent cx="284607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ESCROW AGENT:</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CONTINENTAL STOCK TRANSFER &amp; TRUST</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6350</wp:posOffset>
            </wp:positionV>
            <wp:extent cx="255460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Erika Young</w:t>
      </w:r>
    </w:p>
    <w:p>
      <w:pPr>
        <w:spacing w:after="0" w:line="23"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31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40"/>
          </w:cols>
          <w:pgMar w:left="980" w:top="800" w:right="117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EXHIBIT A</w:t>
            </w:r>
          </w:p>
        </w:tc>
        <w:tc>
          <w:tcPr>
            <w:tcW w:w="1460" w:type="dxa"/>
            <w:vAlign w:val="bottom"/>
            <w:gridSpan w:val="3"/>
          </w:tcPr>
          <w:p>
            <w:pPr>
              <w:spacing w:after="0"/>
              <w:rPr>
                <w:sz w:val="17"/>
                <w:szCs w:val="17"/>
                <w:color w:val="auto"/>
              </w:rPr>
            </w:pPr>
          </w:p>
        </w:tc>
        <w:tc>
          <w:tcPr>
            <w:tcW w:w="3680" w:type="dxa"/>
            <w:vAlign w:val="bottom"/>
          </w:tcPr>
          <w:p>
            <w:pPr>
              <w:spacing w:after="0"/>
              <w:rPr>
                <w:sz w:val="17"/>
                <w:szCs w:val="17"/>
                <w:color w:val="auto"/>
              </w:rPr>
            </w:pPr>
          </w:p>
        </w:tc>
      </w:tr>
      <w:tr>
        <w:trPr>
          <w:trHeight w:val="453"/>
        </w:trPr>
        <w:tc>
          <w:tcPr>
            <w:tcW w:w="2940" w:type="dxa"/>
            <w:vAlign w:val="bottom"/>
          </w:tcPr>
          <w:p>
            <w:pPr>
              <w:spacing w:after="0"/>
              <w:rPr>
                <w:sz w:val="24"/>
                <w:szCs w:val="24"/>
                <w:color w:val="auto"/>
              </w:rPr>
            </w:pPr>
          </w:p>
        </w:tc>
        <w:tc>
          <w:tcPr>
            <w:tcW w:w="4620" w:type="dxa"/>
            <w:vAlign w:val="bottom"/>
            <w:gridSpan w:val="7"/>
          </w:tcPr>
          <w:p>
            <w:pPr>
              <w:jc w:val="center"/>
              <w:ind w:left="650"/>
              <w:spacing w:after="0"/>
              <w:rPr>
                <w:sz w:val="20"/>
                <w:szCs w:val="20"/>
                <w:color w:val="auto"/>
              </w:rPr>
            </w:pPr>
            <w:r>
              <w:rPr>
                <w:rFonts w:ascii="Arial" w:cs="Arial" w:eastAsia="Arial" w:hAnsi="Arial"/>
                <w:sz w:val="18"/>
                <w:szCs w:val="18"/>
                <w:b w:val="1"/>
                <w:bCs w:val="1"/>
                <w:color w:val="auto"/>
                <w:w w:val="89"/>
              </w:rPr>
              <w:t>Initial Shareholders; Escrow Shares</w:t>
            </w:r>
          </w:p>
        </w:tc>
        <w:tc>
          <w:tcPr>
            <w:tcW w:w="3680" w:type="dxa"/>
            <w:vAlign w:val="bottom"/>
          </w:tcPr>
          <w:p>
            <w:pPr>
              <w:spacing w:after="0"/>
              <w:rPr>
                <w:sz w:val="24"/>
                <w:szCs w:val="24"/>
                <w:color w:val="auto"/>
              </w:rPr>
            </w:pP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Name and Address of</w:t>
            </w: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gridSpan w:val="4"/>
          </w:tcPr>
          <w:p>
            <w:pPr>
              <w:jc w:val="center"/>
              <w:ind w:right="1260"/>
              <w:spacing w:after="0"/>
              <w:rPr>
                <w:sz w:val="20"/>
                <w:szCs w:val="20"/>
                <w:color w:val="auto"/>
              </w:rPr>
            </w:pPr>
            <w:r>
              <w:rPr>
                <w:rFonts w:ascii="Arial" w:cs="Arial" w:eastAsia="Arial" w:hAnsi="Arial"/>
                <w:sz w:val="18"/>
                <w:szCs w:val="18"/>
                <w:color w:val="auto"/>
                <w:w w:val="90"/>
              </w:rPr>
              <w:t>Number</w:t>
            </w:r>
          </w:p>
        </w:tc>
        <w:tc>
          <w:tcPr>
            <w:tcW w:w="3680" w:type="dxa"/>
            <w:vAlign w:val="bottom"/>
          </w:tcPr>
          <w:p>
            <w:pPr>
              <w:jc w:val="center"/>
              <w:ind w:right="1050"/>
              <w:spacing w:after="0"/>
              <w:rPr>
                <w:sz w:val="20"/>
                <w:szCs w:val="20"/>
                <w:color w:val="auto"/>
              </w:rPr>
            </w:pPr>
            <w:r>
              <w:rPr>
                <w:rFonts w:ascii="Arial" w:cs="Arial" w:eastAsia="Arial" w:hAnsi="Arial"/>
                <w:sz w:val="18"/>
                <w:szCs w:val="18"/>
                <w:color w:val="auto"/>
                <w:w w:val="92"/>
              </w:rPr>
              <w:t>Date of</w:t>
            </w: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Initial Shareholder</w:t>
            </w: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60" w:type="dxa"/>
            <w:vAlign w:val="bottom"/>
            <w:gridSpan w:val="4"/>
          </w:tcPr>
          <w:p>
            <w:pPr>
              <w:jc w:val="center"/>
              <w:ind w:right="1260"/>
              <w:spacing w:after="0"/>
              <w:rPr>
                <w:sz w:val="20"/>
                <w:szCs w:val="20"/>
                <w:color w:val="auto"/>
              </w:rPr>
            </w:pPr>
            <w:r>
              <w:rPr>
                <w:rFonts w:ascii="Arial" w:cs="Arial" w:eastAsia="Arial" w:hAnsi="Arial"/>
                <w:sz w:val="18"/>
                <w:szCs w:val="18"/>
                <w:color w:val="auto"/>
                <w:w w:val="85"/>
              </w:rPr>
              <w:t>of Shares</w:t>
            </w:r>
          </w:p>
        </w:tc>
        <w:tc>
          <w:tcPr>
            <w:tcW w:w="3680" w:type="dxa"/>
            <w:vAlign w:val="bottom"/>
          </w:tcPr>
          <w:p>
            <w:pPr>
              <w:jc w:val="center"/>
              <w:ind w:right="1050"/>
              <w:spacing w:after="0"/>
              <w:rPr>
                <w:sz w:val="20"/>
                <w:szCs w:val="20"/>
                <w:color w:val="auto"/>
              </w:rPr>
            </w:pPr>
            <w:r>
              <w:rPr>
                <w:rFonts w:ascii="Arial" w:cs="Arial" w:eastAsia="Arial" w:hAnsi="Arial"/>
                <w:sz w:val="18"/>
                <w:szCs w:val="18"/>
                <w:color w:val="auto"/>
                <w:w w:val="93"/>
              </w:rPr>
              <w:t>Insider Letter</w:t>
            </w:r>
          </w:p>
        </w:tc>
      </w:tr>
      <w:tr>
        <w:trPr>
          <w:trHeight w:val="216"/>
        </w:trPr>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BCTG Holdings, LLC</w:t>
            </w:r>
          </w:p>
        </w:tc>
        <w:tc>
          <w:tcPr>
            <w:tcW w:w="2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jc w:val="center"/>
              <w:ind w:right="1050"/>
              <w:spacing w:after="0"/>
              <w:rPr>
                <w:sz w:val="20"/>
                <w:szCs w:val="20"/>
                <w:color w:val="auto"/>
              </w:rPr>
            </w:pPr>
            <w:r>
              <w:rPr>
                <w:rFonts w:ascii="Arial" w:cs="Arial" w:eastAsia="Arial" w:hAnsi="Arial"/>
                <w:sz w:val="18"/>
                <w:szCs w:val="18"/>
                <w:color w:val="auto"/>
                <w:w w:val="91"/>
              </w:rPr>
              <w:t>September [•], 2020</w:t>
            </w:r>
          </w:p>
        </w:tc>
      </w:tr>
      <w:tr>
        <w:trPr>
          <w:trHeight w:val="216"/>
        </w:trPr>
        <w:tc>
          <w:tcPr>
            <w:tcW w:w="2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REGISTRATION AND STOCKHOLDER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the [___] day of September, 2020, by and among BCTG Acquisition Corp.,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undersigned parties listed under Investor on the signature page hereto (each, an “</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1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Combination</w:t>
      </w:r>
      <w:r>
        <w:rPr>
          <w:rFonts w:ascii="Arial" w:cs="Arial" w:eastAsia="Arial" w:hAnsi="Arial"/>
          <w:sz w:val="18"/>
          <w:szCs w:val="18"/>
          <w:color w:val="auto"/>
        </w:rPr>
        <w:t>” means the acquisition of direct or indirect ownership through a merger, share exchange, asset acquisition, share purchase, recapitalization, reorganization or other similar type of transaction, of one or more businesses or entities.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2.1.1.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is defined in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is defined in Section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Shares</w:t>
      </w:r>
      <w:r>
        <w:rPr>
          <w:rFonts w:ascii="Arial" w:cs="Arial" w:eastAsia="Arial" w:hAnsi="Arial"/>
          <w:sz w:val="16"/>
          <w:szCs w:val="16"/>
          <w:color w:val="auto"/>
        </w:rPr>
        <w:t>” means all of the outstanding shares of Common Stock issued prior to the consummation of the Company’s initial public offering.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is defined in Section 7.4.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is defined in Section 2.2.1.</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Shares</w:t>
      </w:r>
      <w:r>
        <w:rPr>
          <w:rFonts w:ascii="Arial" w:cs="Arial" w:eastAsia="Arial" w:hAnsi="Arial"/>
          <w:sz w:val="18"/>
          <w:szCs w:val="18"/>
          <w:color w:val="auto"/>
        </w:rPr>
        <w:t>” means the aggregate of 450,000 shares of common stock (or 487,500 shares if the underwriters’ over-allotment option is exercised in full) that Sponsor is privately purchasing simultaneously with the consummation of the Company’s initial public offering.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Registrable Securities</w:t>
      </w:r>
      <w:r>
        <w:rPr>
          <w:rFonts w:ascii="Arial" w:cs="Arial" w:eastAsia="Arial" w:hAnsi="Arial"/>
          <w:sz w:val="17"/>
          <w:szCs w:val="17"/>
          <w:color w:val="auto"/>
        </w:rPr>
        <w:t>” means (i) the Initial Shares and (ii) the Private Shares. Registrable Securities include any warrants, shares of capital stock or other securities of the Company issued as a dividend or other distribution with respect to or in exchange for or in replacement of such Initial Shares and Private Shares.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volume limitations.</w:t>
      </w:r>
    </w:p>
    <w:p>
      <w:pPr>
        <w:spacing w:after="0" w:line="17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Release Date</w:t>
      </w:r>
      <w:r>
        <w:rPr>
          <w:rFonts w:ascii="Arial" w:cs="Arial" w:eastAsia="Arial" w:hAnsi="Arial"/>
          <w:sz w:val="18"/>
          <w:szCs w:val="18"/>
          <w:color w:val="auto"/>
        </w:rPr>
        <w:t>” means the date on which the Initial Shares are disbursed from escrow pursuant to Section 3 of that certain Stock Escrow Agreement dated as of September [●], 2020 by and among the Investors and Continental Stock Transfer &amp; Trust Company.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 means BCTG Holdings, LLC.</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6" w:lineRule="exact"/>
        <w:rPr>
          <w:sz w:val="20"/>
          <w:szCs w:val="20"/>
          <w:color w:val="auto"/>
        </w:rPr>
      </w:pPr>
    </w:p>
    <w:p>
      <w:pPr>
        <w:ind w:left="840" w:hanging="184"/>
        <w:spacing w:after="0"/>
        <w:tabs>
          <w:tab w:leader="none" w:pos="84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Request for Registration</w:t>
      </w:r>
      <w:r>
        <w:rPr>
          <w:rFonts w:ascii="Arial" w:cs="Arial" w:eastAsia="Arial" w:hAnsi="Arial"/>
          <w:sz w:val="17"/>
          <w:szCs w:val="17"/>
          <w:color w:val="auto"/>
        </w:rPr>
        <w:t>. At any time and from time to time on or after (i) the date that the Company consummates a Business Combination with respect to the Private Shares or (ii) three months prior to the Release Date with respect to all other Registrable Securities (the “</w:t>
      </w:r>
      <w:r>
        <w:rPr>
          <w:rFonts w:ascii="Arial" w:cs="Arial" w:eastAsia="Arial" w:hAnsi="Arial"/>
          <w:sz w:val="17"/>
          <w:szCs w:val="17"/>
          <w:b w:val="1"/>
          <w:bCs w:val="1"/>
          <w:u w:val="single" w:color="auto"/>
          <w:color w:val="auto"/>
        </w:rPr>
        <w:t>Effective Date</w:t>
      </w:r>
      <w:r>
        <w:rPr>
          <w:rFonts w:ascii="Arial" w:cs="Arial" w:eastAsia="Arial" w:hAnsi="Arial"/>
          <w:sz w:val="17"/>
          <w:szCs w:val="17"/>
          <w:color w:val="auto"/>
        </w:rPr>
        <w:t>”), the holders of a majority-in-interest of the Initial Shares may make a written demand for registration under the Securities Act of all or part of their Private Shares or other Registrable Securities, as the case may be (a “</w:t>
      </w:r>
      <w:r>
        <w:rPr>
          <w:rFonts w:ascii="Arial" w:cs="Arial" w:eastAsia="Arial" w:hAnsi="Arial"/>
          <w:sz w:val="17"/>
          <w:szCs w:val="17"/>
          <w:b w:val="1"/>
          <w:bCs w:val="1"/>
          <w:u w:val="single" w:color="auto"/>
          <w:color w:val="auto"/>
        </w:rPr>
        <w:t>Demand Registration</w:t>
      </w:r>
      <w:r>
        <w:rPr>
          <w:rFonts w:ascii="Arial" w:cs="Arial" w:eastAsia="Arial" w:hAnsi="Arial"/>
          <w:sz w:val="17"/>
          <w:szCs w:val="17"/>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7"/>
          <w:szCs w:val="17"/>
          <w:b w:val="1"/>
          <w:bCs w:val="1"/>
          <w:u w:val="single" w:color="auto"/>
          <w:color w:val="auto"/>
        </w:rPr>
        <w:t>Demanding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Holder</w:t>
      </w:r>
      <w:r>
        <w:rPr>
          <w:rFonts w:ascii="Arial" w:cs="Arial" w:eastAsia="Arial" w:hAnsi="Arial"/>
          <w:sz w:val="17"/>
          <w:szCs w:val="17"/>
          <w:color w:val="auto"/>
        </w:rPr>
        <w:t>”) shall so notify the Company within fifteen (15) days after the receipt by the holder of the notice from the Company. Upon any such request, the</w:t>
      </w:r>
      <w:r>
        <w:rPr>
          <w:rFonts w:ascii="Arial" w:cs="Arial" w:eastAsia="Arial" w:hAnsi="Arial"/>
          <w:sz w:val="17"/>
          <w:szCs w:val="17"/>
          <w:b w:val="1"/>
          <w:bCs w:val="1"/>
          <w:color w:val="auto"/>
        </w:rPr>
        <w:t xml:space="preserve"> </w:t>
      </w:r>
      <w:r>
        <w:rPr>
          <w:rFonts w:ascii="Arial" w:cs="Arial" w:eastAsia="Arial" w:hAnsi="Arial"/>
          <w:sz w:val="17"/>
          <w:szCs w:val="17"/>
          <w:color w:val="auto"/>
        </w:rPr>
        <w:t>Demanding Holders shall be entitled to have their Registrable Securities included in the Demand Registration, subject to Section 2.1.4 and the provisos set forth in Section 3.1.1. The Company shall not be obligated to effect more than three (3) Demand Registrations under this Section 2.1.1 in respect of all Registrable Securities.</w:t>
      </w:r>
    </w:p>
    <w:p>
      <w:pPr>
        <w:spacing w:after="0" w:line="182"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firstLine="1944"/>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95"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and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7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Withdrawal</w:t>
      </w:r>
      <w:r>
        <w:rPr>
          <w:rFonts w:ascii="Arial" w:cs="Arial" w:eastAsia="Arial" w:hAnsi="Arial"/>
          <w:sz w:val="18"/>
          <w:szCs w:val="18"/>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ind w:left="1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76"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Shares, then the Company shall include in any such registration:</w:t>
      </w:r>
    </w:p>
    <w:p>
      <w:pPr>
        <w:spacing w:after="0" w:line="195" w:lineRule="exact"/>
        <w:rPr>
          <w:sz w:val="20"/>
          <w:szCs w:val="20"/>
          <w:color w:val="auto"/>
        </w:rPr>
      </w:pPr>
    </w:p>
    <w:p>
      <w:pPr>
        <w:jc w:val="both"/>
        <w:ind w:left="1960" w:firstLine="640"/>
        <w:spacing w:after="0" w:line="270" w:lineRule="auto"/>
        <w:tabs>
          <w:tab w:leader="none" w:pos="289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first, the shares of Common Stock or other securities that the Company desires to sell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left="1960" w:firstLine="640"/>
        <w:spacing w:after="0" w:line="287" w:lineRule="auto"/>
        <w:tabs>
          <w:tab w:leader="none" w:pos="287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172"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192"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Arial" w:cs="Arial" w:eastAsia="Arial" w:hAnsi="Arial"/>
          <w:sz w:val="16"/>
          <w:szCs w:val="16"/>
          <w:b w:val="1"/>
          <w:bCs w:val="1"/>
          <w:u w:val="single" w:color="auto"/>
          <w:color w:val="auto"/>
        </w:rPr>
        <w:t>Form S-3</w:t>
      </w:r>
      <w:r>
        <w:rPr>
          <w:rFonts w:ascii="Arial" w:cs="Arial" w:eastAsia="Arial" w:hAnsi="Arial"/>
          <w:sz w:val="16"/>
          <w:szCs w:val="16"/>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ind w:left="840" w:hanging="184"/>
        <w:spacing w:after="0"/>
        <w:tabs>
          <w:tab w:leader="none" w:pos="84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84"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Filing Registration Statement</w:t>
      </w:r>
      <w:r>
        <w:rPr>
          <w:rFonts w:ascii="Arial" w:cs="Arial" w:eastAsia="Arial" w:hAnsi="Arial"/>
          <w:sz w:val="18"/>
          <w:szCs w:val="18"/>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the President or Chairman of the Company stating that, in the good faith judgment of the Board, it would be materially detrimental to the Company and its shareholders for such Registration Statement to be effected at such time; provided further, however, that the Company shall not have the right to exercise the right set forth in the immediately preceding proviso more than once in any 365-day period in respect of a Demand Registration hereunder.</w:t>
      </w:r>
    </w:p>
    <w:p>
      <w:pPr>
        <w:spacing w:after="0" w:line="192" w:lineRule="exact"/>
        <w:rPr>
          <w:sz w:val="20"/>
          <w:szCs w:val="20"/>
          <w:color w:val="auto"/>
        </w:rPr>
      </w:pPr>
    </w:p>
    <w:p>
      <w:pPr>
        <w:jc w:val="both"/>
        <w:ind w:firstLine="1944"/>
        <w:spacing w:after="0" w:line="273"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Copies</w:t>
      </w:r>
      <w:r>
        <w:rPr>
          <w:rFonts w:ascii="Arial" w:cs="Arial" w:eastAsia="Arial" w:hAnsi="Arial"/>
          <w:sz w:val="17"/>
          <w:szCs w:val="17"/>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7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firstLine="1944"/>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67"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State Securities Laws Compliance</w:t>
      </w:r>
      <w:r>
        <w:rPr>
          <w:rFonts w:ascii="Arial" w:cs="Arial" w:eastAsia="Arial" w:hAnsi="Arial"/>
          <w:sz w:val="17"/>
          <w:szCs w:val="17"/>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78"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Agreements for Disposition</w:t>
      </w:r>
      <w:r>
        <w:rPr>
          <w:rFonts w:ascii="Arial" w:cs="Arial" w:eastAsia="Arial" w:hAnsi="Arial"/>
          <w:sz w:val="17"/>
          <w:szCs w:val="17"/>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firstLine="1944"/>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Cooperation</w:t>
      </w:r>
      <w:r>
        <w:rPr>
          <w:rFonts w:ascii="Arial" w:cs="Arial" w:eastAsia="Arial" w:hAnsi="Arial"/>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88" w:lineRule="exact"/>
        <w:rPr>
          <w:sz w:val="20"/>
          <w:szCs w:val="20"/>
          <w:color w:val="auto"/>
        </w:rPr>
      </w:pPr>
    </w:p>
    <w:p>
      <w:pPr>
        <w:jc w:val="both"/>
        <w:ind w:firstLine="1944"/>
        <w:spacing w:after="0" w:line="296"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Records</w:t>
      </w:r>
      <w:r>
        <w:rPr>
          <w:rFonts w:ascii="Arial" w:cs="Arial" w:eastAsia="Arial" w:hAnsi="Arial"/>
          <w:sz w:val="16"/>
          <w:szCs w:val="16"/>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6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Opinions and Comfort Letters</w:t>
      </w:r>
      <w:r>
        <w:rPr>
          <w:rFonts w:ascii="Arial" w:cs="Arial" w:eastAsia="Arial" w:hAnsi="Arial"/>
          <w:sz w:val="18"/>
          <w:szCs w:val="18"/>
          <w:color w:val="auto"/>
        </w:rPr>
        <w:t>. Upon request,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92"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4"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Road Show</w:t>
      </w:r>
      <w:r>
        <w:rPr>
          <w:rFonts w:ascii="Arial" w:cs="Arial" w:eastAsia="Arial" w:hAnsi="Arial"/>
          <w:sz w:val="18"/>
          <w:szCs w:val="18"/>
          <w:color w:val="auto"/>
        </w:rPr>
        <w:t>. If the registration involves the registration of Registrable Securities involving gross proceeds in excess of $5,000,000, the Company shall use its reasonable efforts to make available senior executives of the Company to participate in customary “road show” presentations that may be reasonably requested by the Underwriter in any underwritten offering.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ind w:firstLine="1296"/>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Obligation to Suspend Distribution</w:t>
      </w:r>
      <w:r>
        <w:rPr>
          <w:rFonts w:ascii="Arial" w:cs="Arial" w:eastAsia="Arial" w:hAnsi="Arial"/>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9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ind w:left="840" w:hanging="184"/>
        <w:spacing w:after="0"/>
        <w:tabs>
          <w:tab w:leader="none" w:pos="8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the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17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Indemnification by Holders of Registrable Securities</w:t>
      </w:r>
      <w:r>
        <w:rPr>
          <w:rFonts w:ascii="Arial" w:cs="Arial" w:eastAsia="Arial" w:hAnsi="Arial"/>
          <w:sz w:val="16"/>
          <w:szCs w:val="16"/>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ind w:firstLine="1296"/>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Promptly after receipt by any person of any notice of any loss, claim, damage or liability or any action in respect of which indemnity may be sought pursuant to Section 4.1 or 4.2, such person (the “Indemnified Party”) shall, if a claim in respect thereof is to be made against any other person for indemnification hereunder, notify such other person (the “</w:t>
      </w:r>
      <w:r>
        <w:rPr>
          <w:rFonts w:ascii="Arial" w:cs="Arial" w:eastAsia="Arial" w:hAnsi="Arial"/>
          <w:sz w:val="17"/>
          <w:szCs w:val="17"/>
          <w:b w:val="1"/>
          <w:bCs w:val="1"/>
          <w:u w:val="single" w:color="auto"/>
          <w:color w:val="auto"/>
        </w:rPr>
        <w:t>Indemnifying Party</w:t>
      </w:r>
      <w:r>
        <w:rPr>
          <w:rFonts w:ascii="Arial" w:cs="Arial" w:eastAsia="Arial" w:hAnsi="Arial"/>
          <w:sz w:val="17"/>
          <w:szCs w:val="17"/>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90" w:lineRule="auto"/>
        <w:rPr>
          <w:sz w:val="20"/>
          <w:szCs w:val="20"/>
          <w:color w:val="auto"/>
        </w:rPr>
      </w:pPr>
      <w:r>
        <w:rPr>
          <w:rFonts w:ascii="Arial" w:cs="Arial" w:eastAsia="Arial" w:hAnsi="Arial"/>
          <w:sz w:val="16"/>
          <w:szCs w:val="16"/>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jc w:val="both"/>
        <w:ind w:firstLine="1944"/>
        <w:spacing w:after="0" w:line="263" w:lineRule="auto"/>
        <w:rPr>
          <w:sz w:val="20"/>
          <w:szCs w:val="20"/>
          <w:color w:val="auto"/>
        </w:rPr>
      </w:pPr>
      <w:r>
        <w:rPr>
          <w:rFonts w:ascii="Arial" w:cs="Arial" w:eastAsia="Arial" w:hAnsi="Arial"/>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84"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95" w:lineRule="exact"/>
        <w:rPr>
          <w:sz w:val="20"/>
          <w:szCs w:val="20"/>
          <w:color w:val="auto"/>
        </w:rPr>
      </w:pPr>
    </w:p>
    <w:p>
      <w:pPr>
        <w:ind w:left="840" w:hanging="184"/>
        <w:spacing w:after="0"/>
        <w:tabs>
          <w:tab w:leader="none" w:pos="8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5.1 Subject to the terms and conditions of this Agreement, at any time and from time to time on or after the date that the Company consummates a Business Combination and for so long as the Sponsor holds any Registrable Securities:</w:t>
      </w:r>
    </w:p>
    <w:p>
      <w:pPr>
        <w:spacing w:after="0" w:line="170"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5.1.1 The Sponsor shall have the right, but not the obligation, to designate two (2) individuals to be appointed or nominated, as the case may be, for election to the Board (including any successor, each, a “</w:t>
      </w:r>
      <w:r>
        <w:rPr>
          <w:rFonts w:ascii="Arial" w:cs="Arial" w:eastAsia="Arial" w:hAnsi="Arial"/>
          <w:sz w:val="18"/>
          <w:szCs w:val="18"/>
          <w:b w:val="1"/>
          <w:bCs w:val="1"/>
          <w:i w:val="1"/>
          <w:iCs w:val="1"/>
          <w:color w:val="auto"/>
        </w:rPr>
        <w:t>Nominee</w:t>
      </w:r>
      <w:r>
        <w:rPr>
          <w:rFonts w:ascii="Arial" w:cs="Arial" w:eastAsia="Arial" w:hAnsi="Arial"/>
          <w:sz w:val="18"/>
          <w:szCs w:val="18"/>
          <w:color w:val="auto"/>
        </w:rPr>
        <w:t>”) by giving written notice to the Company on or before the time such information is reasonably requested by the Board or the Nominating Committee of the Board, as applicable, for inclusion in a proxy statement for a meeting of stockholders provided to the Sponsor.</w:t>
      </w:r>
    </w:p>
    <w:p>
      <w:pPr>
        <w:spacing w:after="0" w:line="18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5.1.2 The Company will, as promptly as practicable, use its best efforts to take all necessary and desirable actions (including, without limitation, calling special meetings of the Board and the stockholders and recommending, supporting and soliciting proxies) so that there are three Sponsor Directors serving on the Board at all times.</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5.1.3 The Company shall, to the fullest extent permitted by applicable law, use its best efforts to take all actions necessary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ensure that: (i) each Nominee is included in the Board’s slate of nominees to the stockholders of the Company for each election of Directors; and (ii)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Nominee is included in the proxy statement prepared by management of the Company in connection with soliciting proxies for every meeting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stockholders of the Company called with respect to the election of members of the Board, and at every adjournment or postponement thereof, and on every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action or approval by written consent of the stockholders of the Company or the Board with respect to the election of members of the Board.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ind w:firstLine="1944"/>
        <w:spacing w:after="0" w:line="259" w:lineRule="auto"/>
        <w:rPr>
          <w:sz w:val="20"/>
          <w:szCs w:val="20"/>
          <w:color w:val="auto"/>
        </w:rPr>
      </w:pPr>
      <w:r>
        <w:rPr>
          <w:rFonts w:ascii="Arial" w:cs="Arial" w:eastAsia="Arial" w:hAnsi="Arial"/>
          <w:sz w:val="18"/>
          <w:szCs w:val="18"/>
          <w:color w:val="auto"/>
        </w:rPr>
        <w:t>5.1.4 If a vacancy occurs because of the death, disability, disqualification, resignation, or removal of a Sponsor Director or for any other reason, the Sponsor shall be entitled to designate such person’s successor, and the Company will, as promptly as practicable following such designation, use its best efforts to take all necessary and desirable actions, to the fullest extent permitted by law, within its control such that such vacancy shall be filled with such successor Nominee.</w:t>
      </w:r>
    </w:p>
    <w:p>
      <w:pPr>
        <w:spacing w:after="0" w:line="187" w:lineRule="exact"/>
        <w:rPr>
          <w:sz w:val="20"/>
          <w:szCs w:val="20"/>
          <w:color w:val="auto"/>
        </w:rPr>
      </w:pPr>
    </w:p>
    <w:p>
      <w:pPr>
        <w:jc w:val="both"/>
        <w:ind w:firstLine="1944"/>
        <w:spacing w:after="0" w:line="301" w:lineRule="auto"/>
        <w:rPr>
          <w:sz w:val="20"/>
          <w:szCs w:val="20"/>
          <w:color w:val="auto"/>
        </w:rPr>
      </w:pPr>
      <w:r>
        <w:rPr>
          <w:rFonts w:ascii="Arial" w:cs="Arial" w:eastAsia="Arial" w:hAnsi="Arial"/>
          <w:sz w:val="16"/>
          <w:szCs w:val="16"/>
          <w:color w:val="auto"/>
        </w:rPr>
        <w:t>5.1.5 If a Nominee is not elected because of such Nominee’s death, disability, disqualification, withdrawal as a nominee or for any other reason, the Sponsor shall be entitled to designate promptly another Nominee and the Company will take all necessary and desirable actions within its control such that the director position for which such Nominee was nominated shall not be filled pending such designation or the size of the Board shall be increased by one and such vacancy shall be filled with such successor Nominee as promptly as practicable following such designation.</w:t>
      </w:r>
    </w:p>
    <w:p>
      <w:pPr>
        <w:spacing w:after="0" w:line="157" w:lineRule="exact"/>
        <w:rPr>
          <w:sz w:val="20"/>
          <w:szCs w:val="20"/>
          <w:color w:val="auto"/>
        </w:rPr>
      </w:pPr>
    </w:p>
    <w:p>
      <w:pPr>
        <w:jc w:val="both"/>
        <w:ind w:firstLine="1944"/>
        <w:spacing w:after="0" w:line="279" w:lineRule="auto"/>
        <w:rPr>
          <w:sz w:val="20"/>
          <w:szCs w:val="20"/>
          <w:color w:val="auto"/>
        </w:rPr>
      </w:pPr>
      <w:r>
        <w:rPr>
          <w:rFonts w:ascii="Arial" w:cs="Arial" w:eastAsia="Arial" w:hAnsi="Arial"/>
          <w:sz w:val="17"/>
          <w:szCs w:val="17"/>
          <w:color w:val="auto"/>
        </w:rPr>
        <w:t>5.1.6 As promptly as reasonably practicable following the request of any Sponsor Director, the Company shall enter into an indemnification agreement with such Sponsor Director, in the form entered into with the other members of the Board. The Company shall pay the reasonable, documented out-of-pocket expenses incurred by the Sponsor Director in connection with his or her services provided to or on behalf of the Company, including attending meetings or events attended explicitly on behalf of the Company at the Company’s request.</w:t>
      </w:r>
    </w:p>
    <w:p>
      <w:pPr>
        <w:spacing w:after="0" w:line="171"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5.1.7 The Company shall (i) purchase directors’ and officers’ liability insurance in an amount determined by the Board to be reasonable and customary and (ii) for so long as a Sponsor Director serves as a Director of the Company, maintain such coverage with respect to such Sponsor Director;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upon removal or resignation of such Sponsor Director for any reason, the Company shall take all actions reasonably necessary to extend such directors’ and officers’ liability insurance coverage for a period of not less than six years from any such event in respect of any act or omission occurring at or prior to such event.</w:t>
      </w:r>
    </w:p>
    <w:p>
      <w:pPr>
        <w:spacing w:after="0" w:line="18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5.1.8 For so long as a Sponsor Director serves as a Director of the Company, the Company shall not amend, alter or repeal any right to indemnification or exculpation covering or benefiting any Director nominated pursuant to this Agreement as and to the extent consistent with applicable law, whether such right is contained in the Company’s certificate of incorporation or bylaws, each as amended, or another document (except to the extent such amendment or alteration permits the Company to provide broader indemnification or exculpation rights on a retroactive basis than permitted prior thereto).</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5.1.9 Each Nominee may, but does not need to qualify as “independent” pursuant to listing standards of the Nasdaq Capital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both"/>
        <w:ind w:firstLine="1944"/>
        <w:spacing w:after="0" w:line="268" w:lineRule="auto"/>
        <w:rPr>
          <w:sz w:val="20"/>
          <w:szCs w:val="20"/>
          <w:color w:val="auto"/>
        </w:rPr>
      </w:pPr>
      <w:r>
        <w:rPr>
          <w:rFonts w:ascii="Arial" w:cs="Arial" w:eastAsia="Arial" w:hAnsi="Arial"/>
          <w:sz w:val="17"/>
          <w:szCs w:val="17"/>
          <w:color w:val="auto"/>
        </w:rPr>
        <w:t>5.1.10 Any Nominee will be subject to the Company’s customary due diligence process, including its review of a completed questionnaire and a background check. Based on the foregoing, the Company may object to any Nominee provided (a) it does so in good faith, and (b) such objection is based upon any of the following: (i) such Nominee was convicted in a criminal proceeding or is a named subject of a pending criminal proceeding (excluding traffic violations and other minor offenses), (ii) such Nominee was the subject of any order, judgment, or decree not subsequently reversed, suspended or vacated of any court of competent jurisdiction, permanently or temporarily enjoining such proposed director from, or otherwise limiting, the following activities: (A) engaging in any type of business practice, or (B) engaging in any activity in connection with the purchase or sale of any security or in connection with any violation of federal or state securities laws, (iii) such Nominee was the subject of any order, judgment or decree, not subsequently reversed, suspended or vacated, of any federal or state authority barring, suspending or otherwise limiting for more than 60 days the right of such person to engage in any activity described in clause (ii)(B), or to be associated with persons engaged in such activity, (iv) such proposed director was found by a court of competent jurisdiction in a civil action or by the Commission to have violated any federal or state securities law, and the judgment in such civil action or finding by the Commission has not been subsequently reversed, suspended or vacated, or (v) such proposed director was the subject of, or a party to any federal or state judicial or administrative order, judgment, decree, or finding, not subsequently reversed, suspended or vacated, relating to a violation of any federal or state securities laws or regulations. In the event the Board reasonably finds the Nominee to be unsuitable based upon one or more of the foregoing clauses (i) through (v) and reasonably objects to the identified director, Sponsor shall be entitled to propose a different nominee to the Board within 30 calendar days of the Company’s notice to Sponsor of its objection to the Nominee and such replacement Nominee shall be subject to the review process outlined above.</w:t>
      </w:r>
    </w:p>
    <w:p>
      <w:pPr>
        <w:spacing w:after="0" w:line="180"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5.1.11 The Company shall take all necessary action to cause a Nominee chosen by the Sponsor, at the request of such Nominee, to be elected to the board of directors (or similar governing body) of each material operating subsidiary of the Company. The Nominee, as applicable, shall have the right to attend (in person or remotely) any meetings of the board of directors (or similar governing body or committee thereof) of each subsidiary of the Company.</w:t>
      </w:r>
    </w:p>
    <w:p>
      <w:pPr>
        <w:spacing w:after="0" w:line="187" w:lineRule="exact"/>
        <w:rPr>
          <w:sz w:val="20"/>
          <w:szCs w:val="20"/>
          <w:color w:val="auto"/>
        </w:rPr>
      </w:pPr>
    </w:p>
    <w:p>
      <w:pPr>
        <w:jc w:val="both"/>
        <w:ind w:firstLine="656"/>
        <w:spacing w:after="0" w:line="301" w:lineRule="auto"/>
        <w:tabs>
          <w:tab w:leader="none" w:pos="828"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57" w:lineRule="exact"/>
        <w:rPr>
          <w:rFonts w:ascii="Arial" w:cs="Arial" w:eastAsia="Arial" w:hAnsi="Arial"/>
          <w:sz w:val="16"/>
          <w:szCs w:val="16"/>
          <w:color w:val="auto"/>
        </w:rPr>
      </w:pPr>
    </w:p>
    <w:p>
      <w:pPr>
        <w:ind w:left="840" w:hanging="184"/>
        <w:spacing w:after="0"/>
        <w:tabs>
          <w:tab w:leader="none" w:pos="8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represents and warrants that, except as disclosed in the Company’s registration statement on Form S-1 (File No. 333-240237),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ind w:firstLine="1296"/>
        <w:spacing w:after="0" w:line="29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7.3.</w:t>
      </w:r>
    </w:p>
    <w:p>
      <w:pPr>
        <w:spacing w:after="0" w:line="16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or other communications (collectively,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BCTG Acquisition Corp.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11682 El Camino Real, Suite 320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92130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Giovanni Caruso,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an Investor, to the address set forth below such Investor’s name on Exhibit A hereto.</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right="20" w:firstLine="1296"/>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No amendment, modification or termination of this Agreement shall be binding upon any party unless executed in writing by such party.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7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Registration and Stockholder Rights Agreement to be executed and delivered by their duly authorized representatives as of the date first written above.</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BCTG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Aaron I. Davis</w:t>
      </w:r>
    </w:p>
    <w:p>
      <w:pPr>
        <w:spacing w:after="0" w:line="23"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BCTG HOLDINGS, LLC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280035</wp:posOffset>
            </wp:positionV>
            <wp:extent cx="284607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Richard Heyman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Charles M.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Jamie G.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[_____]</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Registration and Stockholder Rights Agreement]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5" w:name="page216"/>
    <w:bookmarkEnd w:id="215"/>
    <w:p>
      <w:pPr>
        <w:jc w:val="center"/>
        <w:ind w:right="-2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 &amp; Address of Investor</w:t>
      </w:r>
      <w:r>
        <w:rPr>
          <w:rFonts w:ascii="Arial" w:cs="Arial" w:eastAsia="Arial" w:hAnsi="Arial"/>
          <w:sz w:val="29"/>
          <w:szCs w:val="29"/>
          <w:color w:val="auto"/>
          <w:vertAlign w:val="superscript"/>
        </w:rPr>
        <w:t>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BCTG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Heyman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Charles M. Baum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Jamie G. Christensen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6" w:lineRule="exact"/>
        <w:rPr>
          <w:sz w:val="20"/>
          <w:szCs w:val="20"/>
          <w:color w:val="auto"/>
        </w:rPr>
      </w:pPr>
    </w:p>
    <w:p>
      <w:pPr>
        <w:ind w:left="120" w:hanging="112"/>
        <w:spacing w:after="0"/>
        <w:tabs>
          <w:tab w:leader="none" w:pos="120" w:val="left"/>
        </w:tabs>
        <w:numPr>
          <w:ilvl w:val="0"/>
          <w:numId w:val="152"/>
        </w:numPr>
        <w:rPr>
          <w:rFonts w:ascii="Arial" w:cs="Arial" w:eastAsia="Arial" w:hAnsi="Arial"/>
          <w:sz w:val="27"/>
          <w:szCs w:val="27"/>
          <w:color w:val="auto"/>
          <w:vertAlign w:val="superscript"/>
        </w:rPr>
      </w:pPr>
      <w:r>
        <w:rPr>
          <w:rFonts w:ascii="Arial" w:cs="Arial" w:eastAsia="Arial" w:hAnsi="Arial"/>
          <w:sz w:val="16"/>
          <w:szCs w:val="16"/>
          <w:color w:val="auto"/>
        </w:rPr>
        <w:t>Except as stated above, the business address of each Investor is c/o BCTG Acquisition Corp., 11682 El Camino Real, Suite 320, San Diego, CA 92130.</w:t>
      </w:r>
    </w:p>
    <w:p>
      <w:pPr>
        <w:spacing w:after="0" w:line="200" w:lineRule="exact"/>
        <w:rPr>
          <w:rFonts w:ascii="Arial" w:cs="Arial" w:eastAsia="Arial" w:hAnsi="Arial"/>
          <w:sz w:val="27"/>
          <w:szCs w:val="27"/>
          <w:color w:val="auto"/>
          <w:vertAlign w:val="superscript"/>
        </w:rPr>
      </w:pPr>
    </w:p>
    <w:p>
      <w:pPr>
        <w:spacing w:after="0" w:line="217" w:lineRule="exact"/>
        <w:rPr>
          <w:rFonts w:ascii="Arial" w:cs="Arial" w:eastAsia="Arial" w:hAnsi="Arial"/>
          <w:sz w:val="27"/>
          <w:szCs w:val="27"/>
          <w:color w:val="auto"/>
          <w:vertAlign w:val="superscript"/>
        </w:rPr>
      </w:pPr>
    </w:p>
    <w:p>
      <w:pPr>
        <w:ind w:left="5540"/>
        <w:spacing w:after="0"/>
        <w:rPr>
          <w:rFonts w:ascii="Arial" w:cs="Arial" w:eastAsia="Arial" w:hAnsi="Arial"/>
          <w:sz w:val="27"/>
          <w:szCs w:val="27"/>
          <w:color w:val="auto"/>
          <w:vertAlign w:val="superscript"/>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904" w:right="5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___,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BCTG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BCTG Acquisition Corp. (the “Company”), a blank check company formed for the purpose of acquiring one or more businesses or entities (a “Business Combination”), intends to register its securities under the Securities Act of 1933, as amended (“Securities Act”), in connection with its initial public offering (“IPO”), pursuant to a registration statement on Form S-1 (“Registration Statement”).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hereby commits that it will purchase an aggregate of 450,000 shares of common stock (or 487,500 shares if the underwriters’ over-allotment option is exercised in full) (“Private Shares”) at a price of 10.00 per share ($4,500,000 in the aggregate, or $4,875,000 in the aggregate if the underwriters’ overallotment option is exercised in full) (“Private Shares Purchase Price”).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least twenty-four (24) hours prior to the effective date of the Registration Statement, the undersigned will cause the Private Shares Purchase Price to be delivered to Loeb &amp; Loeb, LLP (“Loeb”), as escrow agent, by wire transfer as set forth in the instructions attached as Exhibit A to hold in a non-interest bearing account until the Company consummates the IPO.</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consummation of the purchase and issuance of the Private Shares shall occur simultaneously with the consummation of the IPO. On or prior to the consummation of the IPO, Loeb shall deposit the Private Shares Purchase Price, without interest or deduction, into the trust fund (“Trust Fund”) established by the Company for the benefit of the Company’s public stockholders as described in the Registration Statement.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Company and the undersigned acknowledges and agrees that Loeb is serving hereunder solely as a convenience to the parties to facilitate the purchase of the Private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the undersigned agrees:</w:t>
      </w:r>
    </w:p>
    <w:p>
      <w:pPr>
        <w:spacing w:after="0" w:line="225" w:lineRule="exact"/>
        <w:rPr>
          <w:sz w:val="20"/>
          <w:szCs w:val="20"/>
          <w:color w:val="auto"/>
        </w:rPr>
      </w:pPr>
    </w:p>
    <w:p>
      <w:pPr>
        <w:jc w:val="both"/>
        <w:ind w:left="1300" w:hanging="320"/>
        <w:spacing w:after="0" w:line="272" w:lineRule="auto"/>
        <w:tabs>
          <w:tab w:leader="none" w:pos="13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not to propose, or vote in favor of, an amendment to the Company’s Amended and Restated Certificate of Incorporation that would affect the substance or timing of the Company’s obligation to redeem 100% of the Company’s shares of Common Stock sold in the IPO if the Company does not complete an initial Business Combination within 24 months from the closing of the IPO, unless the Company provides the holders of shares of Common Stock sold in the IPO with the opportunity to redeem their shares of Common Stock upon approval of any such amendment at a per-share price, payable in cash, equal to the aggregate amount of the Trust Fund, including interest earned on Trust Fund and not previously released to the Company to pay the Company’s franchise and income taxes, divided by the number of then outstanding shares of Common Stock sold in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7" w:name="page218"/>
    <w:bookmarkEnd w:id="217"/>
    <w:p>
      <w:pPr>
        <w:jc w:val="both"/>
        <w:ind w:left="1300" w:hanging="320"/>
        <w:spacing w:after="0" w:line="263" w:lineRule="auto"/>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undersigned will not participate in any liquidation distribution with respect to the Private Shares (but will participate in liquidation distributions with respect to any shares of Common Stock purchased by the undersigned in the IPO or in the open market) if the Company fails to consummate a Business Combination;</w:t>
      </w:r>
    </w:p>
    <w:p>
      <w:pPr>
        <w:spacing w:after="0" w:line="183" w:lineRule="exact"/>
        <w:rPr>
          <w:rFonts w:ascii="Arial" w:cs="Arial" w:eastAsia="Arial" w:hAnsi="Arial"/>
          <w:sz w:val="18"/>
          <w:szCs w:val="18"/>
          <w:color w:val="auto"/>
        </w:rPr>
      </w:pPr>
    </w:p>
    <w:p>
      <w:pPr>
        <w:jc w:val="both"/>
        <w:ind w:left="1300" w:hanging="320"/>
        <w:spacing w:after="0" w:line="293" w:lineRule="auto"/>
        <w:tabs>
          <w:tab w:leader="none" w:pos="13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that the Private Shares will not be transferable until after the consummation of a Business Combination except (i) to the Company’s pre-IPO stockholders, or to the Company’s officers, directors, advisors and employees, (ii) transfers to the undersigned’s affiliates or its members upon its liquidation, (iii) to relatives and trusts for estate planning purposes, (iv) by virtue of the laws of descent and distribution upon death, (v) pursuant to a qualified domestic relations order, (vi) by private sales at prices no greater than the price at which the Private Shares were originally purchased or (vii) to the Company for cancellation in connection with the consummation of a Business Combination, in each case (except for clause vii) where the transferee agrees to the terms of the transfer restrictions; and</w:t>
      </w:r>
    </w:p>
    <w:p>
      <w:pPr>
        <w:spacing w:after="0" w:line="164"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Private Shares will include any additional terms or restrictions as is customary in other similarly structured blank check company offerings or as may be reasonably required by the underwriters in the IPO in order to consummate the IPO, each of which will be set forth in the Registration Statement.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acknowledges and agrees that the purchaser of the Private Shares will execute agreements in form and substance typical for transactions of this nature necessary to effectuate the foregoing agreements and obligations prior to the consummation of the IPO as are reasonably acceptable to the undersigned, including but not limited to an insider letter.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represents and warrants that:</w:t>
      </w:r>
    </w:p>
    <w:p>
      <w:pPr>
        <w:spacing w:after="0" w:line="225" w:lineRule="exact"/>
        <w:rPr>
          <w:sz w:val="20"/>
          <w:szCs w:val="20"/>
          <w:color w:val="auto"/>
        </w:rPr>
      </w:pPr>
    </w:p>
    <w:p>
      <w:pPr>
        <w:ind w:left="900" w:hanging="244"/>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it has been advised that the Private Shares have not been registered under the Securities Act;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it will be acquiring the Private Shares for its account for investment purposes only;</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it has no present intention of selling or otherwise disposing of the Private Shares in violation of the securities laws of the United States;</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it is an “accredited investor” as defined by Rule 501 of Regulation D promulgated under the Securities Act of 1933, as amended;</w:t>
      </w:r>
    </w:p>
    <w:p>
      <w:pPr>
        <w:spacing w:after="0" w:line="225" w:lineRule="exact"/>
        <w:rPr>
          <w:rFonts w:ascii="Arial" w:cs="Arial" w:eastAsia="Arial" w:hAnsi="Arial"/>
          <w:sz w:val="18"/>
          <w:szCs w:val="18"/>
          <w:color w:val="auto"/>
        </w:rPr>
      </w:pPr>
    </w:p>
    <w:p>
      <w:pPr>
        <w:ind w:firstLine="65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it has had both the opportunity to ask questions and receive answers from the officers and directors of the Company and all persons acting on its behalf concerning the terms and conditions of the offer made hereunder;</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it is familiar with the proposed business, management, financial condition and affairs of the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ind w:firstLine="656"/>
        <w:spacing w:after="0" w:line="277" w:lineRule="auto"/>
        <w:tabs>
          <w:tab w:leader="none" w:pos="94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letter constitutes its legal, valid and binding obligation, and is enforceable against 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letter agreement constitutes the entire agreement between the undersigned and the Company with respect to the purchase of the Private Shares, and supersedes all prior and contemporaneous understandings, agreements, representations and warranties, both written and oral, with respect to the same.</w:t>
      </w:r>
    </w:p>
    <w:p>
      <w:pPr>
        <w:spacing w:after="0" w:line="18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BCTG HOLDINGS LLC</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BCTG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2772410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11682 El Camino Real, Suite 320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21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September _____,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BCTG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letter will confirm our agreement that, commencing on the effective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of the registration statement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for the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securities of BCTG Acquisition Corp.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continuing until the earlier of (i) the consummation by the Company of an initial business combination or (ii) the Company’s liquidation (in each case as described in the Registration Statement) (such earlier date hereinafter referred to as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 BCTG Holdings, LLC (“</w:t>
      </w:r>
      <w:r>
        <w:rPr>
          <w:rFonts w:ascii="Arial" w:cs="Arial" w:eastAsia="Arial" w:hAnsi="Arial"/>
          <w:sz w:val="17"/>
          <w:szCs w:val="17"/>
          <w:b w:val="1"/>
          <w:bCs w:val="1"/>
          <w:i w:val="1"/>
          <w:iCs w:val="1"/>
          <w:color w:val="auto"/>
        </w:rPr>
        <w:t>Holdings</w:t>
      </w:r>
      <w:r>
        <w:rPr>
          <w:rFonts w:ascii="Arial" w:cs="Arial" w:eastAsia="Arial" w:hAnsi="Arial"/>
          <w:sz w:val="17"/>
          <w:szCs w:val="17"/>
          <w:color w:val="auto"/>
        </w:rPr>
        <w:t>”) shall make available to the Company certain office space, secretarial and administrative services as may be required by the Company from time to time, situated at 11682 El Camino Real, Suite 320, San Diego, CA 92130 (or any successor location). In exchange therefore, the Company shall pay Holdings a sum not to exceed $10,000 per month, respectively, on the Effective Date and continuing monthly thereafter until the Termination Date. Holdings hereby agrees that it does not have any right, title, interest or claim of any kind in or to any monies that may be set aside in a trust account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that may be established by the Company for the benefit of the Company’s public stockholders upon the consummation of the IPO as described in the Registration Statement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BCTG ACQUISITION CORP.</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Aaron I. Davis</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BOXER CAPITAL,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40"/>
          </w:cols>
          <w:pgMar w:left="320" w:top="121"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August __, 2020, by and between BCTG Acquisition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[_________]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 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determined that, in order to attract and retain qualified individuals,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 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2" w:name="page223"/>
    <w:bookmarkEnd w:id="222"/>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of the Company and any resolutions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thereto, and shall not be deemed a substitute therefor, nor to diminish or abrogate any rights of Indemnitee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or she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6" w:lineRule="auto"/>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SERVICES TO THE COMPANY</w:t>
      </w:r>
      <w:r>
        <w:rPr>
          <w:rFonts w:ascii="Arial" w:cs="Arial" w:eastAsia="Arial" w:hAnsi="Arial"/>
          <w:sz w:val="18"/>
          <w:szCs w:val="18"/>
          <w:color w:val="auto"/>
        </w:rPr>
        <w:t>. Indemnitee will serve or continue to serve as an officer, director, advisor, key employee or in any other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7" w:lineRule="exact"/>
        <w:rPr>
          <w:rFonts w:ascii="Arial" w:cs="Arial" w:eastAsia="Arial" w:hAnsi="Arial"/>
          <w:sz w:val="18"/>
          <w:szCs w:val="18"/>
          <w:color w:val="auto"/>
        </w:rPr>
      </w:pPr>
    </w:p>
    <w:p>
      <w:pPr>
        <w:ind w:left="340" w:hanging="332"/>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color w:val="auto"/>
        </w:rPr>
      </w:pPr>
    </w:p>
    <w:p>
      <w:pPr>
        <w:jc w:val="both"/>
        <w:ind w:left="340" w:hanging="8"/>
        <w:spacing w:after="0" w:line="259" w:lineRule="auto"/>
        <w:tabs>
          <w:tab w:leader="none" w:pos="59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left="340" w:right="20" w:hanging="8"/>
        <w:spacing w:after="0" w:line="277" w:lineRule="auto"/>
        <w:tabs>
          <w:tab w:leader="none" w:pos="599"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left="660" w:hanging="4"/>
        <w:spacing w:after="0" w:line="293" w:lineRule="auto"/>
        <w:tabs>
          <w:tab w:leader="none" w:pos="875" w:val="left"/>
        </w:tabs>
        <w:numPr>
          <w:ilvl w:val="2"/>
          <w:numId w:val="157"/>
        </w:numPr>
        <w:rPr>
          <w:rFonts w:ascii="Arial" w:cs="Arial" w:eastAsia="Arial" w:hAnsi="Arial"/>
          <w:sz w:val="16"/>
          <w:szCs w:val="16"/>
          <w:color w:val="auto"/>
        </w:rPr>
      </w:pPr>
      <w:r>
        <w:rPr>
          <w:rFonts w:ascii="Arial" w:cs="Arial" w:eastAsia="Arial" w:hAnsi="Arial"/>
          <w:sz w:val="16"/>
          <w:szCs w:val="16"/>
          <w:u w:val="single" w:color="auto"/>
          <w:color w:val="auto"/>
        </w:rPr>
        <w:t>Acquisition of Stock by Third Party</w:t>
      </w:r>
      <w:r>
        <w:rPr>
          <w:rFonts w:ascii="Arial" w:cs="Arial" w:eastAsia="Arial" w:hAnsi="Arial"/>
          <w:sz w:val="16"/>
          <w:szCs w:val="16"/>
          <w:color w:val="auto"/>
        </w:rPr>
        <w:t>. Other than BCTG Holdings, LLC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both"/>
        <w:ind w:left="328" w:hanging="4"/>
        <w:spacing w:after="0" w:line="259" w:lineRule="auto"/>
        <w:tabs>
          <w:tab w:leader="none" w:pos="593"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cease for any reason to constitute at least a majority of the members of the Board;</w:t>
      </w:r>
    </w:p>
    <w:p>
      <w:pPr>
        <w:spacing w:after="0" w:line="186" w:lineRule="exact"/>
        <w:rPr>
          <w:rFonts w:ascii="Arial" w:cs="Arial" w:eastAsia="Arial" w:hAnsi="Arial"/>
          <w:sz w:val="18"/>
          <w:szCs w:val="18"/>
          <w:color w:val="auto"/>
        </w:rPr>
      </w:pPr>
    </w:p>
    <w:p>
      <w:pPr>
        <w:jc w:val="both"/>
        <w:ind w:left="328" w:hanging="4"/>
        <w:spacing w:after="0" w:line="286" w:lineRule="auto"/>
        <w:tabs>
          <w:tab w:leader="none" w:pos="656"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The effective date of a merger, share exchange, asset acquisition, stock purchase, recapitalization or other similar business combination involving the Company and one or more businesses or entities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Sponsor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73" w:lineRule="exact"/>
        <w:rPr>
          <w:rFonts w:ascii="Arial" w:cs="Arial" w:eastAsia="Arial" w:hAnsi="Arial"/>
          <w:sz w:val="16"/>
          <w:szCs w:val="16"/>
          <w:color w:val="auto"/>
        </w:rPr>
      </w:pPr>
    </w:p>
    <w:p>
      <w:pPr>
        <w:jc w:val="both"/>
        <w:ind w:left="328" w:hanging="4"/>
        <w:spacing w:after="0" w:line="259" w:lineRule="auto"/>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328" w:hanging="4"/>
        <w:spacing w:after="0" w:line="263" w:lineRule="auto"/>
        <w:tabs>
          <w:tab w:leader="none" w:pos="596"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ind w:left="8" w:hanging="8"/>
        <w:spacing w:after="0" w:line="342" w:lineRule="auto"/>
        <w:tabs>
          <w:tab w:leader="none" w:pos="26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333"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6985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224" w:name="page225"/>
    <w:bookmarkEnd w:id="224"/>
    <w:p>
      <w:pPr>
        <w:ind w:left="248" w:hanging="248"/>
        <w:spacing w:after="0"/>
        <w:tabs>
          <w:tab w:leader="none" w:pos="24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left="8" w:hanging="8"/>
        <w:spacing w:after="0" w:line="277" w:lineRule="auto"/>
        <w:tabs>
          <w:tab w:leader="none" w:pos="23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8" w:hanging="8"/>
        <w:spacing w:after="0" w:line="259" w:lineRule="auto"/>
        <w:tabs>
          <w:tab w:leader="none" w:pos="26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248" w:hanging="248"/>
        <w:spacing w:after="0"/>
        <w:tabs>
          <w:tab w:leader="none" w:pos="24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jc w:val="both"/>
        <w:ind w:left="8" w:hanging="8"/>
        <w:spacing w:after="0" w:line="289" w:lineRule="auto"/>
        <w:tabs>
          <w:tab w:leader="none" w:pos="25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jc w:val="both"/>
        <w:ind w:left="8" w:hanging="8"/>
        <w:spacing w:after="0" w:line="255" w:lineRule="auto"/>
        <w:tabs>
          <w:tab w:leader="none" w:pos="23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200" w:lineRule="exact"/>
        <w:rPr>
          <w:sz w:val="20"/>
          <w:szCs w:val="20"/>
          <w:color w:val="auto"/>
        </w:rPr>
      </w:pPr>
    </w:p>
    <w:p>
      <w:pPr>
        <w:spacing w:after="0" w:line="201"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6985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225" w:name="page226"/>
    <w:bookmarkEnd w:id="225"/>
    <w:p>
      <w:pPr>
        <w:jc w:val="both"/>
        <w:ind w:left="340" w:hanging="8"/>
        <w:spacing w:after="0" w:line="287" w:lineRule="auto"/>
        <w:tabs>
          <w:tab w:leader="none" w:pos="595" w:val="left"/>
        </w:tabs>
        <w:numPr>
          <w:ilvl w:val="1"/>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spacing w:after="0" w:line="2" w:lineRule="exact"/>
        <w:rPr>
          <w:rFonts w:ascii="Arial" w:cs="Arial" w:eastAsia="Arial" w:hAnsi="Arial"/>
          <w:sz w:val="16"/>
          <w:szCs w:val="16"/>
          <w:color w:val="auto"/>
        </w:rPr>
      </w:pPr>
    </w:p>
    <w:p>
      <w:pPr>
        <w:jc w:val="both"/>
        <w:ind w:left="340" w:hanging="8"/>
        <w:spacing w:after="0" w:line="277" w:lineRule="auto"/>
        <w:tabs>
          <w:tab w:leader="none" w:pos="61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jc w:val="both"/>
        <w:ind w:left="340" w:hanging="8"/>
        <w:spacing w:after="0" w:line="293" w:lineRule="auto"/>
        <w:tabs>
          <w:tab w:leader="none" w:pos="56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64" w:lineRule="exact"/>
        <w:rPr>
          <w:rFonts w:ascii="Arial" w:cs="Arial" w:eastAsia="Arial" w:hAnsi="Arial"/>
          <w:sz w:val="16"/>
          <w:szCs w:val="16"/>
          <w:color w:val="auto"/>
        </w:rPr>
      </w:pPr>
    </w:p>
    <w:p>
      <w:pPr>
        <w:jc w:val="both"/>
        <w:ind w:left="340" w:hanging="8"/>
        <w:spacing w:after="0" w:line="272" w:lineRule="auto"/>
        <w:tabs>
          <w:tab w:leader="none" w:pos="681"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77" w:lineRule="exact"/>
        <w:rPr>
          <w:rFonts w:ascii="Arial" w:cs="Arial" w:eastAsia="Arial" w:hAnsi="Arial"/>
          <w:sz w:val="17"/>
          <w:szCs w:val="17"/>
          <w:color w:val="auto"/>
        </w:rPr>
      </w:pPr>
    </w:p>
    <w:p>
      <w:pPr>
        <w:ind w:left="340" w:hanging="8"/>
        <w:spacing w:after="0" w:line="308" w:lineRule="auto"/>
        <w:tabs>
          <w:tab w:leader="none" w:pos="599"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2" w:lineRule="exact"/>
        <w:rPr>
          <w:rFonts w:ascii="Arial" w:cs="Arial" w:eastAsia="Arial" w:hAnsi="Arial"/>
          <w:sz w:val="17"/>
          <w:szCs w:val="17"/>
          <w:color w:val="auto"/>
        </w:rPr>
      </w:pPr>
    </w:p>
    <w:p>
      <w:pPr>
        <w:jc w:val="both"/>
        <w:ind w:left="340" w:hanging="332"/>
        <w:spacing w:after="0" w:line="271" w:lineRule="auto"/>
        <w:tabs>
          <w:tab w:leader="none" w:pos="340" w:val="left"/>
        </w:tabs>
        <w:numPr>
          <w:ilvl w:val="0"/>
          <w:numId w:val="164"/>
        </w:numPr>
        <w:rPr>
          <w:rFonts w:ascii="Arial" w:cs="Arial" w:eastAsia="Arial" w:hAnsi="Arial"/>
          <w:sz w:val="17"/>
          <w:szCs w:val="17"/>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 harmless</w:t>
      </w:r>
      <w:r>
        <w:rPr>
          <w:rFonts w:ascii="Arial" w:cs="Arial" w:eastAsia="Arial" w:hAnsi="Arial"/>
          <w:sz w:val="17"/>
          <w:szCs w:val="17"/>
          <w:b w:val="1"/>
          <w:bCs w:val="1"/>
          <w:color w:val="auto"/>
        </w:rPr>
        <w:t xml:space="preserve"> </w:t>
      </w:r>
      <w:r>
        <w:rPr>
          <w:rFonts w:ascii="Arial" w:cs="Arial" w:eastAsia="Arial" w:hAnsi="Arial"/>
          <w:sz w:val="17"/>
          <w:szCs w:val="17"/>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6" w:name="page227"/>
    <w:bookmarkEnd w:id="226"/>
    <w:p>
      <w:pPr>
        <w:jc w:val="both"/>
        <w:ind w:left="340" w:hanging="332"/>
        <w:spacing w:after="0" w:line="270" w:lineRule="auto"/>
        <w:tabs>
          <w:tab w:leader="none" w:pos="340" w:val="left"/>
        </w:tabs>
        <w:numPr>
          <w:ilvl w:val="0"/>
          <w:numId w:val="165"/>
        </w:numPr>
        <w:rPr>
          <w:rFonts w:ascii="Arial" w:cs="Arial" w:eastAsia="Arial" w:hAnsi="Arial"/>
          <w:sz w:val="17"/>
          <w:szCs w:val="17"/>
          <w:color w:val="auto"/>
        </w:rPr>
      </w:pPr>
      <w:r>
        <w:rPr>
          <w:rFonts w:ascii="Arial" w:cs="Arial" w:eastAsia="Arial" w:hAnsi="Arial"/>
          <w:sz w:val="17"/>
          <w:szCs w:val="17"/>
          <w:b w:val="1"/>
          <w:bCs w:val="1"/>
          <w:color w:val="auto"/>
        </w:rPr>
        <w:t>INDEMNITY IN PROCEEDINGS BY OR IN THE RIGHT OF THE COMPANY</w:t>
      </w:r>
      <w:r>
        <w:rPr>
          <w:rFonts w:ascii="Arial" w:cs="Arial" w:eastAsia="Arial" w:hAnsi="Arial"/>
          <w:sz w:val="17"/>
          <w:szCs w:val="17"/>
          <w:color w:val="auto"/>
        </w:rPr>
        <w:t>. To the fullest extent permitted by applicable law,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76" w:lineRule="exact"/>
        <w:rPr>
          <w:rFonts w:ascii="Arial" w:cs="Arial" w:eastAsia="Arial" w:hAnsi="Arial"/>
          <w:sz w:val="17"/>
          <w:szCs w:val="17"/>
          <w:color w:val="auto"/>
        </w:rPr>
      </w:pPr>
    </w:p>
    <w:p>
      <w:pPr>
        <w:jc w:val="both"/>
        <w:ind w:left="340" w:hanging="332"/>
        <w:spacing w:after="0" w:line="269" w:lineRule="auto"/>
        <w:tabs>
          <w:tab w:leader="none" w:pos="340" w:val="left"/>
        </w:tabs>
        <w:numPr>
          <w:ilvl w:val="0"/>
          <w:numId w:val="165"/>
        </w:numPr>
        <w:rPr>
          <w:rFonts w:ascii="Arial" w:cs="Arial" w:eastAsia="Arial" w:hAnsi="Arial"/>
          <w:sz w:val="17"/>
          <w:szCs w:val="17"/>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78" w:lineRule="exact"/>
        <w:rPr>
          <w:rFonts w:ascii="Arial" w:cs="Arial" w:eastAsia="Arial" w:hAnsi="Arial"/>
          <w:sz w:val="17"/>
          <w:szCs w:val="17"/>
          <w:color w:val="auto"/>
        </w:rPr>
      </w:pPr>
    </w:p>
    <w:p>
      <w:pPr>
        <w:jc w:val="both"/>
        <w:ind w:left="340" w:hanging="332"/>
        <w:spacing w:after="0" w:line="261" w:lineRule="auto"/>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INDEMNIFICATION FOR EXPENSES OF A WITNESS</w:t>
      </w:r>
      <w:r>
        <w:rPr>
          <w:rFonts w:ascii="Arial" w:cs="Arial" w:eastAsia="Arial" w:hAnsi="Arial"/>
          <w:sz w:val="18"/>
          <w:szCs w:val="18"/>
          <w:color w:val="auto"/>
        </w:rPr>
        <w:t>. Notwithstanding any other provision of this Agreement except for Section 27,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ind w:left="340" w:hanging="332"/>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ADDITIONAL INDEMNIFICATION, HOLD HARMLESS AND EXONERATION RIGHTS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spacing w:after="0" w:line="254" w:lineRule="auto"/>
        <w:rPr>
          <w:rFonts w:ascii="Arial" w:cs="Arial" w:eastAsia="Arial" w:hAnsi="Arial"/>
          <w:sz w:val="18"/>
          <w:szCs w:val="18"/>
          <w:color w:val="auto"/>
        </w:rPr>
      </w:pPr>
      <w:r>
        <w:rPr>
          <w:rFonts w:ascii="Arial" w:cs="Arial" w:eastAsia="Arial" w:hAnsi="Arial"/>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Arial" w:cs="Arial" w:eastAsia="Arial" w:hAnsi="Arial"/>
          <w:sz w:val="18"/>
          <w:szCs w:val="18"/>
          <w:color w:val="auto"/>
        </w:rPr>
      </w:pPr>
    </w:p>
    <w:p>
      <w:pPr>
        <w:ind w:left="340" w:hanging="332"/>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hanging="8"/>
        <w:spacing w:after="0" w:line="296" w:lineRule="auto"/>
        <w:tabs>
          <w:tab w:leader="none" w:pos="625"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340" w:right="20" w:hanging="8"/>
        <w:spacing w:after="0" w:line="277" w:lineRule="auto"/>
        <w:tabs>
          <w:tab w:leader="none" w:pos="60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left="340" w:hanging="8"/>
        <w:spacing w:after="0" w:line="277" w:lineRule="auto"/>
        <w:tabs>
          <w:tab w:leader="none" w:pos="59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except for Section 27, the Company shall not be obligated under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indemnification, hold harmless or exoneration payment in connection with any claim made against Indemnitee:</w:t>
      </w:r>
    </w:p>
    <w:p>
      <w:pPr>
        <w:spacing w:after="0" w:line="165" w:lineRule="exact"/>
        <w:rPr>
          <w:rFonts w:ascii="Arial" w:cs="Arial" w:eastAsia="Arial" w:hAnsi="Arial"/>
          <w:sz w:val="18"/>
          <w:szCs w:val="18"/>
          <w:color w:val="auto"/>
        </w:rPr>
      </w:pPr>
    </w:p>
    <w:p>
      <w:pPr>
        <w:ind w:left="340" w:hanging="8"/>
        <w:spacing w:after="0" w:line="342" w:lineRule="auto"/>
        <w:tabs>
          <w:tab w:leader="none" w:pos="591" w:val="left"/>
        </w:tabs>
        <w:numPr>
          <w:ilvl w:val="1"/>
          <w:numId w:val="166"/>
        </w:numPr>
        <w:rPr>
          <w:rFonts w:ascii="Arial" w:cs="Arial" w:eastAsia="Arial" w:hAnsi="Arial"/>
          <w:sz w:val="16"/>
          <w:szCs w:val="16"/>
          <w:color w:val="auto"/>
        </w:rPr>
      </w:pPr>
      <w:r>
        <w:rPr>
          <w:rFonts w:ascii="Arial" w:cs="Arial" w:eastAsia="Arial" w:hAnsi="Arial"/>
          <w:sz w:val="16"/>
          <w:szCs w:val="16"/>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23" w:lineRule="exact"/>
        <w:rPr>
          <w:rFonts w:ascii="Arial" w:cs="Arial" w:eastAsia="Arial" w:hAnsi="Arial"/>
          <w:sz w:val="16"/>
          <w:szCs w:val="16"/>
          <w:color w:val="auto"/>
        </w:rPr>
      </w:pPr>
    </w:p>
    <w:p>
      <w:pPr>
        <w:ind w:left="340" w:right="20" w:hanging="8"/>
        <w:spacing w:after="0" w:line="277" w:lineRule="auto"/>
        <w:tabs>
          <w:tab w:leader="none" w:pos="59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both"/>
        <w:ind w:left="340" w:hanging="8"/>
        <w:spacing w:after="0" w:line="257" w:lineRule="auto"/>
        <w:tabs>
          <w:tab w:leader="none" w:pos="604"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hanging="8"/>
        <w:spacing w:after="0" w:line="269" w:lineRule="auto"/>
        <w:tabs>
          <w:tab w:leader="none" w:pos="595" w:val="left"/>
        </w:tabs>
        <w:numPr>
          <w:ilvl w:val="1"/>
          <w:numId w:val="168"/>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78" w:lineRule="exact"/>
        <w:rPr>
          <w:rFonts w:ascii="Arial" w:cs="Arial" w:eastAsia="Arial" w:hAnsi="Arial"/>
          <w:sz w:val="17"/>
          <w:szCs w:val="17"/>
          <w:color w:val="auto"/>
        </w:rPr>
      </w:pPr>
    </w:p>
    <w:p>
      <w:pPr>
        <w:ind w:left="580" w:hanging="248"/>
        <w:spacing w:after="0"/>
        <w:tabs>
          <w:tab w:leader="none" w:pos="5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340" w:hanging="8"/>
        <w:spacing w:after="0" w:line="308" w:lineRule="auto"/>
        <w:tabs>
          <w:tab w:leader="none" w:pos="596"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42" w:lineRule="exact"/>
        <w:rPr>
          <w:rFonts w:ascii="Arial" w:cs="Arial" w:eastAsia="Arial" w:hAnsi="Arial"/>
          <w:sz w:val="17"/>
          <w:szCs w:val="17"/>
          <w:color w:val="auto"/>
        </w:rPr>
      </w:pPr>
    </w:p>
    <w:p>
      <w:pPr>
        <w:ind w:left="340" w:hanging="332"/>
        <w:spacing w:after="0"/>
        <w:tabs>
          <w:tab w:leader="none" w:pos="34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hanging="8"/>
        <w:spacing w:after="0" w:line="259" w:lineRule="auto"/>
        <w:tabs>
          <w:tab w:leader="none" w:pos="60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jc w:val="both"/>
        <w:ind w:left="340" w:hanging="8"/>
        <w:spacing w:after="0" w:line="259" w:lineRule="auto"/>
        <w:tabs>
          <w:tab w:leader="none" w:pos="62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hanging="8"/>
        <w:spacing w:after="0" w:line="287" w:lineRule="auto"/>
        <w:tabs>
          <w:tab w:leader="none" w:pos="58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67" w:lineRule="exact"/>
        <w:rPr>
          <w:rFonts w:ascii="Arial" w:cs="Arial" w:eastAsia="Arial" w:hAnsi="Arial"/>
          <w:sz w:val="16"/>
          <w:szCs w:val="16"/>
          <w:color w:val="auto"/>
        </w:rPr>
      </w:pPr>
    </w:p>
    <w:p>
      <w:pPr>
        <w:jc w:val="both"/>
        <w:ind w:left="340" w:hanging="8"/>
        <w:spacing w:after="0" w:line="285" w:lineRule="auto"/>
        <w:tabs>
          <w:tab w:leader="none" w:pos="622"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ind w:left="340" w:right="20" w:hanging="8"/>
        <w:spacing w:after="0" w:line="342" w:lineRule="auto"/>
        <w:tabs>
          <w:tab w:leader="none" w:pos="591"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19" w:lineRule="exact"/>
        <w:rPr>
          <w:rFonts w:ascii="Arial" w:cs="Arial" w:eastAsia="Arial" w:hAnsi="Arial"/>
          <w:sz w:val="16"/>
          <w:szCs w:val="16"/>
          <w:color w:val="auto"/>
        </w:rPr>
      </w:pPr>
    </w:p>
    <w:p>
      <w:pPr>
        <w:ind w:left="340" w:hanging="332"/>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hanging="8"/>
        <w:spacing w:after="0" w:line="271" w:lineRule="auto"/>
        <w:tabs>
          <w:tab w:leader="none" w:pos="593" w:val="left"/>
        </w:tabs>
        <w:numPr>
          <w:ilvl w:val="1"/>
          <w:numId w:val="172"/>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left="340" w:hanging="8"/>
        <w:spacing w:after="0" w:line="271" w:lineRule="auto"/>
        <w:tabs>
          <w:tab w:leader="none" w:pos="63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left="340" w:hanging="8"/>
        <w:spacing w:after="0" w:line="257" w:lineRule="auto"/>
        <w:tabs>
          <w:tab w:leader="none" w:pos="59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jc w:val="both"/>
        <w:ind w:left="340" w:hanging="8"/>
        <w:spacing w:after="0" w:line="253" w:lineRule="auto"/>
        <w:tabs>
          <w:tab w:leader="none" w:pos="611" w:val="left"/>
        </w:tabs>
        <w:numPr>
          <w:ilvl w:val="1"/>
          <w:numId w:val="173"/>
        </w:numPr>
        <w:rPr>
          <w:rFonts w:ascii="Arial" w:cs="Arial" w:eastAsia="Arial" w:hAnsi="Arial"/>
          <w:sz w:val="18"/>
          <w:szCs w:val="18"/>
          <w:color w:val="auto"/>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96" w:lineRule="exact"/>
        <w:rPr>
          <w:rFonts w:ascii="Arial" w:cs="Arial" w:eastAsia="Arial" w:hAnsi="Arial"/>
          <w:sz w:val="18"/>
          <w:szCs w:val="18"/>
          <w:color w:val="auto"/>
        </w:rPr>
      </w:pPr>
    </w:p>
    <w:p>
      <w:pPr>
        <w:ind w:left="340" w:hanging="8"/>
        <w:spacing w:after="0" w:line="308" w:lineRule="auto"/>
        <w:tabs>
          <w:tab w:leader="none" w:pos="59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42" w:lineRule="exact"/>
        <w:rPr>
          <w:rFonts w:ascii="Arial" w:cs="Arial" w:eastAsia="Arial" w:hAnsi="Arial"/>
          <w:sz w:val="17"/>
          <w:szCs w:val="17"/>
          <w:color w:val="auto"/>
        </w:rPr>
      </w:pPr>
    </w:p>
    <w:p>
      <w:pPr>
        <w:ind w:left="340" w:hanging="332"/>
        <w:spacing w:after="0"/>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40" w:hanging="8"/>
        <w:spacing w:after="0" w:line="269" w:lineRule="auto"/>
        <w:tabs>
          <w:tab w:leader="none" w:pos="592" w:val="left"/>
        </w:tabs>
        <w:numPr>
          <w:ilvl w:val="1"/>
          <w:numId w:val="174"/>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jc w:val="both"/>
        <w:ind w:left="8" w:hanging="8"/>
        <w:spacing w:after="0" w:line="289" w:lineRule="auto"/>
        <w:tabs>
          <w:tab w:leader="none" w:pos="31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6" w:lineRule="exact"/>
        <w:rPr>
          <w:rFonts w:ascii="Arial" w:cs="Arial" w:eastAsia="Arial" w:hAnsi="Arial"/>
          <w:sz w:val="16"/>
          <w:szCs w:val="16"/>
          <w:color w:val="auto"/>
        </w:rPr>
      </w:pPr>
    </w:p>
    <w:p>
      <w:pPr>
        <w:jc w:val="both"/>
        <w:ind w:left="8" w:hanging="8"/>
        <w:spacing w:after="0" w:line="259" w:lineRule="auto"/>
        <w:tabs>
          <w:tab w:leader="none" w:pos="26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left="8" w:hanging="8"/>
        <w:spacing w:after="0" w:line="263" w:lineRule="auto"/>
        <w:tabs>
          <w:tab w:leader="none" w:pos="30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left="8" w:hanging="8"/>
        <w:spacing w:after="0" w:line="271" w:lineRule="auto"/>
        <w:tabs>
          <w:tab w:leader="none" w:pos="2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left="8" w:hanging="8"/>
        <w:spacing w:after="0" w:line="301" w:lineRule="auto"/>
        <w:tabs>
          <w:tab w:leader="none" w:pos="25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366"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6985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233" w:name="page234"/>
    <w:bookmarkEnd w:id="233"/>
    <w:p>
      <w:pPr>
        <w:jc w:val="both"/>
        <w:ind w:left="340" w:hanging="332"/>
        <w:spacing w:after="0" w:line="261" w:lineRule="auto"/>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the Indemnitee and approved by the Board,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9"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NON-EXCLUSIVITY; SURVIVAL OF RIGHTS; INSURANCE; SUBROGATION; PRIORITY OF OBLIGATIONS.</w:t>
      </w:r>
    </w:p>
    <w:p>
      <w:pPr>
        <w:spacing w:after="0" w:line="229" w:lineRule="exact"/>
        <w:rPr>
          <w:rFonts w:ascii="Arial" w:cs="Arial" w:eastAsia="Arial" w:hAnsi="Arial"/>
          <w:sz w:val="18"/>
          <w:szCs w:val="18"/>
          <w:color w:val="auto"/>
        </w:rPr>
      </w:pPr>
    </w:p>
    <w:p>
      <w:pPr>
        <w:jc w:val="both"/>
        <w:ind w:left="340" w:hanging="8"/>
        <w:spacing w:after="0" w:line="287" w:lineRule="auto"/>
        <w:tabs>
          <w:tab w:leader="none" w:pos="589"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1" w:lineRule="exact"/>
        <w:rPr>
          <w:rFonts w:ascii="Arial" w:cs="Arial" w:eastAsia="Arial" w:hAnsi="Arial"/>
          <w:sz w:val="16"/>
          <w:szCs w:val="16"/>
          <w:color w:val="auto"/>
        </w:rPr>
      </w:pPr>
    </w:p>
    <w:p>
      <w:pPr>
        <w:jc w:val="both"/>
        <w:ind w:left="340" w:hanging="8"/>
        <w:spacing w:after="0" w:line="290" w:lineRule="auto"/>
        <w:tabs>
          <w:tab w:leader="none" w:pos="616"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DGCL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both"/>
        <w:ind w:left="340" w:hanging="8"/>
        <w:spacing w:after="0" w:line="290" w:lineRule="auto"/>
        <w:tabs>
          <w:tab w:leader="none" w:pos="605"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left="340" w:hanging="8"/>
        <w:spacing w:after="0" w:line="259" w:lineRule="auto"/>
        <w:tabs>
          <w:tab w:leader="none" w:pos="60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86" w:lineRule="exact"/>
        <w:rPr>
          <w:rFonts w:ascii="Arial" w:cs="Arial" w:eastAsia="Arial" w:hAnsi="Arial"/>
          <w:sz w:val="18"/>
          <w:szCs w:val="18"/>
          <w:color w:val="auto"/>
        </w:rPr>
      </w:pPr>
    </w:p>
    <w:p>
      <w:pPr>
        <w:jc w:val="both"/>
        <w:ind w:left="340" w:hanging="8"/>
        <w:spacing w:after="0" w:line="270" w:lineRule="auto"/>
        <w:tabs>
          <w:tab w:leader="none" w:pos="608"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0" w:lineRule="exact"/>
        <w:rPr>
          <w:rFonts w:ascii="Arial" w:cs="Arial" w:eastAsia="Arial" w:hAnsi="Arial"/>
          <w:sz w:val="17"/>
          <w:szCs w:val="17"/>
          <w:color w:val="auto"/>
        </w:rPr>
      </w:pPr>
    </w:p>
    <w:p>
      <w:pPr>
        <w:ind w:left="340" w:hanging="8"/>
        <w:spacing w:after="0" w:line="277" w:lineRule="auto"/>
        <w:tabs>
          <w:tab w:leader="none" w:pos="58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Notwithstanding anything contained herein, the Company is the primary indemnitor, and any indemnification or advancement obligation of the Sponsor, its affiliates or any other Person is secondary.</w:t>
      </w:r>
    </w:p>
    <w:p>
      <w:pPr>
        <w:spacing w:after="0" w:line="166" w:lineRule="exact"/>
        <w:rPr>
          <w:rFonts w:ascii="Arial" w:cs="Arial" w:eastAsia="Arial" w:hAnsi="Arial"/>
          <w:sz w:val="18"/>
          <w:szCs w:val="18"/>
          <w:color w:val="auto"/>
        </w:rPr>
      </w:pPr>
    </w:p>
    <w:p>
      <w:pPr>
        <w:jc w:val="both"/>
        <w:ind w:left="340" w:hanging="332"/>
        <w:spacing w:after="0" w:line="294" w:lineRule="auto"/>
        <w:tabs>
          <w:tab w:leader="none" w:pos="340" w:val="left"/>
        </w:tabs>
        <w:numPr>
          <w:ilvl w:val="0"/>
          <w:numId w:val="178"/>
        </w:numPr>
        <w:rPr>
          <w:rFonts w:ascii="Arial" w:cs="Arial" w:eastAsia="Arial" w:hAnsi="Arial"/>
          <w:sz w:val="16"/>
          <w:szCs w:val="16"/>
          <w:color w:val="auto"/>
        </w:rPr>
      </w:pPr>
      <w:r>
        <w:rPr>
          <w:rFonts w:ascii="Arial" w:cs="Arial" w:eastAsia="Arial" w:hAnsi="Arial"/>
          <w:sz w:val="16"/>
          <w:szCs w:val="16"/>
          <w:b w:val="1"/>
          <w:bCs w:val="1"/>
          <w:color w:val="auto"/>
        </w:rPr>
        <w:t>DURATION OF AGREEMENT</w:t>
      </w:r>
      <w:r>
        <w:rPr>
          <w:rFonts w:ascii="Arial" w:cs="Arial" w:eastAsia="Arial" w:hAnsi="Arial"/>
          <w:sz w:val="16"/>
          <w:szCs w:val="16"/>
          <w:color w:val="auto"/>
        </w:rPr>
        <w:t>. All agreements and obligations of the Company contained herein shall continue during the period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5" w:name="page236"/>
    <w:bookmarkEnd w:id="235"/>
    <w:p>
      <w:pPr>
        <w:jc w:val="both"/>
        <w:ind w:left="332" w:hanging="332"/>
        <w:spacing w:after="0" w:line="272" w:lineRule="auto"/>
        <w:tabs>
          <w:tab w:leader="none" w:pos="332" w:val="left"/>
        </w:tabs>
        <w:numPr>
          <w:ilvl w:val="0"/>
          <w:numId w:val="179"/>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1" w:lineRule="exact"/>
        <w:rPr>
          <w:rFonts w:ascii="Arial" w:cs="Arial" w:eastAsia="Arial" w:hAnsi="Arial"/>
          <w:sz w:val="17"/>
          <w:szCs w:val="17"/>
          <w:color w:val="auto"/>
        </w:rPr>
      </w:pPr>
    </w:p>
    <w:p>
      <w:pPr>
        <w:ind w:left="332" w:hanging="332"/>
        <w:spacing w:after="0"/>
        <w:tabs>
          <w:tab w:leader="none" w:pos="332"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32" w:hanging="8"/>
        <w:spacing w:after="0" w:line="263" w:lineRule="auto"/>
        <w:tabs>
          <w:tab w:leader="none" w:pos="58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left="332" w:hanging="8"/>
        <w:spacing w:after="0" w:line="263" w:lineRule="auto"/>
        <w:tabs>
          <w:tab w:leader="none" w:pos="619" w:val="left"/>
        </w:tabs>
        <w:numPr>
          <w:ilvl w:val="1"/>
          <w:numId w:val="179"/>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3" w:lineRule="exact"/>
        <w:rPr>
          <w:rFonts w:ascii="Arial" w:cs="Arial" w:eastAsia="Arial" w:hAnsi="Arial"/>
          <w:sz w:val="18"/>
          <w:szCs w:val="18"/>
          <w:color w:val="auto"/>
        </w:rPr>
      </w:pPr>
    </w:p>
    <w:p>
      <w:pPr>
        <w:jc w:val="both"/>
        <w:ind w:left="332" w:hanging="8"/>
        <w:spacing w:after="0" w:line="273" w:lineRule="auto"/>
        <w:tabs>
          <w:tab w:leader="none" w:pos="588" w:val="left"/>
        </w:tabs>
        <w:numPr>
          <w:ilvl w:val="1"/>
          <w:numId w:val="179"/>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left="332" w:hanging="8"/>
        <w:spacing w:after="0" w:line="259" w:lineRule="auto"/>
        <w:tabs>
          <w:tab w:leader="none" w:pos="58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36" w:name="page237"/>
    <w:bookmarkEnd w:id="236"/>
    <w:p>
      <w:pPr>
        <w:jc w:val="both"/>
        <w:ind w:left="340" w:hanging="8"/>
        <w:spacing w:after="0" w:line="253" w:lineRule="auto"/>
        <w:tabs>
          <w:tab w:leader="none" w:pos="623"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92"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color w:val="auto"/>
        </w:rPr>
      </w:pPr>
    </w:p>
    <w:p>
      <w:pPr>
        <w:jc w:val="both"/>
        <w:ind w:left="340" w:hanging="332"/>
        <w:spacing w:after="0" w:line="289" w:lineRule="auto"/>
        <w:tabs>
          <w:tab w:leader="none" w:pos="340" w:val="left"/>
        </w:tabs>
        <w:numPr>
          <w:ilvl w:val="0"/>
          <w:numId w:val="181"/>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61" w:lineRule="exact"/>
        <w:rPr>
          <w:rFonts w:ascii="Arial" w:cs="Arial" w:eastAsia="Arial" w:hAnsi="Arial"/>
          <w:sz w:val="17"/>
          <w:szCs w:val="17"/>
          <w:color w:val="auto"/>
        </w:rPr>
      </w:pPr>
    </w:p>
    <w:p>
      <w:pPr>
        <w:ind w:left="340" w:hanging="8"/>
        <w:spacing w:after="0" w:line="277" w:lineRule="auto"/>
        <w:tabs>
          <w:tab w:leader="none" w:pos="59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BCTG Acquisition Corp.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11682 El Camino Real, Suite 320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Attn: [__________]</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jc w:val="both"/>
        <w:ind w:left="340" w:hanging="332"/>
        <w:spacing w:after="0" w:line="254" w:lineRule="auto"/>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8"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5"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 headings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color w:val="auto"/>
        </w:rPr>
      </w:pPr>
    </w:p>
    <w:p>
      <w:pPr>
        <w:jc w:val="both"/>
        <w:ind w:left="340" w:hanging="332"/>
        <w:spacing w:after="0" w:line="258" w:lineRule="auto"/>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undertakes to cause such act, resolution, approval or other procedure to be affected or adopted in a manner that will enable the Company to fulfill its obligations under this Agreement.</w:t>
      </w:r>
    </w:p>
    <w:p>
      <w:pPr>
        <w:spacing w:after="0" w:line="17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to the contrary contained herein, Indemnitee hereby agrees that he or</w:t>
      </w:r>
      <w:r>
        <w:rPr>
          <w:rFonts w:ascii="Arial" w:cs="Arial" w:eastAsia="Arial" w:hAnsi="Arial"/>
          <w:sz w:val="18"/>
          <w:szCs w:val="18"/>
          <w:b w:val="1"/>
          <w:bCs w:val="1"/>
          <w:color w:val="auto"/>
        </w:rPr>
        <w:t xml:space="preserve"> </w:t>
      </w:r>
      <w:r>
        <w:rPr>
          <w:rFonts w:ascii="Arial" w:cs="Arial" w:eastAsia="Arial" w:hAnsi="Arial"/>
          <w:sz w:val="18"/>
          <w:szCs w:val="18"/>
          <w:color w:val="auto"/>
        </w:rPr>
        <w:t>she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7"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182"/>
        </w:numPr>
        <w:rPr>
          <w:rFonts w:ascii="Arial" w:cs="Arial" w:eastAsia="Arial" w:hAnsi="Arial"/>
          <w:sz w:val="17"/>
          <w:szCs w:val="17"/>
          <w:color w:val="auto"/>
        </w:rPr>
      </w:pPr>
      <w:r>
        <w:rPr>
          <w:rFonts w:ascii="Arial" w:cs="Arial" w:eastAsia="Arial" w:hAnsi="Arial"/>
          <w:sz w:val="17"/>
          <w:szCs w:val="17"/>
          <w:b w:val="1"/>
          <w:bCs w:val="1"/>
          <w:color w:val="auto"/>
        </w:rPr>
        <w:t xml:space="preserve">MAINTENANCE OF INSURANCE. </w:t>
      </w:r>
      <w:r>
        <w:rPr>
          <w:rFonts w:ascii="Arial" w:cs="Arial" w:eastAsia="Arial" w:hAnsi="Arial"/>
          <w:sz w:val="17"/>
          <w:szCs w:val="17"/>
          <w:color w:val="auto"/>
        </w:rPr>
        <w:t>The Company shall use commercially reasonable efforts to obtain and maintain in effect during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BCTG Acquisition Corp.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[_____________]</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904" w:right="139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Introduction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of BCTG Acquisition Corp. has adopted this code of ethics (this “</w:t>
      </w:r>
      <w:r>
        <w:rPr>
          <w:rFonts w:ascii="Arial" w:cs="Arial" w:eastAsia="Arial" w:hAnsi="Arial"/>
          <w:sz w:val="18"/>
          <w:szCs w:val="18"/>
          <w:u w:val="single" w:color="auto"/>
          <w:color w:val="auto"/>
        </w:rPr>
        <w:t>Code</w:t>
      </w:r>
      <w:r>
        <w:rPr>
          <w:rFonts w:ascii="Arial" w:cs="Arial" w:eastAsia="Arial" w:hAnsi="Arial"/>
          <w:sz w:val="18"/>
          <w:szCs w:val="18"/>
          <w:color w:val="auto"/>
        </w:rPr>
        <w:t>”), which is applicable to all directors, officers and employees, to:</w:t>
      </w:r>
    </w:p>
    <w:p>
      <w:pPr>
        <w:spacing w:after="0" w:line="170" w:lineRule="exact"/>
        <w:rPr>
          <w:sz w:val="20"/>
          <w:szCs w:val="20"/>
          <w:color w:val="auto"/>
        </w:rPr>
      </w:pPr>
    </w:p>
    <w:p>
      <w:pPr>
        <w:ind w:left="660" w:hanging="328"/>
        <w:spacing w:after="0" w:line="277"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promote honest and ethical conduct, including the ethical handling of actual or apparent conflicts of interest between personal and professional relationships;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promote the full, fair, accurate, timely and understandable disclosure in reports and documents that the Company files with, or submits to,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as well as in other public communications made by or on behalf of the Company;</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promote compliance with applicable governmental laws, rules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deter wrongdoing;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require prompt internal reporting of breaches of, and accountability for adherence to, this Code.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Code may be amended only by resolution of the Company’s Board of Directors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In this Code, references to the “</w:t>
      </w:r>
      <w:r>
        <w:rPr>
          <w:rFonts w:ascii="Arial" w:cs="Arial" w:eastAsia="Arial" w:hAnsi="Arial"/>
          <w:sz w:val="18"/>
          <w:szCs w:val="18"/>
          <w:u w:val="single" w:color="auto"/>
          <w:color w:val="auto"/>
        </w:rPr>
        <w:t>Company</w:t>
      </w:r>
      <w:r>
        <w:rPr>
          <w:rFonts w:ascii="Arial" w:cs="Arial" w:eastAsia="Arial" w:hAnsi="Arial"/>
          <w:sz w:val="18"/>
          <w:szCs w:val="18"/>
          <w:color w:val="auto"/>
        </w:rPr>
        <w:t>” mean BCTG Acquisition Corp., and, in each appropriate context,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Honest, Ethical and Fair Conduct</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Each person owes a duty to the Company to act with integrity. Integrity requires, among other things, being honest, fair and candid. Deceit, dishonesty and subordinating one’s principles are inconsistent with integrity. Service to the Company never should be subordinated to personal gain an advantage.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Each person must:</w:t>
      </w:r>
    </w:p>
    <w:p>
      <w:pPr>
        <w:spacing w:after="0" w:line="225" w:lineRule="exact"/>
        <w:rPr>
          <w:sz w:val="20"/>
          <w:szCs w:val="20"/>
          <w:color w:val="auto"/>
        </w:rPr>
      </w:pPr>
    </w:p>
    <w:p>
      <w:pPr>
        <w:ind w:left="660" w:hanging="328"/>
        <w:spacing w:after="0" w:line="277"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act with integrity, including being honest and candid while still maintaining the confidentiality of the Company’s information where required or in the Company’s interests.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observe all applicable governmental laws, rules and regulations.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comply with the requirements of applicable accounting and auditing standards, as well as Company policies, in order to maintain a high standard of accuracy and completeness in the Company’s financial records and other business-related information and data.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adhere to a high standard of business ethics and not seek a competitive advantage through unlawful or unethical business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deal fairly with the Company’s customers, suppliers, competitors and employees.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refrain from taking advantage of anyone through manipulation, concealment, abuse of privileged information, misrepresentation of material facts or any other unfair-dealing practice.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protect the assets of the Company and ensure their proper use.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refrain from taking for themselves personally opportunities that are discovered through the use of corporate assets or by using corporate assets, information or position for general personal gain outside the scope of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0" w:name="page241"/>
    <w:bookmarkEnd w:id="240"/>
    <w:p>
      <w:pPr>
        <w:jc w:val="both"/>
        <w:ind w:left="660" w:hanging="328"/>
        <w:spacing w:after="0" w:line="291" w:lineRule="auto"/>
        <w:tabs>
          <w:tab w:leader="none" w:pos="6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disclose conflicts of interest and only enter into “related-party transactions” under guidelines or resolutions approved by the Board of Directors (or the appropriate committee of the Board of Directors). For purposes of this Code, “related-party transactions” are defined as transactions in which</w:t>
      </w:r>
    </w:p>
    <w:p>
      <w:pPr>
        <w:jc w:val="both"/>
        <w:ind w:left="660"/>
        <w:spacing w:after="0" w:line="287" w:lineRule="auto"/>
        <w:rPr>
          <w:rFonts w:ascii="Arial" w:cs="Arial" w:eastAsia="Arial" w:hAnsi="Arial"/>
          <w:sz w:val="16"/>
          <w:szCs w:val="16"/>
          <w:color w:val="auto"/>
        </w:rPr>
      </w:pPr>
      <w:r>
        <w:rPr>
          <w:rFonts w:ascii="Arial" w:cs="Arial" w:eastAsia="Arial" w:hAnsi="Arial"/>
          <w:sz w:val="16"/>
          <w:szCs w:val="16"/>
          <w:color w:val="auto"/>
        </w:rPr>
        <w:t>(1) the aggregate amount involved will or may be expected to exceed $120,000 in any calendar year, (2) the Company or any of its subsidiaries is a participant, and (3) any (a) executive officer, director or nominee for election as a director, (b) greater than 4% beneficial owner of the Company’s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 Anything that would be a conflict for a person subject to this Code also will be a conflict if it is related to a member of his or her family or a close relative. Examples of conflict of interest situations include, but are not limited to, the following:</w:t>
      </w:r>
    </w:p>
    <w:p>
      <w:pPr>
        <w:spacing w:after="0" w:line="170" w:lineRule="exact"/>
        <w:rPr>
          <w:sz w:val="20"/>
          <w:szCs w:val="20"/>
          <w:color w:val="auto"/>
        </w:rPr>
      </w:pPr>
    </w:p>
    <w:p>
      <w:pPr>
        <w:ind w:left="980" w:hanging="324"/>
        <w:spacing w:after="0"/>
        <w:tabs>
          <w:tab w:leader="none" w:pos="9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significant ownership interest in any supplier or customer;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consulting or employment relationship with any customer, supplier or competitor;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outside business activity that detracts from an individual’s ability to devote appropriate time and attention to his or her responsibilities with the Company;</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receipt of any money, non-nominal gifts or excessive entertainment from any company with which the Company has current or prospective business dealings;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being in the position of supervising, reviewing or having any influence on the job evaluation, pay or benefit of any close relative;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selling anything to the Company or buying anything from the Company, except on the same terms and conditions as comparable officers or directors are permitted to so purchase or sell; and</w:t>
      </w:r>
    </w:p>
    <w:p>
      <w:pPr>
        <w:spacing w:after="0" w:line="170" w:lineRule="exact"/>
        <w:rPr>
          <w:rFonts w:ascii="Arial" w:cs="Arial" w:eastAsia="Arial" w:hAnsi="Arial"/>
          <w:sz w:val="18"/>
          <w:szCs w:val="18"/>
          <w:color w:val="auto"/>
        </w:rPr>
      </w:pPr>
    </w:p>
    <w:p>
      <w:pPr>
        <w:ind w:left="980" w:hanging="324"/>
        <w:spacing w:after="0" w:line="258" w:lineRule="auto"/>
        <w:tabs>
          <w:tab w:leader="none" w:pos="9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other circumstance, event, relationship or situation in which the personal interest of a person subject to this Code interferes – or even appears to interfere – with the interests of the Company as a whole.</w:t>
      </w:r>
    </w:p>
    <w:p>
      <w:pPr>
        <w:spacing w:after="0" w:line="1" w:lineRule="exact"/>
        <w:rPr>
          <w:rFonts w:ascii="Arial" w:cs="Arial" w:eastAsia="Arial" w:hAnsi="Arial"/>
          <w:sz w:val="18"/>
          <w:szCs w:val="18"/>
          <w:color w:val="auto"/>
        </w:rPr>
      </w:pPr>
    </w:p>
    <w:p>
      <w:pPr>
        <w:ind w:left="180" w:hanging="172"/>
        <w:spacing w:after="0"/>
        <w:tabs>
          <w:tab w:leader="none" w:pos="1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strives to ensure that the contents of and the disclosures in the reports and documents that the Company files with the SEC and other public communications shall be full, fair, accurate, timely and understandable in accordance with applicable disclosure standards, including standards of materiality, where appropriate. Each person must:</w:t>
      </w:r>
    </w:p>
    <w:p>
      <w:pPr>
        <w:spacing w:after="0" w:line="184" w:lineRule="exact"/>
        <w:rPr>
          <w:sz w:val="20"/>
          <w:szCs w:val="20"/>
          <w:color w:val="auto"/>
        </w:rPr>
      </w:pPr>
    </w:p>
    <w:p>
      <w:pPr>
        <w:jc w:val="both"/>
        <w:ind w:left="660" w:hanging="328"/>
        <w:spacing w:after="0" w:line="263" w:lineRule="auto"/>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not knowingly misrepresent, or cause others to misrepresent, facts about the Company to others, whether within or outside the Company, including to the Company’s independent auditors, governmental regulators, self-regulating organizations and other governmental officials, as appropriate;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in relation to his or her area of responsibility, properly review and critically analyze proposed disclosure for accuracy and completeness.</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foregoing, the Chief Executive Officer and the Chief Financial Officer of the Company and each subsidiary of the Company (or persons performing similar functions), and each other person that typically is involved in the financial reporting of the Company must familiarize himself or herself with the disclosure requirements applicable to the Company as well as the business and financial operations of the Company.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person must promptly bring to the attention of the Chairman of the Audit Committee of the Company’s Board of Directors (the “</w:t>
      </w:r>
      <w:r>
        <w:rPr>
          <w:rFonts w:ascii="Arial" w:cs="Arial" w:eastAsia="Arial" w:hAnsi="Arial"/>
          <w:sz w:val="18"/>
          <w:szCs w:val="18"/>
          <w:u w:val="single" w:color="auto"/>
          <w:color w:val="auto"/>
        </w:rPr>
        <w:t>Audit Committee</w:t>
      </w:r>
      <w:r>
        <w:rPr>
          <w:rFonts w:ascii="Arial" w:cs="Arial" w:eastAsia="Arial" w:hAnsi="Arial"/>
          <w:sz w:val="18"/>
          <w:szCs w:val="18"/>
          <w:color w:val="auto"/>
        </w:rPr>
        <w:t>”) (or the Chairman of the Company’s Board of Directors if no Audit Committee exists) any information he or she may have concerning (a) significant deficiencies in the design or operation of internal and/or disclosure controls which could adversely affect the Company’s ability to record, process, summarize and report financial data or (b) any fraud, whether or not material, that involves management or other employees who have a significant role in the Company’s financial reporting, disclosures or internal controls.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Compliance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It is the Company’s obligation and policy to comply with all applicable governmental laws, rules and regulations. It is the personal responsibility of each person to adhere to the standards and restrictions imposed by those laws, rules and regulations, including those relating to accounting and auditing matters.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color w:val="auto"/>
        </w:rPr>
        <w:t>5. Reporting and Accountability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Board of Directors or Audit Committee, if one exists, of the Company is responsible for applying this Code to specific situations in which questions are presented to it and has the authority to interpret this Code in any particular situation. Any person who becomes aware of any existing or potential breach of this Code is required to notify the Chairman of the Board of Directors or Audit Committee promptly. Failure to do so is itself a breach of this Code.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Specifically, each person must:</w:t>
      </w:r>
    </w:p>
    <w:p>
      <w:pPr>
        <w:spacing w:after="0" w:line="225" w:lineRule="exact"/>
        <w:rPr>
          <w:sz w:val="20"/>
          <w:szCs w:val="20"/>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notify the Chairman promptly of any existing or potential violation of this Code;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 retaliate against any other person for reports of potential violations that are made in good faith.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follow the following procedures in investigating and enforcing this Code and in reporting on the Code:</w:t>
      </w:r>
    </w:p>
    <w:p>
      <w:pPr>
        <w:spacing w:after="0" w:line="225" w:lineRule="exact"/>
        <w:rPr>
          <w:sz w:val="20"/>
          <w:szCs w:val="20"/>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Board of Directors or the Audit Committee, if one exists, will take all appropriate action to investigate any breaches reported to 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If the Audit Committee, if one exists, determines (by majority decision) that a breach has occurred, it will inform the Board of Directors.</w:t>
      </w:r>
    </w:p>
    <w:p>
      <w:pPr>
        <w:spacing w:after="0" w:line="236"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Upon being notified that a breach has occurred, the Board of Directors (by majority decision) will take or authorize such disciplinary or preventive action as it deems appropriate, after consultation with the Audit Committee (if one exists) and/or counsel, up to and including dismissal or, in the event of criminal or other serious violations of law, notification of the SEC or other appropriate law enforcement authorities.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person following the above procedure shall, as a result of following such procedure, be subject by the Company or any officer or employee thereof to discharge, demotion suspension, threat, harassment or, in any manner, discrimination against such person in terms and conditions of employment.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Waivers and Amendments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waiver (as defined below) or an implicit waiver (as defined below) from a provision of this Code for the principal executive officer, principal financial officer, principal accounting officer or controller, and persons performing similar functions or any amendment (as defined below) to this Code is required to be disclosed in the Company’s Annual Report on Form 10-K or in a Current Report on Form 8-K filed with the SEC. A “waiver” means the approval by the Company’s Board of Directors of a material departure from a provision of the Code. An “implicit waiver” means the Company’s failure to take action within a reasonable period of time regarding a material departure from a provision of the Code that has been made known to an executive officer of the Company. An “amendment” means any amendment to this Code other than minor technical, administrative or other non-substantive amendments hereto.</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 persons should note that it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the Company’s intention to grant or to permit waivers from the requirements of this Code. The Company expects full compliance with this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Policies and Procedures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other policy or procedure set out by the Company in writing or made generally known to employees, officers or directors of the Company prior to the date hereof or hereafter are separate requirements and remain in full force and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Inquiries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inquiries and questions in relation to this Code or its applicability to particular people or situations should be addressed to the Company’s Secretary.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ind w:left="1032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hereby consent to the use in this Registration Statement on Amendment No. 1 to Form S-1, of our report dated July 30, 2020, relating to the balance sheet of BCTG Acquisition Corp. as of June 30, 2020, and the related statements of operations, changes in stockholder’s equity and cash flows for the period from May 21, 2020 (inception) through June 30, 2020, and to the reference to our Firm under the caption “Experts” in the Prospectus.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31, 2020</w:t>
      </w:r>
    </w:p>
    <w:p>
      <w:pPr>
        <w:sectPr>
          <w:pgSz w:w="11900" w:h="16838" w:orient="portrait"/>
          <w:cols w:equalWidth="0" w:num="1">
            <w:col w:w="11240"/>
          </w:cols>
          <w:pgMar w:left="320" w:top="121"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OF THE AUDIT COMMITTEE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URPOSE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primary purpose of the Audit Committee (the “Committee”) shall be to act on behalf of the Board of Directors (the “Board”) of BCTG Acquisition Corp. (the “Company”), in fulfilling the Board’s oversight responsibilities with respect to the Company’s corporate accounting and financial reporting processes, the systems of internal control over financial reporting, and audits of financial statements, as well as the quality and integrity of the Company’s financial statements and reports and the qualifications, independence and performance of the registered public accounting firm or firms engaged as the Company’s independent outside auditors for the purpose of preparing or issuing an audit report or performing other audit, review or attest services (the “Auditors”). The Committee shall also provide oversight assistance in connection with the Company’s legal, regulatory and ethical compliance programs as established by management and the Board. The operation of the Committee shall be subject to the Bylaws of the Company as in effect from time to time.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policy of the Committee, in discharging these obligations, shall be to maintain and foster an open avenue of communication among the Committee, the Auditors and the Company’s financial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OMPOSITION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shall consist of no fewer than three members, absent a temporary vacancy. The Committee shall meet the “Audit Committee Requirements” of the Nasdaq Stock Market and the independence and experience requirements of Section 10A(m)(3) of the Securities Exchange Act of 1934, as amended (the “Exchange Act”) and the rules and regulations of the Securities and Exchange Commission (“SEC”). Members of the Committee may only receive director and committee member fees as compensation from the Company. The members of the Committee shall be appointed by and serve at the discretion of the Board. Vacancies occurring on the Committee shall be filled by the Board. The Chairman of the Committee shall be appointed by the Board. The Board may remove any member from the Committee at any time with or without cause.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EETINGS AND</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INUTES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meet on at least a quarterly basis. Minutes of each meeting of the Committee shall be prepared and distributed to each director of the Company and the Secretary of the Company. The Chairman of the Committee shall report to the Board from time to time, or whenever so requested by the Board.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UTHORITY</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Committee shall have authority to appoint, determine compensation for, and at the Company’s expense, retain and oversee the Auditors as set forth in Section 10A(m)(2) of the Exchange Act and the rules thereunder and otherwise to fulfill its responsibilities under this charter. The Committee shall have authority to retain and determine compensation for, at the expense of the Company, special legal, accounting or other advisors or consultants as it deems necessary or appropriate in the performance of its duties. The Committee shall also have authority to pay, at the expense of the Company, ordinary administrative expenses that, as determined by the Committee, are necessary or appropriate in carrying out its duties. Each member of the Committee shall have full access to all books, records, facilities and personnel of the Company as deemed necessary or appropriate by any member of the Committee to discharge his or her responsibilities hereunder. The Committee shall have authority to require that any of the Company’s personnel, counsel, accountants (including the Auditors) or investment bankers, or any other consultant or advisor to the Company attend any meeting of the Committee or meet with any member of the Committee or any of its special outside legal, accounting or other advisors or consultants. The approval of this Charter by the Board shall be construed as a delegation of authority to the Committee with respect to the responsibilities set forth herein.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ESPONSIBILITIES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Committee shall oversee the Company’s financial reporting process on behalf of the Board, and shall have direct responsibility for the appointment, compensation, retention and oversight of the work of the Auditors and any other registered public accounting firm engaged for the purpose of performing other review or attest services for the Company. The Auditors and each such other registered public accounting firm shall report directly and be accountable to the Committee. The Committee’s functions and procedures should remain flexible to address most effectively changing circumstances.</w:t>
      </w:r>
    </w:p>
    <w:p>
      <w:pPr>
        <w:spacing w:after="0" w:line="15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It shall be the responsibility of management to prepare the Company’s financial statements and periodic reports and the responsibility of the Auditors to audit those financial statements. These functions shall not be the responsibility of the Committee, nor shall it be the Committee’s responsibility to ensure that the financial statements or periodic reports are complete and accurate, conform to GAAP or otherwise comply with applicable laws.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implement the Committee’s purpose and policy, the Committee shall be charged with the following functions and processes with the understanding, however, that the Committee may supplement or (except as otherwise required by applicable laws or rules) deviate from these activities as appropriate under the circumstances:</w:t>
      </w:r>
    </w:p>
    <w:p>
      <w:pPr>
        <w:spacing w:after="0" w:line="184" w:lineRule="exact"/>
        <w:rPr>
          <w:sz w:val="20"/>
          <w:szCs w:val="20"/>
          <w:color w:val="auto"/>
        </w:rPr>
      </w:pPr>
    </w:p>
    <w:p>
      <w:pPr>
        <w:jc w:val="both"/>
        <w:ind w:firstLine="656"/>
        <w:spacing w:after="0" w:line="269" w:lineRule="auto"/>
        <w:tabs>
          <w:tab w:leader="none" w:pos="841"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Evaluation and Retention of Auditors. </w:t>
      </w:r>
      <w:r>
        <w:rPr>
          <w:rFonts w:ascii="Arial" w:cs="Arial" w:eastAsia="Arial" w:hAnsi="Arial"/>
          <w:sz w:val="17"/>
          <w:szCs w:val="17"/>
          <w:color w:val="auto"/>
        </w:rPr>
        <w:t>To evaluate the performance of the Auditors, including the lead partner, to assess their qualifications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their internal quality-control procedures and any material issues raised by that firm’s most recent internal quality-control review or any investigations by regulatory authorities) and to determine whether to retain or to terminate the engagement of the existing Auditors or to appoint and engage a different independent registered public accounting firm, which retention shall be subject only to ratification by the Company’s stockholders (if the Committee or the Board elects to submit such retention for ratification by the stockholders). At least annually, the Committee should obtain and review a report by the Auditors that describes (1) the firm’s internal quality control procedures, (2) any material issues raised by the most recent internal quality control review, peer review or Public Company Accounting Oversight Board review or inspection of the firm or by any other inquiry or investigation by governmental or professional authorities in the past five years regarding one or more audits carried out by the firm and any steps taken to deal with any such issues, and (3) all relationships between the firm and the Company or any of its subsidiaries; and to discuss with the independent auditors this report and any relationships or services that may impact the objectivity and independence of the Auditors. At least annually, the Committee should evaluate the qualifications, performance and independence of the Auditors, including an evaluation of the lead audit partner; and to assure the regular rotation of the lead audit partner.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5" w:name="page246"/>
    <w:bookmarkEnd w:id="245"/>
    <w:p>
      <w:pPr>
        <w:jc w:val="both"/>
        <w:ind w:firstLine="656"/>
        <w:spacing w:after="0" w:line="277" w:lineRule="auto"/>
        <w:tabs>
          <w:tab w:leader="none" w:pos="841" w:val="left"/>
        </w:tabs>
        <w:numPr>
          <w:ilvl w:val="1"/>
          <w:numId w:val="19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Communication Prior to Engagement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engagement of any prospective Auditors, to review a written disclosure by the prospective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Auditors of all relationships between the prospective Auditors, or their affiliates, and the Company, or persons in financial oversight roles at the Company, that may reasonably be thought to bear on independence, and to discuss with the prospective Auditors the potential effects of such relationships on the independence of the prospective Auditors, consistent with Ethics and Independence Rule 3526, </w:t>
      </w:r>
      <w:r>
        <w:rPr>
          <w:rFonts w:ascii="Arial" w:cs="Arial" w:eastAsia="Arial" w:hAnsi="Arial"/>
          <w:sz w:val="17"/>
          <w:szCs w:val="17"/>
          <w:i w:val="1"/>
          <w:iCs w:val="1"/>
          <w:color w:val="auto"/>
        </w:rPr>
        <w:t>Communication with Audit Committees Concerning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Independence </w:t>
      </w:r>
      <w:r>
        <w:rPr>
          <w:rFonts w:ascii="Arial" w:cs="Arial" w:eastAsia="Arial" w:hAnsi="Arial"/>
          <w:sz w:val="17"/>
          <w:szCs w:val="17"/>
          <w:color w:val="auto"/>
        </w:rPr>
        <w:t>(“Rule 3526”), of the Public Company Accounting Oversight Board (United States) (the “PCAOB”).</w:t>
      </w:r>
    </w:p>
    <w:p>
      <w:pPr>
        <w:spacing w:after="0" w:line="167" w:lineRule="exact"/>
        <w:rPr>
          <w:rFonts w:ascii="Arial" w:cs="Arial" w:eastAsia="Arial" w:hAnsi="Arial"/>
          <w:sz w:val="17"/>
          <w:szCs w:val="17"/>
          <w:b w:val="1"/>
          <w:bCs w:val="1"/>
          <w:color w:val="auto"/>
        </w:rPr>
      </w:pPr>
    </w:p>
    <w:p>
      <w:pPr>
        <w:jc w:val="both"/>
        <w:ind w:firstLine="656"/>
        <w:spacing w:after="0" w:line="285" w:lineRule="auto"/>
        <w:tabs>
          <w:tab w:leader="none" w:pos="841" w:val="left"/>
        </w:tabs>
        <w:numPr>
          <w:ilvl w:val="1"/>
          <w:numId w:val="19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Approval of Audit Engagements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determine and approve engagements of the Auditors, prior to commencement of such engagements,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 all proposed audit, review and attest services, including the scope of and plans for the audit, the adequacy of staffing, the compensation to be paid, at the Company’s expense, to the Auditors and the negotiation and execution, on behalf of the Company, of the Auditors’ engagement letters, which approval may be pursuant to preapproval policies and procedures established by the Committee consistent with applicable laws and rules, including the delegation of preapproval authority to one or more Committee members so long as any such preapproval decisions are presented to the full Committee at the next scheduled meeting. The Committee should review and discuss with the Auditors (1) the Auditors’ responsibilities under generally accepted auditing standards and the responsibilities of management in the audit process, (2) the overall audit strategy, (3) the scope and timing of the annual audit,</w:t>
      </w:r>
    </w:p>
    <w:p>
      <w:pPr>
        <w:ind w:firstLine="8"/>
        <w:spacing w:after="0" w:line="260" w:lineRule="auto"/>
        <w:tabs>
          <w:tab w:leader="none" w:pos="26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significant risks identified during the Auditors’ risk assessment procedures and (5) when completed, the results, including significant findings, of the annual audit.</w:t>
      </w:r>
    </w:p>
    <w:p>
      <w:pPr>
        <w:spacing w:after="0" w:line="185" w:lineRule="exact"/>
        <w:rPr>
          <w:rFonts w:ascii="Arial" w:cs="Arial" w:eastAsia="Arial" w:hAnsi="Arial"/>
          <w:sz w:val="18"/>
          <w:szCs w:val="18"/>
          <w:color w:val="auto"/>
        </w:rPr>
      </w:pPr>
    </w:p>
    <w:p>
      <w:pPr>
        <w:jc w:val="both"/>
        <w:ind w:firstLine="656"/>
        <w:spacing w:after="0" w:line="255" w:lineRule="auto"/>
        <w:tabs>
          <w:tab w:leader="none" w:pos="828" w:val="left"/>
        </w:tabs>
        <w:numPr>
          <w:ilvl w:val="1"/>
          <w:numId w:val="19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Approval of Non-Audit Services. </w:t>
      </w:r>
      <w:r>
        <w:rPr>
          <w:rFonts w:ascii="Arial" w:cs="Arial" w:eastAsia="Arial" w:hAnsi="Arial"/>
          <w:sz w:val="18"/>
          <w:szCs w:val="18"/>
          <w:color w:val="auto"/>
        </w:rPr>
        <w:t>To determine and approve engagements of the Auditors, prior to commencement of such engagements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compliance with exceptions available under applicable laws and rules related to immaterial aggregate amounts of services), to perform any proposed permissible non-audit services, including the scope of the service and the compensation to be paid therefor, at the Company’s expense, which approval may be pursuant to preapproval policies and procedures established by the Committee consistent with applicable laws and rules, including the delegation of preapproval authority to one or more Committee members so long as any such preapproval decisions are presented to the full Committee at the next scheduled meeting.</w:t>
      </w:r>
    </w:p>
    <w:p>
      <w:pPr>
        <w:spacing w:after="0" w:line="192" w:lineRule="exact"/>
        <w:rPr>
          <w:rFonts w:ascii="Arial" w:cs="Arial" w:eastAsia="Arial" w:hAnsi="Arial"/>
          <w:sz w:val="18"/>
          <w:szCs w:val="18"/>
          <w:b w:val="1"/>
          <w:bCs w:val="1"/>
          <w:color w:val="auto"/>
        </w:rPr>
      </w:pPr>
    </w:p>
    <w:p>
      <w:pPr>
        <w:jc w:val="both"/>
        <w:ind w:firstLine="656"/>
        <w:spacing w:after="0" w:line="275" w:lineRule="auto"/>
        <w:tabs>
          <w:tab w:leader="none" w:pos="828" w:val="left"/>
        </w:tabs>
        <w:numPr>
          <w:ilvl w:val="1"/>
          <w:numId w:val="19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Auditor Independence. </w:t>
      </w:r>
      <w:r>
        <w:rPr>
          <w:rFonts w:ascii="Arial" w:cs="Arial" w:eastAsia="Arial" w:hAnsi="Arial"/>
          <w:sz w:val="17"/>
          <w:szCs w:val="17"/>
          <w:color w:val="auto"/>
        </w:rPr>
        <w:t>At least annually, consistent with Rule 3526, to receive and review written disclosures from the Auditors delineating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between the Auditors, or their affiliates, and the Company, or persons in financial oversight roles at the Company, that may reasonably be thought to bear on independence and a letter from the Auditors affirming their independence, to consider and discuss with the Auditors any potential effects of any such relationships on the independence of the Auditors as well as any compensation or services that could affect the Auditors’ objectivity and independence, and to assess and otherwise take appropriate action to oversee the independence of the Auditors.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6" w:name="page247"/>
    <w:bookmarkEnd w:id="246"/>
    <w:p>
      <w:pPr>
        <w:ind w:firstLine="656"/>
        <w:spacing w:after="0" w:line="277" w:lineRule="auto"/>
        <w:tabs>
          <w:tab w:leader="none" w:pos="828"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Former Employees of Auditor. </w:t>
      </w:r>
      <w:r>
        <w:rPr>
          <w:rFonts w:ascii="Arial" w:cs="Arial" w:eastAsia="Arial" w:hAnsi="Arial"/>
          <w:sz w:val="18"/>
          <w:szCs w:val="18"/>
          <w:color w:val="auto"/>
        </w:rPr>
        <w:t>To consider and, if deemed appropriate, adopt clear policies regarding hiring of employees or former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Auditors that participated in any capacity in any Company audit.</w:t>
      </w:r>
    </w:p>
    <w:p>
      <w:pPr>
        <w:spacing w:after="0" w:line="170" w:lineRule="exact"/>
        <w:rPr>
          <w:rFonts w:ascii="Arial" w:cs="Arial" w:eastAsia="Arial" w:hAnsi="Arial"/>
          <w:sz w:val="18"/>
          <w:szCs w:val="18"/>
          <w:b w:val="1"/>
          <w:bCs w:val="1"/>
          <w:color w:val="auto"/>
        </w:rPr>
      </w:pPr>
    </w:p>
    <w:p>
      <w:pPr>
        <w:jc w:val="both"/>
        <w:ind w:firstLine="656"/>
        <w:spacing w:after="0" w:line="263" w:lineRule="auto"/>
        <w:tabs>
          <w:tab w:leader="none" w:pos="855"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Audited Financial Statement Review. </w:t>
      </w:r>
      <w:r>
        <w:rPr>
          <w:rFonts w:ascii="Arial" w:cs="Arial" w:eastAsia="Arial" w:hAnsi="Arial"/>
          <w:sz w:val="18"/>
          <w:szCs w:val="18"/>
          <w:color w:val="auto"/>
        </w:rPr>
        <w:t>To review, upon completion of the audit, the financial statements proposed to be included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Registration Statements and Annual Report on Form 10-K to be filed with the SEC and to recommend whether or not such financial statements should be so included.</w:t>
      </w:r>
    </w:p>
    <w:p>
      <w:pPr>
        <w:spacing w:after="0" w:line="183" w:lineRule="exact"/>
        <w:rPr>
          <w:rFonts w:ascii="Arial" w:cs="Arial" w:eastAsia="Arial" w:hAnsi="Arial"/>
          <w:sz w:val="18"/>
          <w:szCs w:val="18"/>
          <w:b w:val="1"/>
          <w:bCs w:val="1"/>
          <w:color w:val="auto"/>
        </w:rPr>
      </w:pPr>
    </w:p>
    <w:p>
      <w:pPr>
        <w:jc w:val="both"/>
        <w:ind w:firstLine="656"/>
        <w:spacing w:after="0" w:line="275" w:lineRule="auto"/>
        <w:tabs>
          <w:tab w:leader="none" w:pos="828"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Annual Audit Results. </w:t>
      </w:r>
      <w:r>
        <w:rPr>
          <w:rFonts w:ascii="Arial" w:cs="Arial" w:eastAsia="Arial" w:hAnsi="Arial"/>
          <w:sz w:val="17"/>
          <w:szCs w:val="17"/>
          <w:color w:val="auto"/>
        </w:rPr>
        <w:t>To review with management and the Auditors, the results of the annual audit, including the Auditors’ assessment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quality, not just acceptability, of the Company’s accounting principles and practices, the Auditors’ views about qualitative aspects of the Company’s significant accounting practices, the reasonableness of significant judgments and estimates (including material changes in estimates), all known and likely misstatements identified during the audit (other than those the Auditors believe to be trivial), the adequacy of the disclosures in the financial statements and any other matters required to be communicated to the Committee by the Auditors under the standards of the PCAOB.</w:t>
      </w:r>
    </w:p>
    <w:p>
      <w:pPr>
        <w:spacing w:after="0" w:line="176" w:lineRule="exact"/>
        <w:rPr>
          <w:rFonts w:ascii="Arial" w:cs="Arial" w:eastAsia="Arial" w:hAnsi="Arial"/>
          <w:sz w:val="17"/>
          <w:szCs w:val="17"/>
          <w:b w:val="1"/>
          <w:bCs w:val="1"/>
          <w:color w:val="auto"/>
        </w:rPr>
      </w:pPr>
    </w:p>
    <w:p>
      <w:pPr>
        <w:jc w:val="both"/>
        <w:ind w:right="20" w:firstLine="656"/>
        <w:spacing w:after="0" w:line="263" w:lineRule="auto"/>
        <w:tabs>
          <w:tab w:leader="none" w:pos="855"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Auditor Communications. </w:t>
      </w:r>
      <w:r>
        <w:rPr>
          <w:rFonts w:ascii="Arial" w:cs="Arial" w:eastAsia="Arial" w:hAnsi="Arial"/>
          <w:sz w:val="18"/>
          <w:szCs w:val="18"/>
          <w:color w:val="auto"/>
        </w:rPr>
        <w:t>At least annually, to discuss with the Auditors the matters required to be discussed by Statement on Auditing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Standards No. 61, as amended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vol. 12. AU section 380), as adopted by the PCAOB in Rule 3200T (including any successor rule adopted by the PCAOB).</w:t>
      </w:r>
    </w:p>
    <w:p>
      <w:pPr>
        <w:spacing w:after="0" w:line="183" w:lineRule="exact"/>
        <w:rPr>
          <w:rFonts w:ascii="Arial" w:cs="Arial" w:eastAsia="Arial" w:hAnsi="Arial"/>
          <w:sz w:val="18"/>
          <w:szCs w:val="18"/>
          <w:b w:val="1"/>
          <w:bCs w:val="1"/>
          <w:color w:val="auto"/>
        </w:rPr>
      </w:pPr>
    </w:p>
    <w:p>
      <w:pPr>
        <w:jc w:val="both"/>
        <w:ind w:firstLine="656"/>
        <w:spacing w:after="0" w:line="259" w:lineRule="auto"/>
        <w:tabs>
          <w:tab w:leader="none" w:pos="945"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Quarterly Results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review and discuss with management and the Auditors, as appropriate, the results of the Auditors’ review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quarterly financial statements, prior to public disclosure of quarterly financial information, if practicable, or filing with the SEC of the Company’s Quarterly Report on Form 10-Q, and any other matters required to be communicated to the Committee by the Auditors under generally accepted auditing standards, including standards of the PCAOB, as appropriate.</w:t>
      </w:r>
    </w:p>
    <w:p>
      <w:pPr>
        <w:spacing w:after="0" w:line="186" w:lineRule="exact"/>
        <w:rPr>
          <w:rFonts w:ascii="Arial" w:cs="Arial" w:eastAsia="Arial" w:hAnsi="Arial"/>
          <w:sz w:val="18"/>
          <w:szCs w:val="18"/>
          <w:b w:val="1"/>
          <w:bCs w:val="1"/>
          <w:color w:val="auto"/>
        </w:rPr>
      </w:pPr>
    </w:p>
    <w:p>
      <w:pPr>
        <w:jc w:val="both"/>
        <w:ind w:firstLine="656"/>
        <w:spacing w:after="0" w:line="259" w:lineRule="auto"/>
        <w:tabs>
          <w:tab w:leader="none" w:pos="921"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Releases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review and discuss with management and the Auditors the Company’s earnings press releases, including the type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to be included and its presentation and the use of any pro forma, adjusted or other non-GAAP financial information and any financial information and earnings guidance provided to analysts and ratings agencies, including the type of information to be disclosed and type of presentation to be made.</w:t>
      </w:r>
    </w:p>
    <w:p>
      <w:pPr>
        <w:spacing w:after="0" w:line="186" w:lineRule="exact"/>
        <w:rPr>
          <w:rFonts w:ascii="Arial" w:cs="Arial" w:eastAsia="Arial" w:hAnsi="Arial"/>
          <w:sz w:val="18"/>
          <w:szCs w:val="18"/>
          <w:b w:val="1"/>
          <w:bCs w:val="1"/>
          <w:color w:val="auto"/>
        </w:rPr>
      </w:pPr>
    </w:p>
    <w:p>
      <w:pPr>
        <w:jc w:val="both"/>
        <w:ind w:firstLine="656"/>
        <w:spacing w:after="0" w:line="263" w:lineRule="auto"/>
        <w:tabs>
          <w:tab w:leader="none" w:pos="958"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Management’s Discussion and Analysis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review and discuss with management and the Auditors, as appropriate,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disclosures contained under the caption “Management’s Discussion and Analysis of Financial Condition and Results of Operations” in its periodic reports to be filed with the SEC.</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7" w:name="page248"/>
    <w:bookmarkEnd w:id="247"/>
    <w:p>
      <w:pPr>
        <w:jc w:val="both"/>
        <w:ind w:firstLine="656"/>
        <w:spacing w:after="0" w:line="255" w:lineRule="auto"/>
        <w:tabs>
          <w:tab w:leader="none" w:pos="931"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Accounting Principles and Policies. </w:t>
      </w:r>
      <w:r>
        <w:rPr>
          <w:rFonts w:ascii="Arial" w:cs="Arial" w:eastAsia="Arial" w:hAnsi="Arial"/>
          <w:sz w:val="18"/>
          <w:szCs w:val="18"/>
          <w:color w:val="auto"/>
        </w:rPr>
        <w:t>To review with management and the Auditors, as appropriate, significant issues that arise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principles and financial statement presentation, including critical accounting policies and practices, alternative accounting policies available under generally accepted accounting principles (“GAAP”) related to material items discussed with management, the potential impact on the Company’s financial statements of off-balance sheet structures and any other significant reporting issues and judgments, significant regulatory, legal and accounting initiatives or developments that may have a material impact on the Company’s financial statements, compliance programs and policies if, in the judgment of the Committee, such review is necessary or appropriate.</w:t>
      </w:r>
    </w:p>
    <w:p>
      <w:pPr>
        <w:spacing w:after="0" w:line="192" w:lineRule="exact"/>
        <w:rPr>
          <w:rFonts w:ascii="Arial" w:cs="Arial" w:eastAsia="Arial" w:hAnsi="Arial"/>
          <w:sz w:val="18"/>
          <w:szCs w:val="18"/>
          <w:b w:val="1"/>
          <w:bCs w:val="1"/>
          <w:color w:val="auto"/>
        </w:rPr>
      </w:pPr>
    </w:p>
    <w:p>
      <w:pPr>
        <w:jc w:val="both"/>
        <w:ind w:firstLine="656"/>
        <w:spacing w:after="0" w:line="279" w:lineRule="auto"/>
        <w:tabs>
          <w:tab w:leader="none" w:pos="918"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Risk Assessment and Management. </w:t>
      </w:r>
      <w:r>
        <w:rPr>
          <w:rFonts w:ascii="Arial" w:cs="Arial" w:eastAsia="Arial" w:hAnsi="Arial"/>
          <w:sz w:val="17"/>
          <w:szCs w:val="17"/>
          <w:color w:val="auto"/>
        </w:rPr>
        <w:t>To review and discuss with management and, as appropriate, the Auditors the Company’s guidelines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policies with respect to risk assessment and risk management, including the Company’s major financial risk exposures and the steps taken by management to monitor and control these exposures; and to review and discuss with management insurance programs, including director and officer insurance, product liability insurance and general liability insurance (but excluding compensation and benefits-related insurance).</w:t>
      </w:r>
    </w:p>
    <w:p>
      <w:pPr>
        <w:spacing w:after="0" w:line="171" w:lineRule="exact"/>
        <w:rPr>
          <w:rFonts w:ascii="Arial" w:cs="Arial" w:eastAsia="Arial" w:hAnsi="Arial"/>
          <w:sz w:val="17"/>
          <w:szCs w:val="17"/>
          <w:b w:val="1"/>
          <w:bCs w:val="1"/>
          <w:color w:val="auto"/>
        </w:rPr>
      </w:pPr>
    </w:p>
    <w:p>
      <w:pPr>
        <w:jc w:val="both"/>
        <w:ind w:firstLine="656"/>
        <w:spacing w:after="0" w:line="311" w:lineRule="auto"/>
        <w:tabs>
          <w:tab w:leader="none" w:pos="945"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Management Cooperation with Audit. </w:t>
      </w:r>
      <w:r>
        <w:rPr>
          <w:rFonts w:ascii="Arial" w:cs="Arial" w:eastAsia="Arial" w:hAnsi="Arial"/>
          <w:sz w:val="16"/>
          <w:szCs w:val="16"/>
          <w:color w:val="auto"/>
        </w:rPr>
        <w:t>To evaluate the cooperation received by the Auditors during their audit examination, including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review with the Auditors of any significant difficulties encountered during the audit or any restrictions on the scope of their activities or access to required records, data and information and, whether or not resolved, significant disagreements with management and management’s response, if any.</w:t>
      </w:r>
    </w:p>
    <w:p>
      <w:pPr>
        <w:spacing w:after="0" w:line="148" w:lineRule="exact"/>
        <w:rPr>
          <w:rFonts w:ascii="Arial" w:cs="Arial" w:eastAsia="Arial" w:hAnsi="Arial"/>
          <w:sz w:val="16"/>
          <w:szCs w:val="16"/>
          <w:b w:val="1"/>
          <w:bCs w:val="1"/>
          <w:color w:val="auto"/>
        </w:rPr>
      </w:pPr>
    </w:p>
    <w:p>
      <w:pPr>
        <w:jc w:val="both"/>
        <w:ind w:firstLine="656"/>
        <w:spacing w:after="0" w:line="263" w:lineRule="auto"/>
        <w:tabs>
          <w:tab w:leader="none" w:pos="931"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Management Letters. </w:t>
      </w:r>
      <w:r>
        <w:rPr>
          <w:rFonts w:ascii="Arial" w:cs="Arial" w:eastAsia="Arial" w:hAnsi="Arial"/>
          <w:sz w:val="18"/>
          <w:szCs w:val="18"/>
          <w:color w:val="auto"/>
        </w:rPr>
        <w:t>To review and discuss with the Auditors and, if appropriate, management, any management or internal control letter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or, to the extent practicable, proposed to be issued by the Auditors and management’s response, if any, to such letter, as well as any additional material written communications between the Auditors and management.</w:t>
      </w:r>
    </w:p>
    <w:p>
      <w:pPr>
        <w:spacing w:after="0" w:line="183" w:lineRule="exact"/>
        <w:rPr>
          <w:rFonts w:ascii="Arial" w:cs="Arial" w:eastAsia="Arial" w:hAnsi="Arial"/>
          <w:sz w:val="18"/>
          <w:szCs w:val="18"/>
          <w:b w:val="1"/>
          <w:bCs w:val="1"/>
          <w:color w:val="auto"/>
        </w:rPr>
      </w:pPr>
    </w:p>
    <w:p>
      <w:pPr>
        <w:ind w:right="20" w:firstLine="656"/>
        <w:spacing w:after="0" w:line="277" w:lineRule="auto"/>
        <w:tabs>
          <w:tab w:leader="none" w:pos="918"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National Office Communications. </w:t>
      </w:r>
      <w:r>
        <w:rPr>
          <w:rFonts w:ascii="Arial" w:cs="Arial" w:eastAsia="Arial" w:hAnsi="Arial"/>
          <w:sz w:val="18"/>
          <w:szCs w:val="18"/>
          <w:color w:val="auto"/>
        </w:rPr>
        <w:t>To review and discuss with the Auditors, as appropriate, communications between the audit team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Auditors’ national office with respect to accounting or auditing issues presented by the engagement.</w:t>
      </w:r>
    </w:p>
    <w:p>
      <w:pPr>
        <w:spacing w:after="0" w:line="170" w:lineRule="exact"/>
        <w:rPr>
          <w:rFonts w:ascii="Arial" w:cs="Arial" w:eastAsia="Arial" w:hAnsi="Arial"/>
          <w:sz w:val="18"/>
          <w:szCs w:val="18"/>
          <w:b w:val="1"/>
          <w:bCs w:val="1"/>
          <w:color w:val="auto"/>
        </w:rPr>
      </w:pPr>
    </w:p>
    <w:p>
      <w:pPr>
        <w:jc w:val="both"/>
        <w:ind w:firstLine="656"/>
        <w:spacing w:after="0" w:line="301" w:lineRule="auto"/>
        <w:tabs>
          <w:tab w:leader="none" w:pos="918"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Disagreements Between Auditors and Management. </w:t>
      </w:r>
      <w:r>
        <w:rPr>
          <w:rFonts w:ascii="Arial" w:cs="Arial" w:eastAsia="Arial" w:hAnsi="Arial"/>
          <w:sz w:val="16"/>
          <w:szCs w:val="16"/>
          <w:color w:val="auto"/>
        </w:rPr>
        <w:t>To review with management and the Auditors, or any other registered public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firm engaged to perform review or attest services, any conflicts or disagreements between management and the Auditors, or such other accounting firm, whether or not resolved, regarding financial reporting, accounting practices or policies or other matters, that individually or in the aggregate could be significant to the Company’s financial statements or the Auditors’ report, and to resolve any conflicts or disagreements regarding financial reporting.</w:t>
      </w:r>
    </w:p>
    <w:p>
      <w:pPr>
        <w:spacing w:after="0" w:line="157" w:lineRule="exact"/>
        <w:rPr>
          <w:rFonts w:ascii="Arial" w:cs="Arial" w:eastAsia="Arial" w:hAnsi="Arial"/>
          <w:sz w:val="16"/>
          <w:szCs w:val="16"/>
          <w:b w:val="1"/>
          <w:bCs w:val="1"/>
          <w:color w:val="auto"/>
        </w:rPr>
      </w:pPr>
    </w:p>
    <w:p>
      <w:pPr>
        <w:jc w:val="both"/>
        <w:ind w:firstLine="656"/>
        <w:spacing w:after="0" w:line="255" w:lineRule="auto"/>
        <w:tabs>
          <w:tab w:leader="none" w:pos="918"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Internal Control Over Financial Reporting and Disclosure Controls. </w:t>
      </w:r>
      <w:r>
        <w:rPr>
          <w:rFonts w:ascii="Arial" w:cs="Arial" w:eastAsia="Arial" w:hAnsi="Arial"/>
          <w:sz w:val="18"/>
          <w:szCs w:val="18"/>
          <w:color w:val="auto"/>
        </w:rPr>
        <w:t>To confer with management and the Auditors, as appropriate,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scope, adequacy and effectiveness of internal control over financial reporting and disclosure controls and procedures, including significant deficiencies or material weaknesses identified by the Auditors. To review with the management and the Auditors any fraud, whether or not material, that includes management or other employees who have any significant role in the Company’s internal control over financial reporting or disclosure controls, and any significant changes in internal controls or disclosure controls or other factors that could significantly affect them, including any corrective actions in regard to significant deficiencies or material weaknesses.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8" w:name="page249"/>
    <w:bookmarkEnd w:id="248"/>
    <w:p>
      <w:pPr>
        <w:ind w:firstLine="656"/>
        <w:spacing w:after="0" w:line="277" w:lineRule="auto"/>
        <w:tabs>
          <w:tab w:leader="none" w:pos="918"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Separate Sessions. </w:t>
      </w:r>
      <w:r>
        <w:rPr>
          <w:rFonts w:ascii="Arial" w:cs="Arial" w:eastAsia="Arial" w:hAnsi="Arial"/>
          <w:sz w:val="18"/>
          <w:szCs w:val="18"/>
          <w:color w:val="auto"/>
        </w:rPr>
        <w:t>Periodically, to meet in separate sessions with the Auditors, as appropriate, and management to discuss any matters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the Auditors or management believe should be discussed privately with the Committee.</w:t>
      </w:r>
    </w:p>
    <w:p>
      <w:pPr>
        <w:spacing w:after="0" w:line="170" w:lineRule="exact"/>
        <w:rPr>
          <w:rFonts w:ascii="Arial" w:cs="Arial" w:eastAsia="Arial" w:hAnsi="Arial"/>
          <w:sz w:val="18"/>
          <w:szCs w:val="18"/>
          <w:b w:val="1"/>
          <w:bCs w:val="1"/>
          <w:color w:val="auto"/>
        </w:rPr>
      </w:pPr>
    </w:p>
    <w:p>
      <w:pPr>
        <w:jc w:val="both"/>
        <w:ind w:firstLine="656"/>
        <w:spacing w:after="0" w:line="311" w:lineRule="auto"/>
        <w:tabs>
          <w:tab w:leader="none" w:pos="931"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Correspondence with Regulators. </w:t>
      </w:r>
      <w:r>
        <w:rPr>
          <w:rFonts w:ascii="Arial" w:cs="Arial" w:eastAsia="Arial" w:hAnsi="Arial"/>
          <w:sz w:val="16"/>
          <w:szCs w:val="16"/>
          <w:color w:val="auto"/>
        </w:rPr>
        <w:t>To consider and review with management, the Auditors, outside counsel, as appropriate, and any special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counsel, separate accounting firm or other consultants and advisors as the Committee deems appropriate, any correspondence with regulators or governmental agencies and any published reports that raise material issues regarding the Company’s financial statements or accounting policies.</w:t>
      </w:r>
    </w:p>
    <w:p>
      <w:pPr>
        <w:spacing w:after="0" w:line="148" w:lineRule="exact"/>
        <w:rPr>
          <w:rFonts w:ascii="Arial" w:cs="Arial" w:eastAsia="Arial" w:hAnsi="Arial"/>
          <w:sz w:val="16"/>
          <w:szCs w:val="16"/>
          <w:b w:val="1"/>
          <w:bCs w:val="1"/>
          <w:color w:val="auto"/>
        </w:rPr>
      </w:pPr>
    </w:p>
    <w:p>
      <w:pPr>
        <w:jc w:val="both"/>
        <w:ind w:firstLine="656"/>
        <w:spacing w:after="0" w:line="257" w:lineRule="auto"/>
        <w:tabs>
          <w:tab w:leader="none" w:pos="918"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Complaint Procedures. </w:t>
      </w:r>
      <w:r>
        <w:rPr>
          <w:rFonts w:ascii="Arial" w:cs="Arial" w:eastAsia="Arial" w:hAnsi="Arial"/>
          <w:sz w:val="18"/>
          <w:szCs w:val="18"/>
          <w:color w:val="auto"/>
        </w:rPr>
        <w:t>To establish procedures, when and as required by applicable laws and rules, for the receipt, retention and treatment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complaints received by the Company regarding accounting, internal accounting controls or auditing matters and the confidential and anonymous submission by employees of concerns regarding questionable accounting or auditing matters, and to establish such procedures as the Committee may deem appropriate for the receipt, retention and treatment of complaints received by the Company with respect to any other matters that may be directed to the Committee for review and assessment.</w:t>
      </w:r>
    </w:p>
    <w:p>
      <w:pPr>
        <w:spacing w:after="0" w:line="187" w:lineRule="exact"/>
        <w:rPr>
          <w:rFonts w:ascii="Arial" w:cs="Arial" w:eastAsia="Arial" w:hAnsi="Arial"/>
          <w:sz w:val="18"/>
          <w:szCs w:val="18"/>
          <w:b w:val="1"/>
          <w:bCs w:val="1"/>
          <w:color w:val="auto"/>
        </w:rPr>
      </w:pPr>
    </w:p>
    <w:p>
      <w:pPr>
        <w:jc w:val="both"/>
        <w:ind w:firstLine="656"/>
        <w:spacing w:after="0" w:line="257" w:lineRule="auto"/>
        <w:tabs>
          <w:tab w:leader="none" w:pos="945"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Ethical Compliance; Compliance with Legal and Regulatory Requirements. </w:t>
      </w:r>
      <w:r>
        <w:rPr>
          <w:rFonts w:ascii="Arial" w:cs="Arial" w:eastAsia="Arial" w:hAnsi="Arial"/>
          <w:sz w:val="18"/>
          <w:szCs w:val="18"/>
          <w:color w:val="auto"/>
        </w:rPr>
        <w:t>To review the results of management’s efforts to monitor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with the Company’s programs and policies designed to ensure adherence to applicable laws and rules, as well as to its Code of Business Conduct and Ethics, as amended from time to time, and regarding legal matters and compliance with legal and regulatory requirements that may have a material effect on the Company’s business, financial statements or compliance policies, including any material reports or inquiries from regulatory or governmental agencies.</w:t>
      </w:r>
    </w:p>
    <w:p>
      <w:pPr>
        <w:spacing w:after="0" w:line="187" w:lineRule="exact"/>
        <w:rPr>
          <w:rFonts w:ascii="Arial" w:cs="Arial" w:eastAsia="Arial" w:hAnsi="Arial"/>
          <w:sz w:val="18"/>
          <w:szCs w:val="18"/>
          <w:b w:val="1"/>
          <w:bCs w:val="1"/>
          <w:color w:val="auto"/>
        </w:rPr>
      </w:pPr>
    </w:p>
    <w:p>
      <w:pPr>
        <w:ind w:left="960" w:hanging="304"/>
        <w:spacing w:after="0"/>
        <w:tabs>
          <w:tab w:leader="none" w:pos="960"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Related-Person Transactions. </w:t>
      </w:r>
      <w:r>
        <w:rPr>
          <w:rFonts w:ascii="Arial" w:cs="Arial" w:eastAsia="Arial" w:hAnsi="Arial"/>
          <w:sz w:val="16"/>
          <w:szCs w:val="16"/>
          <w:color w:val="auto"/>
        </w:rPr>
        <w:t>To review and provide oversight of related-person transactions, as required by stock exchange rules and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regulations.</w:t>
      </w:r>
    </w:p>
    <w:p>
      <w:pPr>
        <w:spacing w:after="0" w:line="210" w:lineRule="exact"/>
        <w:rPr>
          <w:rFonts w:ascii="Arial" w:cs="Arial" w:eastAsia="Arial" w:hAnsi="Arial"/>
          <w:sz w:val="16"/>
          <w:szCs w:val="16"/>
          <w:b w:val="1"/>
          <w:bCs w:val="1"/>
          <w:color w:val="auto"/>
        </w:rPr>
      </w:pPr>
    </w:p>
    <w:p>
      <w:pPr>
        <w:jc w:val="both"/>
        <w:ind w:firstLine="656"/>
        <w:spacing w:after="0" w:line="275" w:lineRule="auto"/>
        <w:tabs>
          <w:tab w:leader="none" w:pos="931"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Engagement of Registered Public Accounting Firms. </w:t>
      </w:r>
      <w:r>
        <w:rPr>
          <w:rFonts w:ascii="Arial" w:cs="Arial" w:eastAsia="Arial" w:hAnsi="Arial"/>
          <w:sz w:val="17"/>
          <w:szCs w:val="17"/>
          <w:color w:val="auto"/>
        </w:rPr>
        <w:t>To determine and approve engagements of any registered public accounting firm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 to the Auditors), prior to commencement of such engagements, to perform any other review or attest service, including the compensation to be paid, at the Company’s expense, to such firm and the negotiation and execution, on behalf of the Company, of such firm’s engagement letter, which approval may be pursuant to preapproval policies and procedures, including the delegation of preapproval authority to one or more Committee members, so long as any such preapproval decisions are presented to the full Committee at the next scheduled meeting.</w:t>
      </w:r>
    </w:p>
    <w:p>
      <w:pPr>
        <w:spacing w:after="0" w:line="176" w:lineRule="exact"/>
        <w:rPr>
          <w:rFonts w:ascii="Arial" w:cs="Arial" w:eastAsia="Arial" w:hAnsi="Arial"/>
          <w:sz w:val="17"/>
          <w:szCs w:val="17"/>
          <w:b w:val="1"/>
          <w:bCs w:val="1"/>
          <w:color w:val="auto"/>
        </w:rPr>
      </w:pPr>
    </w:p>
    <w:p>
      <w:pPr>
        <w:ind w:right="20" w:firstLine="656"/>
        <w:spacing w:after="0" w:line="277" w:lineRule="auto"/>
        <w:tabs>
          <w:tab w:leader="none" w:pos="918"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Policy. </w:t>
      </w:r>
      <w:r>
        <w:rPr>
          <w:rFonts w:ascii="Arial" w:cs="Arial" w:eastAsia="Arial" w:hAnsi="Arial"/>
          <w:sz w:val="18"/>
          <w:szCs w:val="18"/>
          <w:color w:val="auto"/>
        </w:rPr>
        <w:t>To review, on a periodic basis, as appropriate, the Company’s investment policy and recommend to the Board any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investment policy.</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9" w:name="page250"/>
    <w:bookmarkEnd w:id="249"/>
    <w:p>
      <w:pPr>
        <w:ind w:right="20" w:firstLine="656"/>
        <w:spacing w:after="0" w:line="277" w:lineRule="auto"/>
        <w:tabs>
          <w:tab w:leader="none" w:pos="931"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Investigations. </w:t>
      </w:r>
      <w:r>
        <w:rPr>
          <w:rFonts w:ascii="Arial" w:cs="Arial" w:eastAsia="Arial" w:hAnsi="Arial"/>
          <w:sz w:val="18"/>
          <w:szCs w:val="18"/>
          <w:color w:val="auto"/>
        </w:rPr>
        <w:t>To investigate any matter brought to the attention of the Committee within the scope of its duties if, in the judgment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such investigation is necessary or appropriate.</w:t>
      </w:r>
    </w:p>
    <w:p>
      <w:pPr>
        <w:spacing w:after="0" w:line="170" w:lineRule="exact"/>
        <w:rPr>
          <w:rFonts w:ascii="Arial" w:cs="Arial" w:eastAsia="Arial" w:hAnsi="Arial"/>
          <w:sz w:val="18"/>
          <w:szCs w:val="18"/>
          <w:b w:val="1"/>
          <w:bCs w:val="1"/>
          <w:color w:val="auto"/>
        </w:rPr>
      </w:pPr>
    </w:p>
    <w:p>
      <w:pPr>
        <w:ind w:left="960" w:hanging="304"/>
        <w:spacing w:after="0"/>
        <w:tabs>
          <w:tab w:leader="none" w:pos="960"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Proxy Report. </w:t>
      </w:r>
      <w:r>
        <w:rPr>
          <w:rFonts w:ascii="Arial" w:cs="Arial" w:eastAsia="Arial" w:hAnsi="Arial"/>
          <w:sz w:val="17"/>
          <w:szCs w:val="17"/>
          <w:color w:val="auto"/>
        </w:rPr>
        <w:t>To prepare the report of the Committee required by the rules of the SEC to be included in the Company’s annual proxy</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statement.</w:t>
      </w:r>
    </w:p>
    <w:p>
      <w:pPr>
        <w:spacing w:after="0" w:line="210" w:lineRule="exact"/>
        <w:rPr>
          <w:rFonts w:ascii="Arial" w:cs="Arial" w:eastAsia="Arial" w:hAnsi="Arial"/>
          <w:sz w:val="17"/>
          <w:szCs w:val="17"/>
          <w:b w:val="1"/>
          <w:bCs w:val="1"/>
          <w:color w:val="auto"/>
        </w:rPr>
      </w:pPr>
    </w:p>
    <w:p>
      <w:pPr>
        <w:ind w:left="920" w:hanging="264"/>
        <w:spacing w:after="0"/>
        <w:tabs>
          <w:tab w:leader="none" w:pos="920"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Annual Charter Review. </w:t>
      </w:r>
      <w:r>
        <w:rPr>
          <w:rFonts w:ascii="Arial" w:cs="Arial" w:eastAsia="Arial" w:hAnsi="Arial"/>
          <w:sz w:val="16"/>
          <w:szCs w:val="16"/>
          <w:color w:val="auto"/>
        </w:rPr>
        <w:t>To review and assess the adequacy of this charter annually and recommend any proposed changes to the Board for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approval.</w:t>
      </w:r>
    </w:p>
    <w:p>
      <w:pPr>
        <w:spacing w:after="0" w:line="210" w:lineRule="exact"/>
        <w:rPr>
          <w:rFonts w:ascii="Arial" w:cs="Arial" w:eastAsia="Arial" w:hAnsi="Arial"/>
          <w:sz w:val="16"/>
          <w:szCs w:val="16"/>
          <w:b w:val="1"/>
          <w:bCs w:val="1"/>
          <w:color w:val="auto"/>
        </w:rPr>
      </w:pPr>
    </w:p>
    <w:p>
      <w:pPr>
        <w:jc w:val="both"/>
        <w:ind w:firstLine="656"/>
        <w:spacing w:after="0" w:line="263" w:lineRule="auto"/>
        <w:tabs>
          <w:tab w:leader="none" w:pos="918"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Report to Board. </w:t>
      </w:r>
      <w:r>
        <w:rPr>
          <w:rFonts w:ascii="Arial" w:cs="Arial" w:eastAsia="Arial" w:hAnsi="Arial"/>
          <w:sz w:val="18"/>
          <w:szCs w:val="18"/>
          <w:color w:val="auto"/>
        </w:rPr>
        <w:t>To report to the Board with respect to material issues that arise regarding the quality or integrity of the Company’s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the Company’s compliance with legal or regulatory requirements, the performance or independence of the Auditors or such other matters as the Committee deems appropriate from time to time or whenever it shall be called upon to do so.</w:t>
      </w:r>
    </w:p>
    <w:p>
      <w:pPr>
        <w:spacing w:after="0" w:line="183" w:lineRule="exact"/>
        <w:rPr>
          <w:rFonts w:ascii="Arial" w:cs="Arial" w:eastAsia="Arial" w:hAnsi="Arial"/>
          <w:sz w:val="18"/>
          <w:szCs w:val="18"/>
          <w:b w:val="1"/>
          <w:bCs w:val="1"/>
          <w:color w:val="auto"/>
        </w:rPr>
      </w:pPr>
    </w:p>
    <w:p>
      <w:pPr>
        <w:ind w:left="920" w:hanging="264"/>
        <w:spacing w:after="0"/>
        <w:tabs>
          <w:tab w:leader="none" w:pos="92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Annual Committee Evaluation. </w:t>
      </w:r>
      <w:r>
        <w:rPr>
          <w:rFonts w:ascii="Arial" w:cs="Arial" w:eastAsia="Arial" w:hAnsi="Arial"/>
          <w:sz w:val="18"/>
          <w:szCs w:val="18"/>
          <w:color w:val="auto"/>
        </w:rPr>
        <w:t>To conduct an annual evaluation of the performance of the Committee.</w:t>
      </w:r>
    </w:p>
    <w:p>
      <w:pPr>
        <w:spacing w:after="0" w:line="225" w:lineRule="exact"/>
        <w:rPr>
          <w:rFonts w:ascii="Arial" w:cs="Arial" w:eastAsia="Arial" w:hAnsi="Arial"/>
          <w:sz w:val="18"/>
          <w:szCs w:val="18"/>
          <w:b w:val="1"/>
          <w:bCs w:val="1"/>
          <w:color w:val="auto"/>
        </w:rPr>
      </w:pPr>
    </w:p>
    <w:p>
      <w:pPr>
        <w:ind w:firstLine="656"/>
        <w:spacing w:after="0" w:line="277" w:lineRule="auto"/>
        <w:tabs>
          <w:tab w:leader="none" w:pos="918"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General Authority. </w:t>
      </w:r>
      <w:r>
        <w:rPr>
          <w:rFonts w:ascii="Arial" w:cs="Arial" w:eastAsia="Arial" w:hAnsi="Arial"/>
          <w:sz w:val="18"/>
          <w:szCs w:val="18"/>
          <w:color w:val="auto"/>
        </w:rPr>
        <w:t>To perform such other functions and to have such powers as may be necessary or appropriate in the efficient and lawful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discharge of the foregoing.</w:t>
      </w:r>
    </w:p>
    <w:p>
      <w:pPr>
        <w:spacing w:after="0" w:line="170" w:lineRule="exact"/>
        <w:rPr>
          <w:rFonts w:ascii="Arial" w:cs="Arial" w:eastAsia="Arial" w:hAnsi="Arial"/>
          <w:sz w:val="18"/>
          <w:szCs w:val="18"/>
          <w:b w:val="1"/>
          <w:bCs w:val="1"/>
          <w:color w:val="auto"/>
        </w:rPr>
      </w:pPr>
    </w:p>
    <w:p>
      <w:pPr>
        <w:jc w:val="both"/>
        <w:ind w:firstLine="656"/>
        <w:spacing w:after="0" w:line="273" w:lineRule="auto"/>
        <w:tabs>
          <w:tab w:leader="none" w:pos="918"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Internal Audit Function. </w:t>
      </w:r>
      <w:r>
        <w:rPr>
          <w:rFonts w:ascii="Arial" w:cs="Arial" w:eastAsia="Arial" w:hAnsi="Arial"/>
          <w:sz w:val="17"/>
          <w:szCs w:val="17"/>
          <w:color w:val="auto"/>
        </w:rPr>
        <w:t>Until the internal audit function of the Company is established, to assist with the Board’s oversight of the design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implementation of an internal audit function; meet periodically with Company personnel primarily responsible for designing and implementing the internal audit function; review with the Auditors the Company’s plans for implementing the internal audit function, including management’s plans for internal audit’s budget, staff and responsibilities; and report regularly to the Board regarding the design and implementation of internal audit. Once the internal audit function is established, the Committee will monitor that the Company maintains an effective internal audit function and oversee the internal auditors (or other personnel responsible for the internal audit function), who will report directly to the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Adopted: ___,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0" w:name="page251"/>
    <w:bookmarkEnd w:id="250"/>
    <w:p>
      <w:pPr>
        <w:ind w:left="1032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CHARTER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Committee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purposes of the Compensation Committee (the “Committee”) of the Board of Directors (the “Board”) of BCTG Acquisition Corp. (the “Company”) shall be to oversee the Company’s compensation and employee benefit plans and practices, including its executive, director and other incentive and equity-based compensation plans and to review and prepare any disclosures required to be made by the Company in its periodic filings with the Securities and Exchange Commission (“SEC”) pursuant to the rules and regulations of the SEC.</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Charter is intended as a tool within which the Board, assisted by its committees, directs the affairs of the Company. While it should be interpreted in the context of all applicable laws, regulations and listing requirements, as well as in the context of the Company’s charter and bylaws (“Governing Documents”), it is not intended to establish by its own force any legally binding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Committee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members of the Committee shall be appointed by the Board on the recommendation of the Nominating and Corporate Governance Committee. The Board may designate one member of the Committee as its Chairperson and in the absence of any such designation by the Board, the Committee shall designate by majority vote of the full Committee one member of the Committee as its Chairperson. Vacancies on the Committee shall be filled by majority vote of the Board at the next meeting of the Board following the occurrence of the vacancy or by written consent of the Board. No member of the Committee shall be removed except by majority vote of the Board. The Board may remove any member from the Committee at any time with or without cause.</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Committee shall be comprised of directors, each of whom meets the independence requirements established by the Board and applicable laws, regulations and listing requirements of the Nasdaq Stock Market, except that the Committee may have as one of its members a “non-independent director” under exceptional and limited circumstances pursuant to the exemption under Rule 5605(d)(2)(B) of the Nasdaq Stock Market. At least two of the Committee members shall be “non-employee directors” as defined by Rule 16b-3 under the Securities Exchange Act of 1934, as amended (the “Exchange Act”). The members of the Committee and the chairperson shall be selected not less frequently than annually by the Board and serve at the pleasure of the Board. A Committee member (including the chairperson) may be removed at any time, with or without cause, by the Board. Each member shall also be free of any relationship that, in the judgment of the Board, would interfere with the exercise of his or her independent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color w:val="auto"/>
        </w:rPr>
        <w:t>Meetings and Procedures of the Committee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may fix its own rules of procedure, which shall be consistent with the Governing Documents. The Committee shall meet at least annually, or more frequently as circumstances require. The Chairperson of the Committee or a majority of the members of the Committee may also call a special meeting of the Committee. A majority of the members of the Committee present in person or by means of a conference telephone or other communications equipment by means of which all persons participating in the meeting can hear each other shall constitute a quorum. Any action required or permitted to be taken at any meeting of the Committee may be taken without a meeting, if all members of the Committee consent thereto in writing, and the writing or writings are filled with the minutes of proceedings of the Committee.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Committee may request that any directors, officers or employees of the Company, or other persons whose advice and counsel are sought by the Committee, attend any meeting of the Committee to provide such pertinent information as the Committee requests. The Company’s Chief Executive Officer (“CEO”) shall not attend the portion of any meeting where the CEO’s performance or compensation are discussed.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Compensation Committee shall report to the Board on Committee findings, recommendations and other matters the Committee deems appropriate or the Board requests. The Committee shall keep written minutes of its meetings, which minutes shall be maintained with the books and records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Delegation of Authority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may form subcommittees for any purpose that the Committee deems appropriate and may delegate to such subcommittees such power and authority as the Committee deems appropriate; provided, however, that the Committee shall not delegate to a subcommittee any power or authority required by any law, regulation or listing standard to be exercised by the Committee as a whole.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may also delegate to one or more executive officers of the Company the authority to make grants of equity-based compensation to eligible individuals who are not executive officers. Any executive officer to whom the Committee grants such authority shall regularly report to the Committee grants so made and the Committee may revoke any delegation of authority at any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Responsibilities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responsibilities of the Committee shall be to:</w:t>
      </w:r>
    </w:p>
    <w:p>
      <w:pPr>
        <w:spacing w:after="0" w:line="225" w:lineRule="exact"/>
        <w:rPr>
          <w:sz w:val="20"/>
          <w:szCs w:val="20"/>
          <w:color w:val="auto"/>
        </w:rPr>
      </w:pPr>
    </w:p>
    <w:p>
      <w:pPr>
        <w:ind w:left="1440" w:right="200" w:hanging="352"/>
        <w:spacing w:after="0" w:line="277" w:lineRule="auto"/>
        <w:tabs>
          <w:tab w:leader="none" w:pos="14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Ensure that the Company’s executive compensation programs are designed to enable it to recruit, retain and motivate a large group of talented and diverse executives.</w:t>
      </w:r>
    </w:p>
    <w:p>
      <w:pPr>
        <w:spacing w:after="0" w:line="170" w:lineRule="exact"/>
        <w:rPr>
          <w:rFonts w:ascii="Arial" w:cs="Arial" w:eastAsia="Arial" w:hAnsi="Arial"/>
          <w:sz w:val="18"/>
          <w:szCs w:val="18"/>
          <w:color w:val="auto"/>
        </w:rPr>
      </w:pPr>
    </w:p>
    <w:p>
      <w:pPr>
        <w:jc w:val="both"/>
        <w:ind w:left="1440" w:hanging="352"/>
        <w:spacing w:after="0" w:line="263" w:lineRule="auto"/>
        <w:tabs>
          <w:tab w:leader="none" w:pos="14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Ensure that the Company’s executive compensation programs are appropriately competitive, support organization objectives and stockholder interests, and ensure executive compensation is adequately designed to align the interests of executive officers with the long-term performance of the Company.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2" w:name="page253"/>
    <w:bookmarkEnd w:id="252"/>
    <w:p>
      <w:pPr>
        <w:jc w:val="both"/>
        <w:ind w:left="352" w:right="220" w:hanging="352"/>
        <w:spacing w:after="0" w:line="263" w:lineRule="auto"/>
        <w:tabs>
          <w:tab w:leader="none" w:pos="3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 and report to the Board for its consideration any cash incentive compensation plans, option plans or other equity based plans that provide for payment in the Company’s stock or are based on the value of the Company’s stock, subject to any approvals required by the stockholders of the Company.</w:t>
      </w:r>
    </w:p>
    <w:p>
      <w:pPr>
        <w:spacing w:after="0" w:line="183" w:lineRule="exact"/>
        <w:rPr>
          <w:rFonts w:ascii="Arial" w:cs="Arial" w:eastAsia="Arial" w:hAnsi="Arial"/>
          <w:sz w:val="18"/>
          <w:szCs w:val="18"/>
          <w:color w:val="auto"/>
        </w:rPr>
      </w:pPr>
    </w:p>
    <w:p>
      <w:pPr>
        <w:ind w:left="352" w:right="500" w:hanging="352"/>
        <w:spacing w:after="0" w:line="308" w:lineRule="auto"/>
        <w:tabs>
          <w:tab w:leader="none" w:pos="35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Oversee all employee benefit plans and programs of the Company, its subsidiaries and divisions, including the authority to adopt, amend and terminate such plans and programs (unless approval by the Board or stockholders is required by law).</w:t>
      </w:r>
    </w:p>
    <w:p>
      <w:pPr>
        <w:spacing w:after="0" w:line="146" w:lineRule="exact"/>
        <w:rPr>
          <w:rFonts w:ascii="Arial" w:cs="Arial" w:eastAsia="Arial" w:hAnsi="Arial"/>
          <w:sz w:val="17"/>
          <w:szCs w:val="17"/>
          <w:color w:val="auto"/>
        </w:rPr>
      </w:pPr>
    </w:p>
    <w:p>
      <w:pPr>
        <w:ind w:left="352" w:right="220" w:hanging="352"/>
        <w:spacing w:after="0" w:line="263" w:lineRule="auto"/>
        <w:tabs>
          <w:tab w:leader="none" w:pos="3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 and approve annual corporate goals and objectives relevant to the CEO’s compensation; evaluate the CEO’s performance in light of those goals and objectives; and recommend for approval by the independent members of the Board, the CEO’s compensation level based on this evaluation.</w:t>
      </w:r>
    </w:p>
    <w:p>
      <w:pPr>
        <w:spacing w:after="0" w:line="183" w:lineRule="exact"/>
        <w:rPr>
          <w:rFonts w:ascii="Arial" w:cs="Arial" w:eastAsia="Arial" w:hAnsi="Arial"/>
          <w:sz w:val="18"/>
          <w:szCs w:val="18"/>
          <w:color w:val="auto"/>
        </w:rPr>
      </w:pPr>
    </w:p>
    <w:p>
      <w:pPr>
        <w:ind w:left="352" w:right="520" w:hanging="352"/>
        <w:spacing w:after="0" w:line="308" w:lineRule="auto"/>
        <w:tabs>
          <w:tab w:leader="none" w:pos="35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Evaluate and recommend for Board approval, on an annual basis, the individual elements of total compensation for the executive officers (within the meaning of Section 16 of the Exchange Act), other than the CEO, and other key executives.</w:t>
      </w:r>
    </w:p>
    <w:p>
      <w:pPr>
        <w:spacing w:after="0" w:line="146" w:lineRule="exact"/>
        <w:rPr>
          <w:rFonts w:ascii="Arial" w:cs="Arial" w:eastAsia="Arial" w:hAnsi="Arial"/>
          <w:sz w:val="17"/>
          <w:szCs w:val="17"/>
          <w:color w:val="auto"/>
        </w:rPr>
      </w:pPr>
    </w:p>
    <w:p>
      <w:pPr>
        <w:ind w:left="352" w:hanging="352"/>
        <w:spacing w:after="0"/>
        <w:tabs>
          <w:tab w:leader="none" w:pos="3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Evaluate and recommend for Board Approval any mandatory stock ownership guidelines.</w:t>
      </w:r>
    </w:p>
    <w:p>
      <w:pPr>
        <w:spacing w:after="0" w:line="252" w:lineRule="exact"/>
        <w:rPr>
          <w:rFonts w:ascii="Arial" w:cs="Arial" w:eastAsia="Arial" w:hAnsi="Arial"/>
          <w:sz w:val="18"/>
          <w:szCs w:val="18"/>
          <w:color w:val="auto"/>
        </w:rPr>
      </w:pPr>
    </w:p>
    <w:p>
      <w:pPr>
        <w:ind w:left="352" w:hanging="352"/>
        <w:spacing w:after="0"/>
        <w:tabs>
          <w:tab w:leader="none" w:pos="3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 the compensation paid to non-employee directors and make recommendations to the Board for any adjustments.</w:t>
      </w:r>
    </w:p>
    <w:p>
      <w:pPr>
        <w:spacing w:after="0" w:line="252" w:lineRule="exact"/>
        <w:rPr>
          <w:rFonts w:ascii="Arial" w:cs="Arial" w:eastAsia="Arial" w:hAnsi="Arial"/>
          <w:sz w:val="18"/>
          <w:szCs w:val="18"/>
          <w:color w:val="auto"/>
        </w:rPr>
      </w:pPr>
    </w:p>
    <w:p>
      <w:pPr>
        <w:ind w:left="352" w:hanging="352"/>
        <w:spacing w:after="0"/>
        <w:tabs>
          <w:tab w:leader="none" w:pos="3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Make all approvals necessary under Section 16, Section 162(m) and other regulatory provisions.</w:t>
      </w:r>
    </w:p>
    <w:p>
      <w:pPr>
        <w:spacing w:after="0" w:line="252" w:lineRule="exact"/>
        <w:rPr>
          <w:rFonts w:ascii="Arial" w:cs="Arial" w:eastAsia="Arial" w:hAnsi="Arial"/>
          <w:sz w:val="18"/>
          <w:szCs w:val="18"/>
          <w:color w:val="auto"/>
        </w:rPr>
      </w:pPr>
    </w:p>
    <w:p>
      <w:pPr>
        <w:jc w:val="both"/>
        <w:ind w:left="352" w:hanging="352"/>
        <w:spacing w:after="0" w:line="286" w:lineRule="auto"/>
        <w:tabs>
          <w:tab w:leader="none" w:pos="35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If applicable, review and discuss the Compensation Discussion and Analysis (the “CD&amp;A”) required to be included in the Company’s proxy statement and annual report on Form 10-K by the rules and regulations of the SEC with management, and, based on such review and discussion, determine whether or not to recommend to the Board that the CD&amp;A be so included.</w:t>
      </w:r>
    </w:p>
    <w:p>
      <w:pPr>
        <w:spacing w:after="0" w:line="192" w:lineRule="exact"/>
        <w:rPr>
          <w:rFonts w:ascii="Arial" w:cs="Arial" w:eastAsia="Arial" w:hAnsi="Arial"/>
          <w:sz w:val="17"/>
          <w:szCs w:val="17"/>
          <w:color w:val="auto"/>
        </w:rPr>
      </w:pPr>
    </w:p>
    <w:p>
      <w:pPr>
        <w:ind w:left="352" w:hanging="352"/>
        <w:spacing w:after="0" w:line="277" w:lineRule="auto"/>
        <w:tabs>
          <w:tab w:leader="none" w:pos="3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Committee shall produce the annual Compensation Committee Report for inclusion in the Company’s proxy statement in compliance with the rules and regulations promulgated by the SEC.</w:t>
      </w:r>
    </w:p>
    <w:p>
      <w:pPr>
        <w:spacing w:after="0" w:line="197" w:lineRule="exact"/>
        <w:rPr>
          <w:rFonts w:ascii="Arial" w:cs="Arial" w:eastAsia="Arial" w:hAnsi="Arial"/>
          <w:sz w:val="18"/>
          <w:szCs w:val="18"/>
          <w:color w:val="auto"/>
        </w:rPr>
      </w:pPr>
    </w:p>
    <w:p>
      <w:pPr>
        <w:ind w:left="352" w:hanging="352"/>
        <w:spacing w:after="0"/>
        <w:tabs>
          <w:tab w:leader="none" w:pos="3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Annually assess and report to the Board on the performance and effectiveness of the Committee.</w:t>
      </w:r>
    </w:p>
    <w:p>
      <w:pPr>
        <w:spacing w:after="0" w:line="252" w:lineRule="exact"/>
        <w:rPr>
          <w:rFonts w:ascii="Arial" w:cs="Arial" w:eastAsia="Arial" w:hAnsi="Arial"/>
          <w:sz w:val="18"/>
          <w:szCs w:val="18"/>
          <w:color w:val="auto"/>
        </w:rPr>
      </w:pPr>
    </w:p>
    <w:p>
      <w:pPr>
        <w:ind w:left="352" w:hanging="352"/>
        <w:spacing w:after="0"/>
        <w:tabs>
          <w:tab w:leader="none" w:pos="35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Review this Charter on an annual basis, update it as appropriate, and submit it for the approval of the Board when updated.</w:t>
      </w:r>
    </w:p>
    <w:p>
      <w:pPr>
        <w:spacing w:after="0" w:line="263" w:lineRule="exact"/>
        <w:rPr>
          <w:rFonts w:ascii="Arial" w:cs="Arial" w:eastAsia="Arial" w:hAnsi="Arial"/>
          <w:sz w:val="17"/>
          <w:szCs w:val="17"/>
          <w:color w:val="auto"/>
        </w:rPr>
      </w:pPr>
    </w:p>
    <w:p>
      <w:pPr>
        <w:ind w:left="352" w:hanging="352"/>
        <w:spacing w:after="0"/>
        <w:tabs>
          <w:tab w:leader="none" w:pos="3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Undertake such other responsibilities or tasks as the Board may delegate or assign to the Committee from time to time.</w:t>
      </w:r>
    </w:p>
    <w:p>
      <w:pPr>
        <w:spacing w:after="0" w:line="326" w:lineRule="exact"/>
        <w:rPr>
          <w:sz w:val="20"/>
          <w:szCs w:val="20"/>
          <w:color w:val="auto"/>
        </w:rPr>
      </w:pPr>
    </w:p>
    <w:p>
      <w:pPr>
        <w:ind w:left="4492"/>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6985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52"/>
          </w:cols>
          <w:pgMar w:left="1408" w:top="800" w:right="3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color w:val="auto"/>
        </w:rPr>
        <w:t>Investigations and Studies; Outside Advisers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may conduct or authorize investigations into or studies of matters within the Committee’s scope of responsibilities, and may retain, at the Company’s expense, such independent legal counsel or other consultants or advisers as it deems necessary and appropriate, including compensation consultants to advise the Committee with respect to amounts or forms of executive or director compensation, and may rely on the integrity and advice of any such counsel or other advisers. It is the Committee’s intention that any compensation consultant engaged to advise the Committee with respect to executive and director compensation will not engage in work for the Company that is unrelated to executive and director compensation advisory services without prior approval of the Committee Chairperson.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shall be directly responsible for the appointment, compensation and oversight of the work of any such compensation consultant, legal counsel and other adviser retained by the Committee. The Company shall provide for appropriate funding, as determined by the compensation committee, for payment of reasonable compensation to a compensation consultant, legal counsel or any other adviser retained by the compensation committee. The Committee shall have sole authority to approve related fees and retention terms.</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Committee may select, or receive advice from, a compensation consultant, legal counsel or other adviser to the Committee, other than in-house legal counsel, only after taking into consideration all factors relevant to the adviser’s independence from management, including those specified in the Nasdaq listing rules and the following factors:</w:t>
      </w:r>
    </w:p>
    <w:p>
      <w:pPr>
        <w:spacing w:after="0" w:line="184" w:lineRule="exact"/>
        <w:rPr>
          <w:sz w:val="20"/>
          <w:szCs w:val="20"/>
          <w:color w:val="auto"/>
        </w:rPr>
      </w:pPr>
    </w:p>
    <w:p>
      <w:pPr>
        <w:ind w:left="1440" w:hanging="352"/>
        <w:spacing w:after="0"/>
        <w:tabs>
          <w:tab w:leader="none" w:pos="14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provision of other services to the Company by the person that employs the compensation consultant, legal counsel or other adviser;</w:t>
      </w:r>
    </w:p>
    <w:p>
      <w:pPr>
        <w:spacing w:after="0" w:line="248" w:lineRule="exact"/>
        <w:rPr>
          <w:rFonts w:ascii="Arial" w:cs="Arial" w:eastAsia="Arial" w:hAnsi="Arial"/>
          <w:sz w:val="16"/>
          <w:szCs w:val="16"/>
          <w:color w:val="auto"/>
        </w:rPr>
      </w:pPr>
    </w:p>
    <w:p>
      <w:pPr>
        <w:ind w:left="1440" w:hanging="352"/>
        <w:spacing w:after="0" w:line="342" w:lineRule="auto"/>
        <w:tabs>
          <w:tab w:leader="none" w:pos="14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amount of fees received from the Company by the person that employs the compensation consultant, legal counsel or other adviser, as a percentage of the total revenue of the person that employs the compensation consultant, legal counsel or other adviser;</w:t>
      </w:r>
    </w:p>
    <w:p>
      <w:pPr>
        <w:spacing w:after="0" w:line="123" w:lineRule="exact"/>
        <w:rPr>
          <w:rFonts w:ascii="Arial" w:cs="Arial" w:eastAsia="Arial" w:hAnsi="Arial"/>
          <w:sz w:val="16"/>
          <w:szCs w:val="16"/>
          <w:color w:val="auto"/>
        </w:rPr>
      </w:pPr>
    </w:p>
    <w:p>
      <w:pPr>
        <w:ind w:left="1440" w:right="20" w:hanging="352"/>
        <w:spacing w:after="0" w:line="277" w:lineRule="auto"/>
        <w:tabs>
          <w:tab w:leader="none" w:pos="14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policies and procedures of the person that employs the compensation consultant, legal counsel or other adviser that are designed to prevent conflicts of interest;</w:t>
      </w:r>
    </w:p>
    <w:p>
      <w:pPr>
        <w:spacing w:after="0" w:line="170" w:lineRule="exact"/>
        <w:rPr>
          <w:rFonts w:ascii="Arial" w:cs="Arial" w:eastAsia="Arial" w:hAnsi="Arial"/>
          <w:sz w:val="18"/>
          <w:szCs w:val="18"/>
          <w:color w:val="auto"/>
        </w:rPr>
      </w:pPr>
    </w:p>
    <w:p>
      <w:pPr>
        <w:ind w:left="1440" w:hanging="352"/>
        <w:spacing w:after="0"/>
        <w:tabs>
          <w:tab w:leader="none" w:pos="14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business or personal relationship of the compensation consultant, legal counsel or other adviser with a member of the Committee;</w:t>
      </w:r>
    </w:p>
    <w:p>
      <w:pPr>
        <w:spacing w:after="0" w:line="248" w:lineRule="exact"/>
        <w:rPr>
          <w:rFonts w:ascii="Arial" w:cs="Arial" w:eastAsia="Arial" w:hAnsi="Arial"/>
          <w:sz w:val="16"/>
          <w:szCs w:val="16"/>
          <w:color w:val="auto"/>
        </w:rPr>
      </w:pPr>
    </w:p>
    <w:p>
      <w:pPr>
        <w:ind w:left="1440" w:hanging="352"/>
        <w:spacing w:after="0"/>
        <w:tabs>
          <w:tab w:leader="none" w:pos="14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stock of the Company owned by the compensation consultant, legal counsel or other adviser; and</w:t>
      </w:r>
    </w:p>
    <w:p>
      <w:pPr>
        <w:spacing w:after="0" w:line="225" w:lineRule="exact"/>
        <w:rPr>
          <w:rFonts w:ascii="Arial" w:cs="Arial" w:eastAsia="Arial" w:hAnsi="Arial"/>
          <w:sz w:val="18"/>
          <w:szCs w:val="18"/>
          <w:color w:val="auto"/>
        </w:rPr>
      </w:pPr>
    </w:p>
    <w:p>
      <w:pPr>
        <w:ind w:left="1440" w:hanging="352"/>
        <w:spacing w:after="0" w:line="277" w:lineRule="auto"/>
        <w:tabs>
          <w:tab w:leader="none" w:pos="14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business or personal relationship of the compensation consultant, legal counsel, other adviser or the person employing the adviser with a member of senior management.</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Notwithstanding the foregoing, the Committee is not required to conduct an independence assessment for a compensation adviser that acts in a role limited to the following activities for which no disclosure is required under Item 407(e)(3)(iii) of Regulation S-K promulgated by the SEC: (a) consulting on any broad-based plan that does not discriminate in scope, terms, or operation, in favor of Executive Officers or directors of the Company, and that is available generally to all salaried employees; and/or (b) providing information that either is not customized for the Company or that is customized based on parameters that are not developed by the adviser, and about which the adviser does not provide advice.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Adopted: ______,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filing by BCTG Acquisition Corp. of the Registration Statement on Form S-1 with the Securities and Exchange Commission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 hereby consent, pursuant to Rule 438 of the Securities Act, to being named as a nominee to the board of directors of BCTG Acquisition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August 31, 2020</w:t>
      </w:r>
      <w:r>
        <w:rPr>
          <w:sz w:val="20"/>
          <w:szCs w:val="20"/>
          <w:color w:val="auto"/>
        </w:rPr>
        <w:tab/>
      </w:r>
      <w:r>
        <w:rPr>
          <w:rFonts w:ascii="Arial" w:cs="Arial" w:eastAsia="Arial" w:hAnsi="Arial"/>
          <w:sz w:val="16"/>
          <w:szCs w:val="16"/>
          <w:color w:val="auto"/>
        </w:rPr>
        <w:t>/s/ Carole L. Nuechterlein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Carole L. Nuechterlein</w:t>
      </w:r>
    </w:p>
    <w:p>
      <w:pPr>
        <w:sectPr>
          <w:pgSz w:w="11900" w:h="16838" w:orient="portrait"/>
          <w:cols w:equalWidth="0" w:num="1">
            <w:col w:w="11240"/>
          </w:cols>
          <w:pgMar w:left="320" w:top="121"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filing by BCTG Acquisition Corp. of the Registration Statement on Form S-1 with the Securities and Exchange Commission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 hereby consent, pursuant to Rule 438 of the Securities Act, to being named as a nominee to the board of directors of BCTG Acquisition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August 31, 2020</w:t>
      </w:r>
      <w:r>
        <w:rPr>
          <w:sz w:val="20"/>
          <w:szCs w:val="20"/>
          <w:color w:val="auto"/>
        </w:rPr>
        <w:tab/>
      </w:r>
      <w:r>
        <w:rPr>
          <w:rFonts w:ascii="Arial" w:cs="Arial" w:eastAsia="Arial" w:hAnsi="Arial"/>
          <w:sz w:val="16"/>
          <w:szCs w:val="16"/>
          <w:color w:val="auto"/>
        </w:rPr>
        <w:t>/s/ Richard Heyman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Richard Heyman</w:t>
      </w:r>
    </w:p>
    <w:p>
      <w:pPr>
        <w:sectPr>
          <w:pgSz w:w="11900" w:h="16838" w:orient="portrait"/>
          <w:cols w:equalWidth="0" w:num="1">
            <w:col w:w="11240"/>
          </w:cols>
          <w:pgMar w:left="320" w:top="121"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filing by BCTG Acquisition Corp. of the Registration Statement on Form S-1 with the Securities and Exchange Commission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 hereby consent, pursuant to Rule 438 of the Securities Act, to being named as a nominee to the board of directors of BCTG Acquisition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August 31, 2020</w:t>
      </w:r>
      <w:r>
        <w:rPr>
          <w:sz w:val="20"/>
          <w:szCs w:val="20"/>
          <w:color w:val="auto"/>
        </w:rPr>
        <w:tab/>
      </w:r>
      <w:r>
        <w:rPr>
          <w:rFonts w:ascii="Arial" w:cs="Arial" w:eastAsia="Arial" w:hAnsi="Arial"/>
          <w:sz w:val="16"/>
          <w:szCs w:val="16"/>
          <w:color w:val="auto"/>
        </w:rPr>
        <w:t>/s/ Charles M.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Charles M. Baum</w:t>
      </w:r>
    </w:p>
    <w:p>
      <w:pPr>
        <w:sectPr>
          <w:pgSz w:w="11900" w:h="16838" w:orient="portrait"/>
          <w:cols w:equalWidth="0" w:num="1">
            <w:col w:w="11240"/>
          </w:cols>
          <w:pgMar w:left="320" w:top="121"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filing by BCTG Acquisition Corp. of the Registration Statement on Form S-1 with the Securities and Exchange Commission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 hereby consent, pursuant to Rule 438 of the Securities Act, to being named as a nominee to the board of directors of BCTG Acquisition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August 31, 2020</w:t>
      </w:r>
      <w:r>
        <w:rPr>
          <w:sz w:val="20"/>
          <w:szCs w:val="20"/>
          <w:color w:val="auto"/>
        </w:rPr>
        <w:tab/>
      </w:r>
      <w:r>
        <w:rPr>
          <w:rFonts w:ascii="Arial" w:cs="Arial" w:eastAsia="Arial" w:hAnsi="Arial"/>
          <w:sz w:val="15"/>
          <w:szCs w:val="15"/>
          <w:color w:val="auto"/>
        </w:rPr>
        <w:t>/s/ Jamie G.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Jamie G. Christensen</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1)"/>
      <w:numFmt w:val="decimal"/>
      <w:start w:val="1"/>
    </w:lvl>
  </w:abstractNum>
  <w:abstractNum w:abstractNumId="1">
    <w:nsid w:val="7D5E18F8"/>
    <w:multiLevelType w:val="hybridMultilevel"/>
    <w:lvl w:ilvl="0">
      <w:lvlJc w:val="left"/>
      <w:lvlText w:val="(%1)"/>
      <w:numFmt w:val="decimal"/>
      <w:start w:val="1"/>
    </w:lvl>
  </w:abstractNum>
  <w:abstractNum w:abstractNumId="2">
    <w:nsid w:val="5F3534A4"/>
    <w:multiLevelType w:val="hybridMultilevel"/>
    <w:lvl w:ilvl="0">
      <w:lvlJc w:val="left"/>
      <w:lvlText w:val="●"/>
      <w:numFmt w:val="bullet"/>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
      <w:numFmt w:val="bullet"/>
      <w:start w:val="1"/>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
      <w:numFmt w:val="bullet"/>
      <w:start w:val="1"/>
    </w:lvl>
  </w:abstractNum>
  <w:abstractNum w:abstractNumId="7">
    <w:nsid w:val="14FCE74E"/>
    <w:multiLevelType w:val="hybridMultilevel"/>
    <w:lvl w:ilvl="0">
      <w:lvlJc w:val="left"/>
      <w:lvlText w:val="(%1)"/>
      <w:numFmt w:val="decimal"/>
      <w:start w:val="2"/>
    </w:lvl>
  </w:abstractNum>
  <w:abstractNum w:abstractNumId="8">
    <w:nsid w:val="6A3DD3E8"/>
    <w:multiLevelType w:val="hybridMultilevel"/>
    <w:lvl w:ilvl="0">
      <w:lvlJc w:val="left"/>
      <w:lvlText w:val="(%1)"/>
      <w:numFmt w:val="decimal"/>
      <w:start w:val="1"/>
    </w:lvl>
  </w:abstractNum>
  <w:abstractNum w:abstractNumId="9">
    <w:nsid w:val="71C91298"/>
    <w:multiLevelType w:val="hybridMultilevel"/>
    <w:lvl w:ilvl="0">
      <w:lvlJc w:val="left"/>
      <w:lvlText w:val="●"/>
      <w:numFmt w:val="bullet"/>
      <w:start w:val="1"/>
    </w:lvl>
  </w:abstractNum>
  <w:abstractNum w:abstractNumId="10">
    <w:nsid w:val="9DAF632"/>
    <w:multiLevelType w:val="hybridMultilevel"/>
    <w:lvl w:ilvl="0">
      <w:lvlJc w:val="left"/>
      <w:lvlText w:val="●"/>
      <w:numFmt w:val="bullet"/>
      <w:start w:val="1"/>
    </w:lvl>
  </w:abstractNum>
  <w:abstractNum w:abstractNumId="11">
    <w:nsid w:val="53299938"/>
    <w:multiLevelType w:val="hybridMultilevel"/>
    <w:lvl w:ilvl="0">
      <w:lvlJc w:val="left"/>
      <w:lvlText w:val="●"/>
      <w:numFmt w:val="bullet"/>
      <w:start w:val="1"/>
    </w:lvl>
  </w:abstractNum>
  <w:abstractNum w:abstractNumId="12">
    <w:nsid w:val="1FBFE8E0"/>
    <w:multiLevelType w:val="hybridMultilevel"/>
    <w:lvl w:ilvl="0">
      <w:lvlJc w:val="left"/>
      <w:lvlText w:val="●"/>
      <w:numFmt w:val="bullet"/>
      <w:start w:val="1"/>
    </w:lvl>
  </w:abstractNum>
  <w:abstractNum w:abstractNumId="13">
    <w:nsid w:val="5092CA79"/>
    <w:multiLevelType w:val="hybridMultilevel"/>
    <w:lvl w:ilvl="0">
      <w:lvlJc w:val="left"/>
      <w:lvlText w:val="●"/>
      <w:numFmt w:val="bullet"/>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
      <w:numFmt w:val="bullet"/>
      <w:start w:val="1"/>
    </w:lvl>
  </w:abstractNum>
  <w:abstractNum w:abstractNumId="16">
    <w:nsid w:val="288F1A34"/>
    <w:multiLevelType w:val="hybridMultilevel"/>
    <w:lvl w:ilvl="0">
      <w:lvlJc w:val="left"/>
      <w:lvlText w:val="(%1)"/>
      <w:numFmt w:val="decimal"/>
      <w:start w:val="1"/>
    </w:lvl>
  </w:abstractNum>
  <w:abstractNum w:abstractNumId="17">
    <w:nsid w:val="2A155DBC"/>
    <w:multiLevelType w:val="hybridMultilevel"/>
    <w:lvl w:ilvl="0">
      <w:lvlJc w:val="left"/>
      <w:lvlText w:val="(%1)"/>
      <w:numFmt w:val="decimal"/>
      <w:start w:val="2"/>
    </w:lvl>
  </w:abstractNum>
  <w:abstractNum w:abstractNumId="18">
    <w:nsid w:val="1D9F6E5F"/>
    <w:multiLevelType w:val="hybridMultilevel"/>
    <w:lvl w:ilvl="0">
      <w:lvlJc w:val="left"/>
      <w:lvlText w:val="(%1)"/>
      <w:numFmt w:val="decimal"/>
      <w:start w:val="1"/>
    </w:lvl>
  </w:abstractNum>
  <w:abstractNum w:abstractNumId="19">
    <w:nsid w:val="97E1B4E"/>
    <w:multiLevelType w:val="hybridMultilevel"/>
    <w:lvl w:ilvl="0">
      <w:lvlJc w:val="left"/>
      <w:lvlText w:val="(%1)"/>
      <w:numFmt w:val="decimal"/>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
      <w:numFmt w:val="bullet"/>
      <w:start w:val="1"/>
    </w:lvl>
  </w:abstractNum>
  <w:abstractNum w:abstractNumId="22">
    <w:nsid w:val="53584BCB"/>
    <w:multiLevelType w:val="hybridMultilevel"/>
    <w:lvl w:ilvl="0">
      <w:lvlJc w:val="left"/>
      <w:lvlText w:val="●"/>
      <w:numFmt w:val="bullet"/>
      <w:start w:val="1"/>
    </w:lvl>
  </w:abstractNum>
  <w:abstractNum w:abstractNumId="23">
    <w:nsid w:val="415E286C"/>
    <w:multiLevelType w:val="hybridMultilevel"/>
    <w:lvl w:ilvl="0">
      <w:lvlJc w:val="left"/>
      <w:lvlText w:val="●"/>
      <w:numFmt w:val="bullet"/>
      <w:start w:val="1"/>
    </w:lvl>
  </w:abstractNum>
  <w:abstractNum w:abstractNumId="24">
    <w:nsid w:val="7C58FD05"/>
    <w:multiLevelType w:val="hybridMultilevel"/>
    <w:lvl w:ilvl="0">
      <w:lvlJc w:val="left"/>
      <w:lvlText w:val="●"/>
      <w:numFmt w:val="bullet"/>
      <w:start w:val="1"/>
    </w:lvl>
  </w:abstractNum>
  <w:abstractNum w:abstractNumId="25">
    <w:nsid w:val="23D86AAC"/>
    <w:multiLevelType w:val="hybridMultilevel"/>
    <w:lvl w:ilvl="0">
      <w:lvlJc w:val="left"/>
      <w:lvlText w:val="●"/>
      <w:numFmt w:val="bullet"/>
      <w:start w:val="1"/>
    </w:lvl>
  </w:abstractNum>
  <w:abstractNum w:abstractNumId="26">
    <w:nsid w:val="45E6D486"/>
    <w:multiLevelType w:val="hybridMultilevel"/>
    <w:lvl w:ilvl="0">
      <w:lvlJc w:val="left"/>
      <w:lvlText w:val="●"/>
      <w:numFmt w:val="bullet"/>
      <w:start w:val="1"/>
    </w:lvl>
  </w:abstractNum>
  <w:abstractNum w:abstractNumId="27">
    <w:nsid w:val="5C10FE21"/>
    <w:multiLevelType w:val="hybridMultilevel"/>
    <w:lvl w:ilvl="0">
      <w:lvlJc w:val="left"/>
      <w:lvlText w:val="●"/>
      <w:numFmt w:val="bullet"/>
      <w:start w:val="1"/>
    </w:lvl>
  </w:abstractNum>
  <w:abstractNum w:abstractNumId="28">
    <w:nsid w:val="E7FFA2B"/>
    <w:multiLevelType w:val="hybridMultilevel"/>
    <w:lvl w:ilvl="0">
      <w:lvlJc w:val="left"/>
      <w:lvlText w:val="(%1)"/>
      <w:numFmt w:val="lowerRoman"/>
      <w:start w:val="3"/>
    </w:lvl>
  </w:abstractNum>
  <w:abstractNum w:abstractNumId="29">
    <w:nsid w:val="3C5991AA"/>
    <w:multiLevelType w:val="hybridMultilevel"/>
    <w:lvl w:ilvl="0">
      <w:lvlJc w:val="left"/>
      <w:lvlText w:val="●"/>
      <w:numFmt w:val="bullet"/>
      <w:start w:val="1"/>
    </w:lvl>
  </w:abstractNum>
  <w:abstractNum w:abstractNumId="30">
    <w:nsid w:val="4BD8591A"/>
    <w:multiLevelType w:val="hybridMultilevel"/>
    <w:lvl w:ilvl="0">
      <w:lvlJc w:val="left"/>
      <w:lvlText w:val="●"/>
      <w:numFmt w:val="bullet"/>
      <w:start w:val="1"/>
    </w:lvl>
  </w:abstractNum>
  <w:abstractNum w:abstractNumId="31">
    <w:nsid w:val="78DF6A55"/>
    <w:multiLevelType w:val="hybridMultilevel"/>
    <w:lvl w:ilvl="0">
      <w:lvlJc w:val="left"/>
      <w:lvlText w:val="●"/>
      <w:numFmt w:val="bullet"/>
      <w:start w:val="1"/>
    </w:lvl>
  </w:abstractNum>
  <w:abstractNum w:abstractNumId="32">
    <w:nsid w:val="39B7AAA2"/>
    <w:multiLevelType w:val="hybridMultilevel"/>
    <w:lvl w:ilvl="0">
      <w:lvlJc w:val="left"/>
      <w:lvlText w:val="●"/>
      <w:numFmt w:val="bullet"/>
      <w:start w:val="1"/>
    </w:lvl>
  </w:abstractNum>
  <w:abstractNum w:abstractNumId="33">
    <w:nsid w:val="2B0D8DBE"/>
    <w:multiLevelType w:val="hybridMultilevel"/>
    <w:lvl w:ilvl="0">
      <w:lvlJc w:val="left"/>
      <w:lvlText w:val="●"/>
      <w:numFmt w:val="bullet"/>
      <w:start w:val="1"/>
    </w:lvl>
  </w:abstractNum>
  <w:abstractNum w:abstractNumId="34">
    <w:nsid w:val="6C80EC70"/>
    <w:multiLevelType w:val="hybridMultilevel"/>
    <w:lvl w:ilvl="0">
      <w:lvlJc w:val="left"/>
      <w:lvlText w:val="●"/>
      <w:numFmt w:val="bullet"/>
      <w:start w:val="1"/>
    </w:lvl>
  </w:abstractNum>
  <w:abstractNum w:abstractNumId="35">
    <w:nsid w:val="379E21B5"/>
    <w:multiLevelType w:val="hybridMultilevel"/>
    <w:lvl w:ilvl="0">
      <w:lvlJc w:val="left"/>
      <w:lvlText w:val="●"/>
      <w:numFmt w:val="bullet"/>
      <w:start w:val="1"/>
    </w:lvl>
  </w:abstractNum>
  <w:abstractNum w:abstractNumId="36">
    <w:nsid w:val="69E373"/>
    <w:multiLevelType w:val="hybridMultilevel"/>
    <w:lvl w:ilvl="0">
      <w:lvlJc w:val="left"/>
      <w:lvlText w:val="●"/>
      <w:numFmt w:val="bullet"/>
      <w:start w:val="1"/>
    </w:lvl>
  </w:abstractNum>
  <w:abstractNum w:abstractNumId="37">
    <w:nsid w:val="2C27173B"/>
    <w:multiLevelType w:val="hybridMultilevel"/>
    <w:lvl w:ilvl="0">
      <w:lvlJc w:val="left"/>
      <w:lvlText w:val="●"/>
      <w:numFmt w:val="bullet"/>
      <w:start w:val="1"/>
    </w:lvl>
  </w:abstractNum>
  <w:abstractNum w:abstractNumId="38">
    <w:nsid w:val="4C9B0904"/>
    <w:multiLevelType w:val="hybridMultilevel"/>
    <w:lvl w:ilvl="0">
      <w:lvlJc w:val="left"/>
      <w:lvlText w:val="(%1)"/>
      <w:numFmt w:val="decimal"/>
      <w:start w:val="1"/>
    </w:lvl>
  </w:abstractNum>
  <w:abstractNum w:abstractNumId="39">
    <w:nsid w:val="6AA7B75C"/>
    <w:multiLevelType w:val="hybridMultilevel"/>
    <w:lvl w:ilvl="0">
      <w:lvlJc w:val="left"/>
      <w:lvlText w:val="(%1)"/>
      <w:numFmt w:val="lowerRoman"/>
      <w:start w:val="1"/>
    </w:lvl>
  </w:abstractNum>
  <w:abstractNum w:abstractNumId="40">
    <w:nsid w:val="1DF029D3"/>
    <w:multiLevelType w:val="hybridMultilevel"/>
    <w:lvl w:ilvl="0">
      <w:lvlJc w:val="left"/>
      <w:lvlText w:val="(%1)"/>
      <w:numFmt w:val="decimal"/>
      <w:start w:val="2"/>
    </w:lvl>
  </w:abstractNum>
  <w:abstractNum w:abstractNumId="41">
    <w:nsid w:val="5675FF36"/>
    <w:multiLevelType w:val="hybridMultilevel"/>
    <w:lvl w:ilvl="0">
      <w:lvlJc w:val="left"/>
      <w:lvlText w:val="●"/>
      <w:numFmt w:val="bullet"/>
      <w:start w:val="1"/>
    </w:lvl>
  </w:abstractNum>
  <w:abstractNum w:abstractNumId="42">
    <w:nsid w:val="3DD15094"/>
    <w:multiLevelType w:val="hybridMultilevel"/>
    <w:lvl w:ilvl="0">
      <w:lvlJc w:val="left"/>
      <w:lvlText w:val="(%1)"/>
      <w:numFmt w:val="lowerRoman"/>
      <w:start w:val="1"/>
    </w:lvl>
    <w:lvl w:ilvl="1">
      <w:lvlJc w:val="left"/>
      <w:lvlText w:val="●"/>
      <w:numFmt w:val="bullet"/>
      <w:start w:val="1"/>
    </w:lvl>
  </w:abstractNum>
  <w:abstractNum w:abstractNumId="43">
    <w:nsid w:val="3DB012B3"/>
    <w:multiLevelType w:val="hybridMultilevel"/>
    <w:lvl w:ilvl="0">
      <w:lvlJc w:val="left"/>
      <w:lvlText w:val="●"/>
      <w:numFmt w:val="bullet"/>
      <w:start w:val="1"/>
    </w:lvl>
  </w:abstractNum>
  <w:abstractNum w:abstractNumId="44">
    <w:nsid w:val="2708C9AF"/>
    <w:multiLevelType w:val="hybridMultilevel"/>
    <w:lvl w:ilvl="0">
      <w:lvlJc w:val="left"/>
      <w:lvlText w:val="(%1)"/>
      <w:numFmt w:val="decimal"/>
      <w:start w:val="1"/>
    </w:lvl>
  </w:abstractNum>
  <w:abstractNum w:abstractNumId="45">
    <w:nsid w:val="5B25ACE2"/>
    <w:multiLevelType w:val="hybridMultilevel"/>
    <w:lvl w:ilvl="0">
      <w:lvlJc w:val="left"/>
      <w:lvlText w:val="●"/>
      <w:numFmt w:val="bullet"/>
      <w:start w:val="1"/>
    </w:lvl>
  </w:abstractNum>
  <w:abstractNum w:abstractNumId="46">
    <w:nsid w:val="175DFCF0"/>
    <w:multiLevelType w:val="hybridMultilevel"/>
    <w:lvl w:ilvl="0">
      <w:lvlJc w:val="left"/>
      <w:lvlText w:val="●"/>
      <w:numFmt w:val="bullet"/>
      <w:start w:val="1"/>
    </w:lvl>
  </w:abstractNum>
  <w:abstractNum w:abstractNumId="47">
    <w:nsid w:val="4F97E3E4"/>
    <w:multiLevelType w:val="hybridMultilevel"/>
    <w:lvl w:ilvl="0">
      <w:lvlJc w:val="left"/>
      <w:lvlText w:val="%1."/>
      <w:numFmt w:val="upperLetter"/>
      <w:start w:val="2"/>
    </w:lvl>
  </w:abstractNum>
  <w:abstractNum w:abstractNumId="48">
    <w:nsid w:val="53B0A9E"/>
    <w:multiLevelType w:val="hybridMultilevel"/>
    <w:lvl w:ilvl="0">
      <w:lvlJc w:val="left"/>
      <w:lvlText w:val="$"/>
      <w:numFmt w:val="bullet"/>
      <w:start w:val="1"/>
    </w:lvl>
  </w:abstractNum>
  <w:abstractNum w:abstractNumId="49">
    <w:nsid w:val="34FD6B4F"/>
    <w:multiLevelType w:val="hybridMultilevel"/>
    <w:lvl w:ilvl="0">
      <w:lvlJc w:val="left"/>
      <w:lvlText w:val="(%1)"/>
      <w:numFmt w:val="decimal"/>
      <w:start w:val="1"/>
    </w:lvl>
  </w:abstractNum>
  <w:abstractNum w:abstractNumId="50">
    <w:nsid w:val="5915FF32"/>
    <w:multiLevelType w:val="hybridMultilevel"/>
    <w:lvl w:ilvl="0">
      <w:lvlJc w:val="left"/>
      <w:lvlText w:val="(%1)"/>
      <w:numFmt w:val="decimal"/>
      <w:start w:val="1"/>
    </w:lvl>
  </w:abstractNum>
  <w:abstractNum w:abstractNumId="51">
    <w:nsid w:val="56438D15"/>
    <w:multiLevelType w:val="hybridMultilevel"/>
    <w:lvl w:ilvl="0">
      <w:lvlJc w:val="left"/>
      <w:lvlText w:val="(%1)"/>
      <w:numFmt w:val="decimal"/>
      <w:start w:val="1"/>
    </w:lvl>
  </w:abstractNum>
  <w:abstractNum w:abstractNumId="52">
    <w:nsid w:val="519E3149"/>
    <w:multiLevelType w:val="hybridMultilevel"/>
    <w:lvl w:ilvl="0">
      <w:lvlJc w:val="left"/>
      <w:lvlText w:val="$"/>
      <w:numFmt w:val="bullet"/>
      <w:start w:val="1"/>
    </w:lvl>
  </w:abstractNum>
  <w:abstractNum w:abstractNumId="53">
    <w:nsid w:val="2C6E4AFD"/>
    <w:multiLevelType w:val="hybridMultilevel"/>
    <w:lvl w:ilvl="0">
      <w:lvlJc w:val="left"/>
      <w:lvlText w:val="$"/>
      <w:numFmt w:val="bullet"/>
      <w:start w:val="1"/>
    </w:lvl>
  </w:abstractNum>
  <w:abstractNum w:abstractNumId="54">
    <w:nsid w:val="17A1B582"/>
    <w:multiLevelType w:val="hybridMultilevel"/>
    <w:lvl w:ilvl="0">
      <w:lvlJc w:val="left"/>
      <w:lvlText w:val="$"/>
      <w:numFmt w:val="bullet"/>
      <w:start w:val="1"/>
    </w:lvl>
  </w:abstractNum>
  <w:abstractNum w:abstractNumId="55">
    <w:nsid w:val="4DF72E4E"/>
    <w:multiLevelType w:val="hybridMultilevel"/>
    <w:lvl w:ilvl="0">
      <w:lvlJc w:val="left"/>
      <w:lvlText w:val="$"/>
      <w:numFmt w:val="bullet"/>
      <w:start w:val="1"/>
    </w:lvl>
  </w:abstractNum>
  <w:abstractNum w:abstractNumId="56">
    <w:nsid w:val="5046B5A9"/>
    <w:multiLevelType w:val="hybridMultilevel"/>
    <w:lvl w:ilvl="0">
      <w:lvlJc w:val="left"/>
      <w:lvlText w:val="$"/>
      <w:numFmt w:val="bullet"/>
      <w:start w:val="1"/>
    </w:lvl>
  </w:abstractNum>
  <w:abstractNum w:abstractNumId="57">
    <w:nsid w:val="5D888A08"/>
    <w:multiLevelType w:val="hybridMultilevel"/>
    <w:lvl w:ilvl="0">
      <w:lvlJc w:val="left"/>
      <w:lvlText w:val="(%1)"/>
      <w:numFmt w:val="lowerLetter"/>
      <w:start w:val="1"/>
    </w:lvl>
  </w:abstractNum>
  <w:abstractNum w:abstractNumId="58">
    <w:nsid w:val="2A082C70"/>
    <w:multiLevelType w:val="hybridMultilevel"/>
    <w:lvl w:ilvl="0">
      <w:lvlJc w:val="left"/>
      <w:lvlText w:val="(%1)"/>
      <w:numFmt w:val="lowerLetter"/>
      <w:start w:val="3"/>
    </w:lvl>
  </w:abstractNum>
  <w:abstractNum w:abstractNumId="59">
    <w:nsid w:val="5EC6AFD4"/>
    <w:multiLevelType w:val="hybridMultilevel"/>
    <w:lvl w:ilvl="0">
      <w:lvlJc w:val="left"/>
      <w:lvlText w:val="(%1)"/>
      <w:numFmt w:val="lowerLetter"/>
      <w:start w:val="10"/>
    </w:lvl>
  </w:abstractNum>
  <w:abstractNum w:abstractNumId="60">
    <w:nsid w:val="19E21BB2"/>
    <w:multiLevelType w:val="hybridMultilevel"/>
    <w:lvl w:ilvl="0">
      <w:lvlJc w:val="left"/>
      <w:lvlText w:val="●"/>
      <w:numFmt w:val="bullet"/>
      <w:start w:val="1"/>
    </w:lvl>
  </w:abstractNum>
  <w:abstractNum w:abstractNumId="61">
    <w:nsid w:val="75E0858A"/>
    <w:multiLevelType w:val="hybridMultilevel"/>
    <w:lvl w:ilvl="0">
      <w:lvlJc w:val="left"/>
      <w:lvlText w:val="%1"/>
      <w:numFmt w:val="decimal"/>
      <w:start w:val="14"/>
    </w:lvl>
  </w:abstractNum>
  <w:abstractNum w:abstractNumId="62">
    <w:nsid w:val="57A61A29"/>
    <w:multiLevelType w:val="hybridMultilevel"/>
    <w:lvl w:ilvl="0">
      <w:lvlJc w:val="left"/>
      <w:lvlText w:val="%1"/>
      <w:numFmt w:val="decimal"/>
      <w:start w:val="24"/>
    </w:lvl>
  </w:abstractNum>
  <w:abstractNum w:abstractNumId="63">
    <w:nsid w:val="5399C654"/>
    <w:multiLevelType w:val="hybridMultilevel"/>
    <w:lvl w:ilvl="0">
      <w:lvlJc w:val="left"/>
      <w:lvlText w:val="*"/>
      <w:numFmt w:val="bullet"/>
      <w:start w:val="1"/>
    </w:lvl>
  </w:abstractNum>
  <w:abstractNum w:abstractNumId="64">
    <w:nsid w:val="20EE1348"/>
    <w:multiLevelType w:val="hybridMultilevel"/>
    <w:lvl w:ilvl="0">
      <w:lvlJc w:val="left"/>
      <w:lvlText w:val="(%1)"/>
      <w:numFmt w:val="lowerLetter"/>
      <w:start w:val="1"/>
    </w:lvl>
  </w:abstractNum>
  <w:abstractNum w:abstractNumId="65">
    <w:nsid w:val="4427069A"/>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66">
    <w:nsid w:val="B37E80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7">
    <w:nsid w:val="2157F6BC"/>
    <w:multiLevelType w:val="hybridMultilevel"/>
    <w:lvl w:ilvl="0">
      <w:lvlJc w:val="left"/>
      <w:lvlText w:val="(%1)"/>
      <w:numFmt w:val="lowerLetter"/>
      <w:start w:val="2"/>
    </w:lvl>
    <w:lvl w:ilvl="1">
      <w:lvlJc w:val="left"/>
      <w:lvlText w:val="(%2)"/>
      <w:numFmt w:val="lowerRoman"/>
      <w:start w:val="1"/>
    </w:lvl>
  </w:abstractNum>
  <w:abstractNum w:abstractNumId="68">
    <w:nsid w:val="704E1DD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9"/>
    </w:lvl>
  </w:abstractNum>
  <w:abstractNum w:abstractNumId="69">
    <w:nsid w:val="57D2F10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70">
    <w:nsid w:val="BFFAE18"/>
    <w:multiLevelType w:val="hybridMultilevel"/>
    <w:lvl w:ilvl="0">
      <w:lvlJc w:val="left"/>
      <w:lvlText w:val="(%1)"/>
      <w:numFmt w:val="lowerLetter"/>
      <w:start w:val="2"/>
    </w:lvl>
    <w:lvl w:ilvl="1">
      <w:lvlJc w:val="left"/>
      <w:lvlText w:val="(%2)"/>
      <w:numFmt w:val="lowerRoman"/>
      <w:start w:val="1"/>
    </w:lvl>
  </w:abstractNum>
  <w:abstractNum w:abstractNumId="71">
    <w:nsid w:val="E3E47A8"/>
    <w:multiLevelType w:val="hybridMultilevel"/>
    <w:lvl w:ilvl="0">
      <w:lvlJc w:val="left"/>
      <w:lvlText w:val="%1"/>
      <w:numFmt w:val="lowerLetter"/>
      <w:start w:val="1"/>
    </w:lvl>
    <w:lvl w:ilvl="1">
      <w:lvlJc w:val="left"/>
      <w:lvlText w:val="(%2)"/>
      <w:numFmt w:val="lowerRoman"/>
      <w:start w:val="4"/>
    </w:lvl>
  </w:abstractNum>
  <w:abstractNum w:abstractNumId="72">
    <w:nsid w:val="2E48F044"/>
    <w:multiLevelType w:val="hybridMultilevel"/>
    <w:lvl w:ilvl="0">
      <w:lvlJc w:val="left"/>
      <w:lvlText w:val="(%1)"/>
      <w:numFmt w:val="lowerLetter"/>
      <w:start w:val="4"/>
    </w:lvl>
    <w:lvl w:ilvl="1">
      <w:lvlJc w:val="left"/>
      <w:lvlText w:val="(%2)"/>
      <w:numFmt w:val="lowerRoman"/>
      <w:start w:val="1"/>
    </w:lvl>
  </w:abstractNum>
  <w:abstractNum w:abstractNumId="73">
    <w:nsid w:val="49D0FEAC"/>
    <w:multiLevelType w:val="hybridMultilevel"/>
    <w:lvl w:ilvl="0">
      <w:lvlJc w:val="left"/>
      <w:lvlText w:val="%1"/>
      <w:numFmt w:val="lowerLetter"/>
      <w:start w:val="1"/>
    </w:lvl>
    <w:lvl w:ilvl="1">
      <w:lvlJc w:val="left"/>
      <w:lvlText w:val="(%2)"/>
      <w:numFmt w:val="lowerLetter"/>
      <w:start w:val="35"/>
    </w:lvl>
  </w:abstractNum>
  <w:abstractNum w:abstractNumId="74">
    <w:nsid w:val="4BEE5A5B"/>
    <w:multiLevelType w:val="hybridMultilevel"/>
    <w:lvl w:ilvl="0">
      <w:lvlJc w:val="left"/>
      <w:lvlText w:val="(%1)"/>
      <w:numFmt w:val="lowerLetter"/>
      <w:start w:val="7"/>
    </w:lvl>
    <w:lvl w:ilvl="1">
      <w:lvlJc w:val="left"/>
      <w:lvlText w:val="(%2)"/>
      <w:numFmt w:val="lowerLetter"/>
      <w:start w:val="9"/>
    </w:lvl>
  </w:abstractNum>
  <w:abstractNum w:abstractNumId="75">
    <w:nsid w:val="5551B9F3"/>
    <w:multiLevelType w:val="hybridMultilevel"/>
    <w:lvl w:ilvl="0">
      <w:lvlJc w:val="left"/>
      <w:lvlText w:val="%1"/>
      <w:numFmt w:val="lowerRoman"/>
      <w:start w:val="1"/>
    </w:lvl>
    <w:lvl w:ilvl="1">
      <w:lvlJc w:val="left"/>
      <w:lvlText w:val="(%2)"/>
      <w:numFmt w:val="lowerRoman"/>
      <w:start w:val="2"/>
    </w:lvl>
  </w:abstractNum>
  <w:abstractNum w:abstractNumId="76">
    <w:nsid w:val="24F6AB8E"/>
    <w:multiLevelType w:val="hybridMultilevel"/>
    <w:lvl w:ilvl="0">
      <w:lvlJc w:val="left"/>
      <w:lvlText w:val="(%1)"/>
      <w:numFmt w:val="lowerRoman"/>
      <w:start w:val="1"/>
    </w:lvl>
    <w:lvl w:ilvl="1">
      <w:lvlJc w:val="left"/>
      <w:lvlText w:val="%2"/>
      <w:numFmt w:val="lowerRoman"/>
      <w:start w:val="1"/>
    </w:lvl>
  </w:abstractNum>
  <w:abstractNum w:abstractNumId="77">
    <w:nsid w:val="634C574C"/>
    <w:multiLevelType w:val="hybridMultilevel"/>
    <w:lvl w:ilvl="0">
      <w:lvlJc w:val="left"/>
      <w:lvlText w:val="(%1)"/>
      <w:numFmt w:val="lowerLetter"/>
      <w:start w:val="10"/>
    </w:lvl>
    <w:lvl w:ilvl="1">
      <w:lvlJc w:val="left"/>
      <w:lvlText w:val="(%2)"/>
      <w:numFmt w:val="lowerRoman"/>
      <w:start w:val="1"/>
    </w:lvl>
  </w:abstractNum>
  <w:abstractNum w:abstractNumId="78">
    <w:nsid w:val="24E99DD7"/>
    <w:multiLevelType w:val="hybridMultilevel"/>
    <w:lvl w:ilvl="0">
      <w:lvlJc w:val="left"/>
      <w:lvlText w:val="(%1)"/>
      <w:numFmt w:val="lowerLetter"/>
      <w:start w:val="14"/>
    </w:lvl>
    <w:lvl w:ilvl="1">
      <w:lvlJc w:val="left"/>
      <w:lvlText w:val="(%2)"/>
      <w:numFmt w:val="lowerRoman"/>
      <w:start w:val="1"/>
    </w:lvl>
  </w:abstractNum>
  <w:abstractNum w:abstractNumId="79">
    <w:nsid w:val="2A31B62D"/>
    <w:multiLevelType w:val="hybridMultilevel"/>
    <w:lvl w:ilvl="0">
      <w:lvlJc w:val="left"/>
      <w:lvlText w:val="%1"/>
      <w:numFmt w:val="lowerLetter"/>
      <w:start w:val="1"/>
    </w:lvl>
    <w:lvl w:ilvl="1">
      <w:lvlJc w:val="left"/>
      <w:lvlText w:val="(%2)"/>
      <w:numFmt w:val="lowerRoman"/>
      <w:start w:val="9"/>
    </w:lvl>
  </w:abstractNum>
  <w:abstractNum w:abstractNumId="80">
    <w:nsid w:val="1849C29B"/>
    <w:multiLevelType w:val="hybridMultilevel"/>
    <w:lvl w:ilvl="0">
      <w:lvlJc w:val="left"/>
      <w:lvlText w:val="(%1)"/>
      <w:numFmt w:val="lowerLetter"/>
      <w:start w:val="19"/>
    </w:lvl>
    <w:lvl w:ilvl="1">
      <w:lvlJc w:val="left"/>
      <w:lvlText w:val="(%2)"/>
      <w:numFmt w:val="lowerRoman"/>
      <w:start w:val="1"/>
    </w:lvl>
  </w:abstractNum>
  <w:abstractNum w:abstractNumId="81">
    <w:nsid w:val="7DFF9D09"/>
    <w:multiLevelType w:val="hybridMultilevel"/>
    <w:lvl w:ilvl="0">
      <w:lvlJc w:val="left"/>
      <w:lvlText w:val="%1"/>
      <w:numFmt w:val="lowerLetter"/>
      <w:start w:val="1"/>
    </w:lvl>
    <w:lvl w:ilvl="1">
      <w:lvlJc w:val="left"/>
      <w:lvlText w:val="(%2)"/>
      <w:numFmt w:val="lowerRoman"/>
      <w:start w:val="3"/>
    </w:lvl>
  </w:abstractNum>
  <w:abstractNum w:abstractNumId="82">
    <w:nsid w:val="754342"/>
    <w:multiLevelType w:val="hybridMultilevel"/>
    <w:lvl w:ilvl="0">
      <w:lvlJc w:val="left"/>
      <w:lvlText w:val="(%1)"/>
      <w:numFmt w:val="lowerLetter"/>
      <w:start w:val="23"/>
    </w:lvl>
    <w:lvl w:ilvl="1">
      <w:lvlJc w:val="left"/>
      <w:lvlText w:val="%2"/>
      <w:numFmt w:val="lowerRoman"/>
      <w:start w:val="1"/>
    </w:lvl>
  </w:abstractNum>
  <w:abstractNum w:abstractNumId="83">
    <w:nsid w:val="69E7F3E5"/>
    <w:multiLevelType w:val="hybridMultilevel"/>
    <w:lvl w:ilvl="0">
      <w:lvlJc w:val="left"/>
      <w:lvlText w:val="(%1)"/>
      <w:numFmt w:val="lowerLetter"/>
      <w:start w:val="27"/>
    </w:lvl>
  </w:abstractNum>
  <w:abstractNum w:abstractNumId="84">
    <w:nsid w:val="2A6DE806"/>
    <w:multiLevelType w:val="hybridMultilevel"/>
    <w:lvl w:ilvl="0">
      <w:lvlJc w:val="left"/>
      <w:lvlText w:val="%1"/>
      <w:numFmt w:val="decimal"/>
      <w:start w:val="1"/>
    </w:lvl>
    <w:lvl w:ilvl="1">
      <w:lvlJc w:val="left"/>
      <w:lvlText w:val="(%2)"/>
      <w:numFmt w:val="lowerLetter"/>
      <w:start w:val="30"/>
    </w:lvl>
    <w:lvl w:ilvl="2">
      <w:lvlJc w:val="left"/>
      <w:lvlText w:val="%3"/>
      <w:numFmt w:val="lowerRoman"/>
      <w:start w:val="1"/>
    </w:lvl>
  </w:abstractNum>
  <w:abstractNum w:abstractNumId="85">
    <w:nsid w:val="1816F8C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6">
    <w:nsid w:val="37DF223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87">
    <w:nsid w:val="7AB49DA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88">
    <w:nsid w:val="759F82CD"/>
    <w:multiLevelType w:val="hybridMultilevel"/>
    <w:lvl w:ilvl="0">
      <w:lvlJc w:val="left"/>
      <w:lvlText w:val="(%1)"/>
      <w:numFmt w:val="lowerLetter"/>
      <w:start w:val="22"/>
    </w:lvl>
    <w:lvl w:ilvl="1">
      <w:lvlJc w:val="left"/>
      <w:lvlText w:val="(%2)"/>
      <w:numFmt w:val="lowerLetter"/>
      <w:start w:val="4"/>
    </w:lvl>
    <w:lvl w:ilvl="2">
      <w:lvlJc w:val="left"/>
      <w:lvlText w:val="(%3)"/>
      <w:numFmt w:val="lowerRoman"/>
      <w:start w:val="1"/>
    </w:lvl>
  </w:abstractNum>
  <w:abstractNum w:abstractNumId="89">
    <w:nsid w:val="61E74EA3"/>
    <w:multiLevelType w:val="hybridMultilevel"/>
    <w:lvl w:ilvl="0">
      <w:lvlJc w:val="left"/>
      <w:lvlText w:val="(%1)"/>
      <w:numFmt w:val="lowerLetter"/>
      <w:start w:val="7"/>
    </w:lvl>
    <w:lvl w:ilvl="1">
      <w:lvlJc w:val="left"/>
      <w:lvlText w:val="(%2)"/>
      <w:numFmt w:val="lowerRoman"/>
      <w:start w:val="1"/>
    </w:lvl>
  </w:abstractNum>
  <w:abstractNum w:abstractNumId="90">
    <w:nsid w:val="597B4D84"/>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9"/>
    </w:lvl>
  </w:abstractNum>
  <w:abstractNum w:abstractNumId="91">
    <w:nsid w:val="F819E7F"/>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92">
    <w:nsid w:val="57C7D42D"/>
    <w:multiLevelType w:val="hybridMultilevel"/>
    <w:lvl w:ilvl="0">
      <w:lvlJc w:val="left"/>
      <w:lvlText w:val="(%1)"/>
      <w:numFmt w:val="lowerLetter"/>
      <w:start w:val="22"/>
    </w:lvl>
    <w:lvl w:ilvl="1">
      <w:lvlJc w:val="left"/>
      <w:lvlText w:val="%2"/>
      <w:numFmt w:val="lowerLetter"/>
      <w:start w:val="1"/>
    </w:lvl>
    <w:lvl w:ilvl="2">
      <w:lvlJc w:val="left"/>
      <w:lvlText w:val="%3"/>
      <w:numFmt w:val="lowerLetter"/>
      <w:start w:val="1"/>
    </w:lvl>
  </w:abstractNum>
  <w:abstractNum w:abstractNumId="93">
    <w:nsid w:val="312167AD"/>
    <w:multiLevelType w:val="hybridMultilevel"/>
    <w:lvl w:ilvl="0">
      <w:lvlJc w:val="left"/>
      <w:lvlText w:val="(%1)"/>
      <w:numFmt w:val="lowerLetter"/>
      <w:start w:val="24"/>
    </w:lvl>
    <w:lvl w:ilvl="1">
      <w:lvlJc w:val="left"/>
      <w:lvlText w:val="(%2)"/>
      <w:numFmt w:val="lowerLetter"/>
      <w:start w:val="9"/>
    </w:lvl>
    <w:lvl w:ilvl="2">
      <w:lvlJc w:val="left"/>
      <w:lvlText w:val="(%3)"/>
      <w:numFmt w:val="lowerLetter"/>
      <w:start w:val="35"/>
    </w:lvl>
  </w:abstractNum>
  <w:abstractNum w:abstractNumId="94">
    <w:nsid w:val="631B64D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95">
    <w:nsid w:val="78B5E7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6">
    <w:nsid w:val="75486E47"/>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
    </w:lvl>
  </w:abstractNum>
  <w:abstractNum w:abstractNumId="97">
    <w:nsid w:val="6E534CDE"/>
    <w:multiLevelType w:val="hybridMultilevel"/>
    <w:lvl w:ilvl="0">
      <w:lvlJc w:val="left"/>
      <w:lvlText w:val="(%1)"/>
      <w:numFmt w:val="decimal"/>
      <w:start w:val="4"/>
    </w:lvl>
    <w:lvl w:ilvl="1">
      <w:lvlJc w:val="left"/>
      <w:lvlText w:val="(%2)"/>
      <w:numFmt w:val="lowerLetter"/>
      <w:start w:val="17"/>
    </w:lvl>
    <w:lvl w:ilvl="2">
      <w:lvlJc w:val="left"/>
      <w:lvlText w:val="%3"/>
      <w:numFmt w:val="lowerLetter"/>
      <w:start w:val="1"/>
    </w:lvl>
  </w:abstractNum>
  <w:abstractNum w:abstractNumId="98">
    <w:nsid w:val="1A0DDE32"/>
    <w:multiLevelType w:val="hybridMultilevel"/>
    <w:lvl w:ilvl="0">
      <w:lvlJc w:val="left"/>
      <w:lvlText w:val="(%1)"/>
      <w:numFmt w:val="lowerLetter"/>
      <w:start w:val="21"/>
    </w:lvl>
    <w:lvl w:ilvl="1">
      <w:lvlJc w:val="left"/>
      <w:lvlText w:val="(%2)"/>
      <w:numFmt w:val="lowerRoman"/>
      <w:start w:val="1"/>
    </w:lvl>
  </w:abstractNum>
  <w:abstractNum w:abstractNumId="99">
    <w:nsid w:val="65968C1C"/>
    <w:multiLevelType w:val="hybridMultilevel"/>
    <w:lvl w:ilvl="0">
      <w:lvlJc w:val="left"/>
      <w:lvlText w:val="(%1)"/>
      <w:numFmt w:val="lowerLetter"/>
      <w:start w:val="27"/>
    </w:lvl>
  </w:abstractNum>
  <w:abstractNum w:abstractNumId="100">
    <w:nsid w:val="46263D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1">
    <w:nsid w:val="260D8C4A"/>
    <w:multiLevelType w:val="hybridMultilevel"/>
    <w:lvl w:ilvl="0">
      <w:lvlJc w:val="left"/>
      <w:lvlText w:val="%1"/>
      <w:numFmt w:val="lowerLetter"/>
      <w:start w:val="1"/>
    </w:lvl>
    <w:lvl w:ilvl="1">
      <w:lvlJc w:val="left"/>
      <w:lvlText w:val="(%2)"/>
      <w:numFmt w:val="lowerRoman"/>
      <w:start w:val="2"/>
    </w:lvl>
  </w:abstractNum>
  <w:abstractNum w:abstractNumId="102">
    <w:nsid w:val="73D4D3C4"/>
    <w:multiLevelType w:val="hybridMultilevel"/>
    <w:lvl w:ilvl="0">
      <w:lvlJc w:val="left"/>
      <w:lvlText w:val="(%1)"/>
      <w:numFmt w:val="lowerLetter"/>
      <w:start w:val="3"/>
    </w:lvl>
    <w:lvl w:ilvl="1">
      <w:lvlJc w:val="left"/>
      <w:lvlText w:val="(%2)"/>
      <w:numFmt w:val="lowerRoman"/>
      <w:start w:val="1"/>
    </w:lvl>
  </w:abstractNum>
  <w:abstractNum w:abstractNumId="103">
    <w:nsid w:val="746F2E30"/>
    <w:multiLevelType w:val="hybridMultilevel"/>
    <w:lvl w:ilvl="0">
      <w:lvlJc w:val="left"/>
      <w:lvlText w:val="(%1)"/>
      <w:numFmt w:val="lowerLetter"/>
      <w:start w:val="4"/>
    </w:lvl>
  </w:abstractNum>
  <w:abstractNum w:abstractNumId="104">
    <w:nsid w:val="6FDE8AF6"/>
    <w:multiLevelType w:val="hybridMultilevel"/>
    <w:lvl w:ilvl="0">
      <w:lvlJc w:val="left"/>
      <w:lvlText w:val="%1"/>
      <w:numFmt w:val="lowerLetter"/>
      <w:start w:val="1"/>
    </w:lvl>
    <w:lvl w:ilvl="1">
      <w:lvlJc w:val="left"/>
      <w:lvlText w:val="(%2)"/>
      <w:numFmt w:val="lowerLetter"/>
      <w:start w:val="35"/>
    </w:lvl>
  </w:abstractNum>
  <w:abstractNum w:abstractNumId="105">
    <w:nsid w:val="3FC32E20"/>
    <w:multiLevelType w:val="hybridMultilevel"/>
    <w:lvl w:ilvl="0">
      <w:lvlJc w:val="left"/>
      <w:lvlText w:val="(%1)"/>
      <w:numFmt w:val="lowerLetter"/>
      <w:start w:val="5"/>
    </w:lvl>
    <w:lvl w:ilvl="1">
      <w:lvlJc w:val="left"/>
      <w:lvlText w:val="(%2)"/>
      <w:numFmt w:val="lowerLetter"/>
      <w:start w:val="9"/>
    </w:lvl>
  </w:abstractNum>
  <w:abstractNum w:abstractNumId="106">
    <w:nsid w:val="49C0E8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7">
    <w:nsid w:val="14D5368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8">
    <w:nsid w:val="230F856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9">
    <w:nsid w:val="6EAA85FB"/>
    <w:multiLevelType w:val="hybridMultilevel"/>
    <w:lvl w:ilvl="0">
      <w:lvlJc w:val="left"/>
      <w:lvlText w:val="%1"/>
      <w:numFmt w:val="decimal"/>
      <w:start w:val="1"/>
    </w:lvl>
    <w:lvl w:ilvl="1">
      <w:lvlJc w:val="left"/>
      <w:lvlText w:val="(%2)"/>
      <w:numFmt w:val="lowerLetter"/>
      <w:start w:val="2"/>
    </w:lvl>
  </w:abstractNum>
  <w:abstractNum w:abstractNumId="110">
    <w:nsid w:val="3F06ECB2"/>
    <w:multiLevelType w:val="hybridMultilevel"/>
    <w:lvl w:ilvl="0">
      <w:lvlJc w:val="left"/>
      <w:lvlText w:val="%1."/>
      <w:numFmt w:val="decimal"/>
      <w:start w:val="7"/>
    </w:lvl>
    <w:lvl w:ilvl="1">
      <w:lvlJc w:val="left"/>
      <w:lvlText w:val="%2"/>
      <w:numFmt w:val="lowerLetter"/>
      <w:start w:val="1"/>
    </w:lvl>
  </w:abstractNum>
  <w:abstractNum w:abstractNumId="111">
    <w:nsid w:val="3B594807"/>
    <w:multiLevelType w:val="hybridMultilevel"/>
    <w:lvl w:ilvl="0">
      <w:lvlJc w:val="left"/>
      <w:lvlText w:val="%1."/>
      <w:numFmt w:val="decimal"/>
      <w:start w:val="8"/>
    </w:lvl>
    <w:lvl w:ilvl="1">
      <w:lvlJc w:val="left"/>
      <w:lvlText w:val="(%2)"/>
      <w:numFmt w:val="lowerLetter"/>
      <w:start w:val="1"/>
    </w:lvl>
  </w:abstractNum>
  <w:abstractNum w:abstractNumId="112">
    <w:nsid w:val="6CAA2304"/>
    <w:multiLevelType w:val="hybridMultilevel"/>
    <w:lvl w:ilvl="0">
      <w:lvlJc w:val="left"/>
      <w:lvlText w:val="(%1)"/>
      <w:numFmt w:val="lowerLetter"/>
      <w:start w:val="2"/>
    </w:lvl>
    <w:lvl w:ilvl="1">
      <w:lvlJc w:val="left"/>
      <w:lvlText w:val="(%2)"/>
      <w:numFmt w:val="lowerLetter"/>
      <w:start w:val="9"/>
    </w:lvl>
  </w:abstractNum>
  <w:abstractNum w:abstractNumId="113">
    <w:nsid w:val="3F7C2FF4"/>
    <w:multiLevelType w:val="hybridMultilevel"/>
    <w:lvl w:ilvl="0">
      <w:lvlJc w:val="left"/>
      <w:lvlText w:val="%1"/>
      <w:numFmt w:val="lowerLetter"/>
      <w:start w:val="1"/>
    </w:lvl>
    <w:lvl w:ilvl="1">
      <w:lvlJc w:val="left"/>
      <w:lvlText w:val="(%2)"/>
      <w:numFmt w:val="lowerRoman"/>
      <w:start w:val="2"/>
    </w:lvl>
  </w:abstractNum>
  <w:abstractNum w:abstractNumId="114">
    <w:nsid w:val="25413BEC"/>
    <w:multiLevelType w:val="hybridMultilevel"/>
    <w:lvl w:ilvl="0">
      <w:lvlJc w:val="left"/>
      <w:lvlText w:val="(%1)"/>
      <w:numFmt w:val="lowerLetter"/>
      <w:start w:val="7"/>
    </w:lvl>
    <w:lvl w:ilvl="1">
      <w:lvlJc w:val="left"/>
      <w:lvlText w:val="%2"/>
      <w:numFmt w:val="lowerRoman"/>
      <w:start w:val="1"/>
    </w:lvl>
  </w:abstractNum>
  <w:abstractNum w:abstractNumId="115">
    <w:nsid w:val="17180B0B"/>
    <w:multiLevelType w:val="hybridMultilevel"/>
    <w:lvl w:ilvl="0">
      <w:lvlJc w:val="left"/>
      <w:lvlText w:val="(%1)"/>
      <w:numFmt w:val="lowerLetter"/>
      <w:start w:val="10"/>
    </w:lvl>
    <w:lvl w:ilvl="1">
      <w:lvlJc w:val="left"/>
      <w:lvlText w:val="(%2)"/>
      <w:numFmt w:val="lowerRoman"/>
      <w:start w:val="1"/>
    </w:lvl>
  </w:abstractNum>
  <w:abstractNum w:abstractNumId="116">
    <w:nsid w:val="579328B9"/>
    <w:multiLevelType w:val="hybridMultilevel"/>
    <w:lvl w:ilvl="0">
      <w:lvlJc w:val="left"/>
      <w:lvlText w:val="%1."/>
      <w:numFmt w:val="decimal"/>
      <w:start w:val="1"/>
    </w:lvl>
  </w:abstractNum>
  <w:abstractNum w:abstractNumId="117">
    <w:nsid w:val="5D205E20"/>
    <w:multiLevelType w:val="hybridMultilevel"/>
    <w:lvl w:ilvl="0">
      <w:lvlJc w:val="left"/>
      <w:lvlText w:val="%1."/>
      <w:numFmt w:val="decimal"/>
      <w:start w:val="1"/>
    </w:lvl>
  </w:abstractNum>
  <w:abstractNum w:abstractNumId="118">
    <w:nsid w:val="11CCA8BA"/>
    <w:multiLevelType w:val="hybridMultilevel"/>
    <w:lvl w:ilvl="0">
      <w:lvlJc w:val="left"/>
      <w:lvlText w:val="(%1)"/>
      <w:numFmt w:val="lowerRoman"/>
      <w:start w:val="2"/>
    </w:lvl>
  </w:abstractNum>
  <w:abstractNum w:abstractNumId="119">
    <w:nsid w:val="4D32AB86"/>
    <w:multiLevelType w:val="hybridMultilevel"/>
    <w:lvl w:ilvl="0">
      <w:lvlJc w:val="left"/>
      <w:lvlText w:val="(%1)"/>
      <w:numFmt w:val="lowerLetter"/>
      <w:start w:val="2"/>
    </w:lvl>
  </w:abstractNum>
  <w:abstractNum w:abstractNumId="120">
    <w:nsid w:val="3F07ACC3"/>
    <w:multiLevelType w:val="hybridMultilevel"/>
    <w:lvl w:ilvl="0">
      <w:lvlJc w:val="left"/>
      <w:lvlText w:val="(%1)"/>
      <w:numFmt w:val="lowerLetter"/>
      <w:start w:val="3"/>
    </w:lvl>
  </w:abstractNum>
  <w:abstractNum w:abstractNumId="121">
    <w:nsid w:val="6B47F63E"/>
    <w:multiLevelType w:val="hybridMultilevel"/>
    <w:lvl w:ilvl="0">
      <w:lvlJc w:val="left"/>
      <w:lvlText w:val="(%1)"/>
      <w:numFmt w:val="lowerLetter"/>
      <w:start w:val="8"/>
    </w:lvl>
  </w:abstractNum>
  <w:abstractNum w:abstractNumId="122">
    <w:nsid w:val="5CB44A05"/>
    <w:multiLevelType w:val="hybridMultilevel"/>
    <w:lvl w:ilvl="0">
      <w:lvlJc w:val="left"/>
      <w:lvlText w:val="%1."/>
      <w:numFmt w:val="decimal"/>
      <w:start w:val="1"/>
    </w:lvl>
  </w:abstractNum>
  <w:abstractNum w:abstractNumId="123">
    <w:nsid w:val="16CF80F1"/>
    <w:multiLevelType w:val="hybridMultilevel"/>
    <w:lvl w:ilvl="0">
      <w:lvlJc w:val="left"/>
      <w:lvlText w:val="%1."/>
      <w:numFmt w:val="decimal"/>
      <w:start w:val="3"/>
    </w:lvl>
  </w:abstractNum>
  <w:abstractNum w:abstractNumId="124">
    <w:nsid w:val="1C695DEC"/>
    <w:multiLevelType w:val="hybridMultilevel"/>
    <w:lvl w:ilvl="0">
      <w:lvlJc w:val="left"/>
      <w:lvlText w:val="%1."/>
      <w:numFmt w:val="decimal"/>
      <w:start w:val="4"/>
    </w:lvl>
  </w:abstractNum>
  <w:abstractNum w:abstractNumId="125">
    <w:nsid w:val="3FCFAED9"/>
    <w:multiLevelType w:val="hybridMultilevel"/>
    <w:lvl w:ilvl="0">
      <w:lvlJc w:val="left"/>
      <w:lvlText w:val="(%1)"/>
      <w:numFmt w:val="lowerRoman"/>
      <w:start w:val="2"/>
    </w:lvl>
  </w:abstractNum>
  <w:abstractNum w:abstractNumId="126">
    <w:nsid w:val="F856867"/>
    <w:multiLevelType w:val="hybridMultilevel"/>
    <w:lvl w:ilvl="0">
      <w:lvlJc w:val="left"/>
      <w:lvlText w:val="(%1)"/>
      <w:numFmt w:val="lowerRoman"/>
      <w:start w:val="3"/>
    </w:lvl>
  </w:abstractNum>
  <w:abstractNum w:abstractNumId="127">
    <w:nsid w:val="11B1CC33"/>
    <w:multiLevelType w:val="hybridMultilevel"/>
    <w:lvl w:ilvl="0">
      <w:lvlJc w:val="left"/>
      <w:lvlText w:val="%1."/>
      <w:numFmt w:val="decimal"/>
      <w:start w:val="8"/>
    </w:lvl>
  </w:abstractNum>
  <w:abstractNum w:abstractNumId="128">
    <w:nsid w:val="2E22FBB7"/>
    <w:multiLevelType w:val="hybridMultilevel"/>
    <w:lvl w:ilvl="0">
      <w:lvlJc w:val="left"/>
      <w:lvlText w:val="%1."/>
      <w:numFmt w:val="decimal"/>
      <w:start w:val="12"/>
    </w:lvl>
  </w:abstractNum>
  <w:abstractNum w:abstractNumId="129">
    <w:nsid w:val="29934699"/>
    <w:multiLevelType w:val="hybridMultilevel"/>
    <w:lvl w:ilvl="0">
      <w:lvlJc w:val="left"/>
      <w:lvlText w:val="%1."/>
      <w:numFmt w:val="decimal"/>
      <w:start w:val="18"/>
    </w:lvl>
  </w:abstractNum>
  <w:abstractNum w:abstractNumId="130">
    <w:nsid w:val="77485850"/>
    <w:multiLevelType w:val="hybridMultilevel"/>
    <w:lvl w:ilvl="0">
      <w:lvlJc w:val="left"/>
      <w:lvlText w:val="%1."/>
      <w:numFmt w:val="decimal"/>
      <w:start w:val="1"/>
    </w:lvl>
    <w:lvl w:ilvl="1">
      <w:lvlJc w:val="left"/>
      <w:lvlText w:val="(%2)"/>
      <w:numFmt w:val="lowerLetter"/>
      <w:start w:val="1"/>
    </w:lvl>
  </w:abstractNum>
  <w:abstractNum w:abstractNumId="131">
    <w:nsid w:val="744939A3"/>
    <w:multiLevelType w:val="hybridMultilevel"/>
    <w:lvl w:ilvl="0">
      <w:lvlJc w:val="left"/>
      <w:lvlText w:val="%1"/>
      <w:numFmt w:val="decimal"/>
      <w:start w:val="1"/>
    </w:lvl>
    <w:lvl w:ilvl="1">
      <w:lvlJc w:val="left"/>
      <w:lvlText w:val="(%2)"/>
      <w:numFmt w:val="lowerLetter"/>
      <w:start w:val="4"/>
    </w:lvl>
  </w:abstractNum>
  <w:abstractNum w:abstractNumId="132">
    <w:nsid w:val="4FA0D2E3"/>
    <w:multiLevelType w:val="hybridMultilevel"/>
    <w:lvl w:ilvl="0">
      <w:lvlJc w:val="left"/>
      <w:lvlText w:val="%1."/>
      <w:numFmt w:val="decimal"/>
      <w:start w:val="2"/>
    </w:lvl>
    <w:lvl w:ilvl="1">
      <w:lvlJc w:val="left"/>
      <w:lvlText w:val="(%2)"/>
      <w:numFmt w:val="lowerLetter"/>
      <w:start w:val="1"/>
    </w:lvl>
  </w:abstractNum>
  <w:abstractNum w:abstractNumId="133">
    <w:nsid w:val="6B1D2C14"/>
    <w:multiLevelType w:val="hybridMultilevel"/>
    <w:lvl w:ilvl="0">
      <w:lvlJc w:val="left"/>
      <w:lvlText w:val="%1."/>
      <w:numFmt w:val="decimal"/>
      <w:start w:val="3"/>
    </w:lvl>
    <w:lvl w:ilvl="1">
      <w:lvlJc w:val="left"/>
      <w:lvlText w:val="(%2)"/>
      <w:numFmt w:val="lowerLetter"/>
      <w:start w:val="1"/>
    </w:lvl>
  </w:abstractNum>
  <w:abstractNum w:abstractNumId="134">
    <w:nsid w:val="68B867D3"/>
    <w:multiLevelType w:val="hybridMultilevel"/>
    <w:lvl w:ilvl="0">
      <w:lvlJc w:val="left"/>
      <w:lvlText w:val="%1."/>
      <w:numFmt w:val="decimal"/>
      <w:start w:val="4"/>
    </w:lvl>
    <w:lvl w:ilvl="1">
      <w:lvlJc w:val="left"/>
      <w:lvlText w:val="(%2)"/>
      <w:numFmt w:val="lowerLetter"/>
      <w:start w:val="1"/>
    </w:lvl>
  </w:abstractNum>
  <w:abstractNum w:abstractNumId="135">
    <w:nsid w:val="3F7F5DD9"/>
    <w:multiLevelType w:val="hybridMultilevel"/>
    <w:lvl w:ilvl="0">
      <w:lvlJc w:val="left"/>
      <w:lvlText w:val="%1"/>
      <w:numFmt w:val="decimal"/>
      <w:start w:val="1"/>
    </w:lvl>
    <w:lvl w:ilvl="1">
      <w:lvlJc w:val="left"/>
      <w:lvlText w:val="(%2)"/>
      <w:numFmt w:val="lowerLetter"/>
      <w:start w:val="10"/>
    </w:lvl>
  </w:abstractNum>
  <w:abstractNum w:abstractNumId="136">
    <w:nsid w:val="2AE05A34"/>
    <w:multiLevelType w:val="hybridMultilevel"/>
    <w:lvl w:ilvl="0">
      <w:lvlJc w:val="left"/>
      <w:lvlText w:val="%1."/>
      <w:numFmt w:val="decimal"/>
      <w:start w:val="5"/>
    </w:lvl>
    <w:lvl w:ilvl="1">
      <w:lvlJc w:val="left"/>
      <w:lvlText w:val="(%2)"/>
      <w:numFmt w:val="lowerLetter"/>
      <w:start w:val="1"/>
    </w:lvl>
  </w:abstractNum>
  <w:abstractNum w:abstractNumId="137">
    <w:nsid w:val="32794FF7"/>
    <w:multiLevelType w:val="hybridMultilevel"/>
    <w:lvl w:ilvl="0">
      <w:lvlJc w:val="left"/>
      <w:lvlText w:val="(%1)"/>
      <w:numFmt w:val="lowerLetter"/>
      <w:start w:val="2"/>
    </w:lvl>
  </w:abstractNum>
  <w:abstractNum w:abstractNumId="138">
    <w:nsid w:val="5454945E"/>
    <w:multiLevelType w:val="hybridMultilevel"/>
    <w:lvl w:ilvl="0">
      <w:lvlJc w:val="left"/>
      <w:lvlText w:val="(%1)"/>
      <w:numFmt w:val="lowerLetter"/>
      <w:start w:val="6"/>
    </w:lvl>
  </w:abstractNum>
  <w:abstractNum w:abstractNumId="139">
    <w:nsid w:val="4DEFDFA0"/>
    <w:multiLevelType w:val="hybridMultilevel"/>
    <w:lvl w:ilvl="0">
      <w:lvlJc w:val="left"/>
      <w:lvlText w:val="%1."/>
      <w:numFmt w:val="decimal"/>
      <w:start w:val="1"/>
    </w:lvl>
  </w:abstractNum>
  <w:abstractNum w:abstractNumId="140">
    <w:nsid w:val="2123D5F2"/>
    <w:multiLevelType w:val="hybridMultilevel"/>
    <w:lvl w:ilvl="0">
      <w:lvlJc w:val="left"/>
      <w:lvlText w:val="%1."/>
      <w:numFmt w:val="decimal"/>
      <w:start w:val="3"/>
    </w:lvl>
  </w:abstractNum>
  <w:abstractNum w:abstractNumId="141">
    <w:nsid w:val="135B8110"/>
    <w:multiLevelType w:val="hybridMultilevel"/>
    <w:lvl w:ilvl="0">
      <w:lvlJc w:val="left"/>
      <w:lvlText w:val="%1."/>
      <w:numFmt w:val="decimal"/>
      <w:start w:val="4"/>
    </w:lvl>
  </w:abstractNum>
  <w:abstractNum w:abstractNumId="142">
    <w:nsid w:val="94927A8"/>
    <w:multiLevelType w:val="hybridMultilevel"/>
    <w:lvl w:ilvl="0">
      <w:lvlJc w:val="left"/>
      <w:lvlText w:val="%1."/>
      <w:numFmt w:val="decimal"/>
      <w:start w:val="5"/>
    </w:lvl>
  </w:abstractNum>
  <w:abstractNum w:abstractNumId="143">
    <w:nsid w:val="DCDF8F6"/>
    <w:multiLevelType w:val="hybridMultilevel"/>
    <w:lvl w:ilvl="0">
      <w:lvlJc w:val="left"/>
      <w:lvlText w:val="%1."/>
      <w:numFmt w:val="decimal"/>
      <w:start w:val="6"/>
    </w:lvl>
  </w:abstractNum>
  <w:abstractNum w:abstractNumId="144">
    <w:nsid w:val="52D7B105"/>
    <w:multiLevelType w:val="hybridMultilevel"/>
    <w:lvl w:ilvl="0">
      <w:lvlJc w:val="left"/>
      <w:lvlText w:val="%1."/>
      <w:numFmt w:val="decimal"/>
      <w:start w:val="2"/>
    </w:lvl>
  </w:abstractNum>
  <w:abstractNum w:abstractNumId="145">
    <w:nsid w:val="2E8A6394"/>
    <w:multiLevelType w:val="hybridMultilevel"/>
    <w:lvl w:ilvl="0">
      <w:lvlJc w:val="left"/>
      <w:lvlText w:val="(%1)"/>
      <w:numFmt w:val="lowerLetter"/>
      <w:start w:val="1"/>
    </w:lvl>
  </w:abstractNum>
  <w:abstractNum w:abstractNumId="146">
    <w:nsid w:val="24E60401"/>
    <w:multiLevelType w:val="hybridMultilevel"/>
    <w:lvl w:ilvl="0">
      <w:lvlJc w:val="left"/>
      <w:lvlText w:val="(%1)"/>
      <w:numFmt w:val="lowerLetter"/>
      <w:start w:val="2"/>
    </w:lvl>
  </w:abstractNum>
  <w:abstractNum w:abstractNumId="147">
    <w:nsid w:val="2A6AD9BE"/>
    <w:multiLevelType w:val="hybridMultilevel"/>
    <w:lvl w:ilvl="0">
      <w:lvlJc w:val="left"/>
      <w:lvlText w:val="%1."/>
      <w:numFmt w:val="decimal"/>
      <w:start w:val="3"/>
    </w:lvl>
  </w:abstractNum>
  <w:abstractNum w:abstractNumId="148">
    <w:nsid w:val="BAAC1B4"/>
    <w:multiLevelType w:val="hybridMultilevel"/>
    <w:lvl w:ilvl="0">
      <w:lvlJc w:val="left"/>
      <w:lvlText w:val="%1."/>
      <w:numFmt w:val="decimal"/>
      <w:start w:val="4"/>
    </w:lvl>
  </w:abstractNum>
  <w:abstractNum w:abstractNumId="149">
    <w:nsid w:val="36B2ACBC"/>
    <w:multiLevelType w:val="hybridMultilevel"/>
    <w:lvl w:ilvl="0">
      <w:lvlJc w:val="left"/>
      <w:lvlText w:val="%1."/>
      <w:numFmt w:val="decimal"/>
      <w:start w:val="5"/>
    </w:lvl>
  </w:abstractNum>
  <w:abstractNum w:abstractNumId="150">
    <w:nsid w:val="779D8544"/>
    <w:multiLevelType w:val="hybridMultilevel"/>
    <w:lvl w:ilvl="0">
      <w:lvlJc w:val="left"/>
      <w:lvlText w:val="%1."/>
      <w:numFmt w:val="decimal"/>
      <w:start w:val="6"/>
    </w:lvl>
  </w:abstractNum>
  <w:abstractNum w:abstractNumId="151">
    <w:nsid w:val="4AB26E78"/>
    <w:multiLevelType w:val="hybridMultilevel"/>
    <w:lvl w:ilvl="0">
      <w:lvlJc w:val="left"/>
      <w:lvlText w:val="1"/>
      <w:numFmt w:val="bullet"/>
      <w:start w:val="1"/>
    </w:lvl>
  </w:abstractNum>
  <w:abstractNum w:abstractNumId="152">
    <w:nsid w:val="21FAA2FA"/>
    <w:multiLevelType w:val="hybridMultilevel"/>
    <w:lvl w:ilvl="0">
      <w:lvlJc w:val="left"/>
      <w:lvlText w:val="●"/>
      <w:numFmt w:val="bullet"/>
      <w:start w:val="1"/>
    </w:lvl>
  </w:abstractNum>
  <w:abstractNum w:abstractNumId="153">
    <w:nsid w:val="5451CF49"/>
    <w:multiLevelType w:val="hybridMultilevel"/>
    <w:lvl w:ilvl="0">
      <w:lvlJc w:val="left"/>
      <w:lvlText w:val="●"/>
      <w:numFmt w:val="bullet"/>
      <w:start w:val="1"/>
    </w:lvl>
  </w:abstractNum>
  <w:abstractNum w:abstractNumId="154">
    <w:nsid w:val="6181EF69"/>
    <w:multiLevelType w:val="hybridMultilevel"/>
    <w:lvl w:ilvl="0">
      <w:lvlJc w:val="left"/>
      <w:lvlText w:val="(%1)"/>
      <w:numFmt w:val="lowerLetter"/>
      <w:start w:val="1"/>
    </w:lvl>
  </w:abstractNum>
  <w:abstractNum w:abstractNumId="155">
    <w:nsid w:val="3E6400E6"/>
    <w:multiLevelType w:val="hybridMultilevel"/>
    <w:lvl w:ilvl="0">
      <w:lvlJc w:val="left"/>
      <w:lvlText w:val="(%1)"/>
      <w:numFmt w:val="lowerLetter"/>
      <w:start w:val="7"/>
    </w:lvl>
  </w:abstractNum>
  <w:abstractNum w:abstractNumId="156">
    <w:nsid w:val="14217E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57">
    <w:nsid w:val="710757D0"/>
    <w:multiLevelType w:val="hybridMultilevel"/>
    <w:lvl w:ilvl="0">
      <w:lvlJc w:val="left"/>
      <w:lvlText w:val="%1"/>
      <w:numFmt w:val="lowerLetter"/>
      <w:start w:val="1"/>
    </w:lvl>
    <w:lvl w:ilvl="1">
      <w:lvlJc w:val="left"/>
      <w:lvlText w:val="(%2)"/>
      <w:numFmt w:val="lowerRoman"/>
      <w:start w:val="2"/>
    </w:lvl>
  </w:abstractNum>
  <w:abstractNum w:abstractNumId="158">
    <w:nsid w:val="5015CD1A"/>
    <w:multiLevelType w:val="hybridMultilevel"/>
    <w:lvl w:ilvl="0">
      <w:lvlJc w:val="left"/>
      <w:lvlText w:val="(%1)"/>
      <w:numFmt w:val="lowerLetter"/>
      <w:start w:val="4"/>
    </w:lvl>
    <w:lvl w:ilvl="1">
      <w:lvlJc w:val="left"/>
      <w:lvlText w:val="%2"/>
      <w:numFmt w:val="lowerRoman"/>
      <w:start w:val="1"/>
    </w:lvl>
  </w:abstractNum>
  <w:abstractNum w:abstractNumId="159">
    <w:nsid w:val="424479DA"/>
    <w:multiLevelType w:val="hybridMultilevel"/>
    <w:lvl w:ilvl="0">
      <w:lvlJc w:val="left"/>
      <w:lvlText w:val="(%1)"/>
      <w:numFmt w:val="lowerLetter"/>
      <w:start w:val="5"/>
    </w:lvl>
  </w:abstractNum>
  <w:abstractNum w:abstractNumId="160">
    <w:nsid w:val="1A9A9E69"/>
    <w:multiLevelType w:val="hybridMultilevel"/>
    <w:lvl w:ilvl="0">
      <w:lvlJc w:val="left"/>
      <w:lvlText w:val="%1"/>
      <w:numFmt w:val="decimal"/>
      <w:start w:val="1"/>
    </w:lvl>
    <w:lvl w:ilvl="1">
      <w:lvlJc w:val="left"/>
      <w:lvlText w:val="(%2)"/>
      <w:numFmt w:val="lowerLetter"/>
      <w:start w:val="11"/>
    </w:lvl>
  </w:abstractNum>
  <w:abstractNum w:abstractNumId="161">
    <w:nsid w:val="475E256A"/>
    <w:multiLevelType w:val="hybridMultilevel"/>
    <w:lvl w:ilvl="0">
      <w:lvlJc w:val="left"/>
      <w:lvlText w:val="%1"/>
      <w:numFmt w:val="decimal"/>
      <w:start w:val="1"/>
    </w:lvl>
    <w:lvl w:ilvl="1">
      <w:lvlJc w:val="left"/>
      <w:lvlText w:val="(%2)"/>
      <w:numFmt w:val="lowerLetter"/>
      <w:start w:val="35"/>
    </w:lvl>
  </w:abstractNum>
  <w:abstractNum w:abstractNumId="162">
    <w:nsid w:val="368DB37E"/>
    <w:multiLevelType w:val="hybridMultilevel"/>
    <w:lvl w:ilvl="0">
      <w:lvlJc w:val="left"/>
      <w:lvlText w:val="%1"/>
      <w:numFmt w:val="decimal"/>
      <w:start w:val="1"/>
    </w:lvl>
    <w:lvl w:ilvl="1">
      <w:lvlJc w:val="left"/>
      <w:lvlText w:val="(%2)"/>
      <w:numFmt w:val="lowerLetter"/>
      <w:start w:val="12"/>
    </w:lvl>
  </w:abstractNum>
  <w:abstractNum w:abstractNumId="163">
    <w:nsid w:val="6A3B714C"/>
    <w:multiLevelType w:val="hybridMultilevel"/>
    <w:lvl w:ilvl="0">
      <w:lvlJc w:val="left"/>
      <w:lvlText w:val="%1."/>
      <w:numFmt w:val="decimal"/>
      <w:start w:val="3"/>
    </w:lvl>
    <w:lvl w:ilvl="1">
      <w:lvlJc w:val="left"/>
      <w:lvlText w:val="%2"/>
      <w:numFmt w:val="lowerLetter"/>
      <w:start w:val="1"/>
    </w:lvl>
  </w:abstractNum>
  <w:abstractNum w:abstractNumId="164">
    <w:nsid w:val="327B517E"/>
    <w:multiLevelType w:val="hybridMultilevel"/>
    <w:lvl w:ilvl="0">
      <w:lvlJc w:val="left"/>
      <w:lvlText w:val="%1."/>
      <w:numFmt w:val="decimal"/>
      <w:start w:val="4"/>
    </w:lvl>
  </w:abstractNum>
  <w:abstractNum w:abstractNumId="165">
    <w:nsid w:val="1F461B51"/>
    <w:multiLevelType w:val="hybridMultilevel"/>
    <w:lvl w:ilvl="0">
      <w:lvlJc w:val="left"/>
      <w:lvlText w:val="%1."/>
      <w:numFmt w:val="decimal"/>
      <w:start w:val="7"/>
    </w:lvl>
    <w:lvl w:ilvl="1">
      <w:lvlJc w:val="left"/>
      <w:lvlText w:val="(%2)"/>
      <w:numFmt w:val="lowerLetter"/>
      <w:start w:val="1"/>
    </w:lvl>
  </w:abstractNum>
  <w:abstractNum w:abstractNumId="166">
    <w:nsid w:val="29BACF25"/>
    <w:multiLevelType w:val="hybridMultilevel"/>
    <w:lvl w:ilvl="0">
      <w:lvlJc w:val="left"/>
      <w:lvlText w:val="%1"/>
      <w:numFmt w:val="decimal"/>
      <w:start w:val="1"/>
    </w:lvl>
    <w:lvl w:ilvl="1">
      <w:lvlJc w:val="left"/>
      <w:lvlText w:val="(%2)"/>
      <w:numFmt w:val="lowerLetter"/>
      <w:start w:val="3"/>
    </w:lvl>
  </w:abstractNum>
  <w:abstractNum w:abstractNumId="167">
    <w:nsid w:val="5D5BABB3"/>
    <w:multiLevelType w:val="hybridMultilevel"/>
    <w:lvl w:ilvl="0">
      <w:lvlJc w:val="left"/>
      <w:lvlText w:val="%1."/>
      <w:numFmt w:val="decimal"/>
      <w:start w:val="10"/>
    </w:lvl>
    <w:lvl w:ilvl="1">
      <w:lvlJc w:val="left"/>
      <w:lvlText w:val="(%2)"/>
      <w:numFmt w:val="lowerLetter"/>
      <w:start w:val="1"/>
    </w:lvl>
  </w:abstractNum>
  <w:abstractNum w:abstractNumId="168">
    <w:nsid w:val="51BF6B48"/>
    <w:multiLevelType w:val="hybridMultilevel"/>
    <w:lvl w:ilvl="0">
      <w:lvlJc w:val="left"/>
      <w:lvlText w:val="%1"/>
      <w:numFmt w:val="decimal"/>
      <w:start w:val="1"/>
    </w:lvl>
    <w:lvl w:ilvl="1">
      <w:lvlJc w:val="left"/>
      <w:lvlText w:val="(%2)"/>
      <w:numFmt w:val="lowerLetter"/>
      <w:start w:val="2"/>
    </w:lvl>
  </w:abstractNum>
  <w:abstractNum w:abstractNumId="169">
    <w:nsid w:val="7E0F6384"/>
    <w:multiLevelType w:val="hybridMultilevel"/>
    <w:lvl w:ilvl="0">
      <w:lvlJc w:val="left"/>
      <w:lvlText w:val="%1."/>
      <w:numFmt w:val="decimal"/>
      <w:start w:val="12"/>
    </w:lvl>
    <w:lvl w:ilvl="1">
      <w:lvlJc w:val="left"/>
      <w:lvlText w:val="(%2)"/>
      <w:numFmt w:val="lowerLetter"/>
      <w:start w:val="1"/>
    </w:lvl>
  </w:abstractNum>
  <w:abstractNum w:abstractNumId="170">
    <w:nsid w:val="2B4B8B53"/>
    <w:multiLevelType w:val="hybridMultilevel"/>
    <w:lvl w:ilvl="0">
      <w:lvlJc w:val="left"/>
      <w:lvlText w:val="%1"/>
      <w:numFmt w:val="decimal"/>
      <w:start w:val="1"/>
    </w:lvl>
    <w:lvl w:ilvl="1">
      <w:lvlJc w:val="left"/>
      <w:lvlText w:val="(%2)"/>
      <w:numFmt w:val="lowerLetter"/>
      <w:start w:val="3"/>
    </w:lvl>
  </w:abstractNum>
  <w:abstractNum w:abstractNumId="171">
    <w:nsid w:val="72E3413A"/>
    <w:multiLevelType w:val="hybridMultilevel"/>
    <w:lvl w:ilvl="0">
      <w:lvlJc w:val="left"/>
      <w:lvlText w:val="%1."/>
      <w:numFmt w:val="decimal"/>
      <w:start w:val="13"/>
    </w:lvl>
    <w:lvl w:ilvl="1">
      <w:lvlJc w:val="left"/>
      <w:lvlText w:val="(%2)"/>
      <w:numFmt w:val="lowerLetter"/>
      <w:start w:val="1"/>
    </w:lvl>
  </w:abstractNum>
  <w:abstractNum w:abstractNumId="172">
    <w:nsid w:val="116AE494"/>
    <w:multiLevelType w:val="hybridMultilevel"/>
    <w:lvl w:ilvl="0">
      <w:lvlJc w:val="left"/>
      <w:lvlText w:val="%1"/>
      <w:numFmt w:val="decimal"/>
      <w:start w:val="1"/>
    </w:lvl>
    <w:lvl w:ilvl="1">
      <w:lvlJc w:val="left"/>
      <w:lvlText w:val="(%2)"/>
      <w:numFmt w:val="lowerLetter"/>
      <w:start w:val="4"/>
    </w:lvl>
  </w:abstractNum>
  <w:abstractNum w:abstractNumId="173">
    <w:nsid w:val="3494B2FB"/>
    <w:multiLevelType w:val="hybridMultilevel"/>
    <w:lvl w:ilvl="0">
      <w:lvlJc w:val="left"/>
      <w:lvlText w:val="%1."/>
      <w:numFmt w:val="decimal"/>
      <w:start w:val="14"/>
    </w:lvl>
    <w:lvl w:ilvl="1">
      <w:lvlJc w:val="left"/>
      <w:lvlText w:val="(%2)"/>
      <w:numFmt w:val="lowerLetter"/>
      <w:start w:val="1"/>
    </w:lvl>
  </w:abstractNum>
  <w:abstractNum w:abstractNumId="174">
    <w:nsid w:val="B13A31"/>
    <w:multiLevelType w:val="hybridMultilevel"/>
    <w:lvl w:ilvl="0">
      <w:lvlJc w:val="left"/>
      <w:lvlText w:val="(%1)"/>
      <w:numFmt w:val="lowerLetter"/>
      <w:start w:val="2"/>
    </w:lvl>
  </w:abstractNum>
  <w:abstractNum w:abstractNumId="175">
    <w:nsid w:val="64429599"/>
    <w:multiLevelType w:val="hybridMultilevel"/>
    <w:lvl w:ilvl="0">
      <w:lvlJc w:val="left"/>
      <w:lvlText w:val="%1."/>
      <w:numFmt w:val="decimal"/>
      <w:start w:val="15"/>
    </w:lvl>
    <w:lvl w:ilvl="1">
      <w:lvlJc w:val="left"/>
      <w:lvlText w:val="(%2)"/>
      <w:numFmt w:val="lowerLetter"/>
      <w:start w:val="1"/>
    </w:lvl>
  </w:abstractNum>
  <w:abstractNum w:abstractNumId="176">
    <w:nsid w:val="631F1690"/>
    <w:multiLevelType w:val="hybridMultilevel"/>
    <w:lvl w:ilvl="0">
      <w:lvlJc w:val="left"/>
      <w:lvlText w:val="%1"/>
      <w:numFmt w:val="decimal"/>
      <w:start w:val="1"/>
    </w:lvl>
    <w:lvl w:ilvl="1">
      <w:lvlJc w:val="left"/>
      <w:lvlText w:val="(%2)"/>
      <w:numFmt w:val="lowerLetter"/>
      <w:start w:val="3"/>
    </w:lvl>
  </w:abstractNum>
  <w:abstractNum w:abstractNumId="177">
    <w:nsid w:val="25973E32"/>
    <w:multiLevelType w:val="hybridMultilevel"/>
    <w:lvl w:ilvl="0">
      <w:lvlJc w:val="left"/>
      <w:lvlText w:val="%1."/>
      <w:numFmt w:val="decimal"/>
      <w:start w:val="17"/>
    </w:lvl>
    <w:lvl w:ilvl="1">
      <w:lvlJc w:val="left"/>
      <w:lvlText w:val="%2"/>
      <w:numFmt w:val="lowerLetter"/>
      <w:start w:val="1"/>
    </w:lvl>
  </w:abstractNum>
  <w:abstractNum w:abstractNumId="178">
    <w:nsid w:val="EAD6F57"/>
    <w:multiLevelType w:val="hybridMultilevel"/>
    <w:lvl w:ilvl="0">
      <w:lvlJc w:val="left"/>
      <w:lvlText w:val="%1."/>
      <w:numFmt w:val="decimal"/>
      <w:start w:val="18"/>
    </w:lvl>
    <w:lvl w:ilvl="1">
      <w:lvlJc w:val="left"/>
      <w:lvlText w:val="(%2)"/>
      <w:numFmt w:val="lowerLetter"/>
      <w:start w:val="1"/>
    </w:lvl>
  </w:abstractNum>
  <w:abstractNum w:abstractNumId="179">
    <w:nsid w:val="6EC9D844"/>
    <w:multiLevelType w:val="hybridMultilevel"/>
    <w:lvl w:ilvl="0">
      <w:lvlJc w:val="left"/>
      <w:lvlText w:val="%1"/>
      <w:numFmt w:val="decimal"/>
      <w:start w:val="1"/>
    </w:lvl>
    <w:lvl w:ilvl="1">
      <w:lvlJc w:val="left"/>
      <w:lvlText w:val="(%2)"/>
      <w:numFmt w:val="lowerLetter"/>
      <w:start w:val="5"/>
    </w:lvl>
  </w:abstractNum>
  <w:abstractNum w:abstractNumId="180">
    <w:nsid w:val="5C49EAEE"/>
    <w:multiLevelType w:val="hybridMultilevel"/>
    <w:lvl w:ilvl="0">
      <w:lvlJc w:val="left"/>
      <w:lvlText w:val="%1."/>
      <w:numFmt w:val="decimal"/>
      <w:start w:val="20"/>
    </w:lvl>
    <w:lvl w:ilvl="1">
      <w:lvlJc w:val="left"/>
      <w:lvlText w:val="(%2)"/>
      <w:numFmt w:val="lowerLetter"/>
      <w:start w:val="1"/>
    </w:lvl>
  </w:abstractNum>
  <w:abstractNum w:abstractNumId="181">
    <w:nsid w:val="64AF49B"/>
    <w:multiLevelType w:val="hybridMultilevel"/>
    <w:lvl w:ilvl="0">
      <w:lvlJc w:val="left"/>
      <w:lvlText w:val="%1."/>
      <w:numFmt w:val="decimal"/>
      <w:start w:val="22"/>
    </w:lvl>
  </w:abstractNum>
  <w:abstractNum w:abstractNumId="182">
    <w:nsid w:val="397C46BC"/>
    <w:multiLevelType w:val="hybridMultilevel"/>
    <w:lvl w:ilvl="0">
      <w:lvlJc w:val="left"/>
      <w:lvlText w:val="●"/>
      <w:numFmt w:val="bullet"/>
      <w:start w:val="1"/>
    </w:lvl>
  </w:abstractNum>
  <w:abstractNum w:abstractNumId="183">
    <w:nsid w:val="7E448DE9"/>
    <w:multiLevelType w:val="hybridMultilevel"/>
    <w:lvl w:ilvl="0">
      <w:lvlJc w:val="left"/>
      <w:lvlText w:val="●"/>
      <w:numFmt w:val="bullet"/>
      <w:start w:val="1"/>
    </w:lvl>
  </w:abstractNum>
  <w:abstractNum w:abstractNumId="184">
    <w:nsid w:val="5A9CC3E5"/>
    <w:multiLevelType w:val="hybridMultilevel"/>
    <w:lvl w:ilvl="0">
      <w:lvlJc w:val="left"/>
      <w:lvlText w:val="●"/>
      <w:numFmt w:val="bullet"/>
      <w:start w:val="1"/>
    </w:lvl>
  </w:abstractNum>
  <w:abstractNum w:abstractNumId="185">
    <w:nsid w:val="1AFE3625"/>
    <w:multiLevelType w:val="hybridMultilevel"/>
    <w:lvl w:ilvl="0">
      <w:lvlJc w:val="left"/>
      <w:lvlText w:val="%1."/>
      <w:numFmt w:val="decimal"/>
      <w:start w:val="2"/>
    </w:lvl>
    <w:lvl w:ilvl="1">
      <w:lvlJc w:val="left"/>
      <w:lvlText w:val="●"/>
      <w:numFmt w:val="bullet"/>
      <w:start w:val="1"/>
    </w:lvl>
  </w:abstractNum>
  <w:abstractNum w:abstractNumId="186">
    <w:nsid w:val="3CA88ECF"/>
    <w:multiLevelType w:val="hybridMultilevel"/>
    <w:lvl w:ilvl="0">
      <w:lvlJc w:val="left"/>
      <w:lvlText w:val="●"/>
      <w:numFmt w:val="bullet"/>
      <w:start w:val="1"/>
    </w:lvl>
  </w:abstractNum>
  <w:abstractNum w:abstractNumId="187">
    <w:nsid w:val="6EBE4208"/>
    <w:multiLevelType w:val="hybridMultilevel"/>
    <w:lvl w:ilvl="0">
      <w:lvlJc w:val="left"/>
      <w:lvlText w:val="●"/>
      <w:numFmt w:val="bullet"/>
      <w:start w:val="1"/>
    </w:lvl>
  </w:abstractNum>
  <w:abstractNum w:abstractNumId="188">
    <w:nsid w:val="C058DF5"/>
    <w:multiLevelType w:val="hybridMultilevel"/>
    <w:lvl w:ilvl="0">
      <w:lvlJc w:val="left"/>
      <w:lvlText w:val="●"/>
      <w:numFmt w:val="bullet"/>
      <w:start w:val="1"/>
    </w:lvl>
  </w:abstractNum>
  <w:abstractNum w:abstractNumId="189">
    <w:nsid w:val="CBE5BE9"/>
    <w:multiLevelType w:val="hybridMultilevel"/>
    <w:lvl w:ilvl="0">
      <w:lvlJc w:val="left"/>
      <w:lvlText w:val="%1."/>
      <w:numFmt w:val="decimal"/>
      <w:start w:val="1"/>
    </w:lvl>
  </w:abstractNum>
  <w:abstractNum w:abstractNumId="190">
    <w:nsid w:val="3102BBE2"/>
    <w:multiLevelType w:val="hybridMultilevel"/>
    <w:lvl w:ilvl="0">
      <w:lvlJc w:val="left"/>
      <w:lvlText w:val="%1"/>
      <w:numFmt w:val="decimal"/>
      <w:start w:val="1"/>
    </w:lvl>
    <w:lvl w:ilvl="1">
      <w:lvlJc w:val="left"/>
      <w:lvlText w:val="%2."/>
      <w:numFmt w:val="decimal"/>
      <w:start w:val="2"/>
    </w:lvl>
  </w:abstractNum>
  <w:abstractNum w:abstractNumId="191">
    <w:nsid w:val="26A02C5E"/>
    <w:multiLevelType w:val="hybridMultilevel"/>
    <w:lvl w:ilvl="0">
      <w:lvlJc w:val="left"/>
      <w:lvlText w:val="(%1)"/>
      <w:numFmt w:val="decimal"/>
      <w:start w:val="4"/>
    </w:lvl>
    <w:lvl w:ilvl="1">
      <w:lvlJc w:val="left"/>
      <w:lvlText w:val="%2."/>
      <w:numFmt w:val="decimal"/>
      <w:start w:val="4"/>
    </w:lvl>
  </w:abstractNum>
  <w:abstractNum w:abstractNumId="192">
    <w:nsid w:val="541C8153"/>
    <w:multiLevelType w:val="hybridMultilevel"/>
    <w:lvl w:ilvl="0">
      <w:lvlJc w:val="left"/>
      <w:lvlText w:val="%1."/>
      <w:numFmt w:val="decimal"/>
      <w:start w:val="6"/>
    </w:lvl>
  </w:abstractNum>
  <w:abstractNum w:abstractNumId="193">
    <w:nsid w:val="67906F60"/>
    <w:multiLevelType w:val="hybridMultilevel"/>
    <w:lvl w:ilvl="0">
      <w:lvlJc w:val="left"/>
      <w:lvlText w:val="%1."/>
      <w:numFmt w:val="decimal"/>
      <w:start w:val="13"/>
    </w:lvl>
  </w:abstractNum>
  <w:abstractNum w:abstractNumId="194">
    <w:nsid w:val="10DB9DAA"/>
    <w:multiLevelType w:val="hybridMultilevel"/>
    <w:lvl w:ilvl="0">
      <w:lvlJc w:val="left"/>
      <w:lvlText w:val="%1."/>
      <w:numFmt w:val="decimal"/>
      <w:start w:val="20"/>
    </w:lvl>
  </w:abstractNum>
  <w:abstractNum w:abstractNumId="195">
    <w:nsid w:val="697D2D2"/>
    <w:multiLevelType w:val="hybridMultilevel"/>
    <w:lvl w:ilvl="0">
      <w:lvlJc w:val="left"/>
      <w:lvlText w:val="%1."/>
      <w:numFmt w:val="decimal"/>
      <w:start w:val="27"/>
    </w:lvl>
  </w:abstractNum>
  <w:abstractNum w:abstractNumId="196">
    <w:nsid w:val="6D68AB2"/>
    <w:multiLevelType w:val="hybridMultilevel"/>
    <w:lvl w:ilvl="0">
      <w:lvlJc w:val="left"/>
      <w:lvlText w:val="●"/>
      <w:numFmt w:val="bullet"/>
      <w:start w:val="1"/>
    </w:lvl>
  </w:abstractNum>
  <w:abstractNum w:abstractNumId="197">
    <w:nsid w:val="3A966CD0"/>
    <w:multiLevelType w:val="hybridMultilevel"/>
    <w:lvl w:ilvl="0">
      <w:lvlJc w:val="left"/>
      <w:lvlText w:val="●"/>
      <w:numFmt w:val="bullet"/>
      <w:start w:val="1"/>
    </w:lvl>
  </w:abstractNum>
  <w:abstractNum w:abstractNumId="198">
    <w:nsid w:val="63F37E8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2020-08-31T08:26:48Z</dcterms:created>
  <dcterms:modified xsi:type="dcterms:W3CDTF">2020-08-31T08:26:48Z</dcterms:modified>
</cp:coreProperties>
</file>