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(Rule 13d-101)</w:t>
      </w:r>
    </w:p>
    <w:p>
      <w:pPr>
        <w:spacing w:after="0" w:line="19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4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Tango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87583X109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David A. Brown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Alston &amp; Bird LLP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950 F Street, N.W.</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Washington, DC 20004-1404</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202-239-3463</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August 10, 2021</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jc w:val="both"/>
        <w:ind w:left="4" w:right="38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p>
      <w:pPr>
        <w:ind w:left="4"/>
        <w:spacing w:after="0"/>
        <w:tabs>
          <w:tab w:leader="none" w:pos="50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71" w:lineRule="exact"/>
        <w:rPr>
          <w:sz w:val="20"/>
          <w:szCs w:val="20"/>
          <w:color w:val="auto"/>
        </w:rPr>
      </w:pP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03415"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BCTG Holdings, LLC</w:t>
      </w:r>
    </w:p>
    <w:p>
      <w:pPr>
        <w:spacing w:after="0" w:line="36"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6,988,450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6,988,450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90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24" w:right="3860" w:hanging="467"/>
        <w:spacing w:after="0" w:line="406" w:lineRule="auto"/>
        <w:tabs>
          <w:tab w:leader="none" w:pos="61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6,988,450</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260" w:hanging="467"/>
        <w:spacing w:after="0" w:line="402"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8.3%*</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664"/>
        <w:spacing w:after="0"/>
        <w:rPr>
          <w:sz w:val="20"/>
          <w:szCs w:val="20"/>
          <w:color w:val="auto"/>
        </w:rPr>
      </w:pPr>
      <w:r>
        <w:rPr>
          <w:rFonts w:ascii="Arial" w:cs="Arial" w:eastAsia="Arial" w:hAnsi="Arial"/>
          <w:sz w:val="18"/>
          <w:szCs w:val="18"/>
          <w:color w:val="auto"/>
        </w:rPr>
        <w:t>OO</w:t>
      </w:r>
    </w:p>
    <w:p>
      <w:pPr>
        <w:spacing w:after="0" w:line="279" w:lineRule="exact"/>
        <w:rPr>
          <w:sz w:val="20"/>
          <w:szCs w:val="20"/>
          <w:color w:val="auto"/>
        </w:rPr>
      </w:pPr>
    </w:p>
    <w:p>
      <w:pPr>
        <w:ind w:left="424" w:right="52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87,474,258 shares of the Issuer’s common stock outstanding as set forth in the Issuer’s Current Report on Form 8-K filed with the Securities and Exchange Commission on August 13, 2021.</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71"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Boxer Capital, LLC</w:t>
      </w:r>
    </w:p>
    <w:p>
      <w:pPr>
        <w:spacing w:after="0" w:line="36"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6,871,642</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90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6,871,642</w:t>
      </w:r>
    </w:p>
    <w:p>
      <w:pPr>
        <w:spacing w:after="0" w:line="36" w:lineRule="exact"/>
        <w:rPr>
          <w:sz w:val="20"/>
          <w:szCs w:val="20"/>
          <w:color w:val="auto"/>
        </w:rPr>
      </w:pPr>
    </w:p>
    <w:p>
      <w:pPr>
        <w:ind w:left="620" w:right="3860" w:hanging="467"/>
        <w:spacing w:after="0" w:line="406" w:lineRule="auto"/>
        <w:tabs>
          <w:tab w:leader="none" w:pos="6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6,871,642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8.1%*</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0" w:right="52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87,474,258 shares of the Issuer’s common stock outstanding as set forth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71" w:lineRule="exact"/>
        <w:rPr>
          <w:sz w:val="20"/>
          <w:szCs w:val="20"/>
          <w:color w:val="auto"/>
        </w:rPr>
      </w:pPr>
    </w:p>
    <w:p>
      <w:pPr>
        <w:ind w:left="620" w:hanging="37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Boxer Asset Management Inc.</w:t>
      </w:r>
    </w:p>
    <w:p>
      <w:pPr>
        <w:spacing w:after="0" w:line="36" w:lineRule="exact"/>
        <w:rPr>
          <w:sz w:val="20"/>
          <w:szCs w:val="20"/>
          <w:color w:val="auto"/>
        </w:rPr>
      </w:pPr>
    </w:p>
    <w:p>
      <w:pPr>
        <w:ind w:left="620" w:hanging="377"/>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Bahamas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6,871,642</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90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6,871,642</w:t>
      </w:r>
    </w:p>
    <w:p>
      <w:pPr>
        <w:spacing w:after="0" w:line="36" w:lineRule="exact"/>
        <w:rPr>
          <w:sz w:val="20"/>
          <w:szCs w:val="20"/>
          <w:color w:val="auto"/>
        </w:rPr>
      </w:pPr>
    </w:p>
    <w:p>
      <w:pPr>
        <w:ind w:left="620" w:right="3860" w:hanging="467"/>
        <w:spacing w:after="0" w:line="406" w:lineRule="auto"/>
        <w:tabs>
          <w:tab w:leader="none" w:pos="6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6,871,642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8.1%</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20" w:right="52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87,474,258 shares of the Issuer’s common stock outstanding as set forth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71" w:lineRule="exact"/>
        <w:rPr>
          <w:sz w:val="20"/>
          <w:szCs w:val="20"/>
          <w:color w:val="auto"/>
        </w:rPr>
      </w:pPr>
    </w:p>
    <w:p>
      <w:pPr>
        <w:ind w:left="620" w:hanging="377"/>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Joe Lewis</w:t>
      </w:r>
    </w:p>
    <w:p>
      <w:pPr>
        <w:spacing w:after="0" w:line="36" w:lineRule="exact"/>
        <w:rPr>
          <w:sz w:val="20"/>
          <w:szCs w:val="20"/>
          <w:color w:val="auto"/>
        </w:rPr>
      </w:pPr>
    </w:p>
    <w:p>
      <w:pPr>
        <w:ind w:left="620" w:hanging="377"/>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Kingdom</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6,871,642</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90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6,871,642</w:t>
      </w:r>
    </w:p>
    <w:p>
      <w:pPr>
        <w:spacing w:after="0" w:line="36" w:lineRule="exact"/>
        <w:rPr>
          <w:sz w:val="20"/>
          <w:szCs w:val="20"/>
          <w:color w:val="auto"/>
        </w:rPr>
      </w:pPr>
    </w:p>
    <w:p>
      <w:pPr>
        <w:ind w:left="620" w:right="3860" w:hanging="467"/>
        <w:spacing w:after="0" w:line="406" w:lineRule="auto"/>
        <w:tabs>
          <w:tab w:leader="none" w:pos="6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6,871,642</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8.1%*</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220" w:right="740" w:hanging="216"/>
        <w:spacing w:after="0" w:line="277" w:lineRule="auto"/>
        <w:rPr>
          <w:rFonts w:ascii="Arial" w:cs="Arial" w:eastAsia="Arial" w:hAnsi="Arial"/>
          <w:sz w:val="18"/>
          <w:szCs w:val="18"/>
          <w:color w:val="auto"/>
        </w:rPr>
      </w:pPr>
      <w:r>
        <w:rPr>
          <w:rFonts w:ascii="Arial" w:cs="Arial" w:eastAsia="Arial" w:hAnsi="Arial"/>
          <w:sz w:val="18"/>
          <w:szCs w:val="18"/>
          <w:color w:val="auto"/>
        </w:rPr>
        <w:t>* Based on 87,474,258 shares of the Issuer’s common stock outstanding as set forth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71" w:lineRule="exact"/>
        <w:rPr>
          <w:sz w:val="20"/>
          <w:szCs w:val="20"/>
          <w:color w:val="auto"/>
        </w:rPr>
      </w:pPr>
    </w:p>
    <w:p>
      <w:pPr>
        <w:ind w:left="620" w:hanging="377"/>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MVA Investors, LLC</w:t>
      </w:r>
    </w:p>
    <w:p>
      <w:pPr>
        <w:spacing w:after="0" w:line="36" w:lineRule="exact"/>
        <w:rPr>
          <w:sz w:val="20"/>
          <w:szCs w:val="20"/>
          <w:color w:val="auto"/>
        </w:rPr>
      </w:pPr>
    </w:p>
    <w:p>
      <w:pPr>
        <w:ind w:left="620" w:hanging="377"/>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06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101,524</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90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101,524</w:t>
      </w:r>
    </w:p>
    <w:p>
      <w:pPr>
        <w:spacing w:after="0" w:line="36" w:lineRule="exact"/>
        <w:rPr>
          <w:sz w:val="20"/>
          <w:szCs w:val="20"/>
          <w:color w:val="auto"/>
        </w:rPr>
      </w:pPr>
    </w:p>
    <w:p>
      <w:pPr>
        <w:ind w:left="620" w:right="3860" w:hanging="467"/>
        <w:spacing w:after="0" w:line="406" w:lineRule="auto"/>
        <w:tabs>
          <w:tab w:leader="none" w:pos="61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0.1%</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220" w:right="740" w:hanging="216"/>
        <w:spacing w:after="0" w:line="277" w:lineRule="auto"/>
        <w:rPr>
          <w:rFonts w:ascii="Arial" w:cs="Arial" w:eastAsia="Arial" w:hAnsi="Arial"/>
          <w:sz w:val="18"/>
          <w:szCs w:val="18"/>
          <w:color w:val="auto"/>
        </w:rPr>
      </w:pPr>
      <w:r>
        <w:rPr>
          <w:rFonts w:ascii="Arial" w:cs="Arial" w:eastAsia="Arial" w:hAnsi="Arial"/>
          <w:sz w:val="18"/>
          <w:szCs w:val="18"/>
          <w:color w:val="auto"/>
        </w:rPr>
        <w:t>* Based on 87,474,258 shares of the Issuer’s common stock outstanding as set forth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71" w:lineRule="exact"/>
        <w:rPr>
          <w:sz w:val="20"/>
          <w:szCs w:val="20"/>
          <w:color w:val="auto"/>
        </w:rPr>
      </w:pPr>
    </w:p>
    <w:p>
      <w:pPr>
        <w:ind w:left="620" w:hanging="37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Aaron I. Davis</w:t>
      </w:r>
    </w:p>
    <w:p>
      <w:pPr>
        <w:spacing w:after="0" w:line="36" w:lineRule="exact"/>
        <w:rPr>
          <w:sz w:val="20"/>
          <w:szCs w:val="20"/>
          <w:color w:val="auto"/>
        </w:rPr>
      </w:pPr>
    </w:p>
    <w:p>
      <w:pPr>
        <w:ind w:left="620" w:hanging="37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0" w:hanging="377"/>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19"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20" w:hanging="414"/>
        <w:spacing w:after="0"/>
        <w:tabs>
          <w:tab w:leader="none" w:pos="2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90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9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101,524</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9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90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906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101,524</w:t>
      </w:r>
    </w:p>
    <w:p>
      <w:pPr>
        <w:spacing w:after="0" w:line="36" w:lineRule="exact"/>
        <w:rPr>
          <w:sz w:val="20"/>
          <w:szCs w:val="20"/>
          <w:color w:val="auto"/>
        </w:rPr>
      </w:pPr>
    </w:p>
    <w:p>
      <w:pPr>
        <w:ind w:left="620" w:right="3860" w:hanging="467"/>
        <w:spacing w:after="0" w:line="406" w:lineRule="auto"/>
        <w:tabs>
          <w:tab w:leader="none" w:pos="61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101,524</w:t>
      </w:r>
    </w:p>
    <w:p>
      <w:pPr>
        <w:spacing w:after="0" w:line="1" w:lineRule="exact"/>
        <w:rPr>
          <w:rFonts w:ascii="Arial" w:cs="Arial" w:eastAsia="Arial" w:hAnsi="Arial"/>
          <w:sz w:val="18"/>
          <w:szCs w:val="18"/>
          <w:color w:val="auto"/>
        </w:rPr>
      </w:pPr>
    </w:p>
    <w:p>
      <w:pPr>
        <w:ind w:left="620" w:hanging="467"/>
        <w:spacing w:after="0"/>
        <w:tabs>
          <w:tab w:leader="none" w:pos="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0" w:hanging="467"/>
        <w:spacing w:after="0"/>
        <w:tabs>
          <w:tab w:leader="none" w:pos="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44"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0.1%</w:t>
      </w:r>
    </w:p>
    <w:p>
      <w:pPr>
        <w:spacing w:after="0" w:line="36" w:lineRule="exact"/>
        <w:rPr>
          <w:rFonts w:ascii="Arial" w:cs="Arial" w:eastAsia="Arial" w:hAnsi="Arial"/>
          <w:sz w:val="18"/>
          <w:szCs w:val="18"/>
          <w:color w:val="auto"/>
        </w:rPr>
      </w:pPr>
    </w:p>
    <w:p>
      <w:pPr>
        <w:ind w:left="600" w:hanging="447"/>
        <w:spacing w:after="0"/>
        <w:tabs>
          <w:tab w:leader="none" w:pos="6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220" w:right="740" w:hanging="216"/>
        <w:spacing w:after="0" w:line="277" w:lineRule="auto"/>
        <w:rPr>
          <w:rFonts w:ascii="Arial" w:cs="Arial" w:eastAsia="Arial" w:hAnsi="Arial"/>
          <w:sz w:val="18"/>
          <w:szCs w:val="18"/>
          <w:color w:val="auto"/>
        </w:rPr>
      </w:pPr>
      <w:r>
        <w:rPr>
          <w:rFonts w:ascii="Arial" w:cs="Arial" w:eastAsia="Arial" w:hAnsi="Arial"/>
          <w:sz w:val="18"/>
          <w:szCs w:val="18"/>
          <w:color w:val="auto"/>
        </w:rPr>
        <w:t>* Based on 87,474,258 shares of the Issuer’s common stock outstanding as set forth in the Issuer’s Current Report on Form 8-K filed with the Securities and Exchange Commission on August 13, 2021.</w:t>
      </w:r>
    </w:p>
    <w:p>
      <w:pPr>
        <w:sectPr>
          <w:pgSz w:w="11900" w:h="16838" w:orient="portrait"/>
          <w:cols w:equalWidth="0" w:num="1">
            <w:col w:w="11020"/>
          </w:cols>
          <w:pgMar w:left="440" w:top="274" w:right="439" w:bottom="1440" w:gutter="0" w:footer="0" w:header="0"/>
        </w:sectPr>
      </w:pPr>
    </w:p>
    <w:bookmarkStart w:id="7" w:name="page8"/>
    <w:bookmarkEnd w:id="7"/>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This Schedule 13D relates to the shares of common stock, $0.001 par value per share (the “Common Stock”), of Tango Therapeutics, Inc., a Delaware corporation (the “Issuer”). The principal executive office of the Issuer is located at 100 Binney Street, Suite 700, Cambridge MA, 02142.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right="620" w:firstLine="440"/>
        <w:spacing w:after="0" w:line="263" w:lineRule="auto"/>
        <w:rPr>
          <w:sz w:val="20"/>
          <w:szCs w:val="20"/>
          <w:color w:val="auto"/>
        </w:rPr>
      </w:pPr>
      <w:r>
        <w:rPr>
          <w:rFonts w:ascii="Arial" w:cs="Arial" w:eastAsia="Arial" w:hAnsi="Arial"/>
          <w:sz w:val="18"/>
          <w:szCs w:val="18"/>
          <w:color w:val="auto"/>
        </w:rPr>
        <w:t>This Schedule 13D is jointly filed by BCTG Holdings, LLC (“BCTG Holdings”), Boxer Capital, LLC, (“Boxer Capital”), Boxer Asset Management Inc. (“Boxer Management”), Joe Lewis, MVA Investors, LLC (“MVA Investors”) and Aaron I. Davis (collectively, the “Reporting Persons”).</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BCTG Holdings, a limited liability company organized under the laws of Delaware, is primarily involved in the business of investment in securities. BCTG Holdings is majority-owned by Boxer Capital and Aaron I. Davis is a manager of BCTG Holdings. The board of managers of BCTC Holdings has voting and dispositive power over securities owned by BCTG Holdings.</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Boxer Management, a corporation organized under the laws of the Bahamas, is the managing member and majority owner of Boxer Capital, a limited liability company organized under the laws of Delaware. Joe Lewis is the sole indirect owner of and controls Boxer Management. Each of Boxer Capital and Boxer Management are primarily engaged in the business of investing in securities. Joe Lewis is a citizen of the United Kingdom and his present principal occupation or employment is engaging in business as a private investor including through the investments of Boxer Capital.</w:t>
      </w:r>
    </w:p>
    <w:p>
      <w:pPr>
        <w:spacing w:after="0" w:line="15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MVA Investors, a limited liability company organized under the laws of Delaware, is the independent, personal investment vehicle of certain employees of Boxer Capital. MVA Investors is primarily engaged in the business of investment in securities. Aaron I. Davis, a citizen of the United States and the Chief Executive Officer of Boxer Capital, is a member of and has voting and dispositive power over securities held by MVA Investors. Aaron I. Davis is a member of the board of directors of the Issuer.</w:t>
      </w:r>
    </w:p>
    <w:p>
      <w:pPr>
        <w:spacing w:after="0" w:line="18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By virtue of these relationships and pursuant to the SEC’s beneficial ownership rules, the Reporting Persons may be deemed to be members of a group.</w:t>
      </w:r>
    </w:p>
    <w:p>
      <w:pPr>
        <w:spacing w:after="0" w:line="170"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address of each of BCTG Holdings, Boxer Capital, Boxer Management, MVA Investors and Aaron I. Davis for purposes of this filing is: 12860 El Camino Real, Suite 300, San Diego, CA 92130. The address of each of Boxer Management and Joe Lewis for purposes of this filing is: c/o Cay House, EP Taylor Drive N7776, Lyford Cay, New Providence, Bahamas.</w:t>
      </w:r>
    </w:p>
    <w:p>
      <w:pPr>
        <w:spacing w:after="0" w:line="184"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and incorporated herein by reference, is the (a) name, (b) residence or business address, (c) present principal occupation or employment and (d) citizenship, of each executive officer and director of each of BCTG Holdings, Boxer Capital, Boxer Management and MVA Investors, and (e) name of any corporation or other organization in which such occupation or employment is conducted, together with the principal business and address of any such corporation or organization other than BCTG Holdings, Boxer Capital, Boxer Management or MVA Investors.</w:t>
      </w:r>
    </w:p>
    <w:p>
      <w:pPr>
        <w:spacing w:after="0" w:line="15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Reporting Persons have not, during the past five years, (i) been convicted in a criminal proceeding (excluding traffic violations or similar misdemeanors)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a finding of any violation with respect to such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aggregate purchase price of the Common Stock purchased and currently owned by the Reporting Persons is $59,477,647. The source of the funding for the purchases of the Common Stock was the general working capital of each of BCTG Holdings, Boxer Capital and MVA Investors. The information set forth in Item 4 below is incorporated herein by reference.</w:t>
      </w:r>
    </w:p>
    <w:p>
      <w:pPr>
        <w:sectPr>
          <w:pgSz w:w="11900" w:h="16838" w:orient="portrait"/>
          <w:cols w:equalWidth="0" w:num="1">
            <w:col w:w="10980"/>
          </w:cols>
          <w:pgMar w:left="440" w:top="274" w:right="479" w:bottom="1440" w:gutter="0" w:footer="0" w:header="0"/>
        </w:sectPr>
      </w:pPr>
    </w:p>
    <w:bookmarkStart w:id="8" w:name="page9"/>
    <w:bookmarkEnd w:id="8"/>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On August 10, 2021, a subsidiary of BCTG Acquisition Corp. (“BCTG”), merged with Tango Therapeutics, Inc. (now known as Tango Therapeutics Sub, Inc.) (“Old Tango”), resulting in Old Tango surviving the merger as a wholly-owned subsidiary of BCTG and BCTG changing its name to Tango Therapeutics, Inc. (the “Merger”). The Reporting Persons acquired shares of Common Stock from BCTG in private placements and from the Issuer in a private placement in connection with the Merger. The Reporting Persons acquired their positions in the Common Stock for investment purposes. While the Reporting Persons do not have any current plans, proposals or agreements with respect to the shares of Common Stock except as otherwise disclosed herein, the Reporting Persons may, from time to time and at any time, acquire additional shares of Common Stock in the open market or otherwise and reserve the right to dispose of any or all of the shares of Common Stock in the open market or otherwise, at any time and from time to time, and to engage in any hedging or similar transactions with respect to the shares of Common Stock.</w:t>
      </w:r>
    </w:p>
    <w:p>
      <w:pPr>
        <w:spacing w:after="0" w:line="17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Except as described in this Schedule 13D, the Reporting Persons do not have any present plans or proposals that relate to or would result in any of the actions described in subparagraphs (a) through (j) of Item 4 of Schedule 13D, although, the Reporting Persons, at any time and from time to time, may review, reconsider and change their position and/or change their purpose and/or develop such plans and may seek to influence management or the board of directors of the Issuer with respect to the business and affairs of the Issuer and may from time to time consider pursuing or proposing such matters with advisors, the Issuer or other persons.</w:t>
      </w:r>
    </w:p>
    <w:p>
      <w:pPr>
        <w:spacing w:after="0" w:line="18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BCTG Holdings purchased 3,954,950 shares of Common Stock on August 5, 2020 for an aggregate purchase price of $22,970. In addition, BCTG Holdings purchased 533,500 shares of Common Stock on September 2, 2020 for an aggregate purchase price of $5,335,000 in connection with BCTG’s initial public offering and 2,500,000 shares of Common Stock for an aggregate purchase price of $25,000,000 in a PIPE transaction concurrently with the consummation of the Merger.</w:t>
      </w:r>
    </w:p>
    <w:p>
      <w:pPr>
        <w:spacing w:after="0" w:line="187"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Boxer Capital purchased (i) 2,859,634 shares of Common Stock on April 7, 2020 for an aggregate purchase price of $11,131,498, (ii) 1,152,374 shares of Common Stock on August 17, 2020 for an aggregate purchase price of $6,394,184, and (iii) 2,859,634 shares of Common Stock on March 11, 2021 for an aggregate purchase price of $11,131,498.</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MVA Investors purchased (i) 30,442 shares of Common Stock on April 7, 2020 for an aggregate purchase price of $118,499, (ii) 40,640 shares of Common Stock on August 17, 2020 for an aggregate purchase price of $225,499, and (iii) 30,442 shares of Common Stock on March 11, 2021 for an aggregate purchase price of $118,499.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All percentages are based on 87,474,258 shares of the Common Stock outstanding as set forth in the Issuer’s Current Report on Form 8-K filed with the Securities and Exchange Commission on August 13, 2021.</w:t>
      </w:r>
    </w:p>
    <w:p>
      <w:pPr>
        <w:spacing w:after="0" w:line="170" w:lineRule="exact"/>
        <w:rPr>
          <w:sz w:val="20"/>
          <w:szCs w:val="20"/>
          <w:color w:val="auto"/>
        </w:rPr>
      </w:pPr>
    </w:p>
    <w:p>
      <w:pPr>
        <w:ind w:right="100" w:firstLine="436"/>
        <w:spacing w:after="0" w:line="277" w:lineRule="auto"/>
        <w:tabs>
          <w:tab w:leader="none" w:pos="6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Reporting Persons may be deemed to beneficially own, in the aggregate, 13,961,616 shares of Common Stock, representing 16.5% of the outstanding shares of Common Stock.</w:t>
      </w:r>
    </w:p>
    <w:p>
      <w:pPr>
        <w:spacing w:after="0" w:line="170"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BCTG Holdings beneficially owns 6,988,450 shares of Common Stock which represents 8.3% of the outstanding Common Stock. Boxer Capital, Boxer Management and Joe Lewis beneficially own 6,871,642 shares of Common Stock which represents 8.1% of the outstanding Common Stock. MVA Investors and Aaron I. Davis beneficially own 101,524 shares of Common Stock which represents 0.1% of the outstanding Common Stock.</w:t>
      </w:r>
    </w:p>
    <w:p>
      <w:pPr>
        <w:spacing w:after="0" w:line="149" w:lineRule="exact"/>
        <w:rPr>
          <w:sz w:val="20"/>
          <w:szCs w:val="20"/>
          <w:color w:val="auto"/>
        </w:rPr>
      </w:pPr>
    </w:p>
    <w:p>
      <w:pPr>
        <w:ind w:right="60" w:firstLine="436"/>
        <w:spacing w:after="0" w:line="277"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any rights or powers to vote, or to direct the vote of, or to dispose of, or to direct the disposition of, the Common Stock owned by the Reporting Persons:</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 Sole power to vote or to direct the vote:</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BCTG Holdings has the sole power to vote or to direct the vote of the 6,988,450 shares of Common Stock it beneficially owns.</w:t>
      </w:r>
    </w:p>
    <w:p>
      <w:pPr>
        <w:sectPr>
          <w:pgSz w:w="11900" w:h="16838" w:orient="portrait"/>
          <w:cols w:equalWidth="0" w:num="1">
            <w:col w:w="10980"/>
          </w:cols>
          <w:pgMar w:left="440" w:top="274" w:right="479" w:bottom="1440" w:gutter="0" w:footer="0" w:header="0"/>
        </w:sectPr>
      </w:pPr>
    </w:p>
    <w:bookmarkStart w:id="9" w:name="page10"/>
    <w:bookmarkEnd w:id="9"/>
    <w:p>
      <w:pPr>
        <w:spacing w:after="0"/>
        <w:tabs>
          <w:tab w:leader="none" w:pos="5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87583X109</w:t>
      </w:r>
      <w:r>
        <w:rPr>
          <w:sz w:val="20"/>
          <w:szCs w:val="20"/>
          <w:color w:val="auto"/>
        </w:rPr>
        <w:tab/>
      </w:r>
      <w:r>
        <w:rPr>
          <w:rFonts w:ascii="Arial" w:cs="Arial" w:eastAsia="Arial" w:hAnsi="Arial"/>
          <w:sz w:val="16"/>
          <w:szCs w:val="16"/>
          <w:color w:val="auto"/>
        </w:rPr>
        <w:t>SCHEDULE 13D</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 Shared power to vote or to direct the vote:</w:t>
      </w:r>
    </w:p>
    <w:p>
      <w:pPr>
        <w:spacing w:after="0" w:line="117" w:lineRule="exact"/>
        <w:rPr>
          <w:sz w:val="20"/>
          <w:szCs w:val="20"/>
          <w:color w:val="auto"/>
        </w:rPr>
      </w:pPr>
    </w:p>
    <w:p>
      <w:pPr>
        <w:ind w:left="980" w:firstLine="401"/>
        <w:spacing w:after="0" w:line="263" w:lineRule="auto"/>
        <w:rPr>
          <w:sz w:val="20"/>
          <w:szCs w:val="20"/>
          <w:color w:val="auto"/>
        </w:rPr>
      </w:pPr>
      <w:r>
        <w:rPr>
          <w:rFonts w:ascii="Arial" w:cs="Arial" w:eastAsia="Arial" w:hAnsi="Arial"/>
          <w:sz w:val="18"/>
          <w:szCs w:val="18"/>
          <w:color w:val="auto"/>
        </w:rPr>
        <w:t>Boxer Capital, Boxer Management and Joe Lewis have shared power to vote or to direct the vote of the 6,871,642 shares of Common Stock they beneficially own. MVA Investors and Aaron I. Davis have shared power to vote or to direct the vote of the 101,524 shares of Common Stock they beneficially own.</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117" w:lineRule="exact"/>
        <w:rPr>
          <w:sz w:val="20"/>
          <w:szCs w:val="20"/>
          <w:color w:val="auto"/>
        </w:rPr>
      </w:pPr>
    </w:p>
    <w:p>
      <w:pPr>
        <w:ind w:left="980" w:right="220" w:firstLine="401"/>
        <w:spacing w:after="0" w:line="277" w:lineRule="auto"/>
        <w:rPr>
          <w:sz w:val="20"/>
          <w:szCs w:val="20"/>
          <w:color w:val="auto"/>
        </w:rPr>
      </w:pPr>
      <w:r>
        <w:rPr>
          <w:rFonts w:ascii="Arial" w:cs="Arial" w:eastAsia="Arial" w:hAnsi="Arial"/>
          <w:sz w:val="18"/>
          <w:szCs w:val="18"/>
          <w:color w:val="auto"/>
        </w:rPr>
        <w:t>BCTG Holdings has the sole power to dispose or to direct the disposition of the 6,988,450 shares of Common Stock it beneficially owns.</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17" w:lineRule="exact"/>
        <w:rPr>
          <w:sz w:val="20"/>
          <w:szCs w:val="20"/>
          <w:color w:val="auto"/>
        </w:rPr>
      </w:pPr>
    </w:p>
    <w:p>
      <w:pPr>
        <w:ind w:left="980" w:firstLine="401"/>
        <w:spacing w:after="0" w:line="263" w:lineRule="auto"/>
        <w:rPr>
          <w:sz w:val="20"/>
          <w:szCs w:val="20"/>
          <w:color w:val="auto"/>
        </w:rPr>
      </w:pPr>
      <w:r>
        <w:rPr>
          <w:rFonts w:ascii="Arial" w:cs="Arial" w:eastAsia="Arial" w:hAnsi="Arial"/>
          <w:sz w:val="18"/>
          <w:szCs w:val="18"/>
          <w:color w:val="auto"/>
        </w:rPr>
        <w:t>Boxer Capital, Boxer Management and Joe Lewis have shared power to dispose or to direct the disposition of the 6,871,642 shares of Common Stock they beneficially own. MVA Investors and Aaron I. Davis have shared power to vote or to direct the vote of the 101,524 shares of Common Stock they beneficially own.</w:t>
      </w:r>
    </w:p>
    <w:p>
      <w:pPr>
        <w:spacing w:after="0" w:line="184" w:lineRule="exact"/>
        <w:rPr>
          <w:sz w:val="20"/>
          <w:szCs w:val="20"/>
          <w:color w:val="auto"/>
        </w:rPr>
      </w:pPr>
    </w:p>
    <w:p>
      <w:pPr>
        <w:ind w:left="680" w:hanging="244"/>
        <w:spacing w:after="0"/>
        <w:tabs>
          <w:tab w:leader="none" w:pos="6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than as described herein, the Reporting Persons have not engaged in any transactions in the Common Stock in the past 60 days.</w:t>
      </w:r>
    </w:p>
    <w:p>
      <w:pPr>
        <w:spacing w:after="0" w:line="236" w:lineRule="exact"/>
        <w:rPr>
          <w:rFonts w:ascii="Arial" w:cs="Arial" w:eastAsia="Arial" w:hAnsi="Arial"/>
          <w:sz w:val="17"/>
          <w:szCs w:val="17"/>
          <w:color w:val="auto"/>
        </w:rPr>
      </w:pPr>
    </w:p>
    <w:p>
      <w:pPr>
        <w:ind w:left="700" w:hanging="264"/>
        <w:spacing w:after="0"/>
        <w:tabs>
          <w:tab w:leader="none" w:pos="7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other person has the right to receive or the power to direct the receipt of dividends, or proceeds of sale of such securities outlined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report.</w:t>
      </w:r>
    </w:p>
    <w:p>
      <w:pPr>
        <w:spacing w:after="0" w:line="210" w:lineRule="exact"/>
        <w:rPr>
          <w:rFonts w:ascii="Arial" w:cs="Arial" w:eastAsia="Arial" w:hAnsi="Arial"/>
          <w:sz w:val="16"/>
          <w:szCs w:val="16"/>
          <w:color w:val="auto"/>
        </w:rPr>
      </w:pPr>
    </w:p>
    <w:p>
      <w:pPr>
        <w:ind w:left="680" w:hanging="244"/>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Except as otherwise described herein,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5" w:lineRule="exact"/>
        <w:rPr>
          <w:sz w:val="20"/>
          <w:szCs w:val="20"/>
          <w:color w:val="auto"/>
        </w:rPr>
      </w:pPr>
    </w:p>
    <w:p>
      <w:pPr>
        <w:ind w:left="880" w:hanging="890"/>
        <w:spacing w:after="0" w:line="277" w:lineRule="auto"/>
        <w:tabs>
          <w:tab w:leader="none" w:pos="860" w:val="left"/>
        </w:tabs>
        <w:rPr>
          <w:sz w:val="20"/>
          <w:szCs w:val="20"/>
          <w:color w:val="auto"/>
        </w:rPr>
      </w:pPr>
      <w:r>
        <w:rPr>
          <w:rFonts w:ascii="Arial" w:cs="Arial" w:eastAsia="Arial" w:hAnsi="Arial"/>
          <w:sz w:val="18"/>
          <w:szCs w:val="18"/>
          <w:color w:val="auto"/>
        </w:rPr>
        <w:t>Exhibit 1</w:t>
        <w:tab/>
        <w:t>Joint Filing Agreement, dated August 20, 2021, among BCTG Holdings, Boxer Capital, Boxer Management, Joe Lewis, MVA Investors and Aaron I. Davis.</w:t>
      </w:r>
    </w:p>
    <w:p>
      <w:pPr>
        <w:sectPr>
          <w:pgSz w:w="11900" w:h="16838" w:orient="portrait"/>
          <w:cols w:equalWidth="0" w:num="1">
            <w:col w:w="11000"/>
          </w:cols>
          <w:pgMar w:left="440" w:top="274"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I.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BOXER CAPITAL,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I.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Jason Callender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Jason Callender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JOSEPH C. LEWIS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Joseph C. Lewis</w:t>
            </w:r>
          </w:p>
        </w:tc>
      </w:tr>
      <w:tr>
        <w:trPr>
          <w:trHeight w:val="224"/>
        </w:trPr>
        <w:tc>
          <w:tcPr>
            <w:tcW w:w="5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Joseph C. Lewis, Individually</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MVA INVESTORS,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I.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AARON I. DAVIS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224"/>
        </w:trPr>
        <w:tc>
          <w:tcPr>
            <w:tcW w:w="5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Aaron I. Davis, Individually</w:t>
            </w:r>
          </w:p>
        </w:tc>
      </w:tr>
    </w:tbl>
    <w:p>
      <w:pPr>
        <w:sectPr>
          <w:pgSz w:w="11900" w:h="16838" w:orient="portrait"/>
          <w:cols w:equalWidth="0" w:num="1">
            <w:col w:w="11020"/>
          </w:cols>
          <w:pgMar w:left="440" w:top="274"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CONCERNING THE REPORTING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managers of BCTG Holdings, LLC are set forth below. The individuals’ business addresses are 12860 El Camino Real, Suite 300, San Diego, CA 92130. Except as otherwise stated, the present principal occupation or employment set forth below opposite the name refers to employment with BCTG Holdings, LLC.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180" w:type="dxa"/>
            <w:vAlign w:val="bottom"/>
            <w:gridSpan w:val="3"/>
          </w:tcPr>
          <w:p>
            <w:pPr>
              <w:ind w:left="460"/>
              <w:spacing w:after="0"/>
              <w:rPr>
                <w:sz w:val="20"/>
                <w:szCs w:val="20"/>
                <w:color w:val="auto"/>
              </w:rPr>
            </w:pPr>
            <w:r>
              <w:rPr>
                <w:rFonts w:ascii="Arial" w:cs="Arial" w:eastAsia="Arial" w:hAnsi="Arial"/>
                <w:sz w:val="14"/>
                <w:szCs w:val="14"/>
                <w:b w:val="1"/>
                <w:bCs w:val="1"/>
                <w:color w:val="auto"/>
              </w:rPr>
              <w:t>Present Principal Occupation or Employment</w:t>
            </w:r>
          </w:p>
        </w:tc>
        <w:tc>
          <w:tcPr>
            <w:tcW w:w="176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Aaron</w:t>
            </w:r>
          </w:p>
        </w:tc>
        <w:tc>
          <w:tcPr>
            <w:tcW w:w="1720" w:type="dxa"/>
            <w:vAlign w:val="bottom"/>
          </w:tcPr>
          <w:p>
            <w:pPr>
              <w:ind w:left="140"/>
              <w:spacing w:after="0" w:line="189" w:lineRule="exact"/>
              <w:rPr>
                <w:sz w:val="20"/>
                <w:szCs w:val="20"/>
                <w:color w:val="auto"/>
              </w:rPr>
            </w:pPr>
            <w:r>
              <w:rPr>
                <w:rFonts w:ascii="Arial" w:cs="Arial" w:eastAsia="Arial" w:hAnsi="Arial"/>
                <w:sz w:val="18"/>
                <w:szCs w:val="18"/>
                <w:color w:val="auto"/>
              </w:rPr>
              <w:t>I. Davis</w:t>
            </w:r>
          </w:p>
        </w:tc>
        <w:tc>
          <w:tcPr>
            <w:tcW w:w="460" w:type="dxa"/>
            <w:vAlign w:val="bottom"/>
          </w:tcPr>
          <w:p>
            <w:pPr>
              <w:spacing w:after="0"/>
              <w:rPr>
                <w:sz w:val="16"/>
                <w:szCs w:val="16"/>
                <w:color w:val="auto"/>
              </w:rPr>
            </w:pPr>
          </w:p>
        </w:tc>
        <w:tc>
          <w:tcPr>
            <w:tcW w:w="6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Manager; Employee of Tavistock Life Sciences Company</w:t>
            </w:r>
          </w:p>
        </w:tc>
        <w:tc>
          <w:tcPr>
            <w:tcW w:w="12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United States</w:t>
            </w:r>
          </w:p>
        </w:tc>
      </w:tr>
      <w:tr>
        <w:trPr>
          <w:trHeight w:val="216"/>
        </w:trPr>
        <w:tc>
          <w:tcPr>
            <w:tcW w:w="208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Manager; Employee of Tavistock Life Sciences Company</w:t>
            </w:r>
          </w:p>
        </w:tc>
        <w:tc>
          <w:tcPr>
            <w:tcW w:w="17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Andrew Ellis</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Manager; Employee of Tavistock Life Sciences Company</w:t>
            </w:r>
          </w:p>
        </w:tc>
        <w:tc>
          <w:tcPr>
            <w:tcW w:w="1760" w:type="dxa"/>
            <w:vAlign w:val="bottom"/>
          </w:tcPr>
          <w:p>
            <w:pPr>
              <w:spacing w:after="0"/>
              <w:rPr>
                <w:sz w:val="20"/>
                <w:szCs w:val="20"/>
                <w:color w:val="auto"/>
              </w:rPr>
            </w:pPr>
            <w:r>
              <w:rPr>
                <w:rFonts w:ascii="Arial" w:cs="Arial" w:eastAsia="Arial" w:hAnsi="Arial"/>
                <w:sz w:val="18"/>
                <w:szCs w:val="18"/>
                <w:color w:val="auto"/>
              </w:rPr>
              <w:t>United States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BOXER CAPITAL, LLC</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executive officers and managers of Boxer Capital, LLC are set forth below. The individuals’ business addresses are 12860 El Camino Real, Suite 300, San Diego, CA 92130. Except as otherwise stated, the present principal occupation or employment set forth below opposite the name refers to employment with Boxer Capital, LLC.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140" w:type="dxa"/>
            <w:vAlign w:val="bottom"/>
            <w:gridSpan w:val="3"/>
          </w:tcPr>
          <w:p>
            <w:pPr>
              <w:ind w:left="420"/>
              <w:spacing w:after="0"/>
              <w:rPr>
                <w:sz w:val="20"/>
                <w:szCs w:val="20"/>
                <w:color w:val="auto"/>
              </w:rPr>
            </w:pPr>
            <w:r>
              <w:rPr>
                <w:rFonts w:ascii="Arial" w:cs="Arial" w:eastAsia="Arial" w:hAnsi="Arial"/>
                <w:sz w:val="14"/>
                <w:szCs w:val="14"/>
                <w:b w:val="1"/>
                <w:bCs w:val="1"/>
                <w:color w:val="auto"/>
              </w:rPr>
              <w:t>Present Principal Occupation or Employment</w:t>
            </w:r>
          </w:p>
        </w:tc>
        <w:tc>
          <w:tcPr>
            <w:tcW w:w="176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Aaron</w:t>
            </w:r>
          </w:p>
        </w:tc>
        <w:tc>
          <w:tcPr>
            <w:tcW w:w="1760" w:type="dxa"/>
            <w:vAlign w:val="bottom"/>
          </w:tcPr>
          <w:p>
            <w:pPr>
              <w:ind w:left="140"/>
              <w:spacing w:after="0" w:line="189" w:lineRule="exact"/>
              <w:rPr>
                <w:sz w:val="20"/>
                <w:szCs w:val="20"/>
                <w:color w:val="auto"/>
              </w:rPr>
            </w:pPr>
            <w:r>
              <w:rPr>
                <w:rFonts w:ascii="Arial" w:cs="Arial" w:eastAsia="Arial" w:hAnsi="Arial"/>
                <w:sz w:val="18"/>
                <w:szCs w:val="18"/>
                <w:color w:val="auto"/>
              </w:rPr>
              <w:t>I. Davis</w:t>
            </w:r>
          </w:p>
        </w:tc>
        <w:tc>
          <w:tcPr>
            <w:tcW w:w="420" w:type="dxa"/>
            <w:vAlign w:val="bottom"/>
          </w:tcPr>
          <w:p>
            <w:pPr>
              <w:spacing w:after="0"/>
              <w:rPr>
                <w:sz w:val="16"/>
                <w:szCs w:val="16"/>
                <w:color w:val="auto"/>
              </w:rPr>
            </w:pPr>
          </w:p>
        </w:tc>
        <w:tc>
          <w:tcPr>
            <w:tcW w:w="6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Member, Chief Executive Officer</w:t>
            </w:r>
          </w:p>
        </w:tc>
        <w:tc>
          <w:tcPr>
            <w:tcW w:w="12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United States</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Shehan B. Dissanayake</w:t>
            </w: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Member</w:t>
            </w:r>
          </w:p>
        </w:tc>
        <w:tc>
          <w:tcPr>
            <w:tcW w:w="17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Member</w:t>
            </w:r>
          </w:p>
        </w:tc>
        <w:tc>
          <w:tcPr>
            <w:tcW w:w="17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Boxer Management</w:t>
            </w: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Manager</w:t>
            </w:r>
          </w:p>
        </w:tc>
        <w:tc>
          <w:tcPr>
            <w:tcW w:w="1760" w:type="dxa"/>
            <w:vAlign w:val="bottom"/>
          </w:tcPr>
          <w:p>
            <w:pPr>
              <w:spacing w:after="0"/>
              <w:rPr>
                <w:sz w:val="20"/>
                <w:szCs w:val="20"/>
                <w:color w:val="auto"/>
              </w:rPr>
            </w:pPr>
            <w:r>
              <w:rPr>
                <w:rFonts w:ascii="Arial" w:cs="Arial" w:eastAsia="Arial" w:hAnsi="Arial"/>
                <w:sz w:val="18"/>
                <w:szCs w:val="18"/>
                <w:color w:val="auto"/>
              </w:rPr>
              <w:t>Bahamas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BOXER ASSET MANAGEMENT INC.</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The executive officers and directors of Boxer Asset Management Inc. are set forth below. Each individual’s business address is c/o Cay House, EP Taylor Drive N7776 Lyford Cay, New Providence, Bahamas. Except as otherwise stated, the present principal occupation or employment set forth below opposite the name of each person refers to employment with Boxer Asset Management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20" w:type="dxa"/>
            <w:vAlign w:val="bottom"/>
            <w:gridSpan w:val="3"/>
          </w:tcPr>
          <w:p>
            <w:pPr>
              <w:ind w:left="700"/>
              <w:spacing w:after="0"/>
              <w:rPr>
                <w:sz w:val="20"/>
                <w:szCs w:val="20"/>
                <w:color w:val="auto"/>
              </w:rPr>
            </w:pPr>
            <w:r>
              <w:rPr>
                <w:rFonts w:ascii="Arial" w:cs="Arial" w:eastAsia="Arial" w:hAnsi="Arial"/>
                <w:sz w:val="14"/>
                <w:szCs w:val="14"/>
                <w:b w:val="1"/>
                <w:bCs w:val="1"/>
                <w:color w:val="auto"/>
              </w:rPr>
              <w:t>Present Principal Occupation or Employment</w:t>
            </w:r>
          </w:p>
        </w:tc>
        <w:tc>
          <w:tcPr>
            <w:tcW w:w="176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Joe</w:t>
            </w:r>
          </w:p>
        </w:tc>
        <w:tc>
          <w:tcPr>
            <w:tcW w:w="1480" w:type="dxa"/>
            <w:vAlign w:val="bottom"/>
          </w:tcPr>
          <w:p>
            <w:pPr>
              <w:spacing w:after="0" w:line="189" w:lineRule="exact"/>
              <w:rPr>
                <w:sz w:val="20"/>
                <w:szCs w:val="20"/>
                <w:color w:val="auto"/>
              </w:rPr>
            </w:pPr>
            <w:r>
              <w:rPr>
                <w:rFonts w:ascii="Arial" w:cs="Arial" w:eastAsia="Arial" w:hAnsi="Arial"/>
                <w:sz w:val="18"/>
                <w:szCs w:val="18"/>
                <w:color w:val="auto"/>
              </w:rPr>
              <w:t>Lewis</w:t>
            </w:r>
          </w:p>
        </w:tc>
        <w:tc>
          <w:tcPr>
            <w:tcW w:w="700" w:type="dxa"/>
            <w:vAlign w:val="bottom"/>
          </w:tcPr>
          <w:p>
            <w:pPr>
              <w:spacing w:after="0"/>
              <w:rPr>
                <w:sz w:val="16"/>
                <w:szCs w:val="16"/>
                <w:color w:val="auto"/>
              </w:rPr>
            </w:pPr>
          </w:p>
        </w:tc>
        <w:tc>
          <w:tcPr>
            <w:tcW w:w="6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 President</w:t>
            </w:r>
          </w:p>
        </w:tc>
        <w:tc>
          <w:tcPr>
            <w:tcW w:w="12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United Kingdom</w:t>
            </w:r>
          </w:p>
        </w:tc>
      </w:tr>
      <w:tr>
        <w:trPr>
          <w:trHeight w:val="244"/>
        </w:trPr>
        <w:tc>
          <w:tcPr>
            <w:tcW w:w="1840" w:type="dxa"/>
            <w:vAlign w:val="bottom"/>
            <w:gridSpan w:val="2"/>
          </w:tcPr>
          <w:p>
            <w:pPr>
              <w:spacing w:after="0"/>
              <w:rPr>
                <w:sz w:val="20"/>
                <w:szCs w:val="20"/>
                <w:color w:val="auto"/>
              </w:rPr>
            </w:pPr>
            <w:r>
              <w:rPr>
                <w:rFonts w:ascii="Arial" w:cs="Arial" w:eastAsia="Arial" w:hAnsi="Arial"/>
                <w:sz w:val="18"/>
                <w:szCs w:val="18"/>
                <w:color w:val="auto"/>
              </w:rPr>
              <w:t>Jason Callender</w:t>
            </w:r>
          </w:p>
        </w:tc>
        <w:tc>
          <w:tcPr>
            <w:tcW w:w="7420" w:type="dxa"/>
            <w:vAlign w:val="bottom"/>
            <w:gridSpan w:val="3"/>
          </w:tcPr>
          <w:p>
            <w:pPr>
              <w:ind w:left="700"/>
              <w:spacing w:after="0"/>
              <w:rPr>
                <w:sz w:val="20"/>
                <w:szCs w:val="20"/>
                <w:color w:val="auto"/>
              </w:rPr>
            </w:pPr>
            <w:r>
              <w:rPr>
                <w:rFonts w:ascii="Arial" w:cs="Arial" w:eastAsia="Arial" w:hAnsi="Arial"/>
                <w:sz w:val="18"/>
                <w:szCs w:val="18"/>
                <w:color w:val="auto"/>
              </w:rPr>
              <w:t>Director, Vice President</w:t>
            </w:r>
          </w:p>
        </w:tc>
        <w:tc>
          <w:tcPr>
            <w:tcW w:w="1760" w:type="dxa"/>
            <w:vAlign w:val="bottom"/>
          </w:tcPr>
          <w:p>
            <w:pPr>
              <w:spacing w:after="0"/>
              <w:rPr>
                <w:sz w:val="20"/>
                <w:szCs w:val="20"/>
                <w:color w:val="auto"/>
              </w:rPr>
            </w:pPr>
            <w:r>
              <w:rPr>
                <w:rFonts w:ascii="Arial" w:cs="Arial" w:eastAsia="Arial" w:hAnsi="Arial"/>
                <w:sz w:val="18"/>
                <w:szCs w:val="18"/>
                <w:color w:val="auto"/>
              </w:rPr>
              <w:t>Bahamas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MVA INVESTORS, LLC</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executive officers and directors of MVA Investors, LLC are set forth below. The individuals’ business addresses are 12860 El Camino Real, Suite 300, San Diego, CA 92130. Except as otherwise stated, the present principal occupation or employment set forth below opposite the name refers to employment with MVA Investors, LLC.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140" w:type="dxa"/>
            <w:vAlign w:val="bottom"/>
            <w:gridSpan w:val="3"/>
          </w:tcPr>
          <w:p>
            <w:pPr>
              <w:ind w:left="420"/>
              <w:spacing w:after="0"/>
              <w:rPr>
                <w:sz w:val="20"/>
                <w:szCs w:val="20"/>
                <w:color w:val="auto"/>
              </w:rPr>
            </w:pPr>
            <w:r>
              <w:rPr>
                <w:rFonts w:ascii="Arial" w:cs="Arial" w:eastAsia="Arial" w:hAnsi="Arial"/>
                <w:sz w:val="14"/>
                <w:szCs w:val="14"/>
                <w:b w:val="1"/>
                <w:bCs w:val="1"/>
                <w:color w:val="auto"/>
              </w:rPr>
              <w:t>Present Principal Occupation or Employment</w:t>
            </w:r>
          </w:p>
        </w:tc>
        <w:tc>
          <w:tcPr>
            <w:tcW w:w="1760" w:type="dxa"/>
            <w:vAlign w:val="bottom"/>
          </w:tcPr>
          <w:p>
            <w:pPr>
              <w:spacing w:after="0"/>
              <w:rPr>
                <w:sz w:val="20"/>
                <w:szCs w:val="20"/>
                <w:color w:val="auto"/>
              </w:rPr>
            </w:pPr>
            <w:r>
              <w:rPr>
                <w:rFonts w:ascii="Arial" w:cs="Arial" w:eastAsia="Arial" w:hAnsi="Arial"/>
                <w:sz w:val="14"/>
                <w:szCs w:val="14"/>
                <w:b w:val="1"/>
                <w:bCs w:val="1"/>
                <w:color w:val="auto"/>
              </w:rPr>
              <w:t>Citizenship</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0"/>
              </w:rPr>
              <w:t>Aaron</w:t>
            </w:r>
          </w:p>
        </w:tc>
        <w:tc>
          <w:tcPr>
            <w:tcW w:w="1760" w:type="dxa"/>
            <w:vAlign w:val="bottom"/>
          </w:tcPr>
          <w:p>
            <w:pPr>
              <w:ind w:left="140"/>
              <w:spacing w:after="0" w:line="189" w:lineRule="exact"/>
              <w:rPr>
                <w:sz w:val="20"/>
                <w:szCs w:val="20"/>
                <w:color w:val="auto"/>
              </w:rPr>
            </w:pPr>
            <w:r>
              <w:rPr>
                <w:rFonts w:ascii="Arial" w:cs="Arial" w:eastAsia="Arial" w:hAnsi="Arial"/>
                <w:sz w:val="18"/>
                <w:szCs w:val="18"/>
                <w:color w:val="auto"/>
              </w:rPr>
              <w:t>I. Davis</w:t>
            </w:r>
          </w:p>
        </w:tc>
        <w:tc>
          <w:tcPr>
            <w:tcW w:w="420" w:type="dxa"/>
            <w:vAlign w:val="bottom"/>
          </w:tcPr>
          <w:p>
            <w:pPr>
              <w:spacing w:after="0"/>
              <w:rPr>
                <w:sz w:val="16"/>
                <w:szCs w:val="16"/>
                <w:color w:val="auto"/>
              </w:rPr>
            </w:pPr>
          </w:p>
        </w:tc>
        <w:tc>
          <w:tcPr>
            <w:tcW w:w="6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Member, Chief Executive Officer, Employee of Tavistock Life Sciences Company</w:t>
            </w:r>
          </w:p>
        </w:tc>
        <w:tc>
          <w:tcPr>
            <w:tcW w:w="120" w:type="dxa"/>
            <w:vAlign w:val="bottom"/>
          </w:tcPr>
          <w:p>
            <w:pPr>
              <w:spacing w:after="0"/>
              <w:rPr>
                <w:sz w:val="16"/>
                <w:szCs w:val="16"/>
                <w:color w:val="auto"/>
              </w:rPr>
            </w:pPr>
          </w:p>
        </w:tc>
        <w:tc>
          <w:tcPr>
            <w:tcW w:w="1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United States</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Christopher Fuglesang</w:t>
            </w: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Member, President, Employee of Tavistock Life Sciences Company</w:t>
            </w:r>
          </w:p>
        </w:tc>
        <w:tc>
          <w:tcPr>
            <w:tcW w:w="176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Shehan B. Dissanayake</w:t>
            </w:r>
          </w:p>
        </w:tc>
        <w:tc>
          <w:tcPr>
            <w:tcW w:w="7140" w:type="dxa"/>
            <w:vAlign w:val="bottom"/>
            <w:gridSpan w:val="3"/>
          </w:tcPr>
          <w:p>
            <w:pPr>
              <w:ind w:left="420"/>
              <w:spacing w:after="0"/>
              <w:rPr>
                <w:sz w:val="20"/>
                <w:szCs w:val="20"/>
                <w:color w:val="auto"/>
              </w:rPr>
            </w:pPr>
            <w:r>
              <w:rPr>
                <w:rFonts w:ascii="Arial" w:cs="Arial" w:eastAsia="Arial" w:hAnsi="Arial"/>
                <w:sz w:val="18"/>
                <w:szCs w:val="18"/>
                <w:color w:val="auto"/>
              </w:rPr>
              <w:t>Member, Manager, Employee of Tavistock Life Sciences Company</w:t>
            </w:r>
          </w:p>
        </w:tc>
        <w:tc>
          <w:tcPr>
            <w:tcW w:w="1760" w:type="dxa"/>
            <w:vAlign w:val="bottom"/>
          </w:tcPr>
          <w:p>
            <w:pPr>
              <w:spacing w:after="0"/>
              <w:rPr>
                <w:sz w:val="20"/>
                <w:szCs w:val="20"/>
                <w:color w:val="auto"/>
              </w:rPr>
            </w:pPr>
            <w:r>
              <w:rPr>
                <w:rFonts w:ascii="Arial" w:cs="Arial" w:eastAsia="Arial" w:hAnsi="Arial"/>
                <w:sz w:val="18"/>
                <w:szCs w:val="18"/>
                <w:color w:val="auto"/>
              </w:rPr>
              <w:t>United States</w:t>
            </w:r>
          </w:p>
        </w:tc>
      </w:tr>
    </w:tbl>
    <w:p>
      <w:pPr>
        <w:sectPr>
          <w:pgSz w:w="11900" w:h="16838" w:orient="portrait"/>
          <w:cols w:equalWidth="0" w:num="1">
            <w:col w:w="11020"/>
          </w:cols>
          <w:pgMar w:left="440" w:top="270" w:right="4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6" w:lineRule="exact"/>
        <w:rPr>
          <w:sz w:val="20"/>
          <w:szCs w:val="20"/>
          <w:color w:val="auto"/>
        </w:rPr>
      </w:pPr>
    </w:p>
    <w:p>
      <w:pPr>
        <w:ind w:left="1000" w:hanging="1106"/>
        <w:spacing w:after="0" w:line="277" w:lineRule="auto"/>
        <w:tabs>
          <w:tab w:leader="none" w:pos="9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Joint Filing Agreement, dated August 20, 2021, among BCTG Holdings, Boxer Capital, Boxer Management, Joe Lewis, MVA Investors and Aaron I. Davis.</w:t>
      </w:r>
    </w:p>
    <w:p>
      <w:pPr>
        <w:sectPr>
          <w:pgSz w:w="11900" w:h="16838" w:orient="portrait"/>
          <w:cols w:equalWidth="0" w:num="1">
            <w:col w:w="10820"/>
          </w:cols>
          <w:pgMar w:left="540" w:top="270" w:right="5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In accordance with Rule 13d-1(k)(1) under the Securities Exchange Act of 1934, as amended, the persons named below agree to the joint filing on behalf of each of them of a Statement on Schedule 13D and any amendments to it with respect to Common Stock, $0.001 par value per share, of Tango Therapeutics Inc. and further agree that this Joint Filing Agreement be included as an Exhibit to those joint filings. Each of the undersigned agrees to be responsible for the timely filing of the Schedule 13D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BCTG HOLDINGS,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I.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BOXER CAPITAL,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I.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Jason Callender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Jason Callender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JOSEPH C. LEWIS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Joseph C. Lewis</w:t>
            </w:r>
          </w:p>
        </w:tc>
      </w:tr>
      <w:tr>
        <w:trPr>
          <w:trHeight w:val="224"/>
        </w:trPr>
        <w:tc>
          <w:tcPr>
            <w:tcW w:w="5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Joseph C. Lewis, Individually</w:t>
            </w:r>
          </w:p>
        </w:tc>
      </w:tr>
      <w:tr>
        <w:trPr>
          <w:trHeight w:val="418"/>
        </w:trPr>
        <w:tc>
          <w:tcPr>
            <w:tcW w:w="4400" w:type="dxa"/>
            <w:vAlign w:val="bottom"/>
            <w:gridSpan w:val="2"/>
          </w:tcPr>
          <w:p>
            <w:pPr>
              <w:spacing w:after="0"/>
              <w:rPr>
                <w:sz w:val="20"/>
                <w:szCs w:val="20"/>
                <w:color w:val="auto"/>
              </w:rPr>
            </w:pPr>
            <w:r>
              <w:rPr>
                <w:rFonts w:ascii="Arial" w:cs="Arial" w:eastAsia="Arial" w:hAnsi="Arial"/>
                <w:sz w:val="18"/>
                <w:szCs w:val="18"/>
                <w:color w:val="auto"/>
              </w:rPr>
              <w:t>MVA INVESTORS,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I.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AARON I. DAVIS</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I. Davis</w:t>
            </w:r>
          </w:p>
        </w:tc>
      </w:tr>
      <w:tr>
        <w:trPr>
          <w:trHeight w:val="224"/>
        </w:trPr>
        <w:tc>
          <w:tcPr>
            <w:tcW w:w="5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Aaron I. Davis, Individually</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bullet"/>
      <w:start w:val="1"/>
    </w:lvl>
  </w:abstractNum>
  <w:abstractNum w:abstractNumId="2">
    <w:nsid w:val="4353D0CD"/>
    <w:multiLevelType w:val="hybridMultilevel"/>
    <w:lvl w:ilvl="0">
      <w:lvlJc w:val="left"/>
      <w:lvlText w:val="2"/>
      <w:numFmt w:val="bullet"/>
      <w:start w:val="1"/>
    </w:lvl>
  </w:abstractNum>
  <w:abstractNum w:abstractNumId="3">
    <w:nsid w:val="B03E0C6"/>
    <w:multiLevelType w:val="hybridMultilevel"/>
    <w:lvl w:ilvl="0">
      <w:lvlJc w:val="left"/>
      <w:lvlText w:val="3"/>
      <w:numFmt w:val="bullet"/>
      <w:start w:val="1"/>
    </w:lvl>
  </w:abstractNum>
  <w:abstractNum w:abstractNumId="4">
    <w:nsid w:val="189A769B"/>
    <w:multiLevelType w:val="hybridMultilevel"/>
    <w:lvl w:ilvl="0">
      <w:lvlJc w:val="left"/>
      <w:lvlText w:val="4"/>
      <w:numFmt w:val="bullet"/>
      <w:start w:val="1"/>
    </w:lvl>
  </w:abstractNum>
  <w:abstractNum w:abstractNumId="5">
    <w:nsid w:val="54E49EB4"/>
    <w:multiLevelType w:val="hybridMultilevel"/>
    <w:lvl w:ilvl="0">
      <w:lvlJc w:val="left"/>
      <w:lvlText w:val="5"/>
      <w:numFmt w:val="bullet"/>
      <w:start w:val="1"/>
    </w:lvl>
  </w:abstractNum>
  <w:abstractNum w:abstractNumId="6">
    <w:nsid w:val="71F32454"/>
    <w:multiLevelType w:val="hybridMultilevel"/>
    <w:lvl w:ilvl="0">
      <w:lvlJc w:val="left"/>
      <w:lvlText w:val="6"/>
      <w:numFmt w:val="bullet"/>
      <w:start w:val="1"/>
    </w:lvl>
  </w:abstractNum>
  <w:abstractNum w:abstractNumId="7">
    <w:nsid w:val="2CA88611"/>
    <w:multiLevelType w:val="hybridMultilevel"/>
    <w:lvl w:ilvl="0">
      <w:lvlJc w:val="left"/>
      <w:lvlText w:val="%1"/>
      <w:numFmt w:val="decimal"/>
      <w:start w:val="1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5"/>
      <w:numFmt w:val="bullet"/>
      <w:start w:val="1"/>
    </w:lvl>
  </w:abstractNum>
  <w:abstractNum w:abstractNumId="14">
    <w:nsid w:val="737B8DDC"/>
    <w:multiLevelType w:val="hybridMultilevel"/>
    <w:lvl w:ilvl="0">
      <w:lvlJc w:val="left"/>
      <w:lvlText w:val="6"/>
      <w:numFmt w:val="bullet"/>
      <w:start w:val="1"/>
    </w:lvl>
  </w:abstractNum>
  <w:abstractNum w:abstractNumId="15">
    <w:nsid w:val="6CEAF087"/>
    <w:multiLevelType w:val="hybridMultilevel"/>
    <w:lvl w:ilvl="0">
      <w:lvlJc w:val="left"/>
      <w:lvlText w:val="*"/>
      <w:numFmt w:val="bullet"/>
      <w:start w:val="1"/>
    </w:lvl>
    <w:lvl w:ilvl="1">
      <w:lvlJc w:val="left"/>
      <w:lvlText w:val="%2"/>
      <w:numFmt w:val="decimal"/>
      <w:start w:val="11"/>
    </w:lvl>
  </w:abstractNum>
  <w:abstractNum w:abstractNumId="16">
    <w:nsid w:val="22221A70"/>
    <w:multiLevelType w:val="hybridMultilevel"/>
    <w:lvl w:ilvl="0">
      <w:lvlJc w:val="left"/>
      <w:lvlText w:val="1"/>
      <w:numFmt w:val="bullet"/>
      <w:start w:val="1"/>
    </w:lvl>
  </w:abstractNum>
  <w:abstractNum w:abstractNumId="17">
    <w:nsid w:val="4516DDE9"/>
    <w:multiLevelType w:val="hybridMultilevel"/>
    <w:lvl w:ilvl="0">
      <w:lvlJc w:val="left"/>
      <w:lvlText w:val="2"/>
      <w:numFmt w:val="bullet"/>
      <w:start w:val="1"/>
    </w:lvl>
  </w:abstractNum>
  <w:abstractNum w:abstractNumId="18">
    <w:nsid w:val="3006C83E"/>
    <w:multiLevelType w:val="hybridMultilevel"/>
    <w:lvl w:ilvl="0">
      <w:lvlJc w:val="left"/>
      <w:lvlText w:val="3"/>
      <w:numFmt w:val="bullet"/>
      <w:start w:val="1"/>
    </w:lvl>
  </w:abstractNum>
  <w:abstractNum w:abstractNumId="19">
    <w:nsid w:val="614FD4A1"/>
    <w:multiLevelType w:val="hybridMultilevel"/>
    <w:lvl w:ilvl="0">
      <w:lvlJc w:val="left"/>
      <w:lvlText w:val="4"/>
      <w:numFmt w:val="bullet"/>
      <w:start w:val="1"/>
    </w:lvl>
  </w:abstractNum>
  <w:abstractNum w:abstractNumId="20">
    <w:nsid w:val="419AC241"/>
    <w:multiLevelType w:val="hybridMultilevel"/>
    <w:lvl w:ilvl="0">
      <w:lvlJc w:val="left"/>
      <w:lvlText w:val="5"/>
      <w:numFmt w:val="bullet"/>
      <w:start w:val="1"/>
    </w:lvl>
  </w:abstractNum>
  <w:abstractNum w:abstractNumId="21">
    <w:nsid w:val="5577F8E1"/>
    <w:multiLevelType w:val="hybridMultilevel"/>
    <w:lvl w:ilvl="0">
      <w:lvlJc w:val="left"/>
      <w:lvlText w:val="6"/>
      <w:numFmt w:val="bullet"/>
      <w:start w:val="1"/>
    </w:lvl>
  </w:abstractNum>
  <w:abstractNum w:abstractNumId="22">
    <w:nsid w:val="440BADFC"/>
    <w:multiLevelType w:val="hybridMultilevel"/>
    <w:lvl w:ilvl="0">
      <w:lvlJc w:val="left"/>
      <w:lvlText w:val="*"/>
      <w:numFmt w:val="bullet"/>
      <w:start w:val="1"/>
    </w:lvl>
    <w:lvl w:ilvl="1">
      <w:lvlJc w:val="left"/>
      <w:lvlText w:val="%2"/>
      <w:numFmt w:val="decimal"/>
      <w:start w:val="11"/>
    </w:lvl>
  </w:abstractNum>
  <w:abstractNum w:abstractNumId="23">
    <w:nsid w:val="5072367"/>
    <w:multiLevelType w:val="hybridMultilevel"/>
    <w:lvl w:ilvl="0">
      <w:lvlJc w:val="left"/>
      <w:lvlText w:val="1"/>
      <w:numFmt w:val="bullet"/>
      <w:start w:val="1"/>
    </w:lvl>
  </w:abstractNum>
  <w:abstractNum w:abstractNumId="24">
    <w:nsid w:val="3804823E"/>
    <w:multiLevelType w:val="hybridMultilevel"/>
    <w:lvl w:ilvl="0">
      <w:lvlJc w:val="left"/>
      <w:lvlText w:val="2"/>
      <w:numFmt w:val="bullet"/>
      <w:start w:val="1"/>
    </w:lvl>
  </w:abstractNum>
  <w:abstractNum w:abstractNumId="25">
    <w:nsid w:val="77465F01"/>
    <w:multiLevelType w:val="hybridMultilevel"/>
    <w:lvl w:ilvl="0">
      <w:lvlJc w:val="left"/>
      <w:lvlText w:val="3"/>
      <w:numFmt w:val="bullet"/>
      <w:start w:val="1"/>
    </w:lvl>
  </w:abstractNum>
  <w:abstractNum w:abstractNumId="26">
    <w:nsid w:val="7724C67E"/>
    <w:multiLevelType w:val="hybridMultilevel"/>
    <w:lvl w:ilvl="0">
      <w:lvlJc w:val="left"/>
      <w:lvlText w:val="4"/>
      <w:numFmt w:val="bullet"/>
      <w:start w:val="1"/>
    </w:lvl>
  </w:abstractNum>
  <w:abstractNum w:abstractNumId="27">
    <w:nsid w:val="5C482A97"/>
    <w:multiLevelType w:val="hybridMultilevel"/>
    <w:lvl w:ilvl="0">
      <w:lvlJc w:val="left"/>
      <w:lvlText w:val="5"/>
      <w:numFmt w:val="bullet"/>
      <w:start w:val="1"/>
    </w:lvl>
  </w:abstractNum>
  <w:abstractNum w:abstractNumId="28">
    <w:nsid w:val="2463B9EA"/>
    <w:multiLevelType w:val="hybridMultilevel"/>
    <w:lvl w:ilvl="0">
      <w:lvlJc w:val="left"/>
      <w:lvlText w:val="6"/>
      <w:numFmt w:val="bullet"/>
      <w:start w:val="1"/>
    </w:lvl>
  </w:abstractNum>
  <w:abstractNum w:abstractNumId="29">
    <w:nsid w:val="5E884ADC"/>
    <w:multiLevelType w:val="hybridMultilevel"/>
    <w:lvl w:ilvl="0">
      <w:lvlJc w:val="left"/>
      <w:lvlText w:val="*"/>
      <w:numFmt w:val="bullet"/>
      <w:start w:val="1"/>
    </w:lvl>
    <w:lvl w:ilvl="1">
      <w:lvlJc w:val="left"/>
      <w:lvlText w:val="%2"/>
      <w:numFmt w:val="decimal"/>
      <w:start w:val="11"/>
    </w:lvl>
  </w:abstractNum>
  <w:abstractNum w:abstractNumId="30">
    <w:nsid w:val="51EAD36B"/>
    <w:multiLevelType w:val="hybridMultilevel"/>
    <w:lvl w:ilvl="0">
      <w:lvlJc w:val="left"/>
      <w:lvlText w:val="1"/>
      <w:numFmt w:val="bullet"/>
      <w:start w:val="1"/>
    </w:lvl>
  </w:abstractNum>
  <w:abstractNum w:abstractNumId="31">
    <w:nsid w:val="2D517796"/>
    <w:multiLevelType w:val="hybridMultilevel"/>
    <w:lvl w:ilvl="0">
      <w:lvlJc w:val="left"/>
      <w:lvlText w:val="2"/>
      <w:numFmt w:val="bullet"/>
      <w:start w:val="1"/>
    </w:lvl>
  </w:abstractNum>
  <w:abstractNum w:abstractNumId="32">
    <w:nsid w:val="580BD78F"/>
    <w:multiLevelType w:val="hybridMultilevel"/>
    <w:lvl w:ilvl="0">
      <w:lvlJc w:val="left"/>
      <w:lvlText w:val="3"/>
      <w:numFmt w:val="bullet"/>
      <w:start w:val="1"/>
    </w:lvl>
  </w:abstractNum>
  <w:abstractNum w:abstractNumId="33">
    <w:nsid w:val="153EA438"/>
    <w:multiLevelType w:val="hybridMultilevel"/>
    <w:lvl w:ilvl="0">
      <w:lvlJc w:val="left"/>
      <w:lvlText w:val="4"/>
      <w:numFmt w:val="bullet"/>
      <w:start w:val="1"/>
    </w:lvl>
  </w:abstractNum>
  <w:abstractNum w:abstractNumId="34">
    <w:nsid w:val="3855585C"/>
    <w:multiLevelType w:val="hybridMultilevel"/>
    <w:lvl w:ilvl="0">
      <w:lvlJc w:val="left"/>
      <w:lvlText w:val="5"/>
      <w:numFmt w:val="bullet"/>
      <w:start w:val="1"/>
    </w:lvl>
  </w:abstractNum>
  <w:abstractNum w:abstractNumId="35">
    <w:nsid w:val="70A64E2A"/>
    <w:multiLevelType w:val="hybridMultilevel"/>
    <w:lvl w:ilvl="0">
      <w:lvlJc w:val="left"/>
      <w:lvlText w:val="6"/>
      <w:numFmt w:val="bullet"/>
      <w:start w:val="1"/>
    </w:lvl>
  </w:abstractNum>
  <w:abstractNum w:abstractNumId="36">
    <w:nsid w:val="6A2342EC"/>
    <w:multiLevelType w:val="hybridMultilevel"/>
    <w:lvl w:ilvl="0">
      <w:lvlJc w:val="left"/>
      <w:lvlText w:val="*"/>
      <w:numFmt w:val="bullet"/>
      <w:start w:val="1"/>
    </w:lvl>
    <w:lvl w:ilvl="1">
      <w:lvlJc w:val="left"/>
      <w:lvlText w:val="%2"/>
      <w:numFmt w:val="decimal"/>
      <w:start w:val="11"/>
    </w:lvl>
  </w:abstractNum>
  <w:abstractNum w:abstractNumId="37">
    <w:nsid w:val="2A487CB0"/>
    <w:multiLevelType w:val="hybridMultilevel"/>
    <w:lvl w:ilvl="0">
      <w:lvlJc w:val="left"/>
      <w:lvlText w:val="1"/>
      <w:numFmt w:val="bullet"/>
      <w:start w:val="1"/>
    </w:lvl>
  </w:abstractNum>
  <w:abstractNum w:abstractNumId="38">
    <w:nsid w:val="1D4ED43B"/>
    <w:multiLevelType w:val="hybridMultilevel"/>
    <w:lvl w:ilvl="0">
      <w:lvlJc w:val="left"/>
      <w:lvlText w:val="2"/>
      <w:numFmt w:val="bullet"/>
      <w:start w:val="1"/>
    </w:lvl>
  </w:abstractNum>
  <w:abstractNum w:abstractNumId="39">
    <w:nsid w:val="725A06FB"/>
    <w:multiLevelType w:val="hybridMultilevel"/>
    <w:lvl w:ilvl="0">
      <w:lvlJc w:val="left"/>
      <w:lvlText w:val="3"/>
      <w:numFmt w:val="bullet"/>
      <w:start w:val="1"/>
    </w:lvl>
  </w:abstractNum>
  <w:abstractNum w:abstractNumId="40">
    <w:nsid w:val="2CD89A32"/>
    <w:multiLevelType w:val="hybridMultilevel"/>
    <w:lvl w:ilvl="0">
      <w:lvlJc w:val="left"/>
      <w:lvlText w:val="4"/>
      <w:numFmt w:val="bullet"/>
      <w:start w:val="1"/>
    </w:lvl>
  </w:abstractNum>
  <w:abstractNum w:abstractNumId="41">
    <w:nsid w:val="57E4CCAF"/>
    <w:multiLevelType w:val="hybridMultilevel"/>
    <w:lvl w:ilvl="0">
      <w:lvlJc w:val="left"/>
      <w:lvlText w:val="5"/>
      <w:numFmt w:val="bullet"/>
      <w:start w:val="1"/>
    </w:lvl>
  </w:abstractNum>
  <w:abstractNum w:abstractNumId="42">
    <w:nsid w:val="7A6D8D3C"/>
    <w:multiLevelType w:val="hybridMultilevel"/>
    <w:lvl w:ilvl="0">
      <w:lvlJc w:val="left"/>
      <w:lvlText w:val="6"/>
      <w:numFmt w:val="bullet"/>
      <w:start w:val="1"/>
    </w:lvl>
  </w:abstractNum>
  <w:abstractNum w:abstractNumId="43">
    <w:nsid w:val="4B588F54"/>
    <w:multiLevelType w:val="hybridMultilevel"/>
    <w:lvl w:ilvl="0">
      <w:lvlJc w:val="left"/>
      <w:lvlText w:val="7"/>
      <w:numFmt w:val="bullet"/>
      <w:start w:val="1"/>
    </w:lvl>
  </w:abstractNum>
  <w:abstractNum w:abstractNumId="44">
    <w:nsid w:val="542289EC"/>
    <w:multiLevelType w:val="hybridMultilevel"/>
    <w:lvl w:ilvl="0">
      <w:lvlJc w:val="left"/>
      <w:lvlText w:val="*"/>
      <w:numFmt w:val="bullet"/>
      <w:start w:val="1"/>
    </w:lvl>
    <w:lvl w:ilvl="1">
      <w:lvlJc w:val="left"/>
      <w:lvlText w:val="%2"/>
      <w:numFmt w:val="decimal"/>
      <w:start w:val="1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lowerLetter"/>
      <w:start w:val="2"/>
    </w:lvl>
  </w:abstractNum>
  <w:abstractNum w:abstractNumId="47">
    <w:nsid w:val="7644A45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2021-08-20T15:37:39Z</dcterms:created>
  <dcterms:modified xsi:type="dcterms:W3CDTF">2021-08-20T15:37:39Z</dcterms:modified>
</cp:coreProperties>
</file>