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ind w:left="860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333-291684</w:t>
      </w:r>
    </w:p>
    <w:p>
      <w:pPr>
        <w:spacing w:after="0" w:line="139" w:lineRule="exact"/>
        <w:rPr>
          <w:sz w:val="24"/>
          <w:szCs w:val="24"/>
          <w:color w:val="auto"/>
        </w:rPr>
      </w:pPr>
    </w:p>
    <w:p>
      <w:pPr>
        <w:ind w:left="120" w:right="220"/>
        <w:spacing w:after="0" w:line="250" w:lineRule="auto"/>
        <w:rPr>
          <w:sz w:val="20"/>
          <w:szCs w:val="20"/>
          <w:color w:val="auto"/>
        </w:rPr>
      </w:pPr>
      <w:r>
        <w:rPr>
          <w:rFonts w:ascii="Arial" w:cs="Arial" w:eastAsia="Arial" w:hAnsi="Arial"/>
          <w:sz w:val="18"/>
          <w:szCs w:val="18"/>
          <w:b w:val="1"/>
          <w:bCs w:val="1"/>
          <w:color w:val="8B3F4E"/>
        </w:rPr>
        <w:t>The information in this preliminary prospectus supplement is not complete and may be changed. A registration statement relating to these securities has been filed with the Securities and Exchange Commission and is effective. This preliminary prospectus supplement and the accompanying prospectus are not an offer to sell these securities and we are not soliciting an offer to buy these securities in any jurisdiction where the offer or sale is not permitted.</w:t>
      </w:r>
    </w:p>
    <w:p>
      <w:pPr>
        <w:spacing w:after="0" w:line="91" w:lineRule="exact"/>
        <w:rPr>
          <w:sz w:val="24"/>
          <w:szCs w:val="24"/>
          <w:color w:val="auto"/>
        </w:rPr>
      </w:pPr>
    </w:p>
    <w:p>
      <w:pPr>
        <w:ind w:left="120"/>
        <w:spacing w:after="0"/>
        <w:rPr>
          <w:sz w:val="20"/>
          <w:szCs w:val="20"/>
          <w:color w:val="auto"/>
        </w:rPr>
      </w:pPr>
      <w:r>
        <w:rPr>
          <w:rFonts w:ascii="Arial" w:cs="Arial" w:eastAsia="Arial" w:hAnsi="Arial"/>
          <w:sz w:val="20"/>
          <w:szCs w:val="20"/>
          <w:b w:val="1"/>
          <w:bCs w:val="1"/>
          <w:color w:val="8B3F4E"/>
        </w:rPr>
        <w:t>Subject to completion, dated June 8, 2026</w:t>
      </w:r>
    </w:p>
    <w:p>
      <w:pPr>
        <w:spacing w:after="0" w:line="130" w:lineRule="exact"/>
        <w:rPr>
          <w:sz w:val="24"/>
          <w:szCs w:val="24"/>
          <w:color w:val="auto"/>
        </w:rPr>
      </w:pPr>
    </w:p>
    <w:p>
      <w:pPr>
        <w:ind w:left="120"/>
        <w:spacing w:after="0"/>
        <w:rPr>
          <w:sz w:val="20"/>
          <w:szCs w:val="20"/>
          <w:color w:val="auto"/>
        </w:rPr>
      </w:pPr>
      <w:r>
        <w:rPr>
          <w:rFonts w:ascii="Arial" w:cs="Arial" w:eastAsia="Arial" w:hAnsi="Arial"/>
          <w:sz w:val="22"/>
          <w:szCs w:val="22"/>
          <w:b w:val="1"/>
          <w:bCs w:val="1"/>
          <w:color w:val="auto"/>
        </w:rPr>
        <w:t>Preliminary prospectus supplement</w:t>
      </w:r>
    </w:p>
    <w:p>
      <w:pPr>
        <w:spacing w:after="0" w:line="12" w:lineRule="exact"/>
        <w:rPr>
          <w:sz w:val="24"/>
          <w:szCs w:val="24"/>
          <w:color w:val="auto"/>
        </w:rPr>
      </w:pPr>
    </w:p>
    <w:p>
      <w:pPr>
        <w:ind w:left="120"/>
        <w:spacing w:after="0"/>
        <w:rPr>
          <w:sz w:val="20"/>
          <w:szCs w:val="20"/>
          <w:color w:val="auto"/>
        </w:rPr>
      </w:pPr>
      <w:r>
        <w:rPr>
          <w:rFonts w:ascii="Arial" w:cs="Arial" w:eastAsia="Arial" w:hAnsi="Arial"/>
          <w:sz w:val="22"/>
          <w:szCs w:val="22"/>
          <w:b w:val="1"/>
          <w:bCs w:val="1"/>
          <w:color w:val="auto"/>
        </w:rPr>
        <w:t>(to Prospectus dated November 21, 2025)</w:t>
      </w:r>
    </w:p>
    <w:p>
      <w:pPr>
        <w:spacing w:after="0" w:line="119" w:lineRule="exact"/>
        <w:rPr>
          <w:sz w:val="24"/>
          <w:szCs w:val="24"/>
          <w:color w:val="auto"/>
        </w:rPr>
      </w:pPr>
    </w:p>
    <w:p>
      <w:pPr>
        <w:ind w:left="120"/>
        <w:spacing w:after="0"/>
        <w:rPr>
          <w:sz w:val="20"/>
          <w:szCs w:val="20"/>
          <w:color w:val="auto"/>
        </w:rPr>
      </w:pPr>
      <w:r>
        <w:rPr>
          <w:rFonts w:ascii="Arial" w:cs="Arial" w:eastAsia="Arial" w:hAnsi="Arial"/>
          <w:sz w:val="32"/>
          <w:szCs w:val="32"/>
          <w:b w:val="1"/>
          <w:bCs w:val="1"/>
          <w:i w:val="1"/>
          <w:iCs w:val="1"/>
          <w:color w:val="auto"/>
        </w:rPr>
        <w:t>$500,000,000</w:t>
      </w:r>
    </w:p>
    <w:p>
      <w:pPr>
        <w:spacing w:after="0" w:line="145" w:lineRule="exact"/>
        <w:rPr>
          <w:sz w:val="24"/>
          <w:szCs w:val="24"/>
          <w:color w:val="auto"/>
        </w:rPr>
      </w:pPr>
    </w:p>
    <w:p>
      <w:pPr>
        <w:ind w:left="120"/>
        <w:spacing w:after="0"/>
        <w:rPr>
          <w:sz w:val="20"/>
          <w:szCs w:val="20"/>
          <w:color w:val="auto"/>
        </w:rPr>
      </w:pPr>
      <w:r>
        <w:rPr>
          <w:rFonts w:ascii="Arial" w:cs="Arial" w:eastAsia="Arial" w:hAnsi="Arial"/>
          <w:sz w:val="32"/>
          <w:szCs w:val="32"/>
          <w:b w:val="1"/>
          <w:bCs w:val="1"/>
          <w:i w:val="1"/>
          <w:iCs w:val="1"/>
          <w:color w:val="auto"/>
        </w:rPr>
        <w:t>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117475</wp:posOffset>
            </wp:positionV>
            <wp:extent cx="2271395" cy="685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71395"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ind w:left="120" w:right="780"/>
        <w:spacing w:after="0" w:line="271" w:lineRule="auto"/>
        <w:rPr>
          <w:sz w:val="20"/>
          <w:szCs w:val="20"/>
          <w:color w:val="auto"/>
        </w:rPr>
      </w:pPr>
      <w:r>
        <w:rPr>
          <w:rFonts w:ascii="Arial" w:cs="Arial" w:eastAsia="Arial" w:hAnsi="Arial"/>
          <w:sz w:val="18"/>
          <w:szCs w:val="18"/>
          <w:color w:val="auto"/>
        </w:rPr>
        <w:t>We are offering $500,000,000 of shares of our common stock, par value $0.001 per share, or the common stock, pursuant to this prospectus supplement and the accompanying prospectus.</w:t>
      </w:r>
    </w:p>
    <w:p>
      <w:pPr>
        <w:spacing w:after="0" w:line="73" w:lineRule="exact"/>
        <w:rPr>
          <w:sz w:val="24"/>
          <w:szCs w:val="24"/>
          <w:color w:val="auto"/>
        </w:rPr>
      </w:pPr>
    </w:p>
    <w:p>
      <w:pPr>
        <w:ind w:left="120" w:right="200"/>
        <w:spacing w:after="0" w:line="271" w:lineRule="auto"/>
        <w:rPr>
          <w:sz w:val="20"/>
          <w:szCs w:val="20"/>
          <w:color w:val="auto"/>
        </w:rPr>
      </w:pPr>
      <w:r>
        <w:rPr>
          <w:rFonts w:ascii="Arial" w:cs="Arial" w:eastAsia="Arial" w:hAnsi="Arial"/>
          <w:sz w:val="18"/>
          <w:szCs w:val="18"/>
          <w:color w:val="auto"/>
        </w:rPr>
        <w:t>Our common stock is listed on The Nasdaq Global Market, or Nasdaq, under the symbol “TNGX”. The last sale price as reported on The Nasdaq Global Market on June 5, 2026, was $20.22 per share.</w:t>
      </w:r>
    </w:p>
    <w:p>
      <w:pPr>
        <w:spacing w:after="0" w:line="86" w:lineRule="exact"/>
        <w:rPr>
          <w:sz w:val="24"/>
          <w:szCs w:val="24"/>
          <w:color w:val="auto"/>
        </w:rPr>
      </w:pPr>
    </w:p>
    <w:p>
      <w:pPr>
        <w:ind w:left="120" w:right="60"/>
        <w:spacing w:after="0" w:line="257" w:lineRule="auto"/>
        <w:rPr>
          <w:sz w:val="20"/>
          <w:szCs w:val="20"/>
          <w:color w:val="auto"/>
        </w:rPr>
      </w:pPr>
      <w:r>
        <w:rPr>
          <w:rFonts w:ascii="Arial" w:cs="Arial" w:eastAsia="Arial" w:hAnsi="Arial"/>
          <w:sz w:val="18"/>
          <w:szCs w:val="18"/>
          <w:b w:val="1"/>
          <w:bCs w:val="1"/>
          <w:color w:val="auto"/>
        </w:rPr>
        <w:t>Investing in our common stock involves risks. See “</w:t>
      </w:r>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color w:val="auto"/>
        </w:rPr>
        <w:t>” on page S-8 of this prospectus supplement, and under similar headings in other documents filed after the date hereof and incorporated by reference into this prospectus supplement and the accompanying prospectus.</w:t>
      </w:r>
    </w:p>
    <w:p>
      <w:pPr>
        <w:spacing w:after="0" w:line="91" w:lineRule="exact"/>
        <w:rPr>
          <w:sz w:val="24"/>
          <w:szCs w:val="24"/>
          <w:color w:val="auto"/>
        </w:rPr>
      </w:pPr>
    </w:p>
    <w:p>
      <w:pPr>
        <w:ind w:left="120" w:right="80"/>
        <w:spacing w:after="0" w:line="257" w:lineRule="auto"/>
        <w:rPr>
          <w:sz w:val="20"/>
          <w:szCs w:val="20"/>
          <w:color w:val="auto"/>
        </w:rPr>
      </w:pPr>
      <w:r>
        <w:rPr>
          <w:rFonts w:ascii="Arial" w:cs="Arial" w:eastAsia="Arial" w:hAnsi="Arial"/>
          <w:sz w:val="18"/>
          <w:szCs w:val="18"/>
          <w:b w:val="1"/>
          <w:bCs w:val="1"/>
          <w:color w:val="auto"/>
        </w:rPr>
        <w:t>Neither the Securities and Exchange Commission,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4"/>
          <w:szCs w:val="24"/>
          <w:color w:val="auto"/>
        </w:rPr>
      </w:pPr>
    </w:p>
    <w:tbl>
      <w:tblPr>
        <w:tblLayout w:type="fixed"/>
        <w:tblInd w:w="120" w:type="dxa"/>
        <w:tblCellMar>
          <w:top w:w="0" w:type="dxa"/>
          <w:left w:w="0" w:type="dxa"/>
          <w:bottom w:w="0" w:type="dxa"/>
          <w:right w:w="0" w:type="dxa"/>
        </w:tblCellMar>
      </w:tblPr>
      <w:tr>
        <w:trPr>
          <w:trHeight w:val="203"/>
        </w:trPr>
        <w:tc>
          <w:tcPr>
            <w:tcW w:w="600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tcPr>
          <w:p>
            <w:pPr>
              <w:ind w:left="2560"/>
              <w:spacing w:after="0"/>
              <w:rPr>
                <w:sz w:val="20"/>
                <w:szCs w:val="20"/>
                <w:color w:val="auto"/>
              </w:rPr>
            </w:pPr>
            <w:r>
              <w:rPr>
                <w:rFonts w:ascii="Arial" w:cs="Arial" w:eastAsia="Arial" w:hAnsi="Arial"/>
                <w:sz w:val="16"/>
                <w:szCs w:val="16"/>
                <w:b w:val="1"/>
                <w:bCs w:val="1"/>
                <w:color w:val="auto"/>
              </w:rPr>
              <w:t>Per share</w:t>
            </w:r>
          </w:p>
        </w:tc>
        <w:tc>
          <w:tcPr>
            <w:tcW w:w="1360" w:type="dxa"/>
            <w:vAlign w:val="bottom"/>
            <w:tcBorders>
              <w:bottom w:val="single" w:sz="8" w:color="auto"/>
            </w:tcBorders>
            <w:gridSpan w:val="2"/>
          </w:tcPr>
          <w:p>
            <w:pPr>
              <w:ind w:left="320"/>
              <w:spacing w:after="0"/>
              <w:rPr>
                <w:sz w:val="20"/>
                <w:szCs w:val="20"/>
                <w:color w:val="auto"/>
              </w:rPr>
            </w:pPr>
            <w:r>
              <w:rPr>
                <w:rFonts w:ascii="Arial" w:cs="Arial" w:eastAsia="Arial" w:hAnsi="Arial"/>
                <w:sz w:val="16"/>
                <w:szCs w:val="16"/>
                <w:b w:val="1"/>
                <w:bCs w:val="1"/>
                <w:color w:val="auto"/>
              </w:rPr>
              <w:t>Total</w:t>
            </w:r>
          </w:p>
        </w:tc>
      </w:tr>
      <w:tr>
        <w:trPr>
          <w:trHeight w:val="115"/>
        </w:trPr>
        <w:tc>
          <w:tcPr>
            <w:tcW w:w="600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Offering price</w:t>
            </w:r>
          </w:p>
        </w:tc>
        <w:tc>
          <w:tcPr>
            <w:tcW w:w="3660" w:type="dxa"/>
            <w:vAlign w:val="bottom"/>
            <w:shd w:val="clear" w:color="auto" w:fill="CCEEFF"/>
          </w:tcPr>
          <w:p>
            <w:pPr>
              <w:ind w:left="2560"/>
              <w:spacing w:after="0" w:line="202" w:lineRule="exact"/>
              <w:rPr>
                <w:sz w:val="20"/>
                <w:szCs w:val="20"/>
                <w:color w:val="auto"/>
              </w:rPr>
            </w:pPr>
            <w:r>
              <w:rPr>
                <w:rFonts w:ascii="Arial" w:cs="Arial" w:eastAsia="Arial" w:hAnsi="Arial"/>
                <w:sz w:val="18"/>
                <w:szCs w:val="18"/>
                <w:color w:val="auto"/>
              </w:rPr>
              <w:t xml:space="preserve">$        </w:t>
            </w:r>
          </w:p>
        </w:tc>
        <w:tc>
          <w:tcPr>
            <w:tcW w:w="4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 xml:space="preserve">       </w:t>
            </w:r>
          </w:p>
        </w:tc>
      </w:tr>
      <w:tr>
        <w:trPr>
          <w:trHeight w:val="473"/>
        </w:trPr>
        <w:tc>
          <w:tcPr>
            <w:tcW w:w="600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6"/>
                <w:szCs w:val="26"/>
                <w:color w:val="auto"/>
                <w:vertAlign w:val="superscript"/>
              </w:rPr>
              <w:t>(1)</w:t>
            </w:r>
          </w:p>
        </w:tc>
        <w:tc>
          <w:tcPr>
            <w:tcW w:w="3660" w:type="dxa"/>
            <w:vAlign w:val="bottom"/>
          </w:tcPr>
          <w:p>
            <w:pPr>
              <w:ind w:left="2560"/>
              <w:spacing w:after="0"/>
              <w:rPr>
                <w:sz w:val="20"/>
                <w:szCs w:val="20"/>
                <w:color w:val="auto"/>
              </w:rPr>
            </w:pPr>
            <w:r>
              <w:rPr>
                <w:rFonts w:ascii="Arial" w:cs="Arial" w:eastAsia="Arial" w:hAnsi="Arial"/>
                <w:sz w:val="18"/>
                <w:szCs w:val="18"/>
                <w:color w:val="auto"/>
              </w:rPr>
              <w:t>$</w:t>
            </w:r>
          </w:p>
        </w:tc>
        <w:tc>
          <w:tcPr>
            <w:tcW w:w="480" w:type="dxa"/>
            <w:vAlign w:val="bottom"/>
          </w:tcPr>
          <w:p>
            <w:pPr>
              <w:ind w:left="3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r>
      <w:tr>
        <w:trPr>
          <w:trHeight w:val="203"/>
        </w:trPr>
        <w:tc>
          <w:tcPr>
            <w:tcW w:w="60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us</w:t>
            </w:r>
          </w:p>
        </w:tc>
        <w:tc>
          <w:tcPr>
            <w:tcW w:w="3660" w:type="dxa"/>
            <w:vAlign w:val="bottom"/>
            <w:tcBorders>
              <w:bottom w:val="single" w:sz="8" w:color="auto"/>
            </w:tcBorders>
            <w:shd w:val="clear" w:color="auto" w:fill="CCEEFF"/>
          </w:tcPr>
          <w:p>
            <w:pPr>
              <w:ind w:left="2560"/>
              <w:spacing w:after="0" w:line="202"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spacing w:after="0"/>
              <w:rPr>
                <w:sz w:val="17"/>
                <w:szCs w:val="17"/>
                <w:color w:val="auto"/>
              </w:rPr>
            </w:pPr>
          </w:p>
        </w:tc>
      </w:tr>
    </w:tbl>
    <w:p>
      <w:pPr>
        <w:spacing w:after="0" w:line="82" w:lineRule="exact"/>
        <w:rPr>
          <w:sz w:val="24"/>
          <w:szCs w:val="24"/>
          <w:color w:val="auto"/>
        </w:rPr>
      </w:pPr>
    </w:p>
    <w:p>
      <w:pPr>
        <w:ind w:left="440" w:hanging="324"/>
        <w:spacing w:after="0"/>
        <w:tabs>
          <w:tab w:leader="none" w:pos="440" w:val="left"/>
        </w:tabs>
        <w:numPr>
          <w:ilvl w:val="0"/>
          <w:numId w:val="1"/>
        </w:numPr>
        <w:rPr>
          <w:rFonts w:ascii="Arial" w:cs="Arial" w:eastAsia="Arial" w:hAnsi="Arial"/>
          <w:sz w:val="20"/>
          <w:szCs w:val="20"/>
          <w:color w:val="auto"/>
          <w:vertAlign w:val="superscript"/>
        </w:rPr>
      </w:pPr>
      <w:r>
        <w:rPr>
          <w:rFonts w:ascii="Arial" w:cs="Arial" w:eastAsia="Arial" w:hAnsi="Arial"/>
          <w:sz w:val="13"/>
          <w:szCs w:val="13"/>
          <w:color w:val="auto"/>
        </w:rPr>
        <w:t>We refer you to “Underwriting” beginning on page S-28 of this prospectus supplement for additional information regarding underwriting compensation.</w:t>
      </w:r>
    </w:p>
    <w:p>
      <w:pPr>
        <w:spacing w:after="0" w:line="115" w:lineRule="exact"/>
        <w:rPr>
          <w:sz w:val="24"/>
          <w:szCs w:val="24"/>
          <w:color w:val="auto"/>
        </w:rPr>
      </w:pPr>
    </w:p>
    <w:p>
      <w:pPr>
        <w:ind w:left="120" w:right="280"/>
        <w:spacing w:after="0" w:line="271" w:lineRule="auto"/>
        <w:rPr>
          <w:sz w:val="20"/>
          <w:szCs w:val="20"/>
          <w:color w:val="auto"/>
        </w:rPr>
      </w:pPr>
      <w:r>
        <w:rPr>
          <w:rFonts w:ascii="Arial" w:cs="Arial" w:eastAsia="Arial" w:hAnsi="Arial"/>
          <w:sz w:val="18"/>
          <w:szCs w:val="18"/>
          <w:color w:val="auto"/>
        </w:rPr>
        <w:t>The underwriters may also exercise their option to purchase up to an additional $75,000,000 of shares of common stock from us, at the public offering price, less the underwriting discount, for 30 days after the date of this prospectus supplement.</w:t>
      </w:r>
    </w:p>
    <w:p>
      <w:pPr>
        <w:spacing w:after="0" w:line="86" w:lineRule="exact"/>
        <w:rPr>
          <w:sz w:val="24"/>
          <w:szCs w:val="24"/>
          <w:color w:val="auto"/>
        </w:rPr>
      </w:pPr>
    </w:p>
    <w:p>
      <w:pPr>
        <w:ind w:left="120" w:right="660"/>
        <w:spacing w:after="0" w:line="271" w:lineRule="auto"/>
        <w:rPr>
          <w:sz w:val="20"/>
          <w:szCs w:val="20"/>
          <w:color w:val="auto"/>
        </w:rPr>
      </w:pPr>
      <w:r>
        <w:rPr>
          <w:rFonts w:ascii="Arial" w:cs="Arial" w:eastAsia="Arial" w:hAnsi="Arial"/>
          <w:sz w:val="18"/>
          <w:szCs w:val="18"/>
          <w:color w:val="auto"/>
        </w:rPr>
        <w:t>The underwriters expect to deliver the shares of common stock offered pursuant to this prospectus supplement and accompanying prospectus on or about         , 2026.</w:t>
      </w:r>
    </w:p>
    <w:p>
      <w:pPr>
        <w:spacing w:after="0" w:line="71" w:lineRule="exact"/>
        <w:rPr>
          <w:sz w:val="24"/>
          <w:szCs w:val="24"/>
          <w:color w:val="auto"/>
        </w:rPr>
      </w:pPr>
    </w:p>
    <w:p>
      <w:pPr>
        <w:ind w:left="120"/>
        <w:spacing w:after="0"/>
        <w:tabs>
          <w:tab w:leader="none" w:pos="3820" w:val="left"/>
          <w:tab w:leader="none" w:pos="7960" w:val="left"/>
          <w:tab w:leader="none" w:pos="10400" w:val="left"/>
        </w:tabs>
        <w:rPr>
          <w:sz w:val="20"/>
          <w:szCs w:val="20"/>
          <w:color w:val="auto"/>
        </w:rPr>
      </w:pPr>
      <w:r>
        <w:rPr>
          <w:rFonts w:ascii="Arial" w:cs="Arial" w:eastAsia="Arial" w:hAnsi="Arial"/>
          <w:sz w:val="29"/>
          <w:szCs w:val="29"/>
          <w:b w:val="1"/>
          <w:bCs w:val="1"/>
          <w:color w:val="auto"/>
        </w:rPr>
        <w:t>J.P. Morgan</w:t>
      </w:r>
      <w:r>
        <w:rPr>
          <w:sz w:val="20"/>
          <w:szCs w:val="20"/>
          <w:color w:val="auto"/>
        </w:rPr>
        <w:tab/>
      </w:r>
      <w:r>
        <w:rPr>
          <w:rFonts w:ascii="Arial" w:cs="Arial" w:eastAsia="Arial" w:hAnsi="Arial"/>
          <w:sz w:val="29"/>
          <w:szCs w:val="29"/>
          <w:b w:val="1"/>
          <w:bCs w:val="1"/>
          <w:color w:val="auto"/>
        </w:rPr>
        <w:t>Leerink Partners</w:t>
      </w:r>
      <w:r>
        <w:rPr>
          <w:sz w:val="20"/>
          <w:szCs w:val="20"/>
          <w:color w:val="auto"/>
        </w:rPr>
        <w:tab/>
      </w:r>
      <w:r>
        <w:rPr>
          <w:rFonts w:ascii="Arial" w:cs="Arial" w:eastAsia="Arial" w:hAnsi="Arial"/>
          <w:sz w:val="29"/>
          <w:szCs w:val="29"/>
          <w:b w:val="1"/>
          <w:bCs w:val="1"/>
          <w:color w:val="auto"/>
        </w:rPr>
        <w:t>Cantor</w:t>
      </w:r>
      <w:r>
        <w:rPr>
          <w:sz w:val="20"/>
          <w:szCs w:val="20"/>
          <w:color w:val="auto"/>
        </w:rPr>
        <w:tab/>
      </w:r>
      <w:r>
        <w:rPr>
          <w:rFonts w:ascii="Arial" w:cs="Arial" w:eastAsia="Arial" w:hAnsi="Arial"/>
          <w:sz w:val="29"/>
          <w:szCs w:val="29"/>
          <w:b w:val="1"/>
          <w:bCs w:val="1"/>
          <w:color w:val="auto"/>
        </w:rPr>
        <w:t>Stifel</w:t>
      </w:r>
    </w:p>
    <w:p>
      <w:pPr>
        <w:spacing w:after="0" w:line="163" w:lineRule="exact"/>
        <w:rPr>
          <w:sz w:val="24"/>
          <w:szCs w:val="24"/>
          <w:color w:val="auto"/>
        </w:rPr>
      </w:pPr>
    </w:p>
    <w:p>
      <w:pPr>
        <w:ind w:left="120"/>
        <w:spacing w:after="0"/>
        <w:rPr>
          <w:sz w:val="20"/>
          <w:szCs w:val="20"/>
          <w:color w:val="auto"/>
        </w:rPr>
      </w:pPr>
      <w:r>
        <w:rPr>
          <w:rFonts w:ascii="Arial" w:cs="Arial" w:eastAsia="Arial" w:hAnsi="Arial"/>
          <w:sz w:val="20"/>
          <w:szCs w:val="20"/>
          <w:b w:val="1"/>
          <w:bCs w:val="1"/>
          <w:color w:val="auto"/>
        </w:rPr>
        <w:t>Prospectus supplement dated             , 2026</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Table of contents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Prospectus supplement</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About this prospectus supplement</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Prospectus supplement summary</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The offering</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Risk factors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Special note regarding forward-looking statements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Use of proceeds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Dividend policy</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Dilution</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Description of capital stock</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7"/>
          <w:szCs w:val="17"/>
          <w:u w:val="single" w:color="auto"/>
          <w:color w:val="0000EE"/>
        </w:rPr>
        <w:t>Certain material U.S. federal income tax considerations</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Underwriting</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Legal matters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Experts</w:t>
      </w:r>
    </w:p>
    <w:p>
      <w:pPr>
        <w:spacing w:after="0" w:line="63" w:lineRule="exact"/>
        <w:rPr>
          <w:sz w:val="20"/>
          <w:szCs w:val="20"/>
          <w:color w:val="auto"/>
        </w:rPr>
      </w:pPr>
    </w:p>
    <w:p>
      <w:pPr>
        <w:ind w:left="120" w:right="1740"/>
        <w:spacing w:after="0" w:line="384" w:lineRule="auto"/>
        <w:rPr>
          <w:sz w:val="20"/>
          <w:szCs w:val="20"/>
          <w:color w:val="auto"/>
        </w:rPr>
      </w:pPr>
      <w:r>
        <w:rPr>
          <w:rFonts w:ascii="Arial" w:cs="Arial" w:eastAsia="Arial" w:hAnsi="Arial"/>
          <w:sz w:val="17"/>
          <w:szCs w:val="17"/>
          <w:u w:val="single" w:color="auto"/>
          <w:color w:val="0000EE"/>
        </w:rPr>
        <w:t>Where you can find more information Incorporation by reference</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Prospectus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About this prospectus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Risk factors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Special note regarding forward-looking statements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Our company</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Use of proceeds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Securities that may be offered</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Description of capital stock</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Description of debt securities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Description of warrants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Description of units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Plan of distribution</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Legal matters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Experts</w:t>
      </w:r>
    </w:p>
    <w:p>
      <w:pPr>
        <w:spacing w:after="0" w:line="63" w:lineRule="exact"/>
        <w:rPr>
          <w:sz w:val="20"/>
          <w:szCs w:val="20"/>
          <w:color w:val="auto"/>
        </w:rPr>
      </w:pPr>
    </w:p>
    <w:p>
      <w:pPr>
        <w:ind w:left="120" w:right="1740"/>
        <w:spacing w:after="0" w:line="384" w:lineRule="auto"/>
        <w:rPr>
          <w:sz w:val="20"/>
          <w:szCs w:val="20"/>
          <w:color w:val="auto"/>
        </w:rPr>
      </w:pPr>
      <w:r>
        <w:rPr>
          <w:rFonts w:ascii="Arial" w:cs="Arial" w:eastAsia="Arial" w:hAnsi="Arial"/>
          <w:sz w:val="17"/>
          <w:szCs w:val="17"/>
          <w:u w:val="single" w:color="auto"/>
          <w:color w:val="0000EE"/>
        </w:rPr>
        <w:t>Where you can find more information Incorporation by reference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-1193165</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S-1</w:t>
      </w:r>
    </w:p>
    <w:p>
      <w:pPr>
        <w:spacing w:after="0" w:line="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S-11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S-14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S-15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S-16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S-18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S-22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S-28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S-43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S-43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S-43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S-44</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S-i</w:t>
      </w:r>
    </w:p>
    <w:p>
      <w:pPr>
        <w:sectPr>
          <w:pgSz w:w="11900" w:h="16838" w:orient="portrait"/>
          <w:cols w:equalWidth="0" w:num="2">
            <w:col w:w="4800" w:space="720"/>
            <w:col w:w="556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About this prospectus supplement</w:t>
      </w:r>
    </w:p>
    <w:p>
      <w:pPr>
        <w:spacing w:after="0" w:line="154"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This document contains two parts. The first part is this prospectus supplement, which describes the specific terms of this offering of our common stock and also supplements and updates information contained in the accompanying prospectus and the documents incorporated by reference into this prospectus supplement and the accompanying prospectus. The second part is the accompanying prospectus included in our automatic shelf registration statement on Form S-3 (File No. 333-291684) that we filed with the Securities and Exchange Commission, or the SEC, on November 21, 2025, as a “well-known seasoned issuer” as defined in Rule 405 of the Securities Act of 1933, as amended, or the Securities Act, along with the documents incorporated by reference, which provides more general information, some of which may not apply to this offering. Generally, when we refer to this prospectus, we are referring to both parts of this document combined.</w:t>
      </w:r>
    </w:p>
    <w:p>
      <w:pPr>
        <w:spacing w:after="0" w:line="113" w:lineRule="exact"/>
        <w:rPr>
          <w:sz w:val="20"/>
          <w:szCs w:val="20"/>
          <w:color w:val="auto"/>
        </w:rPr>
      </w:pPr>
    </w:p>
    <w:p>
      <w:pPr>
        <w:ind w:left="120" w:right="160"/>
        <w:spacing w:after="0" w:line="242" w:lineRule="auto"/>
        <w:rPr>
          <w:sz w:val="20"/>
          <w:szCs w:val="20"/>
          <w:color w:val="auto"/>
        </w:rPr>
      </w:pPr>
      <w:r>
        <w:rPr>
          <w:rFonts w:ascii="Arial" w:cs="Arial" w:eastAsia="Arial" w:hAnsi="Arial"/>
          <w:sz w:val="18"/>
          <w:szCs w:val="18"/>
          <w:color w:val="auto"/>
        </w:rPr>
        <w:t>To the extent there is a conflict between the information contained in this prospectus supplement, on the one hand, and the information contained in the accompanying prospectus or in any document incorporated by reference that was filed with the SEC before the date of this prospectus supplement, on the other hand, you should rely on the information contained in this prospectus supplement.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w:t>
      </w:r>
    </w:p>
    <w:p>
      <w:pPr>
        <w:spacing w:after="0" w:line="111"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This prospectus supplement and the accompanying prospectus are part of a “shelf” registration statement that we filed with the SEC. Under the shelf registration process, we may offer from time to time various securities, including our common stock. Such registration statement also includes exhibits that provide more detail on the matters discussed in this prospectus supplement and the accompanying prospectus. You should read this prospectus supplement, the accompanying prospectus, including the information incorporated by reference, the exhibits filed with the SEC, and any free writing prospectus that we have authorized for use in connection with this offering, in their entirety before making an investment decision.</w:t>
      </w:r>
    </w:p>
    <w:p>
      <w:pPr>
        <w:spacing w:after="0" w:line="98"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We are offering to sell, and seeking offers to buy, shares of our common stock only in jurisdictions where offers and sales are permitted. For investors outside the United States, we have not done anything that would permit this offering or possession or distribution of this prospectus supplement, the accompanying prospectus and in any free writing prospectus that we have authorized for use in connection with this offering in any jurisdiction where action for that purpose is required, other than in the United States. Persons outside the United States who come into possession of this prospectus supplement, the accompanying prospectus and any free writing prospectus that we have authorized for use in connection with this offering must inform themselves about, and observe any restrictions relating to, the offering of the shares of common stock and the distribution of this prospectus supplement, the accompanying prospectus and any free writing prospectus that we have authorized for use in connection with this offering outside the United States.</w:t>
      </w:r>
    </w:p>
    <w:p>
      <w:pPr>
        <w:spacing w:after="0" w:line="113"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and the accompanying prospectus, along with the information contained in any free writing prospectus that we have authorized for use in connection with this offering. We have not, and the underwriters have not, authorized anyone to provide you with different or additional information. If anyone provides you with different or inconsistent information, you should not rely on it. We and the underwriters take no responsibility for, and can provide no assurance as to the reliability of, any other information that others may give you. You should assume that the information appearing in this prospectus supplement, the accompanying prospectus, the documents incorporated by reference in this prospectus supplement and the accompanying prospectus, and in any free writing prospectus that we have authorized for use in connection with this offering is accurate only as of the respective dates of those documents, unless we indicate otherwise. Our business, financial condition, results of operations and prospects may have changed since those dates.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40"/>
          </w:cols>
          <w:pgMar w:left="320" w:top="455"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We further note that the representations, warranties and covenants made by us in any agreement that is filed as an exhibit to any document that is incorporated by reference in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and covenants were accurate only as of the date when made; therefore, such representations, warranties and covenants should not be relied on as accurate representations of the current state of our affairs.</w:t>
      </w:r>
    </w:p>
    <w:p>
      <w:pPr>
        <w:spacing w:after="0" w:line="98"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Unless otherwise indicated or the context suggests otherwise, references in this prospectus supplement and the accompanying prospectus to “Tango Therapeutics,” “Tango,” the “company,” “we,” “us,” and “our,” and similar designations refer to Tango Therapeutics, Inc. and, where appropriate, our consolidated subsidiaries. When we refer to “you,” we mean the potential purchasers of our common stock in this offering.</w:t>
      </w:r>
    </w:p>
    <w:p>
      <w:pPr>
        <w:spacing w:after="0" w:line="10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60"/>
          </w:cols>
          <w:pgMar w:left="320" w:top="455" w:right="6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333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8970" cy="55333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300"/>
        <w:spacing w:after="0"/>
        <w:rPr>
          <w:sz w:val="20"/>
          <w:szCs w:val="20"/>
          <w:color w:val="auto"/>
        </w:rPr>
      </w:pPr>
      <w:r>
        <w:rPr>
          <w:rFonts w:ascii="Arial" w:cs="Arial" w:eastAsia="Arial" w:hAnsi="Arial"/>
          <w:sz w:val="29"/>
          <w:szCs w:val="29"/>
          <w:b w:val="1"/>
          <w:bCs w:val="1"/>
          <w:color w:val="auto"/>
        </w:rPr>
        <w:t>Prospectus supplement summary</w:t>
      </w:r>
    </w:p>
    <w:p>
      <w:pPr>
        <w:spacing w:after="0" w:line="156" w:lineRule="exact"/>
        <w:rPr>
          <w:sz w:val="20"/>
          <w:szCs w:val="20"/>
          <w:color w:val="auto"/>
        </w:rPr>
      </w:pPr>
    </w:p>
    <w:p>
      <w:pPr>
        <w:ind w:left="300" w:right="60"/>
        <w:spacing w:after="0" w:line="239" w:lineRule="auto"/>
        <w:rPr>
          <w:sz w:val="20"/>
          <w:szCs w:val="20"/>
          <w:color w:val="auto"/>
        </w:rPr>
      </w:pPr>
      <w:r>
        <w:rPr>
          <w:rFonts w:ascii="Arial" w:cs="Arial" w:eastAsia="Arial" w:hAnsi="Arial"/>
          <w:sz w:val="18"/>
          <w:szCs w:val="18"/>
          <w:i w:val="1"/>
          <w:iCs w:val="1"/>
          <w:color w:val="auto"/>
        </w:rPr>
        <w:t>This summary highlights certain information about us and this offering contained elsewhere in, or incorporated by reference into, this prospectus supplement and the accompanying prospectus. This summary is not complete and does not contain all of the information that you should consider before deciding whether to invest in our common stock. For a more complete understanding of our company and this offering, we encourage you to read and consider carefully the more detailed information in this prospectus supplement and the accompanying prospectus, including our financial statements and related notes and the other information incorporated by reference into this prospectus supplement and the accompanying prospectus, and the information included in any free writing prospectus that we have authorized for use in connection with this offering, including the information referred to under the heading “Risk factors” in this prospectus supplement beginning on page S-8 and in the documents incorporated herein by reference.</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Company overview</w:t>
      </w:r>
    </w:p>
    <w:p>
      <w:pPr>
        <w:spacing w:after="0" w:line="135" w:lineRule="exact"/>
        <w:rPr>
          <w:sz w:val="20"/>
          <w:szCs w:val="20"/>
          <w:color w:val="auto"/>
        </w:rPr>
      </w:pPr>
    </w:p>
    <w:p>
      <w:pPr>
        <w:ind w:left="300" w:right="20"/>
        <w:spacing w:after="0" w:line="242" w:lineRule="auto"/>
        <w:rPr>
          <w:sz w:val="20"/>
          <w:szCs w:val="20"/>
          <w:color w:val="auto"/>
        </w:rPr>
      </w:pPr>
      <w:r>
        <w:rPr>
          <w:rFonts w:ascii="Arial" w:cs="Arial" w:eastAsia="Arial" w:hAnsi="Arial"/>
          <w:sz w:val="18"/>
          <w:szCs w:val="18"/>
          <w:color w:val="auto"/>
        </w:rPr>
        <w:t>Tango Therapeutics was founded with a clear mission: to discover the next wave of targeted therapies in oncology by addressing the specific genetic alterations that drive cancer. We leverage our state-of-the-art target and drug discovery platforms to identify novel disease-relevant targets and develop medicines tailored to defined patient populations with high unmet medical need. Our novel small molecules are designed to be selectively active in cancer cells with specific genetic alterations, killing those cancer cells while sparing normal cells. We believe our approach will provide the ability to deliver deep, durable target inhibition with favorable tolerability and safety profiles, thus potentially maximizing clinical benefit.</w:t>
      </w:r>
    </w:p>
    <w:p>
      <w:pPr>
        <w:spacing w:after="0" w:line="111" w:lineRule="exact"/>
        <w:rPr>
          <w:sz w:val="20"/>
          <w:szCs w:val="20"/>
          <w:color w:val="auto"/>
        </w:rPr>
      </w:pPr>
    </w:p>
    <w:p>
      <w:pPr>
        <w:ind w:left="300" w:right="360"/>
        <w:spacing w:after="0" w:line="247" w:lineRule="auto"/>
        <w:rPr>
          <w:sz w:val="20"/>
          <w:szCs w:val="20"/>
          <w:color w:val="auto"/>
        </w:rPr>
      </w:pPr>
      <w:r>
        <w:rPr>
          <w:rFonts w:ascii="Arial" w:cs="Arial" w:eastAsia="Arial" w:hAnsi="Arial"/>
          <w:sz w:val="18"/>
          <w:szCs w:val="18"/>
          <w:color w:val="auto"/>
        </w:rPr>
        <w:t>We are currently focused on clinical development of two Methylthioadenosine Phosphorylase-deleted, or MTAP-deleted, selective protein arginine methyltransferase 5, or PRMT5, inhibitors: vopimetostat (TNG462) for non-central nervous system, or non-CNS, cancers, both as a monotherapy and in combination with renin-angiotensin system, or RAS, inhibitors, and TNG456, our next-generation, brain-penetrant PRMT5 inhibitor, for CNS cancers, including glioblastoma, or GBM.</w:t>
      </w:r>
    </w:p>
    <w:p>
      <w:pPr>
        <w:spacing w:after="0" w:line="106" w:lineRule="exact"/>
        <w:rPr>
          <w:sz w:val="20"/>
          <w:szCs w:val="20"/>
          <w:color w:val="auto"/>
        </w:rPr>
      </w:pPr>
    </w:p>
    <w:p>
      <w:pPr>
        <w:ind w:left="300" w:right="340"/>
        <w:spacing w:after="0" w:line="244" w:lineRule="auto"/>
        <w:rPr>
          <w:sz w:val="20"/>
          <w:szCs w:val="20"/>
          <w:color w:val="auto"/>
        </w:rPr>
      </w:pPr>
      <w:r>
        <w:rPr>
          <w:rFonts w:ascii="Arial" w:cs="Arial" w:eastAsia="Arial" w:hAnsi="Arial"/>
          <w:sz w:val="18"/>
          <w:szCs w:val="18"/>
          <w:color w:val="auto"/>
        </w:rPr>
        <w:t>We are focused on evaluating vopimetostat as a monotherapy and in combination with RAS inhibitors, given the overlap in patient populations, robust preclinical data supporting potential strong combination effect in clinical trials, and favorable clinical efficacy, durability, and safety profiles observed with each applicable drug individually. In June 2025, we treated the first patient in our combination clinical trial evaluating vopimetostat with the RAS(ON) multi-selective inhibitor, daraxonrasib, and RAS(ON) G12D-selective inhibitor, zoldonrasib (Revolution Medicines).</w:t>
      </w:r>
    </w:p>
    <w:p>
      <w:pPr>
        <w:spacing w:after="0" w:line="95" w:lineRule="exact"/>
        <w:rPr>
          <w:sz w:val="20"/>
          <w:szCs w:val="20"/>
          <w:color w:val="auto"/>
        </w:rPr>
      </w:pPr>
    </w:p>
    <w:p>
      <w:pPr>
        <w:ind w:left="300" w:right="100"/>
        <w:spacing w:after="0" w:line="266" w:lineRule="auto"/>
        <w:rPr>
          <w:sz w:val="20"/>
          <w:szCs w:val="20"/>
          <w:color w:val="auto"/>
        </w:rPr>
      </w:pPr>
      <w:r>
        <w:rPr>
          <w:rFonts w:ascii="Arial" w:cs="Arial" w:eastAsia="Arial" w:hAnsi="Arial"/>
          <w:sz w:val="17"/>
          <w:szCs w:val="17"/>
          <w:color w:val="auto"/>
        </w:rPr>
        <w:t>Given the differentiated profile of vopimetostat enabling the potential for efficacious and tolerable RAS inhibitor combinations, in March 2026, we entered into a clinical trial collaboration and supply agreement with Erasca, Inc., or Erasca, to evaluate vopimetostat in combination with Erasca’s pan-RAS molecular glue, ERAS-0015. Under the terms of the agreement, Tango is the sponsor of the trial and Erasca is supplying ERAS-0015 at no cost. We plan to initiate this Phase 1/2 clinical trial in the second half of 2026.</w:t>
      </w:r>
    </w:p>
    <w:p>
      <w:pPr>
        <w:spacing w:after="0" w:line="92" w:lineRule="exact"/>
        <w:rPr>
          <w:sz w:val="20"/>
          <w:szCs w:val="20"/>
          <w:color w:val="auto"/>
        </w:rPr>
      </w:pPr>
    </w:p>
    <w:p>
      <w:pPr>
        <w:ind w:left="300" w:right="180"/>
        <w:spacing w:after="0" w:line="253" w:lineRule="auto"/>
        <w:rPr>
          <w:sz w:val="20"/>
          <w:szCs w:val="20"/>
          <w:color w:val="auto"/>
        </w:rPr>
      </w:pPr>
      <w:r>
        <w:rPr>
          <w:rFonts w:ascii="Arial" w:cs="Arial" w:eastAsia="Arial" w:hAnsi="Arial"/>
          <w:sz w:val="18"/>
          <w:szCs w:val="18"/>
          <w:color w:val="auto"/>
        </w:rPr>
        <w:t>The Phase 1/2 clinical trial of vopimetostat monotherapy in patients with MTAP-deleted selective cancers is ongoing. Emerging data from the lung cancer cohort are consistent with expectations, and we anticipate providing a safety and efficacy update on the lung cancer cohort in the second half of 2026.</w:t>
      </w:r>
    </w:p>
    <w:p>
      <w:pPr>
        <w:spacing w:after="0" w:line="101" w:lineRule="exact"/>
        <w:rPr>
          <w:sz w:val="20"/>
          <w:szCs w:val="20"/>
          <w:color w:val="auto"/>
        </w:rPr>
      </w:pPr>
    </w:p>
    <w:p>
      <w:pPr>
        <w:ind w:left="300"/>
        <w:spacing w:after="0" w:line="271" w:lineRule="auto"/>
        <w:rPr>
          <w:sz w:val="20"/>
          <w:szCs w:val="20"/>
          <w:color w:val="auto"/>
        </w:rPr>
      </w:pPr>
      <w:r>
        <w:rPr>
          <w:rFonts w:ascii="Arial" w:cs="Arial" w:eastAsia="Arial" w:hAnsi="Arial"/>
          <w:sz w:val="18"/>
          <w:szCs w:val="18"/>
          <w:color w:val="auto"/>
        </w:rPr>
        <w:t>TNG456 is a brain-penetrant PRMT5 inhibitor. In May 2025, the first patient was treated with TNG456 in the dose escalation portion of the Phase 1/2 clinical trial to evaluate the safety, pharmacokinetics,</w:t>
      </w:r>
    </w:p>
    <w:p>
      <w:pPr>
        <w:spacing w:after="0" w:line="26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53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320"/>
        <w:spacing w:after="0" w:line="271" w:lineRule="auto"/>
        <w:rPr>
          <w:sz w:val="20"/>
          <w:szCs w:val="20"/>
          <w:color w:val="auto"/>
        </w:rPr>
      </w:pPr>
      <w:r>
        <w:rPr>
          <w:rFonts w:ascii="Arial" w:cs="Arial" w:eastAsia="Arial" w:hAnsi="Arial"/>
          <w:sz w:val="18"/>
          <w:szCs w:val="18"/>
          <w:color w:val="auto"/>
        </w:rPr>
        <w:t>pharmacodynamics and antitumor activity of TNG456 as a monotherapy. The trial is currently enrolling patients with MTAP-deleted solid tumors, with a focus on GBM. We anticipate providing initial clinical data from this trial in the second half of 2026.</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Recent developments</w:t>
      </w:r>
    </w:p>
    <w:p>
      <w:pPr>
        <w:spacing w:after="0" w:line="148" w:lineRule="exact"/>
        <w:rPr>
          <w:sz w:val="20"/>
          <w:szCs w:val="20"/>
          <w:color w:val="auto"/>
        </w:rPr>
      </w:pPr>
    </w:p>
    <w:p>
      <w:pPr>
        <w:ind w:left="300" w:right="200"/>
        <w:spacing w:after="0" w:line="253" w:lineRule="auto"/>
        <w:rPr>
          <w:sz w:val="20"/>
          <w:szCs w:val="20"/>
          <w:color w:val="auto"/>
        </w:rPr>
      </w:pPr>
      <w:r>
        <w:rPr>
          <w:rFonts w:ascii="Arial" w:cs="Arial" w:eastAsia="Arial" w:hAnsi="Arial"/>
          <w:sz w:val="18"/>
          <w:szCs w:val="18"/>
          <w:color w:val="auto"/>
        </w:rPr>
        <w:t>On June 8, 2026, we reported initial safety and efficacy data from our ongoing Phase 1/2 clinical trial of vopimetostat in combination with Revolution Medicines, Inc.’s RAS(ON) inhibitors in patients with MTAP-deleted and RAS-mutant metastatic pancreatic ductal adenocarcinoma, or PDAC.</w:t>
      </w:r>
    </w:p>
    <w:p>
      <w:pPr>
        <w:spacing w:after="0" w:line="88" w:lineRule="exact"/>
        <w:rPr>
          <w:sz w:val="20"/>
          <w:szCs w:val="20"/>
          <w:color w:val="auto"/>
        </w:rPr>
      </w:pPr>
    </w:p>
    <w:p>
      <w:pPr>
        <w:ind w:left="300"/>
        <w:spacing w:after="0" w:line="244" w:lineRule="auto"/>
        <w:rPr>
          <w:sz w:val="20"/>
          <w:szCs w:val="20"/>
          <w:color w:val="auto"/>
        </w:rPr>
      </w:pPr>
      <w:r>
        <w:rPr>
          <w:rFonts w:ascii="Arial" w:cs="Arial" w:eastAsia="Arial" w:hAnsi="Arial"/>
          <w:sz w:val="18"/>
          <w:szCs w:val="18"/>
          <w:color w:val="auto"/>
        </w:rPr>
        <w:t>As of the cutoff date of May 28, 2026, 59 patients with previously treated MTAP-deleted and RAS-mutant PDAC or non-small cell lung cancer, or NSCLC, were treated with a vopimetostat-based combination with either daraxonrasib (n=20 PDAC; n=5 NSCLC) or zoldonrasib (n=34 PDAC). All patients had advanced disease, including 70% with liver metastases in the daraxonrasib PDAC arm and 77% with liver metastases in the zoldonrasib arm, and were generally heavily pre-treated, with more than half receiving the combinations as third-line treatment.</w:t>
      </w:r>
    </w:p>
    <w:p>
      <w:pPr>
        <w:spacing w:after="0" w:line="109" w:lineRule="exact"/>
        <w:rPr>
          <w:sz w:val="20"/>
          <w:szCs w:val="20"/>
          <w:color w:val="auto"/>
        </w:rPr>
      </w:pPr>
    </w:p>
    <w:p>
      <w:pPr>
        <w:ind w:left="300" w:right="20"/>
        <w:spacing w:after="0" w:line="242" w:lineRule="auto"/>
        <w:rPr>
          <w:sz w:val="20"/>
          <w:szCs w:val="20"/>
          <w:color w:val="auto"/>
        </w:rPr>
      </w:pPr>
      <w:r>
        <w:rPr>
          <w:rFonts w:ascii="Arial" w:cs="Arial" w:eastAsia="Arial" w:hAnsi="Arial"/>
          <w:sz w:val="18"/>
          <w:szCs w:val="18"/>
          <w:color w:val="auto"/>
        </w:rPr>
        <w:t>In the vopimetostat plus daraxonrasib dose escalation arm, patients received either vopimetostat 200 mg or 250 mg once daily (QD) plus daraxonrasib 100 mg QD. As of the data cutoff date of May 28, 2026, 12 patients with PDAC and three patients with NSCLC were response evaluable with at least 14 weeks of follow up. In PDAC patients, we observed an objective response rate, or ORR, of 92% (11 of 12 patients, with nine of 11 responses confirmed as of the data cutoff date). In PDAC patients, we observed a 90% six-months progression free survival rate, and 100% disease control rate, or DCR. In NSCLC patients, we observed an ORR of 100%, with three of three responses (all responses confirmed).</w:t>
      </w:r>
    </w:p>
    <w:p>
      <w:pPr>
        <w:spacing w:after="0" w:line="111" w:lineRule="exact"/>
        <w:rPr>
          <w:sz w:val="20"/>
          <w:szCs w:val="20"/>
          <w:color w:val="auto"/>
        </w:rPr>
      </w:pPr>
    </w:p>
    <w:p>
      <w:pPr>
        <w:ind w:left="300" w:right="300"/>
        <w:spacing w:after="0" w:line="244" w:lineRule="auto"/>
        <w:rPr>
          <w:sz w:val="20"/>
          <w:szCs w:val="20"/>
          <w:color w:val="auto"/>
        </w:rPr>
      </w:pPr>
      <w:r>
        <w:rPr>
          <w:rFonts w:ascii="Arial" w:cs="Arial" w:eastAsia="Arial" w:hAnsi="Arial"/>
          <w:sz w:val="18"/>
          <w:szCs w:val="18"/>
          <w:color w:val="auto"/>
        </w:rPr>
        <w:t>The vopimetostat plus daraxonrasib combination was generally well tolerated across dose levels. Most adverse events were grade one or two in severity, and grade three adverse events were observed and included thrombocytopenia, acneiform rash, stomatitis/mucositis and fatigue. There were no related grade four or five adverse events. There were no dose-limiting toxicities, or DLTs, at the vopimetostat 200mg/daraxonrasib 100 mg dose level, and three DLTs in two patients at the vopimetostat 250mg/daraxonrasib 100 mg dose level. There were no discontinuations due to adverse events.</w:t>
      </w:r>
    </w:p>
    <w:p>
      <w:pPr>
        <w:spacing w:after="0" w:line="95" w:lineRule="exact"/>
        <w:rPr>
          <w:sz w:val="20"/>
          <w:szCs w:val="20"/>
          <w:color w:val="auto"/>
        </w:rPr>
      </w:pPr>
    </w:p>
    <w:p>
      <w:pPr>
        <w:ind w:left="300" w:right="440"/>
        <w:spacing w:after="0" w:line="275" w:lineRule="auto"/>
        <w:rPr>
          <w:sz w:val="20"/>
          <w:szCs w:val="20"/>
          <w:color w:val="auto"/>
        </w:rPr>
      </w:pPr>
      <w:r>
        <w:rPr>
          <w:rFonts w:ascii="Arial" w:cs="Arial" w:eastAsia="Arial" w:hAnsi="Arial"/>
          <w:sz w:val="17"/>
          <w:szCs w:val="17"/>
          <w:color w:val="auto"/>
        </w:rPr>
        <w:t>Based on these data, we intend to advance this combination approach into Phase 3 development for patients with MTAP-deleted pancreatic cancer. Subject to feedback from regulatory authorities, we plan to initiate a Phase 3 randomized-controlled trial in front-line pancreatic cancer and evaluate opportunities to advance the second line combination towards registration phase.</w:t>
      </w:r>
    </w:p>
    <w:p>
      <w:pPr>
        <w:spacing w:after="0" w:line="84" w:lineRule="exact"/>
        <w:rPr>
          <w:sz w:val="20"/>
          <w:szCs w:val="20"/>
          <w:color w:val="auto"/>
        </w:rPr>
      </w:pPr>
    </w:p>
    <w:p>
      <w:pPr>
        <w:ind w:left="300" w:right="80"/>
        <w:spacing w:after="0" w:line="259" w:lineRule="auto"/>
        <w:rPr>
          <w:sz w:val="20"/>
          <w:szCs w:val="20"/>
          <w:color w:val="auto"/>
        </w:rPr>
      </w:pPr>
      <w:r>
        <w:rPr>
          <w:rFonts w:ascii="Arial" w:cs="Arial" w:eastAsia="Arial" w:hAnsi="Arial"/>
          <w:sz w:val="17"/>
          <w:szCs w:val="17"/>
          <w:color w:val="auto"/>
        </w:rPr>
        <w:t>On June 8, 2026, we also reported initial data from the vopimetostat plus zoldonrasib dose escalation arm in PDAC patients. Patients received vopimetostat 200 mg or 250 mg QD plus zoldonrasib 600 mg or 1200 mg QD. As of the data cutoff date of May 28, 2026,</w:t>
      </w:r>
    </w:p>
    <w:p>
      <w:pPr>
        <w:spacing w:after="0" w:line="1" w:lineRule="exact"/>
        <w:rPr>
          <w:sz w:val="20"/>
          <w:szCs w:val="20"/>
          <w:color w:val="auto"/>
        </w:rPr>
      </w:pPr>
    </w:p>
    <w:p>
      <w:pPr>
        <w:ind w:left="300" w:right="40"/>
        <w:spacing w:after="0"/>
        <w:rPr>
          <w:sz w:val="20"/>
          <w:szCs w:val="20"/>
          <w:color w:val="auto"/>
        </w:rPr>
      </w:pPr>
      <w:r>
        <w:rPr>
          <w:rFonts w:ascii="Arial" w:cs="Arial" w:eastAsia="Arial" w:hAnsi="Arial"/>
          <w:sz w:val="18"/>
          <w:szCs w:val="18"/>
          <w:color w:val="auto"/>
        </w:rPr>
        <w:t>27 patients were response evaluable with at least 14 weeks of follow-up. We observed an ORR of 52%, a 74% six-month progression free survival rate, and 96% DCR in these patients. The vopimetostat plus zoldonrasib combination was generally well tolerated across dose levels. Most adverse events were grade one or two in severity, and there were no related grade four or five adverse events or DLTs. There were no discontinuations due to adverse events.</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Corporate history</w:t>
      </w:r>
    </w:p>
    <w:p>
      <w:pPr>
        <w:spacing w:after="0" w:line="148" w:lineRule="exact"/>
        <w:rPr>
          <w:sz w:val="20"/>
          <w:szCs w:val="20"/>
          <w:color w:val="auto"/>
        </w:rPr>
      </w:pPr>
    </w:p>
    <w:p>
      <w:pPr>
        <w:ind w:left="300" w:right="180"/>
        <w:spacing w:after="0" w:line="271" w:lineRule="auto"/>
        <w:rPr>
          <w:sz w:val="20"/>
          <w:szCs w:val="20"/>
          <w:color w:val="auto"/>
        </w:rPr>
      </w:pPr>
      <w:r>
        <w:rPr>
          <w:rFonts w:ascii="Arial" w:cs="Arial" w:eastAsia="Arial" w:hAnsi="Arial"/>
          <w:sz w:val="18"/>
          <w:szCs w:val="18"/>
          <w:color w:val="auto"/>
        </w:rPr>
        <w:t>We were incorporated under the laws of the State of Delaware on May 21, 2020 under the name BCTG Acquisition Corp., or BCTG, and were incorporated in Delaware in May 2020 as a special purpose acquisition</w:t>
      </w:r>
    </w:p>
    <w:p>
      <w:pPr>
        <w:spacing w:after="0" w:line="26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60"/>
          </w:cols>
          <w:pgMar w:left="320" w:top="455" w:right="6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1927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31927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spacing w:after="0"/>
        <w:rPr>
          <w:sz w:val="20"/>
          <w:szCs w:val="20"/>
          <w:color w:val="auto"/>
        </w:rPr>
      </w:pPr>
      <w:r>
        <w:rPr>
          <w:rFonts w:ascii="Arial" w:cs="Arial" w:eastAsia="Arial" w:hAnsi="Arial"/>
          <w:sz w:val="18"/>
          <w:szCs w:val="18"/>
          <w:color w:val="auto"/>
        </w:rPr>
        <w:t xml:space="preserve">company, formed for the purpose of effecting a merger, capital stock exchange, asset acquisition, stock purchase, reorganization or other similar business combination. On August 10, 2021, we consummated the merger pursuant to the Agreement and Plan of Merger, dated as of April 13, 2021, by and among BCTG, BCTG Merger Sub Inc. and Tango Therapeutics Sub, Inc. Upon the consummation of the merger, we changed our name to Tango Therapeutics, Inc. Our principal corporate office is located at 201 Brookline Avenue, Suite 901, Boston, MA 02215, and our telephone number is (857) 320-4900. Our website address is </w:t>
      </w:r>
      <w:r>
        <w:rPr>
          <w:rFonts w:ascii="Arial" w:cs="Arial" w:eastAsia="Arial" w:hAnsi="Arial"/>
          <w:sz w:val="18"/>
          <w:szCs w:val="18"/>
          <w:i w:val="1"/>
          <w:iCs w:val="1"/>
          <w:color w:val="auto"/>
        </w:rPr>
        <w:t>https://tangotx.com</w:t>
      </w:r>
      <w:r>
        <w:rPr>
          <w:rFonts w:ascii="Arial" w:cs="Arial" w:eastAsia="Arial" w:hAnsi="Arial"/>
          <w:sz w:val="18"/>
          <w:szCs w:val="18"/>
          <w:color w:val="auto"/>
        </w:rPr>
        <w:t>. We do not incorporate the information on or accessible through our website into this prospectus supplement or</w:t>
      </w:r>
      <w:r>
        <w:rPr>
          <w:rFonts w:ascii="Arial" w:cs="Arial" w:eastAsia="Arial" w:hAnsi="Arial"/>
          <w:sz w:val="18"/>
          <w:szCs w:val="18"/>
          <w:i w:val="1"/>
          <w:iCs w:val="1"/>
          <w:color w:val="auto"/>
        </w:rPr>
        <w:t xml:space="preserve"> </w:t>
      </w:r>
      <w:r>
        <w:rPr>
          <w:rFonts w:ascii="Arial" w:cs="Arial" w:eastAsia="Arial" w:hAnsi="Arial"/>
          <w:sz w:val="18"/>
          <w:szCs w:val="18"/>
          <w:color w:val="auto"/>
        </w:rPr>
        <w:t>the accompanying prospectus, and you should not consider any information on, or that can be accessed through, our website as part of this prospectus supplement or the accompanying prospectus.</w:t>
      </w:r>
    </w:p>
    <w:p>
      <w:pPr>
        <w:spacing w:after="0" w:line="99" w:lineRule="exact"/>
        <w:rPr>
          <w:sz w:val="20"/>
          <w:szCs w:val="20"/>
          <w:color w:val="auto"/>
        </w:rPr>
      </w:pPr>
    </w:p>
    <w:p>
      <w:pPr>
        <w:ind w:left="300"/>
        <w:spacing w:after="0" w:line="223" w:lineRule="auto"/>
        <w:rPr>
          <w:sz w:val="20"/>
          <w:szCs w:val="20"/>
          <w:color w:val="auto"/>
        </w:rPr>
      </w:pPr>
      <w:r>
        <w:rPr>
          <w:rFonts w:ascii="Arial" w:cs="Arial" w:eastAsia="Arial" w:hAnsi="Arial"/>
          <w:sz w:val="18"/>
          <w:szCs w:val="18"/>
          <w:color w:val="auto"/>
        </w:rPr>
        <w:t xml:space="preserve">We own various U.S. federal trademark applications and unregistered trademarks, including our company name. All other trademarks or trade names referred to in this prospectus supplement are the property of their respective owners. Solely for convenience, the trademarks and trade names in this prospectus supplement are referred to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symbols, but such references should not be construed as any indicator that their respective owners will not assert, to the fullest extent under applicable law, their rights thereto.</w:t>
      </w:r>
    </w:p>
    <w:p>
      <w:pPr>
        <w:spacing w:after="0" w:line="253"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Implications of being a smaller reporting company</w:t>
      </w:r>
    </w:p>
    <w:p>
      <w:pPr>
        <w:spacing w:after="0" w:line="135" w:lineRule="exact"/>
        <w:rPr>
          <w:sz w:val="20"/>
          <w:szCs w:val="20"/>
          <w:color w:val="auto"/>
        </w:rPr>
      </w:pPr>
    </w:p>
    <w:p>
      <w:pPr>
        <w:ind w:left="300"/>
        <w:spacing w:after="0" w:line="242" w:lineRule="auto"/>
        <w:rPr>
          <w:sz w:val="20"/>
          <w:szCs w:val="20"/>
          <w:color w:val="auto"/>
        </w:rPr>
      </w:pPr>
      <w:r>
        <w:rPr>
          <w:rFonts w:ascii="Arial" w:cs="Arial" w:eastAsia="Arial" w:hAnsi="Arial"/>
          <w:sz w:val="18"/>
          <w:szCs w:val="18"/>
          <w:color w:val="auto"/>
        </w:rPr>
        <w:t>We are a “smaller reporting company” as defined in the Securities Exchange Act of 1934, as amended, or the Exchange Act. We may take advantage of certain of the scaled disclosures available to smaller reporting companies until the fiscal year following the determination that our voting and non-voting common stock held by non-affiliates is more than $250 million measured on the last business day of our second fiscal quarter, or our annual revenues are less than $100 million during the most recently completed fiscal year and our voting and non-voting common stock held by non-affiliates is more than $700 million measured on the last business day of our second fiscal quarter.</w:t>
      </w:r>
    </w:p>
    <w:p>
      <w:pPr>
        <w:spacing w:after="0" w:line="30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900"/>
          </w:cols>
          <w:pgMar w:left="320" w:top="455" w:right="6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2673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526732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300"/>
        <w:spacing w:after="0"/>
        <w:rPr>
          <w:sz w:val="20"/>
          <w:szCs w:val="20"/>
          <w:color w:val="auto"/>
        </w:rPr>
      </w:pPr>
      <w:r>
        <w:rPr>
          <w:rFonts w:ascii="Arial" w:cs="Arial" w:eastAsia="Arial" w:hAnsi="Arial"/>
          <w:sz w:val="28"/>
          <w:szCs w:val="28"/>
          <w:b w:val="1"/>
          <w:bCs w:val="1"/>
          <w:color w:val="auto"/>
        </w:rPr>
        <w:t>The offering</w:t>
      </w:r>
    </w:p>
    <w:p>
      <w:pPr>
        <w:sectPr>
          <w:pgSz w:w="11900" w:h="16838" w:orient="portrait"/>
          <w:cols w:equalWidth="0" w:num="1">
            <w:col w:w="10920"/>
          </w:cols>
          <w:pgMar w:left="320" w:top="455" w:right="659" w:bottom="1440" w:gutter="0" w:footer="0" w:header="0"/>
        </w:sectPr>
      </w:pPr>
    </w:p>
    <w:p>
      <w:pPr>
        <w:spacing w:after="0" w:line="179"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$500,000,000 of shares of our common stock.</w:t>
      </w:r>
    </w:p>
    <w:p>
      <w:pPr>
        <w:spacing w:after="0" w:line="169" w:lineRule="exact"/>
        <w:rPr>
          <w:sz w:val="20"/>
          <w:szCs w:val="20"/>
          <w:color w:val="auto"/>
        </w:rPr>
      </w:pPr>
    </w:p>
    <w:p>
      <w:pPr>
        <w:sectPr>
          <w:pgSz w:w="11900" w:h="16838" w:orient="portrait"/>
          <w:cols w:equalWidth="0" w:num="2">
            <w:col w:w="2780" w:space="480"/>
            <w:col w:w="7660"/>
          </w:cols>
          <w:pgMar w:left="320" w:top="455" w:right="659" w:bottom="1440" w:gutter="0" w:footer="0" w:header="0"/>
          <w:type w:val="continuous"/>
        </w:sectPr>
      </w:pPr>
    </w:p>
    <w:p>
      <w:pPr>
        <w:ind w:left="300"/>
        <w:spacing w:after="0" w:line="281" w:lineRule="auto"/>
        <w:rPr>
          <w:sz w:val="20"/>
          <w:szCs w:val="20"/>
          <w:color w:val="auto"/>
        </w:rPr>
      </w:pPr>
      <w:r>
        <w:rPr>
          <w:rFonts w:ascii="Arial" w:cs="Arial" w:eastAsia="Arial" w:hAnsi="Arial"/>
          <w:sz w:val="18"/>
          <w:szCs w:val="18"/>
          <w:b w:val="1"/>
          <w:bCs w:val="1"/>
          <w:color w:val="auto"/>
        </w:rPr>
        <w:t>Underwriters’ option to purchase additional shares</w:t>
      </w:r>
    </w:p>
    <w:p>
      <w:pPr>
        <w:spacing w:after="0" w:line="20" w:lineRule="exact"/>
        <w:rPr>
          <w:sz w:val="20"/>
          <w:szCs w:val="20"/>
          <w:color w:val="auto"/>
        </w:rPr>
      </w:pPr>
      <w:r>
        <w:rPr>
          <w:sz w:val="20"/>
          <w:szCs w:val="20"/>
          <w:color w:val="auto"/>
        </w:rPr>
        <w:br w:type="column"/>
      </w:r>
    </w:p>
    <w:p>
      <w:pPr>
        <w:ind w:right="140"/>
        <w:spacing w:after="0" w:line="247" w:lineRule="auto"/>
        <w:rPr>
          <w:sz w:val="20"/>
          <w:szCs w:val="20"/>
          <w:color w:val="auto"/>
        </w:rPr>
      </w:pPr>
      <w:r>
        <w:rPr>
          <w:rFonts w:ascii="Arial" w:cs="Arial" w:eastAsia="Arial" w:hAnsi="Arial"/>
          <w:sz w:val="18"/>
          <w:szCs w:val="18"/>
          <w:color w:val="auto"/>
        </w:rPr>
        <w:t>We have granted the underwriters an option, exercisable for 30 days from the date of this prospectus supplement, to purchase up to an additional $75,000,000 of shares of our common stock at the public offering price, less underwriting discounts and commissions on the same terms as set forth in this prospectus.</w:t>
      </w:r>
    </w:p>
    <w:p>
      <w:pPr>
        <w:spacing w:after="0" w:line="106" w:lineRule="exact"/>
        <w:rPr>
          <w:sz w:val="20"/>
          <w:szCs w:val="20"/>
          <w:color w:val="auto"/>
        </w:rPr>
      </w:pPr>
    </w:p>
    <w:p>
      <w:pPr>
        <w:sectPr>
          <w:pgSz w:w="11900" w:h="16838" w:orient="portrait"/>
          <w:cols w:equalWidth="0" w:num="2">
            <w:col w:w="3120" w:space="140"/>
            <w:col w:w="7660"/>
          </w:cols>
          <w:pgMar w:left="320" w:top="455" w:right="659" w:bottom="1440" w:gutter="0" w:footer="0" w:header="0"/>
          <w:type w:val="continuous"/>
        </w:sectPr>
      </w:pPr>
    </w:p>
    <w:p>
      <w:pPr>
        <w:ind w:left="300"/>
        <w:spacing w:after="0" w:line="311" w:lineRule="auto"/>
        <w:rPr>
          <w:sz w:val="20"/>
          <w:szCs w:val="20"/>
          <w:color w:val="auto"/>
        </w:rPr>
      </w:pPr>
      <w:r>
        <w:rPr>
          <w:rFonts w:ascii="Arial" w:cs="Arial" w:eastAsia="Arial" w:hAnsi="Arial"/>
          <w:sz w:val="17"/>
          <w:szCs w:val="17"/>
          <w:b w:val="1"/>
          <w:bCs w:val="1"/>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ind w:right="680"/>
        <w:spacing w:after="0" w:line="271" w:lineRule="auto"/>
        <w:rPr>
          <w:sz w:val="20"/>
          <w:szCs w:val="20"/>
          <w:color w:val="auto"/>
        </w:rPr>
      </w:pPr>
      <w:r>
        <w:rPr>
          <w:rFonts w:ascii="Arial" w:cs="Arial" w:eastAsia="Arial" w:hAnsi="Arial"/>
          <w:sz w:val="18"/>
          <w:szCs w:val="18"/>
          <w:color w:val="auto"/>
        </w:rPr>
        <w:t>        shares (or        shares if the underwriters exercise their option to purchase additional shares in full).</w:t>
      </w:r>
    </w:p>
    <w:p>
      <w:pPr>
        <w:spacing w:after="0" w:line="99" w:lineRule="exact"/>
        <w:rPr>
          <w:sz w:val="20"/>
          <w:szCs w:val="20"/>
          <w:color w:val="auto"/>
        </w:rPr>
      </w:pPr>
    </w:p>
    <w:p>
      <w:pPr>
        <w:sectPr>
          <w:pgSz w:w="11900" w:h="16838" w:orient="portrait"/>
          <w:cols w:equalWidth="0" w:num="2">
            <w:col w:w="3160" w:space="100"/>
            <w:col w:w="7660"/>
          </w:cols>
          <w:pgMar w:left="320" w:top="455" w:right="659" w:bottom="1440" w:gutter="0" w:footer="0" w:header="0"/>
          <w:type w:val="continuous"/>
        </w:sectPr>
      </w:pPr>
    </w:p>
    <w:p>
      <w:pPr>
        <w:ind w:left="300"/>
        <w:spacing w:after="0"/>
        <w:rPr>
          <w:sz w:val="20"/>
          <w:szCs w:val="20"/>
          <w:color w:val="auto"/>
        </w:rPr>
      </w:pPr>
      <w:r>
        <w:rPr>
          <w:rFonts w:ascii="Arial" w:cs="Arial" w:eastAsia="Arial" w:hAnsi="Arial"/>
          <w:sz w:val="17"/>
          <w:szCs w:val="17"/>
          <w:b w:val="1"/>
          <w:bCs w:val="1"/>
          <w:color w:val="auto"/>
        </w:rPr>
        <w:t>Use of proceeds</w:t>
      </w:r>
    </w:p>
    <w:p>
      <w:pPr>
        <w:spacing w:after="0" w:line="20" w:lineRule="exact"/>
        <w:rPr>
          <w:sz w:val="20"/>
          <w:szCs w:val="20"/>
          <w:color w:val="auto"/>
        </w:rPr>
      </w:pPr>
      <w:r>
        <w:rPr>
          <w:sz w:val="20"/>
          <w:szCs w:val="20"/>
          <w:color w:val="auto"/>
        </w:rPr>
        <w:br w:type="column"/>
      </w:r>
    </w:p>
    <w:p>
      <w:pPr>
        <w:ind w:right="140"/>
        <w:spacing w:after="0"/>
        <w:rPr>
          <w:sz w:val="20"/>
          <w:szCs w:val="20"/>
          <w:color w:val="auto"/>
        </w:rPr>
      </w:pPr>
      <w:r>
        <w:rPr>
          <w:rFonts w:ascii="Arial" w:cs="Arial" w:eastAsia="Arial" w:hAnsi="Arial"/>
          <w:sz w:val="18"/>
          <w:szCs w:val="18"/>
          <w:color w:val="auto"/>
        </w:rPr>
        <w:t>We estimate that the net proceeds to us from this offering, after deducting the underwriting discounts and commissions and estimated offering expenses payable by us, will be approximately $        million, or $        million if the underwriters exercise their option to purchase additional shares from us in full. We intend to use the net proceeds from this offering for general corporate purposes, including research and development expenses, expenses relating to our pivotal trial and preparation for the potential commercialization of one or more of our product candidates, general and administrative expenses and capital expenditures. See “Use of proceeds” on page S-14 of this prospectus supplement.</w:t>
      </w:r>
    </w:p>
    <w:p>
      <w:pPr>
        <w:spacing w:after="0" w:line="113" w:lineRule="exact"/>
        <w:rPr>
          <w:sz w:val="20"/>
          <w:szCs w:val="20"/>
          <w:color w:val="auto"/>
        </w:rPr>
      </w:pPr>
    </w:p>
    <w:p>
      <w:pPr>
        <w:sectPr>
          <w:pgSz w:w="11900" w:h="16838" w:orient="portrait"/>
          <w:cols w:equalWidth="0" w:num="2">
            <w:col w:w="2540" w:space="720"/>
            <w:col w:w="7660"/>
          </w:cols>
          <w:pgMar w:left="320" w:top="455" w:right="659" w:bottom="1440" w:gutter="0" w:footer="0" w:header="0"/>
          <w:type w:val="continuous"/>
        </w:sectPr>
      </w:pPr>
    </w:p>
    <w:p>
      <w:pPr>
        <w:ind w:left="300"/>
        <w:spacing w:after="0"/>
        <w:rPr>
          <w:sz w:val="20"/>
          <w:szCs w:val="20"/>
          <w:color w:val="auto"/>
        </w:rPr>
      </w:pPr>
      <w:r>
        <w:rPr>
          <w:rFonts w:ascii="Arial" w:cs="Arial" w:eastAsia="Arial" w:hAnsi="Arial"/>
          <w:sz w:val="17"/>
          <w:szCs w:val="17"/>
          <w:b w:val="1"/>
          <w:bCs w:val="1"/>
          <w:color w:val="auto"/>
        </w:rPr>
        <w:t>Risk factors</w:t>
      </w:r>
    </w:p>
    <w:p>
      <w:pPr>
        <w:spacing w:after="0" w:line="20" w:lineRule="exact"/>
        <w:rPr>
          <w:sz w:val="20"/>
          <w:szCs w:val="20"/>
          <w:color w:val="auto"/>
        </w:rPr>
      </w:pPr>
      <w:r>
        <w:rPr>
          <w:sz w:val="20"/>
          <w:szCs w:val="20"/>
          <w:color w:val="auto"/>
        </w:rPr>
        <w:br w:type="column"/>
      </w:r>
    </w:p>
    <w:p>
      <w:pPr>
        <w:ind w:right="20"/>
        <w:spacing w:after="0" w:line="244" w:lineRule="auto"/>
        <w:rPr>
          <w:sz w:val="20"/>
          <w:szCs w:val="20"/>
          <w:color w:val="auto"/>
        </w:rPr>
      </w:pPr>
      <w:r>
        <w:rPr>
          <w:rFonts w:ascii="Arial" w:cs="Arial" w:eastAsia="Arial" w:hAnsi="Arial"/>
          <w:sz w:val="18"/>
          <w:szCs w:val="18"/>
          <w:color w:val="auto"/>
        </w:rPr>
        <w:t>Investing in our common stock involves a high degree of risk. See “Risk factors” beginning on page S-8 of this prospectus supplement, as well as “Risk factors” in the documents incorporated by reference into this prospectus supplement and the accompanying prospectus, for a discussion of factors you should consider carefully before deciding to purchase any shares of our common stock.</w:t>
      </w:r>
    </w:p>
    <w:p>
      <w:pPr>
        <w:spacing w:after="0" w:line="109" w:lineRule="exact"/>
        <w:rPr>
          <w:sz w:val="20"/>
          <w:szCs w:val="20"/>
          <w:color w:val="auto"/>
        </w:rPr>
      </w:pPr>
    </w:p>
    <w:p>
      <w:pPr>
        <w:sectPr>
          <w:pgSz w:w="11900" w:h="16838" w:orient="portrait"/>
          <w:cols w:equalWidth="0" w:num="2">
            <w:col w:w="2540" w:space="720"/>
            <w:col w:w="7660"/>
          </w:cols>
          <w:pgMar w:left="320" w:top="455" w:right="659" w:bottom="1440" w:gutter="0" w:footer="0" w:header="0"/>
          <w:type w:val="continuous"/>
        </w:sectPr>
      </w:pPr>
    </w:p>
    <w:p>
      <w:pPr>
        <w:ind w:left="300"/>
        <w:spacing w:after="0"/>
        <w:rPr>
          <w:sz w:val="20"/>
          <w:szCs w:val="20"/>
          <w:color w:val="auto"/>
        </w:rPr>
      </w:pPr>
      <w:r>
        <w:rPr>
          <w:rFonts w:ascii="Arial" w:cs="Arial" w:eastAsia="Arial" w:hAnsi="Arial"/>
          <w:sz w:val="17"/>
          <w:szCs w:val="17"/>
          <w:b w:val="1"/>
          <w:bCs w:val="1"/>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TNGX.</w:t>
      </w:r>
    </w:p>
    <w:p>
      <w:pPr>
        <w:spacing w:after="0" w:line="144" w:lineRule="exact"/>
        <w:rPr>
          <w:sz w:val="20"/>
          <w:szCs w:val="20"/>
          <w:color w:val="auto"/>
        </w:rPr>
      </w:pPr>
    </w:p>
    <w:p>
      <w:pPr>
        <w:sectPr>
          <w:pgSz w:w="11900" w:h="16838" w:orient="portrait"/>
          <w:cols w:equalWidth="0" w:num="2">
            <w:col w:w="2860" w:space="400"/>
            <w:col w:w="7660"/>
          </w:cols>
          <w:pgMar w:left="320" w:top="455" w:right="659" w:bottom="1440" w:gutter="0" w:footer="0" w:header="0"/>
          <w:type w:val="continuous"/>
        </w:sectPr>
      </w:pPr>
    </w:p>
    <w:p>
      <w:pPr>
        <w:jc w:val="both"/>
        <w:ind w:left="300" w:right="340"/>
        <w:spacing w:after="0" w:line="253" w:lineRule="auto"/>
        <w:rPr>
          <w:sz w:val="20"/>
          <w:szCs w:val="20"/>
          <w:color w:val="auto"/>
        </w:rPr>
      </w:pPr>
      <w:r>
        <w:rPr>
          <w:rFonts w:ascii="Arial" w:cs="Arial" w:eastAsia="Arial" w:hAnsi="Arial"/>
          <w:sz w:val="18"/>
          <w:szCs w:val="18"/>
          <w:color w:val="auto"/>
        </w:rPr>
        <w:t>All information in this prospectus supplement related to the number of shares of our common stock to be outstanding immediately after this offering is based on 144,162,543 shares of our common stock outstanding as of March 31, 2026. The number of shares outstanding as used throughout this prospectus supplement, unless otherwise indicated, excludes:</w:t>
      </w:r>
    </w:p>
    <w:p>
      <w:pPr>
        <w:spacing w:after="0" w:line="101" w:lineRule="exact"/>
        <w:rPr>
          <w:sz w:val="20"/>
          <w:szCs w:val="20"/>
          <w:color w:val="auto"/>
        </w:rPr>
      </w:pPr>
    </w:p>
    <w:p>
      <w:pPr>
        <w:ind w:left="480" w:right="160" w:hanging="186"/>
        <w:spacing w:after="0" w:line="271" w:lineRule="auto"/>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24,100,505 shares of common stock issuable upon the exercise of stock options outstanding as of March 31, 2026, at a weighted average exercise price of $7.91 per share;</w:t>
      </w:r>
    </w:p>
    <w:p>
      <w:pPr>
        <w:spacing w:after="0" w:line="86" w:lineRule="exact"/>
        <w:rPr>
          <w:rFonts w:ascii="Arial" w:cs="Arial" w:eastAsia="Arial" w:hAnsi="Arial"/>
          <w:sz w:val="18"/>
          <w:szCs w:val="18"/>
          <w:color w:val="auto"/>
        </w:rPr>
      </w:pPr>
    </w:p>
    <w:p>
      <w:pPr>
        <w:ind w:left="480" w:hanging="186"/>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1,881,055 shares of common stock issuable upon the vesting of restricted stock units as of March 31, 2026;</w:t>
      </w:r>
    </w:p>
    <w:p>
      <w:pPr>
        <w:spacing w:after="0" w:line="144" w:lineRule="exact"/>
        <w:rPr>
          <w:rFonts w:ascii="Arial" w:cs="Arial" w:eastAsia="Arial" w:hAnsi="Arial"/>
          <w:sz w:val="18"/>
          <w:szCs w:val="18"/>
          <w:color w:val="auto"/>
        </w:rPr>
      </w:pPr>
    </w:p>
    <w:p>
      <w:pPr>
        <w:ind w:left="480" w:hanging="186"/>
        <w:spacing w:after="0" w:line="253" w:lineRule="auto"/>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8,558,351 shares of common stock available for future issuance under our 2021 Stock Option and Incentive Plan, or the 2021 Plan, as of March 31, 2026, as well as any automatic increases in the number of shares of common stock reserved for issuance under the 2021 Plan;</w:t>
      </w:r>
    </w:p>
    <w:p>
      <w:pPr>
        <w:spacing w:after="0" w:line="29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920"/>
          </w:cols>
          <w:pgMar w:left="320" w:top="455" w:right="6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9698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29698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480" w:right="160" w:hanging="186"/>
        <w:spacing w:after="0" w:line="253"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4,383,122 shares of common stock available for future issuance under our 2021 Employee Stock Purchase Plan, or the ESPP, as of March 31, 2026, as well as any automatic increases in the number of shares of common stock reserved for issuance under the ESPP;</w:t>
      </w:r>
    </w:p>
    <w:p>
      <w:pPr>
        <w:spacing w:after="0" w:line="101" w:lineRule="exact"/>
        <w:rPr>
          <w:rFonts w:ascii="Arial" w:cs="Arial" w:eastAsia="Arial" w:hAnsi="Arial"/>
          <w:sz w:val="18"/>
          <w:szCs w:val="18"/>
          <w:color w:val="auto"/>
        </w:rPr>
      </w:pPr>
    </w:p>
    <w:p>
      <w:pPr>
        <w:ind w:left="480" w:hanging="186"/>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1,767,162 shares of common stock available for future issuance under our 2023 Inducement Plan as of March 31, 2026;</w:t>
      </w:r>
    </w:p>
    <w:p>
      <w:pPr>
        <w:spacing w:after="0" w:line="144" w:lineRule="exact"/>
        <w:rPr>
          <w:rFonts w:ascii="Arial" w:cs="Arial" w:eastAsia="Arial" w:hAnsi="Arial"/>
          <w:sz w:val="18"/>
          <w:szCs w:val="18"/>
          <w:color w:val="auto"/>
        </w:rPr>
      </w:pPr>
    </w:p>
    <w:p>
      <w:pPr>
        <w:ind w:left="480" w:right="20" w:hanging="186"/>
        <w:spacing w:after="0" w:line="271"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1,358,620 shares of our common stock issuable upon the exercise of stock options granted subsequent to March 31, 2026, through June 5, 2026 at a weighted-average exercise price of $21.40 per share;</w:t>
      </w:r>
    </w:p>
    <w:p>
      <w:pPr>
        <w:spacing w:after="0" w:line="86" w:lineRule="exact"/>
        <w:rPr>
          <w:rFonts w:ascii="Arial" w:cs="Arial" w:eastAsia="Arial" w:hAnsi="Arial"/>
          <w:sz w:val="18"/>
          <w:szCs w:val="18"/>
          <w:color w:val="auto"/>
        </w:rPr>
      </w:pPr>
    </w:p>
    <w:p>
      <w:pPr>
        <w:ind w:left="480" w:right="460" w:hanging="186"/>
        <w:spacing w:after="0" w:line="271"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248,720 shares of our common stock issuable upon the vesting and settlement of restricted stock units granted subsequent to March 31, 2026, through June 5, 2026; and</w:t>
      </w:r>
    </w:p>
    <w:p>
      <w:pPr>
        <w:spacing w:after="0" w:line="86" w:lineRule="exact"/>
        <w:rPr>
          <w:rFonts w:ascii="Arial" w:cs="Arial" w:eastAsia="Arial" w:hAnsi="Arial"/>
          <w:sz w:val="18"/>
          <w:szCs w:val="18"/>
          <w:color w:val="auto"/>
        </w:rPr>
      </w:pPr>
    </w:p>
    <w:p>
      <w:pPr>
        <w:ind w:left="480" w:right="180" w:hanging="186"/>
        <w:spacing w:after="0" w:line="271"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3,226,458 shares of common stock issuable upon the exercise of the pre-funded warrants outstanding as of March 31, 2026, with an exercise price of $0.001 per pre-funded warrant.</w:t>
      </w:r>
    </w:p>
    <w:p>
      <w:pPr>
        <w:spacing w:after="0" w:line="73" w:lineRule="exact"/>
        <w:rPr>
          <w:sz w:val="20"/>
          <w:szCs w:val="20"/>
          <w:color w:val="auto"/>
        </w:rPr>
      </w:pPr>
    </w:p>
    <w:p>
      <w:pPr>
        <w:jc w:val="both"/>
        <w:ind w:left="300"/>
        <w:spacing w:after="0" w:line="253" w:lineRule="auto"/>
        <w:rPr>
          <w:sz w:val="20"/>
          <w:szCs w:val="20"/>
          <w:color w:val="auto"/>
        </w:rPr>
      </w:pPr>
      <w:r>
        <w:rPr>
          <w:rFonts w:ascii="Arial" w:cs="Arial" w:eastAsia="Arial" w:hAnsi="Arial"/>
          <w:sz w:val="18"/>
          <w:szCs w:val="18"/>
          <w:color w:val="auto"/>
        </w:rPr>
        <w:t>Unless otherwise indicated, all information in this prospectus supplement assumes no exercise of outstanding options, restricted stock units or pre-funded warrants described above after March 31, 2026 and that the underwriters do not exercise their option to purchase up to         of additional shares of our common stock.</w:t>
      </w:r>
    </w:p>
    <w:p>
      <w:pPr>
        <w:spacing w:after="0" w:line="101" w:lineRule="exact"/>
        <w:rPr>
          <w:sz w:val="20"/>
          <w:szCs w:val="20"/>
          <w:color w:val="auto"/>
        </w:rPr>
      </w:pPr>
    </w:p>
    <w:p>
      <w:pPr>
        <w:ind w:left="300" w:right="260"/>
        <w:spacing w:after="0" w:line="266" w:lineRule="auto"/>
        <w:rPr>
          <w:sz w:val="20"/>
          <w:szCs w:val="20"/>
          <w:color w:val="auto"/>
        </w:rPr>
      </w:pPr>
      <w:r>
        <w:rPr>
          <w:rFonts w:ascii="Arial" w:cs="Arial" w:eastAsia="Arial" w:hAnsi="Arial"/>
          <w:sz w:val="17"/>
          <w:szCs w:val="17"/>
          <w:color w:val="auto"/>
        </w:rPr>
        <w:t>In addition, the number of shares outstanding immediately after this offering does not include shares of common stock that we may offer and sell in the future pursuant to our Sales Agreement with Leerink Partners LLC. After the expiration or waiver of the lock-up period applicable to us and described under the section of this prospectus supplement titled “Underwriting,” we may offer and sell shares of our common stock having an aggregate offering price of up to $35.6 million from time to time in “at-the-market” offerings.</w:t>
      </w:r>
    </w:p>
    <w:p>
      <w:pPr>
        <w:spacing w:after="0" w:line="26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Risk factors</w:t>
      </w:r>
    </w:p>
    <w:p>
      <w:pPr>
        <w:spacing w:after="0" w:line="15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Investing in our common stock involves a high degree of risk. Before making an investment decision, you should carefully consider the risks described in our most recent Annual Report on Form 10-K and subsequent Quarterly Reports on Form 10-Q and Current Reports on Form 8-K, as well as any amendments thereto reflected in subsequent filings with the SEC, each of which are incorporated by reference in this prospectus supplement, and all of the other information in this prospectus supplement, including our financial statements and related notes incorporated by reference herein, and in any free writing prospectus that we have authorized for use in connection with this offering before acquiring any of our common stock. These risks could result in material and adverse impact on our business, financial condition, results of operations and prospects, which could cause the trading price of our common stock to decline, and you could lose part or all of your investment. Additional risks and uncertainties that are not yet identified or that we currently believe to be immaterial may also materially harm our business, financial condition, results of operations and prospects and could result in a complete loss of your investment. The risks discussed below also include forward-looking statements, and our actual results may differ substantially from those discussed in these forward-looking statements. See “Special note regarding forward-looking statements.”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common stock and this offering</w:t>
      </w:r>
    </w:p>
    <w:p>
      <w:pPr>
        <w:spacing w:after="0" w:line="137" w:lineRule="exact"/>
        <w:rPr>
          <w:sz w:val="20"/>
          <w:szCs w:val="20"/>
          <w:color w:val="auto"/>
        </w:rPr>
      </w:pPr>
    </w:p>
    <w:p>
      <w:pPr>
        <w:ind w:left="120" w:right="60"/>
        <w:spacing w:after="0" w:line="278" w:lineRule="auto"/>
        <w:rPr>
          <w:sz w:val="20"/>
          <w:szCs w:val="20"/>
          <w:color w:val="auto"/>
        </w:rPr>
      </w:pPr>
      <w:r>
        <w:rPr>
          <w:rFonts w:ascii="Arial" w:cs="Arial" w:eastAsia="Arial" w:hAnsi="Arial"/>
          <w:sz w:val="18"/>
          <w:szCs w:val="18"/>
          <w:b w:val="1"/>
          <w:bCs w:val="1"/>
          <w:i w:val="1"/>
          <w:iCs w:val="1"/>
          <w:color w:val="auto"/>
        </w:rPr>
        <w:t>Historically, our share price has been volatile, and this is likely to continue; purchasers of our securities could incur substantial losses as a result.</w:t>
      </w:r>
    </w:p>
    <w:p>
      <w:pPr>
        <w:spacing w:after="0" w:line="72"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Historically, the market price of our common stock has fluctuated significantly, and we expect that this will continue. Purchasers of our securities could incur substantial losses relating to their investment in our shares as a result. The stock market in general has recently experienced volatility that has often been unrelated or disproportionate to the operating performance of particular companies. These broad market fluctuations could result in fluctuations in the price of our common stock, which could cause purchasers of our common stock to incur substantial losses. The market price for our common stock may be influenced by many factors, including:</w:t>
      </w:r>
    </w:p>
    <w:p>
      <w:pPr>
        <w:spacing w:after="0" w:line="109" w:lineRule="exact"/>
        <w:rPr>
          <w:sz w:val="20"/>
          <w:szCs w:val="20"/>
          <w:color w:val="auto"/>
        </w:rPr>
      </w:pPr>
    </w:p>
    <w:p>
      <w:pPr>
        <w:ind w:left="340" w:hanging="224"/>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or failure of competitive products or technologies;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advancement of our preclinical programs into clinical testing;</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release of our initial, interim, or final results of clinical trials of our product candidates or those of our competitors;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level of expenses related to any of our programs and product candidates or preclinical and clinical development programs;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144" w:lineRule="exact"/>
        <w:rPr>
          <w:rFonts w:ascii="Arial" w:cs="Arial" w:eastAsia="Arial" w:hAnsi="Arial"/>
          <w:sz w:val="18"/>
          <w:szCs w:val="18"/>
          <w:color w:val="auto"/>
        </w:rPr>
      </w:pPr>
    </w:p>
    <w:p>
      <w:pPr>
        <w:ind w:left="340" w:right="680" w:hanging="224"/>
        <w:spacing w:after="0" w:line="27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data releases or recommendations by securities analysts;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340" w:hanging="22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and third-party reimbursement decisions;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purchases or sales of our securities by our officers, directors or significant shareholders;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limited trading volume;</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use of proceeds from this offering.</w:t>
      </w:r>
    </w:p>
    <w:p>
      <w:pPr>
        <w:spacing w:after="0" w:line="133" w:lineRule="exact"/>
        <w:rPr>
          <w:sz w:val="20"/>
          <w:szCs w:val="20"/>
          <w:color w:val="auto"/>
        </w:rPr>
      </w:pPr>
    </w:p>
    <w:p>
      <w:pPr>
        <w:ind w:left="120" w:right="920"/>
        <w:spacing w:after="0" w:line="278" w:lineRule="auto"/>
        <w:rPr>
          <w:sz w:val="20"/>
          <w:szCs w:val="20"/>
          <w:color w:val="auto"/>
        </w:rPr>
      </w:pPr>
      <w:r>
        <w:rPr>
          <w:rFonts w:ascii="Arial" w:cs="Arial" w:eastAsia="Arial" w:hAnsi="Arial"/>
          <w:sz w:val="18"/>
          <w:szCs w:val="18"/>
          <w:b w:val="1"/>
          <w:bCs w:val="1"/>
          <w:i w:val="1"/>
          <w:iCs w:val="1"/>
          <w:color w:val="auto"/>
        </w:rPr>
        <w:t>Our management will have broad discretion over the use of proceeds from this offering and may not use the proceeds effectively.</w:t>
      </w:r>
    </w:p>
    <w:p>
      <w:pPr>
        <w:spacing w:after="0" w:line="72"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Although we currently intend to use the net proceeds from this offering in the manner described in the section titled “Use of proceeds” in this prospectus supplement, we will have considerable discretion in the application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 If we do not invest or apply the net proceeds from this offering in ways that enhance stockholder value, we may fail to achieve expected financial results, which could cause our stock price to decline.</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29"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Sales of a substantial number of shares of our common stock in the public market following this offering could cause the market price of our common stock to decline. A substantial majority of the outstanding shares of our common stock are, and the shares of common stock offered hereby will be, freely tradable without restriction or further registration under the Securities Act, unless these shares are owned or purchased by “affiliates” as that term is defined in Rule 144 under the Securities Act. We, along with our directors and executive officers, have agreed that for a period of 60 days after the closing of this offering, subject to specified exceptions, we or they will not offer, sell, contract to sell, pledge or otherwise dispose of, directly or indirectly, any shares of our common stock or securities convertible into or exchangeable or exercisable for any shares of our common stock.</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Purchasers in this offering will experience immediate and substantial dilution in the book value of their investment.</w:t>
      </w:r>
    </w:p>
    <w:p>
      <w:pPr>
        <w:spacing w:after="0" w:line="129" w:lineRule="exact"/>
        <w:rPr>
          <w:sz w:val="20"/>
          <w:szCs w:val="20"/>
          <w:color w:val="auto"/>
        </w:rPr>
      </w:pPr>
    </w:p>
    <w:p>
      <w:pPr>
        <w:ind w:left="120" w:right="220"/>
        <w:spacing w:after="0" w:line="242" w:lineRule="auto"/>
        <w:rPr>
          <w:sz w:val="20"/>
          <w:szCs w:val="20"/>
          <w:color w:val="auto"/>
        </w:rPr>
      </w:pPr>
      <w:r>
        <w:rPr>
          <w:rFonts w:ascii="Arial" w:cs="Arial" w:eastAsia="Arial" w:hAnsi="Arial"/>
          <w:sz w:val="18"/>
          <w:szCs w:val="18"/>
          <w:color w:val="auto"/>
        </w:rPr>
        <w:t>Purchasers of our common stock in this offering will experience immediate dilution in the net tangible book value of the common stock purchased in this offering because the price per share of common stock in this offering is substantially higher than the net tangible book value per share of our common stock outstanding immediately after this offering. Our net tangible book value as of March 31, 2026, was approximately $391.5 million, or $2.72 per share of our common stock. If you purchase shares of common stock in this offering, you will suffer immediate and substantial dilution of $        per share with respect to the net tangible book value of the common stock. See “Dilution” in this prospectus supplement for a detailed discussion of the dilution you will incur if you purchase shares in this offering.</w:t>
      </w:r>
    </w:p>
    <w:p>
      <w:pPr>
        <w:spacing w:after="0" w:line="113" w:lineRule="exact"/>
        <w:rPr>
          <w:sz w:val="20"/>
          <w:szCs w:val="20"/>
          <w:color w:val="auto"/>
        </w:rPr>
      </w:pPr>
    </w:p>
    <w:p>
      <w:pPr>
        <w:ind w:left="120" w:right="260"/>
        <w:spacing w:after="0" w:line="278" w:lineRule="auto"/>
        <w:rPr>
          <w:sz w:val="20"/>
          <w:szCs w:val="20"/>
          <w:color w:val="auto"/>
        </w:rPr>
      </w:pPr>
      <w:r>
        <w:rPr>
          <w:rFonts w:ascii="Arial" w:cs="Arial" w:eastAsia="Arial" w:hAnsi="Arial"/>
          <w:sz w:val="18"/>
          <w:szCs w:val="18"/>
          <w:b w:val="1"/>
          <w:bCs w:val="1"/>
          <w:i w:val="1"/>
          <w:iCs w:val="1"/>
          <w:color w:val="auto"/>
        </w:rPr>
        <w:t>If we raise additional capital through the sale of shares of our common stock, convertible securities or debt in the future, your ownership in us could be diluted and restrictions could be imposed on our business.</w:t>
      </w:r>
    </w:p>
    <w:p>
      <w:pPr>
        <w:spacing w:after="0" w:line="72"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color w:val="auto"/>
        </w:rPr>
        <w:t>In addition to this offering, we may issue shares of our common stock or securities convertible into our common stock to raise additional capital in the future. To the extent we issue such securities, our stockholders may</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experience substantial dilution and the trading price of our common stock could decline. If we obtain funds through a credit facility or through the issuance of debt or preferred securities, such debt or preferred securities could have rights senior to your rights as a common stockholder, which could impair the value of our common stock.</w:t>
      </w:r>
    </w:p>
    <w:p>
      <w:pPr>
        <w:spacing w:after="0" w:line="88" w:lineRule="exact"/>
        <w:rPr>
          <w:sz w:val="20"/>
          <w:szCs w:val="20"/>
          <w:color w:val="auto"/>
        </w:rPr>
      </w:pPr>
    </w:p>
    <w:p>
      <w:pPr>
        <w:ind w:left="120" w:right="180"/>
        <w:spacing w:after="0" w:line="247" w:lineRule="auto"/>
        <w:rPr>
          <w:sz w:val="20"/>
          <w:szCs w:val="20"/>
          <w:color w:val="auto"/>
        </w:rPr>
      </w:pPr>
      <w:r>
        <w:rPr>
          <w:rFonts w:ascii="Arial" w:cs="Arial" w:eastAsia="Arial" w:hAnsi="Arial"/>
          <w:sz w:val="18"/>
          <w:szCs w:val="18"/>
          <w:color w:val="auto"/>
        </w:rPr>
        <w:t>Additionally, in November 2025, we entered into a Sales Agreement with Leerink Partners LLC, providing for the offering, issuance and sale by the Company of our common stock from time to time in “at-the-market” offerings, or the ATM. Pursuant to the prospectus supplement, dated November 21, 2025, in accordance with the terms of the Sales Agreement, we may offer and sell up to $100,000,000 of shares of our common stock. As of June 5, 2026, we may sell up to $35.6 million of its common stock under the ATM.</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shares can be freely sold in the public market upon issuance.</w:t>
      </w:r>
    </w:p>
    <w:p>
      <w:pPr>
        <w:spacing w:after="0" w:line="144" w:lineRule="exact"/>
        <w:rPr>
          <w:sz w:val="20"/>
          <w:szCs w:val="20"/>
          <w:color w:val="auto"/>
        </w:rPr>
      </w:pPr>
    </w:p>
    <w:p>
      <w:pPr>
        <w:jc w:val="both"/>
        <w:ind w:left="120" w:right="80"/>
        <w:spacing w:after="0" w:line="253" w:lineRule="auto"/>
        <w:rPr>
          <w:sz w:val="20"/>
          <w:szCs w:val="20"/>
          <w:color w:val="auto"/>
        </w:rPr>
      </w:pPr>
      <w:r>
        <w:rPr>
          <w:rFonts w:ascii="Arial" w:cs="Arial" w:eastAsia="Arial" w:hAnsi="Arial"/>
          <w:sz w:val="18"/>
          <w:szCs w:val="18"/>
          <w:color w:val="auto"/>
        </w:rPr>
        <w:t>Sales of our common stock pursuant to the ATM could result in substantial dilution to the interests of other holders of our common stock. Additionally, the sale of a substantial number of shares of our common stock, or the anticipation of such sales, could make it more difficult for us to sell equity or equity-related securities in the future at a time and at a price that we might otherwise wish to effect sales.</w:t>
      </w:r>
    </w:p>
    <w:p>
      <w:pPr>
        <w:spacing w:after="0" w:line="90" w:lineRule="exact"/>
        <w:rPr>
          <w:sz w:val="20"/>
          <w:szCs w:val="20"/>
          <w:color w:val="auto"/>
        </w:rPr>
      </w:pPr>
    </w:p>
    <w:p>
      <w:pPr>
        <w:ind w:left="120" w:right="260"/>
        <w:spacing w:after="0" w:line="249" w:lineRule="auto"/>
        <w:rPr>
          <w:sz w:val="20"/>
          <w:szCs w:val="20"/>
          <w:color w:val="auto"/>
        </w:rPr>
      </w:pPr>
      <w:r>
        <w:rPr>
          <w:rFonts w:ascii="Arial" w:cs="Arial" w:eastAsia="Arial" w:hAnsi="Arial"/>
          <w:sz w:val="18"/>
          <w:szCs w:val="18"/>
          <w:b w:val="1"/>
          <w:bCs w:val="1"/>
          <w:i w:val="1"/>
          <w:iCs w:val="1"/>
          <w:color w:val="auto"/>
        </w:rPr>
        <w:t>We currently depend on third-party collaborators for the development, evaluation and potential commercialization of vopimetostat in combination with RAS inhibitors. If these collaborations are not successful or if we are not able to enter into additional collaboration and supply agreements with such collaborators, as necessary, we may have to alter our development and commercialization plans.</w:t>
      </w:r>
    </w:p>
    <w:p>
      <w:pPr>
        <w:spacing w:after="0" w:line="98" w:lineRule="exact"/>
        <w:rPr>
          <w:sz w:val="20"/>
          <w:szCs w:val="20"/>
          <w:color w:val="auto"/>
        </w:rPr>
      </w:pPr>
    </w:p>
    <w:p>
      <w:pPr>
        <w:ind w:left="120" w:right="280"/>
        <w:spacing w:after="0" w:line="242" w:lineRule="auto"/>
        <w:rPr>
          <w:sz w:val="20"/>
          <w:szCs w:val="20"/>
          <w:color w:val="auto"/>
        </w:rPr>
      </w:pPr>
      <w:r>
        <w:rPr>
          <w:rFonts w:ascii="Arial" w:cs="Arial" w:eastAsia="Arial" w:hAnsi="Arial"/>
          <w:sz w:val="18"/>
          <w:szCs w:val="18"/>
          <w:color w:val="auto"/>
        </w:rPr>
        <w:t>We have entered into collaborations with Revolution Medicines, Inc. and Erasca, Inc. to evaluate vopimetostat in combination with both daraxonrasib and zoldonrasib and with ERAS-0015, respectively, and rely on such collaborators for the supply of drug product for our clinical trials. If we fail to maintain these existing collaborations, if our collaborators terminate our existing collaboration and supply agreements or if we fail to enter into future collaborations or supply agreements for advanced clinical trials or commercialization on commercially reasonable terms, or at all, we may not be able obtain adequate supply of drug product or we may have to explore alternative pathways to obtain such drug supply.</w:t>
      </w:r>
    </w:p>
    <w:p>
      <w:pPr>
        <w:spacing w:after="0" w:line="98"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In June 2026, we announced our plans to initiate a Phase 3 clinical trial of vopimetostat in combination with daraxonrasib in front-line pancreatic cancer. We currently do not have a clinical trial supply agreement in place for such Phase 3 trial nor do we have a commercial supply agreement in place for commercialization, if the combination is approved. If we are unable to enter into such agreements in a timely manner, on commercially reasonable terms, or at all and if we need to procure drug product from commercial sources, we would face delays, incur higher costs and our development and commercialization plans could be adversely effected.</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Special note regarding forward-looking statements</w:t>
      </w:r>
    </w:p>
    <w:p>
      <w:pPr>
        <w:spacing w:after="0" w:line="154" w:lineRule="exact"/>
        <w:rPr>
          <w:sz w:val="20"/>
          <w:szCs w:val="20"/>
          <w:color w:val="auto"/>
        </w:rPr>
      </w:pPr>
    </w:p>
    <w:p>
      <w:pPr>
        <w:ind w:left="120" w:right="340"/>
        <w:spacing w:after="0" w:line="253" w:lineRule="auto"/>
        <w:rPr>
          <w:sz w:val="20"/>
          <w:szCs w:val="20"/>
          <w:color w:val="auto"/>
        </w:rPr>
      </w:pPr>
      <w:r>
        <w:rPr>
          <w:rFonts w:ascii="Arial" w:cs="Arial" w:eastAsia="Arial" w:hAnsi="Arial"/>
          <w:sz w:val="18"/>
          <w:szCs w:val="18"/>
          <w:color w:val="auto"/>
        </w:rPr>
        <w:t>This prospectus supplement, the accompanying prospectus and the documents incorporated by reference herein and therein, and any free writing prospectus that we have authorized for use in connection with this offering, contain forward-looking statements within the meaning of Section 27A of the Securities Act of 1933, as amended, or the Securities Act, and Section 21E of the Exchange Act.</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statements about our expectations, beliefs, plans, objectives, assumptions or future events or performance are not historical facts and are forward-looking. These statements are often, but are not always, made through the use of words or phrases such as “may,” “will,” “could,” “should,” “expects,” “intends,” “plans,” “anticipates,” “believes,” “estimates,” “predicts,” “projects,” “potential,” “continue,” and similar expressions, or the negative of these terms, or similar expressions. Accordingly, these statements are subject to risks and uncertainties that could cause actual results to differ materially from those expressed in them. Any forward-looking statements are qualified in their entirety by reference to the factors discussed throughout this prospectus supplement, and in particular those factors referenced in the section “Risk factors.”</w:t>
      </w:r>
    </w:p>
    <w:p>
      <w:pPr>
        <w:spacing w:after="0" w:line="117" w:lineRule="exact"/>
        <w:rPr>
          <w:sz w:val="20"/>
          <w:szCs w:val="20"/>
          <w:color w:val="auto"/>
        </w:rPr>
      </w:pPr>
    </w:p>
    <w:p>
      <w:pPr>
        <w:ind w:left="120" w:right="300"/>
        <w:spacing w:after="0" w:line="247" w:lineRule="auto"/>
        <w:rPr>
          <w:sz w:val="20"/>
          <w:szCs w:val="20"/>
          <w:color w:val="auto"/>
        </w:rPr>
      </w:pPr>
      <w:r>
        <w:rPr>
          <w:rFonts w:ascii="Arial" w:cs="Arial" w:eastAsia="Arial" w:hAnsi="Arial"/>
          <w:sz w:val="18"/>
          <w:szCs w:val="18"/>
          <w:color w:val="auto"/>
        </w:rPr>
        <w:t>This prospectus supplement contains forward-looking statements that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w:t>
      </w:r>
    </w:p>
    <w:p>
      <w:pPr>
        <w:spacing w:after="0" w:line="106" w:lineRule="exact"/>
        <w:rPr>
          <w:sz w:val="20"/>
          <w:szCs w:val="20"/>
          <w:color w:val="auto"/>
        </w:rPr>
      </w:pPr>
    </w:p>
    <w:p>
      <w:pPr>
        <w:jc w:val="both"/>
        <w:ind w:left="340" w:right="440" w:hanging="224"/>
        <w:spacing w:after="0" w:line="24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upcoming clinical milestones and data disclosures, including our plans to: (a) disclose clinical data in the lung cancer cohort of the vopimetostat monotherapy clinical trial in the second half of 2026, (b) disclose initial safety and efficacy data from the TNG456 phase 1/2 clinical trial in the second half of 2026 and (c) initiate a phase 1/2 combination clinical trial of vopimetostat and ERAS-0015 in the second half of 2026;</w:t>
      </w:r>
    </w:p>
    <w:p>
      <w:pPr>
        <w:spacing w:after="0" w:line="106" w:lineRule="exact"/>
        <w:rPr>
          <w:rFonts w:ascii="Arial" w:cs="Arial" w:eastAsia="Arial" w:hAnsi="Arial"/>
          <w:sz w:val="18"/>
          <w:szCs w:val="18"/>
          <w:color w:val="auto"/>
        </w:rPr>
      </w:pPr>
    </w:p>
    <w:p>
      <w:pPr>
        <w:ind w:left="340" w:hanging="224"/>
        <w:spacing w:after="0" w:line="301"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discover and develop product candidates efficiently (including the advancement of development candidates on the timelines identified and the ability to identify and contract with clinical trial sites and investigators to use our product candidates in trials);</w:t>
      </w:r>
    </w:p>
    <w:p>
      <w:pPr>
        <w:spacing w:after="0" w:line="63" w:lineRule="exact"/>
        <w:rPr>
          <w:rFonts w:ascii="Arial" w:cs="Arial" w:eastAsia="Arial" w:hAnsi="Arial"/>
          <w:sz w:val="17"/>
          <w:szCs w:val="17"/>
          <w:color w:val="auto"/>
        </w:rPr>
      </w:pPr>
    </w:p>
    <w:p>
      <w:pPr>
        <w:ind w:left="340" w:right="40" w:hanging="224"/>
        <w:spacing w:after="0" w:line="27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and potential (or those of third parties) to manufacture our drug product, drug substance and product candidates successfully for preclinical use, for clinical trials and on a larger scale for commercial use, if approved;</w:t>
      </w:r>
    </w:p>
    <w:p>
      <w:pPr>
        <w:spacing w:after="0" w:line="86" w:lineRule="exact"/>
        <w:rPr>
          <w:rFonts w:ascii="Arial" w:cs="Arial" w:eastAsia="Arial" w:hAnsi="Arial"/>
          <w:sz w:val="18"/>
          <w:szCs w:val="18"/>
          <w:color w:val="auto"/>
        </w:rPr>
      </w:pPr>
    </w:p>
    <w:p>
      <w:pPr>
        <w:ind w:left="340" w:right="580" w:hanging="224"/>
        <w:spacing w:after="0" w:line="27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and willingness of our third-party strategic collaborators to continue research and development activities relating to our development candidates and product candidates;</w:t>
      </w:r>
    </w:p>
    <w:p>
      <w:pPr>
        <w:spacing w:after="0" w:line="86" w:lineRule="exact"/>
        <w:rPr>
          <w:rFonts w:ascii="Arial" w:cs="Arial" w:eastAsia="Arial" w:hAnsi="Arial"/>
          <w:sz w:val="18"/>
          <w:szCs w:val="18"/>
          <w:color w:val="auto"/>
        </w:rPr>
      </w:pPr>
    </w:p>
    <w:p>
      <w:pPr>
        <w:ind w:left="340" w:right="220" w:hanging="224"/>
        <w:spacing w:after="0" w:line="25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funding for our operations necessary to complete further research, development and commercialization of our product candidates (and that existing cash, cash equivalents and marketable securities will enable us to fund our operating expenses and capital expenditure requirements);</w:t>
      </w:r>
    </w:p>
    <w:p>
      <w:pPr>
        <w:spacing w:after="0" w:line="101" w:lineRule="exact"/>
        <w:rPr>
          <w:rFonts w:ascii="Arial" w:cs="Arial" w:eastAsia="Arial" w:hAnsi="Arial"/>
          <w:sz w:val="18"/>
          <w:szCs w:val="18"/>
          <w:color w:val="auto"/>
        </w:rPr>
      </w:pPr>
    </w:p>
    <w:p>
      <w:pPr>
        <w:ind w:left="340" w:right="600" w:hanging="224"/>
        <w:spacing w:after="0" w:line="275"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obtain and, if approved, maintain regulatory approval of our product candidates (as well as approval or clearance of screening tests and companion diagnostic tests for our product candidates) and the potential paths to approval for our product candidates, including for vopimetostat as a monotherapy or in combination in MTAP-deleted pancreatic and lung cancer;</w:t>
      </w:r>
    </w:p>
    <w:p>
      <w:pPr>
        <w:spacing w:after="0" w:line="84" w:lineRule="exact"/>
        <w:rPr>
          <w:rFonts w:ascii="Arial" w:cs="Arial" w:eastAsia="Arial" w:hAnsi="Arial"/>
          <w:sz w:val="17"/>
          <w:szCs w:val="17"/>
          <w:color w:val="auto"/>
        </w:rPr>
      </w:pPr>
    </w:p>
    <w:p>
      <w:pPr>
        <w:ind w:left="340" w:hanging="224"/>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commercialize our products, if approved;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and product candidates;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340" w:right="320" w:hanging="224"/>
        <w:spacing w:after="0" w:line="27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 and our ability to enforce our intellectual property rights;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estimates of our future expenses, capital requirements, and our need for additional financing;</w:t>
      </w:r>
    </w:p>
    <w:p>
      <w:pPr>
        <w:spacing w:after="0" w:line="144" w:lineRule="exact"/>
        <w:rPr>
          <w:rFonts w:ascii="Arial" w:cs="Arial" w:eastAsia="Arial" w:hAnsi="Arial"/>
          <w:sz w:val="18"/>
          <w:szCs w:val="18"/>
          <w:color w:val="auto"/>
        </w:rPr>
      </w:pPr>
    </w:p>
    <w:p>
      <w:pPr>
        <w:ind w:left="340" w:hanging="224"/>
        <w:spacing w:after="0" w:line="25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benefits of strategic collaboration agreements (including our clinical trial and supply agreements with Revolution Medicines, Inc. and Erasca, Inc.), our ability to enter into strategic collaborations or arrangements, and our ability to attract collaborators with development, regulatory and commercialization expertise;</w:t>
      </w:r>
    </w:p>
    <w:p>
      <w:pPr>
        <w:spacing w:after="0" w:line="101" w:lineRule="exact"/>
        <w:rPr>
          <w:rFonts w:ascii="Arial" w:cs="Arial" w:eastAsia="Arial" w:hAnsi="Arial"/>
          <w:sz w:val="18"/>
          <w:szCs w:val="18"/>
          <w:color w:val="auto"/>
        </w:rPr>
      </w:pPr>
    </w:p>
    <w:p>
      <w:pPr>
        <w:ind w:left="340" w:right="220" w:hanging="224"/>
        <w:spacing w:after="0" w:line="25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agreements with third parties (i) in connection with clinical trials; (ii) to successfully manufacture our drug substances for preclinical use, for clinical trials and on a larger scale for commercial use, if approved; (iii) in connection with the commercialization of our product candidates (if approved) and any other approved products;</w:t>
      </w:r>
    </w:p>
    <w:p>
      <w:pPr>
        <w:spacing w:after="0" w:line="101" w:lineRule="exact"/>
        <w:rPr>
          <w:rFonts w:ascii="Arial" w:cs="Arial" w:eastAsia="Arial" w:hAnsi="Arial"/>
          <w:sz w:val="18"/>
          <w:szCs w:val="18"/>
          <w:color w:val="auto"/>
        </w:rPr>
      </w:pPr>
    </w:p>
    <w:p>
      <w:pPr>
        <w:ind w:left="340" w:hanging="224"/>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financial performance, including the expectation that we will continue to incur operating losses and negative cash flow;</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if approved;</w:t>
      </w:r>
    </w:p>
    <w:p>
      <w:pPr>
        <w:spacing w:after="0" w:line="144" w:lineRule="exact"/>
        <w:rPr>
          <w:rFonts w:ascii="Arial" w:cs="Arial" w:eastAsia="Arial" w:hAnsi="Arial"/>
          <w:sz w:val="18"/>
          <w:szCs w:val="18"/>
          <w:color w:val="auto"/>
        </w:rPr>
      </w:pPr>
    </w:p>
    <w:p>
      <w:pPr>
        <w:jc w:val="both"/>
        <w:ind w:left="340" w:right="60" w:hanging="224"/>
        <w:spacing w:after="0" w:line="25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 including product approval requirements and pricing regulations by U.S. regulatory authorities (such as the Centers for Medicare &amp; Medicaid Services) and foreign regulatory authorities; and the outcome of discussions with such regulatory authorities regarding our clinical trial design;</w:t>
      </w:r>
    </w:p>
    <w:p>
      <w:pPr>
        <w:spacing w:after="0" w:line="101" w:lineRule="exact"/>
        <w:rPr>
          <w:rFonts w:ascii="Arial" w:cs="Arial" w:eastAsia="Arial" w:hAnsi="Arial"/>
          <w:sz w:val="18"/>
          <w:szCs w:val="18"/>
          <w:color w:val="auto"/>
        </w:rPr>
      </w:pPr>
    </w:p>
    <w:p>
      <w:pPr>
        <w:ind w:left="340" w:hanging="224"/>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44" w:lineRule="exact"/>
        <w:rPr>
          <w:rFonts w:ascii="Arial" w:cs="Arial" w:eastAsia="Arial" w:hAnsi="Arial"/>
          <w:sz w:val="18"/>
          <w:szCs w:val="18"/>
          <w:color w:val="auto"/>
        </w:rPr>
      </w:pPr>
    </w:p>
    <w:p>
      <w:pPr>
        <w:ind w:left="340" w:right="540" w:hanging="224"/>
        <w:spacing w:after="0" w:line="27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(or the ability of third parties with whom we contract) to produce our products or product candidates with advantages in turnaround times or manufacturing cost;</w:t>
      </w:r>
    </w:p>
    <w:p>
      <w:pPr>
        <w:spacing w:after="0" w:line="86" w:lineRule="exact"/>
        <w:rPr>
          <w:rFonts w:ascii="Arial" w:cs="Arial" w:eastAsia="Arial" w:hAnsi="Arial"/>
          <w:sz w:val="18"/>
          <w:szCs w:val="18"/>
          <w:color w:val="auto"/>
        </w:rPr>
      </w:pPr>
    </w:p>
    <w:p>
      <w:pPr>
        <w:ind w:left="340" w:right="100" w:hanging="224"/>
        <w:spacing w:after="0" w:line="25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deliver the deep, durable target inhibition—with favorable tolerability and safety profiles—necessary to maximize clinical benefit as a result of the unique ability of synthetic lethal targeting to spare normal cells, as well as the success of competing therapies that may become available;</w:t>
      </w:r>
    </w:p>
    <w:p>
      <w:pPr>
        <w:spacing w:after="0" w:line="101" w:lineRule="exact"/>
        <w:rPr>
          <w:rFonts w:ascii="Arial" w:cs="Arial" w:eastAsia="Arial" w:hAnsi="Arial"/>
          <w:sz w:val="18"/>
          <w:szCs w:val="18"/>
          <w:color w:val="auto"/>
        </w:rPr>
      </w:pPr>
    </w:p>
    <w:p>
      <w:pPr>
        <w:ind w:left="340" w:hanging="224"/>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developments relating to our competitors and industry;</w:t>
      </w:r>
    </w:p>
    <w:p>
      <w:pPr>
        <w:spacing w:after="0" w:line="144" w:lineRule="exact"/>
        <w:rPr>
          <w:rFonts w:ascii="Arial" w:cs="Arial" w:eastAsia="Arial" w:hAnsi="Arial"/>
          <w:sz w:val="18"/>
          <w:szCs w:val="18"/>
          <w:color w:val="auto"/>
        </w:rPr>
      </w:pPr>
    </w:p>
    <w:p>
      <w:pPr>
        <w:ind w:left="340" w:right="100" w:hanging="224"/>
        <w:spacing w:after="0" w:line="27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trade restrictions (such as sanctions or tariffs); regulatory requirements, legal actions, or enforcement; inflation rates; and inadequate funding for government agencies on our business, financial condition, and results of operations;</w:t>
      </w:r>
    </w:p>
    <w:p>
      <w:pPr>
        <w:spacing w:after="0" w:line="86" w:lineRule="exact"/>
        <w:rPr>
          <w:rFonts w:ascii="Arial" w:cs="Arial" w:eastAsia="Arial" w:hAnsi="Arial"/>
          <w:sz w:val="18"/>
          <w:szCs w:val="18"/>
          <w:color w:val="auto"/>
        </w:rPr>
      </w:pPr>
    </w:p>
    <w:p>
      <w:pPr>
        <w:ind w:left="340" w:right="40" w:hanging="224"/>
        <w:spacing w:after="0" w:line="27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public health crises on our business operations, including but not limited to our preclinical studies and clinical trials and any future studies or trials;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expected benefit of our drugs in patients as single agents and/or in combination;</w:t>
      </w:r>
    </w:p>
    <w:p>
      <w:pPr>
        <w:spacing w:after="0" w:line="144" w:lineRule="exact"/>
        <w:rPr>
          <w:rFonts w:ascii="Arial" w:cs="Arial" w:eastAsia="Arial" w:hAnsi="Arial"/>
          <w:sz w:val="18"/>
          <w:szCs w:val="18"/>
          <w:color w:val="auto"/>
        </w:rPr>
      </w:pPr>
    </w:p>
    <w:p>
      <w:pPr>
        <w:ind w:left="340" w:right="360" w:hanging="224"/>
        <w:spacing w:after="0" w:line="27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of preclinical data to support clinical trial results, including (i) our belief that robust preclinical data for vopimetostat and RAS(ON) inhibitors support a potentially strong combination effect in clinical trials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340" w:right="100"/>
        <w:spacing w:after="0" w:line="253" w:lineRule="auto"/>
        <w:rPr>
          <w:sz w:val="20"/>
          <w:szCs w:val="20"/>
          <w:color w:val="auto"/>
        </w:rPr>
      </w:pPr>
      <w:r>
        <w:rPr>
          <w:rFonts w:ascii="Arial" w:cs="Arial" w:eastAsia="Arial" w:hAnsi="Arial"/>
          <w:sz w:val="18"/>
          <w:szCs w:val="18"/>
          <w:color w:val="auto"/>
        </w:rPr>
        <w:t>of vopimetostat in combination with RAS inhibitors and (ii) our belief that strong preclinical data showing significant in vivo combination benefit could support potential clinical combinations of our PRMT5 inhibitors with CDK4/6 or MAT2A inhibitors, as well as other oncogene-targeted therapies;</w:t>
      </w:r>
    </w:p>
    <w:p>
      <w:pPr>
        <w:spacing w:after="0" w:line="101" w:lineRule="exact"/>
        <w:rPr>
          <w:sz w:val="20"/>
          <w:szCs w:val="20"/>
          <w:color w:val="auto"/>
        </w:rPr>
      </w:pPr>
    </w:p>
    <w:p>
      <w:pPr>
        <w:ind w:left="340" w:hanging="224"/>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benefits and development paths of our drugs as monotherapies and in combination with RAS inhibitors; and</w:t>
      </w:r>
    </w:p>
    <w:p>
      <w:pPr>
        <w:spacing w:after="0" w:line="144" w:lineRule="exact"/>
        <w:rPr>
          <w:rFonts w:ascii="Arial" w:cs="Arial" w:eastAsia="Arial" w:hAnsi="Arial"/>
          <w:sz w:val="18"/>
          <w:szCs w:val="18"/>
          <w:color w:val="auto"/>
        </w:rPr>
      </w:pPr>
    </w:p>
    <w:p>
      <w:pPr>
        <w:ind w:left="340" w:hanging="224"/>
        <w:spacing w:after="0" w:line="25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 in this prospectus supplement and in our Annual Report on Form 10-K for the year ended December 31, 2025 and our most recent Quarterly Report on Form 10-Q for the quarter ended March 31, 2026.</w:t>
      </w:r>
    </w:p>
    <w:p>
      <w:pPr>
        <w:spacing w:after="0" w:line="88"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These forward-looking statements are neither promises nor guarantees of future performance due to a variety of risks and uncertainties, many of which are beyond our control, which could cause actual results to differ materially from those indicated by these forward-looking statements, including, without limitation the risk factors and cautionary statements described in other documents that we file from time to time with the SEC, specifically under “Item 1A: Risk Factors” and elsewhere in our most recent Annual Report on Form 10-K for the period ended December 31, 2025 and our most recent Quarterly Report on Form 10-Q for the quarter ended March 31, 2026, and our Current Reports on Form 8-K, and in this prospectus supplement under the heading “Risk factors.”</w:t>
      </w:r>
    </w:p>
    <w:p>
      <w:pPr>
        <w:spacing w:after="0" w:line="111" w:lineRule="exact"/>
        <w:rPr>
          <w:sz w:val="20"/>
          <w:szCs w:val="20"/>
          <w:color w:val="auto"/>
        </w:rPr>
      </w:pPr>
    </w:p>
    <w:p>
      <w:pPr>
        <w:ind w:left="120" w:right="340"/>
        <w:spacing w:after="0" w:line="271" w:lineRule="auto"/>
        <w:rPr>
          <w:sz w:val="20"/>
          <w:szCs w:val="20"/>
          <w:color w:val="auto"/>
        </w:rPr>
      </w:pPr>
      <w:r>
        <w:rPr>
          <w:rFonts w:ascii="Arial" w:cs="Arial" w:eastAsia="Arial" w:hAnsi="Arial"/>
          <w:sz w:val="18"/>
          <w:szCs w:val="18"/>
          <w:color w:val="auto"/>
        </w:rPr>
        <w:t>While we may elect to update forward-looking statements at some point in the future, we assume no obligation to update or revise any forward-looking statements except to the extent required by applicable law.</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 supplement and the documents incorporated by reference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04"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Use of proceeds</w:t>
      </w:r>
    </w:p>
    <w:p>
      <w:pPr>
        <w:spacing w:after="0" w:line="156" w:lineRule="exact"/>
        <w:rPr>
          <w:sz w:val="20"/>
          <w:szCs w:val="20"/>
          <w:color w:val="auto"/>
        </w:rPr>
      </w:pPr>
    </w:p>
    <w:p>
      <w:pPr>
        <w:jc w:val="both"/>
        <w:ind w:left="120" w:right="120"/>
        <w:spacing w:after="0" w:line="253" w:lineRule="auto"/>
        <w:rPr>
          <w:sz w:val="20"/>
          <w:szCs w:val="20"/>
          <w:color w:val="auto"/>
        </w:rPr>
      </w:pPr>
      <w:r>
        <w:rPr>
          <w:rFonts w:ascii="Arial" w:cs="Arial" w:eastAsia="Arial" w:hAnsi="Arial"/>
          <w:sz w:val="18"/>
          <w:szCs w:val="18"/>
          <w:color w:val="auto"/>
        </w:rPr>
        <w:t>We estimate that we will receive net proceeds from this offering of approximately $        million (or approximately $    million if the underwriters exercise in full their option to purchase additional shares), after deducting the underwriting discounts and commissions and estimated offering expenses payable by us.</w:t>
      </w:r>
    </w:p>
    <w:p>
      <w:pPr>
        <w:spacing w:after="0" w:line="101"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We intend to use the net proceeds from this offering for general corporate purposes, including research and development expenses, expenses relating to our pivotal trial and preparation for the potential commercialization of one or more of our product candidates, general and administrative expenses and capital expenditures. Based upon our current operating plan, we believe that the net proceeds from this offering, together with our existing cash, cash equivalents and investments, will enable us to fund our operating expenses and capital expenditure requirements into 2030.</w:t>
      </w:r>
    </w:p>
    <w:p>
      <w:pPr>
        <w:spacing w:after="0" w:line="109"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The expected use of the net proceeds from this offering represents our intentions based upon our current plans and business conditions, which could change in the future as our plans and business conditions evolve. The amounts and timing of our actual expenditures will depend on numerous factors, including the factors described under “Risk factors” in this prospectus supplement, the accompanying prospectus and in the documents incorporated by reference herein, as well as the amount of cash used in our operations. We may find it necessary or advisable to use the net proceeds for other purposes, and we will have broad discretion in the application of the net proceeds. Pending the uses described above, we plan to invest the net proceeds from this offering in short- and intermediate-term, interest-bearing obligations, investment-grade instruments, certificates of deposit or direct or guaranteed obligations of the U.S. government.</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040"/>
          </w:cols>
          <w:pgMar w:left="320" w:top="455" w:right="5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Dividend policy</w:t>
      </w:r>
    </w:p>
    <w:p>
      <w:pPr>
        <w:spacing w:after="0" w:line="156"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We have never declared or paid cash dividends on our capital stock. We intend to retain all of our future earnings, if any, to finance the growth and development of our business. We do not intend to pay cash dividends to our stockholders in the foreseeable future.</w:t>
      </w:r>
    </w:p>
    <w:p>
      <w:pPr>
        <w:spacing w:after="0" w:line="8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0800"/>
          </w:cols>
          <w:pgMar w:left="320" w:top="455" w:right="7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Dilution</w:t>
      </w:r>
    </w:p>
    <w:p>
      <w:pPr>
        <w:spacing w:after="0" w:line="156" w:lineRule="exact"/>
        <w:rPr>
          <w:sz w:val="20"/>
          <w:szCs w:val="20"/>
          <w:color w:val="auto"/>
        </w:rPr>
      </w:pPr>
    </w:p>
    <w:p>
      <w:pPr>
        <w:jc w:val="both"/>
        <w:ind w:left="120" w:right="160"/>
        <w:spacing w:after="0" w:line="253" w:lineRule="auto"/>
        <w:rPr>
          <w:sz w:val="20"/>
          <w:szCs w:val="20"/>
          <w:color w:val="auto"/>
        </w:rPr>
      </w:pPr>
      <w:r>
        <w:rPr>
          <w:rFonts w:ascii="Arial" w:cs="Arial" w:eastAsia="Arial" w:hAnsi="Arial"/>
          <w:sz w:val="18"/>
          <w:szCs w:val="18"/>
          <w:color w:val="auto"/>
        </w:rPr>
        <w:t>If you invest in our common stock in this offering, your ownership interest will be diluted to the extent of the difference between the public offering price per share of our common stock in this offering and the as adjusted net tangible book value per share of our common stock immediately after this offering.</w:t>
      </w:r>
    </w:p>
    <w:p>
      <w:pPr>
        <w:spacing w:after="0" w:line="101"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The net tangible book value of our common stock as of March 31, 2026 was approximately $391.5 million, or approximately $2.72 per share of common stock based upon 144,162,543 shares outstanding. Net tangible book value per share is equal to our total tangible assets (total assets less intangible assets), less our total liabilities, divided by the total number of shares of common stock outstanding as of March 31, 2026.</w:t>
      </w:r>
    </w:p>
    <w:p>
      <w:pPr>
        <w:spacing w:after="0" w:line="106"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Net tangible book value dilution per share to investors participating in this offering represents the difference between the amount per share paid by purchasers of shares of common stock in this offering and the as adjusted net tangible book value per share of common stock immediately after completion of this offering.</w:t>
      </w:r>
    </w:p>
    <w:p>
      <w:pPr>
        <w:spacing w:after="0" w:line="88"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auto"/>
        </w:rPr>
        <w:t>After giving effect to the sale by us of shares of our common stock in this offering, at the offering price of $    per share, and after deducting the underwriting discounts and commissions and estimated offering expenses payable by us, our as adjusted net tangible book value as of March 31, 2026 would have been approximately $    million, or $    per share of our common stock. This represents an immediate increase in net tangible book value of $ per share to our existing stockholders and an immediate dilution in as adjusted net tangible book value of $    per share to new investors in this offering.</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illustrates this calculation on a per share basis:</w:t>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9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Offering price per share</w:t>
            </w:r>
          </w:p>
        </w:tc>
        <w:tc>
          <w:tcPr>
            <w:tcW w:w="4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 xml:space="preserve">$     </w:t>
            </w:r>
          </w:p>
        </w:tc>
      </w:tr>
      <w:tr>
        <w:trPr>
          <w:trHeight w:val="203"/>
        </w:trPr>
        <w:tc>
          <w:tcPr>
            <w:tcW w:w="9420" w:type="dxa"/>
            <w:vAlign w:val="bottom"/>
          </w:tcPr>
          <w:p>
            <w:pPr>
              <w:ind w:left="360"/>
              <w:spacing w:after="0" w:line="202" w:lineRule="exact"/>
              <w:rPr>
                <w:sz w:val="20"/>
                <w:szCs w:val="20"/>
                <w:color w:val="auto"/>
              </w:rPr>
            </w:pPr>
            <w:r>
              <w:rPr>
                <w:rFonts w:ascii="Arial" w:cs="Arial" w:eastAsia="Arial" w:hAnsi="Arial"/>
                <w:sz w:val="18"/>
                <w:szCs w:val="18"/>
                <w:color w:val="auto"/>
              </w:rPr>
              <w:t>Net tangible book value per share as of March 31, 2026</w:t>
            </w: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w w:val="97"/>
              </w:rPr>
              <w:t>$2.72</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4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Increase in net tangible book value per share attributable to this offering</w:t>
            </w:r>
          </w:p>
        </w:tc>
        <w:tc>
          <w:tcPr>
            <w:tcW w:w="460" w:type="dxa"/>
            <w:vAlign w:val="bottom"/>
            <w:tcBorders>
              <w:bottom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84"/>
        </w:trPr>
        <w:tc>
          <w:tcPr>
            <w:tcW w:w="9420" w:type="dxa"/>
            <w:vAlign w:val="bottom"/>
          </w:tcPr>
          <w:p>
            <w:pPr>
              <w:spacing w:after="0"/>
              <w:rPr>
                <w:sz w:val="20"/>
                <w:szCs w:val="20"/>
                <w:color w:val="auto"/>
              </w:rPr>
            </w:pPr>
            <w:r>
              <w:rPr>
                <w:rFonts w:ascii="Arial" w:cs="Arial" w:eastAsia="Arial" w:hAnsi="Arial"/>
                <w:sz w:val="18"/>
                <w:szCs w:val="18"/>
                <w:color w:val="auto"/>
              </w:rPr>
              <w:t>As adjusted net tangible book value per share after giving effect to this offering</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9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in net tangible book value per share to new investors in this offering</w:t>
            </w:r>
          </w:p>
        </w:tc>
        <w:tc>
          <w:tcPr>
            <w:tcW w:w="1540" w:type="dxa"/>
            <w:vAlign w:val="bottom"/>
            <w:gridSpan w:val="3"/>
            <w:shd w:val="clear" w:color="auto" w:fill="CCEEFF"/>
          </w:tcPr>
          <w:p>
            <w:pPr>
              <w:ind w:left="84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608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312" w:lineRule="exact"/>
        <w:rPr>
          <w:sz w:val="20"/>
          <w:szCs w:val="20"/>
          <w:color w:val="auto"/>
        </w:rPr>
      </w:pPr>
    </w:p>
    <w:p>
      <w:pPr>
        <w:ind w:left="120" w:right="200"/>
        <w:spacing w:after="0" w:line="247" w:lineRule="auto"/>
        <w:rPr>
          <w:sz w:val="20"/>
          <w:szCs w:val="20"/>
          <w:color w:val="auto"/>
        </w:rPr>
      </w:pPr>
      <w:r>
        <w:rPr>
          <w:rFonts w:ascii="Arial" w:cs="Arial" w:eastAsia="Arial" w:hAnsi="Arial"/>
          <w:sz w:val="18"/>
          <w:szCs w:val="18"/>
          <w:color w:val="auto"/>
        </w:rPr>
        <w:t>Assuming the underwriters exercise their option to purchase         additional shares of our common stock in full at the public offering price of $      per share, the as adjusted net tangible book value will increase to $        per share, representing an immediate increase in net tangible book value of $        per share of our common stock to existing stockholders and an immediate dilution of $        per share to purchasers of our common stock in this offering.</w:t>
      </w:r>
    </w:p>
    <w:p>
      <w:pPr>
        <w:spacing w:after="0" w:line="106"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color w:val="auto"/>
        </w:rPr>
        <w:t>The information above is based upon 144,162,543 shares of our common stock outstanding as of March 31, 2026. The information above excludes:</w:t>
      </w:r>
    </w:p>
    <w:p>
      <w:pPr>
        <w:spacing w:after="0" w:line="86" w:lineRule="exact"/>
        <w:rPr>
          <w:sz w:val="20"/>
          <w:szCs w:val="20"/>
          <w:color w:val="auto"/>
        </w:rPr>
      </w:pPr>
    </w:p>
    <w:p>
      <w:pPr>
        <w:ind w:left="340" w:right="540" w:hanging="224"/>
        <w:spacing w:after="0" w:line="271"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24,100,505 shares of common stock issuable upon the exercise of stock options outstanding as of March 31, 2026, at a weighted average exercise price of $7.91 per share;</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1,881,055 shares of common stock issuable upon the vesting of restricted stock units as of March 31, 2026;</w:t>
      </w:r>
    </w:p>
    <w:p>
      <w:pPr>
        <w:spacing w:after="0" w:line="144" w:lineRule="exact"/>
        <w:rPr>
          <w:rFonts w:ascii="Arial" w:cs="Arial" w:eastAsia="Arial" w:hAnsi="Arial"/>
          <w:sz w:val="18"/>
          <w:szCs w:val="18"/>
          <w:color w:val="auto"/>
        </w:rPr>
      </w:pPr>
    </w:p>
    <w:p>
      <w:pPr>
        <w:ind w:left="340" w:right="240" w:hanging="224"/>
        <w:spacing w:after="0" w:line="271"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8,558,351 shares of common stock available for future issuance under the 2021 Plan as of March 31, 2026, as well as any automatic increases in the number of shares of common stock reserved for issuance under the 2021 Plan;</w:t>
      </w:r>
    </w:p>
    <w:p>
      <w:pPr>
        <w:spacing w:after="0" w:line="86" w:lineRule="exact"/>
        <w:rPr>
          <w:rFonts w:ascii="Arial" w:cs="Arial" w:eastAsia="Arial" w:hAnsi="Arial"/>
          <w:sz w:val="18"/>
          <w:szCs w:val="18"/>
          <w:color w:val="auto"/>
        </w:rPr>
      </w:pPr>
    </w:p>
    <w:p>
      <w:pPr>
        <w:ind w:left="340" w:right="580" w:hanging="224"/>
        <w:spacing w:after="0" w:line="271"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4,383,122 shares of common stock available for future issuance under the ESPP as of March 31, 2026, as well as any automatic increases in the number of shares of common stock reserved for issuance under the ESPP;</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1,767,162 shares of common stock available for future issuance under the 2023 Inducement Plan as of March 31, 2026;</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340" w:right="160" w:hanging="224"/>
        <w:spacing w:after="0" w:line="271"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1,358,620 shares of our common stock issuable upon the exercise of stock options granted subsequent to March 31, 2026, through June 5, 2026 at a weighted-average exercise price of $21.40 per share;</w:t>
      </w:r>
    </w:p>
    <w:p>
      <w:pPr>
        <w:spacing w:after="0" w:line="86" w:lineRule="exact"/>
        <w:rPr>
          <w:rFonts w:ascii="Arial" w:cs="Arial" w:eastAsia="Arial" w:hAnsi="Arial"/>
          <w:sz w:val="18"/>
          <w:szCs w:val="18"/>
          <w:color w:val="auto"/>
        </w:rPr>
      </w:pPr>
    </w:p>
    <w:p>
      <w:pPr>
        <w:ind w:left="340" w:right="600" w:hanging="224"/>
        <w:spacing w:after="0" w:line="271"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248,720 shares of our common stock issuable upon the vesting and settlement of restricted stock units granted subsequent to March 31, 2026, through June 5, 2026; and</w:t>
      </w:r>
    </w:p>
    <w:p>
      <w:pPr>
        <w:spacing w:after="0" w:line="86" w:lineRule="exact"/>
        <w:rPr>
          <w:rFonts w:ascii="Arial" w:cs="Arial" w:eastAsia="Arial" w:hAnsi="Arial"/>
          <w:sz w:val="18"/>
          <w:szCs w:val="18"/>
          <w:color w:val="auto"/>
        </w:rPr>
      </w:pPr>
    </w:p>
    <w:p>
      <w:pPr>
        <w:ind w:left="340" w:right="80" w:hanging="224"/>
        <w:spacing w:after="0" w:line="271"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3,226,458 shares of common stock issuable upon the exercise of the pre-funded warrants outstanding as of March 31, 2026, with an exercise price of $0.001 per pre-funded warrant.</w:t>
      </w:r>
    </w:p>
    <w:p>
      <w:pPr>
        <w:spacing w:after="0" w:line="7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Unless otherwise indicated, all information in this prospectus supplement assumes no exercise of outstanding options, restricted stock units or pre-funded warrants described above after March 31, 2026 and that the underwriters do not exercise their option to purchase up to        of additional shares of our common stock.</w:t>
      </w:r>
    </w:p>
    <w:p>
      <w:pPr>
        <w:spacing w:after="0" w:line="101" w:lineRule="exact"/>
        <w:rPr>
          <w:sz w:val="20"/>
          <w:szCs w:val="20"/>
          <w:color w:val="auto"/>
        </w:rPr>
      </w:pPr>
    </w:p>
    <w:p>
      <w:pPr>
        <w:jc w:val="both"/>
        <w:ind w:left="120" w:right="60"/>
        <w:spacing w:after="0" w:line="242" w:lineRule="auto"/>
        <w:rPr>
          <w:sz w:val="20"/>
          <w:szCs w:val="20"/>
          <w:color w:val="auto"/>
        </w:rPr>
      </w:pPr>
      <w:r>
        <w:rPr>
          <w:rFonts w:ascii="Arial" w:cs="Arial" w:eastAsia="Arial" w:hAnsi="Arial"/>
          <w:sz w:val="18"/>
          <w:szCs w:val="18"/>
          <w:color w:val="auto"/>
        </w:rPr>
        <w:t>In addition, we may choose to raise additional capital in the future through the sale of equity or convertible debt securities due to market conditions or strategic considerations, even if we believe we have sufficient funds for our current or future operating plans. To the extent that any of our outstanding options are exercised, shares of common stock are issued upon the vesting and settlement of our restricted stock units outstanding, new equity awards are granted under our equity incentive plans, additional shares of common stock are issued pursuant to the Sales Agreement with Leerink Partners LLC or we otherwise issue additional shares of common stock or other equity or convertible debt securities in the future, there may be further dilution to investors participating in this offering.</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0940"/>
          </w:cols>
          <w:pgMar w:left="320" w:top="455" w:right="6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Description of capital stock</w:t>
      </w:r>
    </w:p>
    <w:p>
      <w:pPr>
        <w:spacing w:after="0" w:line="156" w:lineRule="exact"/>
        <w:rPr>
          <w:sz w:val="20"/>
          <w:szCs w:val="20"/>
          <w:color w:val="auto"/>
        </w:rPr>
      </w:pPr>
    </w:p>
    <w:p>
      <w:pPr>
        <w:ind w:left="120" w:right="40"/>
        <w:spacing w:after="0"/>
        <w:rPr>
          <w:sz w:val="20"/>
          <w:szCs w:val="20"/>
          <w:color w:val="auto"/>
        </w:rPr>
      </w:pPr>
      <w:r>
        <w:rPr>
          <w:rFonts w:ascii="Arial" w:cs="Arial" w:eastAsia="Arial" w:hAnsi="Arial"/>
          <w:sz w:val="18"/>
          <w:szCs w:val="18"/>
          <w:i w:val="1"/>
          <w:iCs w:val="1"/>
          <w:color w:val="auto"/>
        </w:rPr>
        <w:t>The following description of our common stock and preferred stock, together with the additional information we include in any applicable prospectus supplements, summarizes the material terms and provisions of the common stock and preferred stock that we may offer under this prospectus. The following description of our capital stock does not purport to be complete and is subject to, and qualified in its entirety by, our Second Amended and Restated Certificate of Incorporation, as amended from time to time, or certificate of incorporation, and our Amended and Restated Bylaws, as amended from time to time, or bylaws, which are exhibits to the registration statement of which this prospectus forms a part, and by applicable law. The terms of our common stock and preferred stock may also be affected by Delaware law.</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General</w:t>
      </w:r>
    </w:p>
    <w:p>
      <w:pPr>
        <w:spacing w:after="0" w:line="135" w:lineRule="exact"/>
        <w:rPr>
          <w:sz w:val="20"/>
          <w:szCs w:val="20"/>
          <w:color w:val="auto"/>
        </w:rPr>
      </w:pPr>
    </w:p>
    <w:p>
      <w:pPr>
        <w:ind w:left="120" w:right="20"/>
        <w:spacing w:after="0" w:line="301" w:lineRule="auto"/>
        <w:rPr>
          <w:sz w:val="20"/>
          <w:szCs w:val="20"/>
          <w:color w:val="auto"/>
        </w:rPr>
      </w:pPr>
      <w:r>
        <w:rPr>
          <w:rFonts w:ascii="Arial" w:cs="Arial" w:eastAsia="Arial" w:hAnsi="Arial"/>
          <w:sz w:val="17"/>
          <w:szCs w:val="17"/>
          <w:color w:val="auto"/>
        </w:rPr>
        <w:t>Our certificate of incorporation authorizes the issuance of 410,000,000 shares, consisting of 400,000,000 shares of common stock, $0.001 par value per share, and 10,000,000 shares of preferred stock, $0.001 par value, all of which shares of preferred stock are undesignated.</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Common stock</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certificate of incorporation provides the following with respect to the rights, powers, preferences and privileges of the common stock.</w:t>
      </w:r>
    </w:p>
    <w:p>
      <w:pPr>
        <w:spacing w:after="0" w:line="144" w:lineRule="exact"/>
        <w:rPr>
          <w:sz w:val="20"/>
          <w:szCs w:val="20"/>
          <w:color w:val="auto"/>
        </w:rPr>
      </w:pPr>
    </w:p>
    <w:p>
      <w:pPr>
        <w:ind w:left="120" w:right="320"/>
        <w:spacing w:after="0" w:line="253" w:lineRule="auto"/>
        <w:rPr>
          <w:sz w:val="20"/>
          <w:szCs w:val="20"/>
          <w:color w:val="auto"/>
        </w:rPr>
      </w:pPr>
      <w:r>
        <w:rPr>
          <w:rFonts w:ascii="Arial" w:cs="Arial" w:eastAsia="Arial" w:hAnsi="Arial"/>
          <w:sz w:val="18"/>
          <w:szCs w:val="18"/>
          <w:i w:val="1"/>
          <w:iCs w:val="1"/>
          <w:color w:val="auto"/>
        </w:rPr>
        <w:t xml:space="preserve">Voting Power. </w:t>
      </w:r>
      <w:r>
        <w:rPr>
          <w:rFonts w:ascii="Arial" w:cs="Arial" w:eastAsia="Arial" w:hAnsi="Arial"/>
          <w:sz w:val="18"/>
          <w:szCs w:val="18"/>
          <w:color w:val="auto"/>
        </w:rPr>
        <w:t>Except as otherwise required by law or as otherwise provided in any certificate of designation for any series of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holders of common stock possess all voting power for the election of Tango’s directors and all other matters requiring stockholder action. Holders of common stock are entitled to one vote per share on matters to be voted on by stockholders.</w:t>
      </w:r>
    </w:p>
    <w:p>
      <w:pPr>
        <w:spacing w:after="0" w:line="88"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Holders of common stock will be entitled to receive such dividends, if any, as may be declared from time to time by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in 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xml:space="preserve">Liquidation, Dissolution and Winding Up. </w:t>
      </w:r>
      <w:r>
        <w:rPr>
          <w:rFonts w:ascii="Arial" w:cs="Arial" w:eastAsia="Arial" w:hAnsi="Arial"/>
          <w:sz w:val="18"/>
          <w:szCs w:val="18"/>
          <w:color w:val="auto"/>
        </w:rPr>
        <w:t>In the event of Tango’s voluntary or involuntary liquidation, dissolution, distribution of assets</w:t>
      </w:r>
    </w:p>
    <w:p>
      <w:pPr>
        <w:spacing w:after="0" w:line="14" w:lineRule="exact"/>
        <w:rPr>
          <w:sz w:val="20"/>
          <w:szCs w:val="20"/>
          <w:color w:val="auto"/>
        </w:rPr>
      </w:pPr>
    </w:p>
    <w:p>
      <w:pPr>
        <w:ind w:left="120" w:right="160"/>
        <w:spacing w:after="0" w:line="250" w:lineRule="auto"/>
        <w:rPr>
          <w:sz w:val="20"/>
          <w:szCs w:val="20"/>
          <w:color w:val="auto"/>
        </w:rPr>
      </w:pPr>
      <w:r>
        <w:rPr>
          <w:rFonts w:ascii="Arial" w:cs="Arial" w:eastAsia="Arial" w:hAnsi="Arial"/>
          <w:sz w:val="18"/>
          <w:szCs w:val="18"/>
          <w:color w:val="auto"/>
        </w:rPr>
        <w:t>or winding-up, the holders of the common stock will be entitled to receive an equal amount per share of all of Tango’s assets of whatever kind available for distribution to stockholders, after the rights of the holders of the preferred stock have been satisfied.</w:t>
      </w:r>
    </w:p>
    <w:p>
      <w:pPr>
        <w:spacing w:after="0" w:line="104"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i w:val="1"/>
          <w:iCs w:val="1"/>
          <w:color w:val="auto"/>
        </w:rPr>
        <w:t xml:space="preserve">Preemptive or Other Rights. </w:t>
      </w:r>
      <w:r>
        <w:rPr>
          <w:rFonts w:ascii="Arial" w:cs="Arial" w:eastAsia="Arial" w:hAnsi="Arial"/>
          <w:sz w:val="18"/>
          <w:szCs w:val="18"/>
          <w:color w:val="auto"/>
        </w:rPr>
        <w:t>Our common stock has no preemptive rights, conversion rights or other subscription rights or redemption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sinking fund provisions.</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Listing of securities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the Nasdaq Global Market under the symbol “TNGX”.</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agent</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transfer agent for our common stock is Computershare Trust Company, N.A.</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Preferred stock</w:t>
      </w:r>
    </w:p>
    <w:p>
      <w:pPr>
        <w:spacing w:after="0" w:line="135" w:lineRule="exact"/>
        <w:rPr>
          <w:sz w:val="20"/>
          <w:szCs w:val="20"/>
          <w:color w:val="auto"/>
        </w:rPr>
      </w:pPr>
    </w:p>
    <w:p>
      <w:pPr>
        <w:ind w:left="120" w:right="420"/>
        <w:spacing w:after="0" w:line="271" w:lineRule="auto"/>
        <w:rPr>
          <w:sz w:val="20"/>
          <w:szCs w:val="20"/>
          <w:color w:val="auto"/>
        </w:rPr>
      </w:pPr>
      <w:r>
        <w:rPr>
          <w:rFonts w:ascii="Arial" w:cs="Arial" w:eastAsia="Arial" w:hAnsi="Arial"/>
          <w:sz w:val="18"/>
          <w:szCs w:val="18"/>
          <w:color w:val="auto"/>
        </w:rPr>
        <w:t>Our board of directors will have the authority, without further action by our stockholders, to issue up to 10,000,000 shares of preferred stock in one or more series and to fix the rights, preferences, privileges and</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convertible preferred stock are outstanding, and we have no present plan to issue any shares of convertible preferred stock.</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Registration rights</w:t>
      </w:r>
    </w:p>
    <w:p>
      <w:pPr>
        <w:spacing w:after="0" w:line="148"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color w:val="auto"/>
        </w:rPr>
        <w:t>Certain of our stockholders, or Holders, hold registration rights pursuant to an amended and restated registration and stockholder rights agreement, or the Amended and Restated Registration and Stockholder Rights Agreement.</w:t>
      </w:r>
    </w:p>
    <w:p>
      <w:pPr>
        <w:spacing w:after="0" w:line="73" w:lineRule="exact"/>
        <w:rPr>
          <w:sz w:val="20"/>
          <w:szCs w:val="20"/>
          <w:color w:val="auto"/>
        </w:rPr>
      </w:pPr>
    </w:p>
    <w:p>
      <w:pPr>
        <w:ind w:left="120" w:right="560"/>
        <w:spacing w:after="0" w:line="271" w:lineRule="auto"/>
        <w:rPr>
          <w:sz w:val="20"/>
          <w:szCs w:val="20"/>
          <w:color w:val="auto"/>
        </w:rPr>
      </w:pPr>
      <w:r>
        <w:rPr>
          <w:rFonts w:ascii="Arial" w:cs="Arial" w:eastAsia="Arial" w:hAnsi="Arial"/>
          <w:sz w:val="18"/>
          <w:szCs w:val="18"/>
          <w:color w:val="auto"/>
        </w:rPr>
        <w:t>Stockholders holding a majority-in-interest of such registrable securities are entitled to make a written demand for registration under the Securities Act of 1933, as amended, or the Securities Act, of all or part of their registrable securities.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particular, the Amended and Restated Registration and Stockholder Rights Agreement provides for the following registration rights:</w:t>
      </w:r>
    </w:p>
    <w:p>
      <w:pPr>
        <w:spacing w:after="0" w:line="144" w:lineRule="exact"/>
        <w:rPr>
          <w:sz w:val="20"/>
          <w:szCs w:val="20"/>
          <w:color w:val="auto"/>
        </w:rPr>
      </w:pPr>
    </w:p>
    <w:p>
      <w:pPr>
        <w:ind w:left="340" w:right="200" w:hanging="224"/>
        <w:spacing w:after="0" w:line="242"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Shelf registration/demand registration rights</w:t>
      </w:r>
      <w:r>
        <w:rPr>
          <w:rFonts w:ascii="Arial" w:cs="Arial" w:eastAsia="Arial" w:hAnsi="Arial"/>
          <w:sz w:val="18"/>
          <w:szCs w:val="18"/>
          <w:color w:val="auto"/>
        </w:rPr>
        <w:t>. At any time and from time to time when an effective shelf registration statement is on file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SEC, a Holder may request to sell all or any portion of such Holder’s registrable securities by means of an underwritten takedown off of the shelf registration statement, except that we are only obligated to effect such underwritten shelf takedown if such offering will include registrable securities proposed to be sold by the requesting Holder, either individually or together with other requesting Holders, with a total offering price reasonably expected to exceed, in the aggregate, $20.0 million. Additionally, we are not required to effect more than one underwritten shelf takedown in any six-month period.</w:t>
      </w:r>
    </w:p>
    <w:p>
      <w:pPr>
        <w:spacing w:after="0" w:line="111" w:lineRule="exact"/>
        <w:rPr>
          <w:rFonts w:ascii="Arial" w:cs="Arial" w:eastAsia="Arial" w:hAnsi="Arial"/>
          <w:sz w:val="18"/>
          <w:szCs w:val="18"/>
          <w:color w:val="auto"/>
        </w:rPr>
      </w:pPr>
    </w:p>
    <w:p>
      <w:pPr>
        <w:ind w:left="340" w:right="140" w:hanging="224"/>
        <w:spacing w:after="0" w:line="24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Piggyback registration rights</w:t>
      </w:r>
      <w:r>
        <w:rPr>
          <w:rFonts w:ascii="Arial" w:cs="Arial" w:eastAsia="Arial" w:hAnsi="Arial"/>
          <w:sz w:val="18"/>
          <w:szCs w:val="18"/>
          <w:color w:val="auto"/>
        </w:rPr>
        <w:t>. Subject to exceptions for certain offerings and registration statements, if at any time, we propose to file a</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under the Securities Act, in connection with an offering of our equity securities or securities or other obligations exercisable or exchangeable for, or convertible into, our equity securities, either for our own account or for the account of other stockholders, the Holders are entitled to include their registrable securities in such registration statement.</w:t>
      </w:r>
    </w:p>
    <w:p>
      <w:pPr>
        <w:spacing w:after="0" w:line="106" w:lineRule="exact"/>
        <w:rPr>
          <w:rFonts w:ascii="Arial" w:cs="Arial" w:eastAsia="Arial" w:hAnsi="Arial"/>
          <w:sz w:val="18"/>
          <w:szCs w:val="18"/>
          <w:color w:val="auto"/>
        </w:rPr>
      </w:pPr>
    </w:p>
    <w:p>
      <w:pPr>
        <w:ind w:left="340" w:right="40" w:hanging="224"/>
        <w:spacing w:after="0" w:line="24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Indemnification</w:t>
      </w:r>
      <w:r>
        <w:rPr>
          <w:rFonts w:ascii="Arial" w:cs="Arial" w:eastAsia="Arial" w:hAnsi="Arial"/>
          <w:sz w:val="18"/>
          <w:szCs w:val="18"/>
          <w:color w:val="auto"/>
        </w:rPr>
        <w:t>. The Amended and Restated Registration and Stockholder Rights Agreement contains customary cross-indemnification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Expiration of registration rights</w:t>
      </w:r>
    </w:p>
    <w:p>
      <w:pPr>
        <w:spacing w:after="0" w:line="148"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color w:val="auto"/>
        </w:rPr>
        <w:t>The registration rights granted under the Amended and Restated Registration and Stockholder Rights Agreement will terminate on the earlier of (i) the 10th anniversary of the date of the agreement and (ii) with respect to any Holder, on the date that such Holder no longer holds any Registrable Securities.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Anti-takeover effects of our certificate of incorporation and bylaws and Delaware law</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142" w:lineRule="exact"/>
        <w:rPr>
          <w:sz w:val="20"/>
          <w:szCs w:val="20"/>
          <w:color w:val="auto"/>
        </w:rPr>
      </w:pPr>
    </w:p>
    <w:p>
      <w:pPr>
        <w:ind w:left="120" w:right="360"/>
        <w:spacing w:after="0" w:line="245" w:lineRule="auto"/>
        <w:rPr>
          <w:sz w:val="20"/>
          <w:szCs w:val="20"/>
          <w:color w:val="auto"/>
        </w:rPr>
      </w:pPr>
      <w:r>
        <w:rPr>
          <w:rFonts w:ascii="Arial" w:cs="Arial" w:eastAsia="Arial" w:hAnsi="Arial"/>
          <w:sz w:val="18"/>
          <w:szCs w:val="18"/>
          <w:color w:val="auto"/>
        </w:rPr>
        <w:t>Our certificate of incorporation and bylaws include a number of provisions that may have the effect of delaying, deferring or preventing another party from acquiring control of us and encouraging persons considering</w:t>
      </w:r>
    </w:p>
    <w:p>
      <w:pPr>
        <w:ind w:left="120" w:right="2040"/>
        <w:spacing w:after="0" w:line="250" w:lineRule="auto"/>
        <w:rPr>
          <w:sz w:val="20"/>
          <w:szCs w:val="20"/>
          <w:color w:val="auto"/>
        </w:rPr>
      </w:pPr>
      <w:r>
        <w:rPr>
          <w:rFonts w:ascii="Arial" w:cs="Arial" w:eastAsia="Arial" w:hAnsi="Arial"/>
          <w:sz w:val="18"/>
          <w:szCs w:val="18"/>
          <w:color w:val="auto"/>
        </w:rPr>
        <w:t>unsolicited tender offers or other unilateral takeover proposals to negotiate with our board of directors rather than pursue non-negotiated takeover attempts. These provisions include the items described below:</w:t>
      </w:r>
    </w:p>
    <w:p>
      <w:pPr>
        <w:spacing w:after="0" w:line="104" w:lineRule="exact"/>
        <w:rPr>
          <w:sz w:val="20"/>
          <w:szCs w:val="20"/>
          <w:color w:val="auto"/>
        </w:rPr>
      </w:pPr>
    </w:p>
    <w:p>
      <w:pPr>
        <w:ind w:left="340" w:right="320" w:hanging="224"/>
        <w:spacing w:after="0" w:line="271"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permit our board of directors to issue up to 10,000,000 shares of preferred stock, with any rights, preferences and privileges as they may designate, including the right to approve an acquisition or other change of control;</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our board of directors;</w:t>
      </w:r>
    </w:p>
    <w:p>
      <w:pPr>
        <w:spacing w:after="0" w:line="144" w:lineRule="exact"/>
        <w:rPr>
          <w:rFonts w:ascii="Arial" w:cs="Arial" w:eastAsia="Arial" w:hAnsi="Arial"/>
          <w:sz w:val="18"/>
          <w:szCs w:val="18"/>
          <w:color w:val="auto"/>
        </w:rPr>
      </w:pPr>
    </w:p>
    <w:p>
      <w:pPr>
        <w:jc w:val="both"/>
        <w:ind w:left="340" w:right="300" w:hanging="224"/>
        <w:spacing w:after="0" w:line="301"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provide that, subject to the rights of any series of preferred stock to elect directors, directors may be removed only with cause by the holders of at least two thirds (2/3) of all of our then-outstanding shares of the capital stock entitled to vote at an election of directors;</w:t>
      </w:r>
    </w:p>
    <w:p>
      <w:pPr>
        <w:spacing w:after="0" w:line="63" w:lineRule="exact"/>
        <w:rPr>
          <w:rFonts w:ascii="Arial" w:cs="Arial" w:eastAsia="Arial" w:hAnsi="Arial"/>
          <w:sz w:val="17"/>
          <w:szCs w:val="17"/>
          <w:color w:val="auto"/>
        </w:rPr>
      </w:pPr>
    </w:p>
    <w:p>
      <w:pPr>
        <w:ind w:left="340" w:hanging="224"/>
        <w:spacing w:after="0" w:line="25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that, subject to the rights of any series of preferred stock to fill director vacancies, all director vacancies, including newly created directorships, may, except as otherwise required by law, be filled by the affirmative vote of a majority of directors then in office, even if less than a quorum;</w:t>
      </w:r>
    </w:p>
    <w:p>
      <w:pPr>
        <w:spacing w:after="0" w:line="101" w:lineRule="exact"/>
        <w:rPr>
          <w:rFonts w:ascii="Arial" w:cs="Arial" w:eastAsia="Arial" w:hAnsi="Arial"/>
          <w:sz w:val="18"/>
          <w:szCs w:val="18"/>
          <w:color w:val="auto"/>
        </w:rPr>
      </w:pPr>
    </w:p>
    <w:p>
      <w:pPr>
        <w:ind w:left="340" w:right="60" w:hanging="224"/>
        <w:spacing w:after="0" w:line="25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101" w:lineRule="exact"/>
        <w:rPr>
          <w:rFonts w:ascii="Arial" w:cs="Arial" w:eastAsia="Arial" w:hAnsi="Arial"/>
          <w:sz w:val="18"/>
          <w:szCs w:val="18"/>
          <w:color w:val="auto"/>
        </w:rPr>
      </w:pPr>
    </w:p>
    <w:p>
      <w:pPr>
        <w:ind w:left="340" w:right="20" w:hanging="224"/>
        <w:spacing w:after="0" w:line="271"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be called by our board of directors pursuant to a resolution adopted by a majority of the total number of directors then in office;</w:t>
      </w:r>
    </w:p>
    <w:p>
      <w:pPr>
        <w:spacing w:after="0" w:line="86" w:lineRule="exact"/>
        <w:rPr>
          <w:rFonts w:ascii="Arial" w:cs="Arial" w:eastAsia="Arial" w:hAnsi="Arial"/>
          <w:sz w:val="18"/>
          <w:szCs w:val="18"/>
          <w:color w:val="auto"/>
        </w:rPr>
      </w:pPr>
    </w:p>
    <w:p>
      <w:pPr>
        <w:ind w:left="340" w:right="240" w:hanging="224"/>
        <w:spacing w:after="0" w:line="271"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that our board of directors will be divided into three classes of directors, with the directors serving three-year terms, therefore making it more difficult for stockholders to change the composition of our board of directors;</w:t>
      </w:r>
    </w:p>
    <w:p>
      <w:pPr>
        <w:spacing w:after="0" w:line="86" w:lineRule="exact"/>
        <w:rPr>
          <w:rFonts w:ascii="Arial" w:cs="Arial" w:eastAsia="Arial" w:hAnsi="Arial"/>
          <w:sz w:val="18"/>
          <w:szCs w:val="18"/>
          <w:color w:val="auto"/>
        </w:rPr>
      </w:pPr>
    </w:p>
    <w:p>
      <w:pPr>
        <w:ind w:left="340" w:hanging="224"/>
        <w:spacing w:after="0" w:line="242"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that 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certificate of incorporation must be approved by not less than two-thirds of the outstanding shares entitled to vote on the amendment, and not less than two-thirds of the outstanding shares of each class entitled to vote thereon as a class;</w:t>
      </w:r>
    </w:p>
    <w:p>
      <w:pPr>
        <w:spacing w:after="0" w:line="111" w:lineRule="exact"/>
        <w:rPr>
          <w:rFonts w:ascii="Arial" w:cs="Arial" w:eastAsia="Arial" w:hAnsi="Arial"/>
          <w:sz w:val="18"/>
          <w:szCs w:val="18"/>
          <w:color w:val="auto"/>
        </w:rPr>
      </w:pPr>
    </w:p>
    <w:p>
      <w:pPr>
        <w:ind w:left="340" w:hanging="224"/>
        <w:spacing w:after="0" w:line="266"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Bylaws may be amended by the affirmative vote of a majority of the directors then in office, subject to any limitations set forth by law or in the bylaws; and may also be amended by the affirmative vote of 75% of the outstanding shares entitled to vote on the amendment; provided, however, if our board of directors recommends such amendment to be voted on at a meeting of the stockholders, such amendment only requires the affirmative vote of the majority of the outstanding shares entitled to vote on such amendment and</w:t>
      </w:r>
    </w:p>
    <w:p>
      <w:pPr>
        <w:spacing w:after="0" w:line="91" w:lineRule="exact"/>
        <w:rPr>
          <w:rFonts w:ascii="Arial" w:cs="Arial" w:eastAsia="Arial" w:hAnsi="Arial"/>
          <w:sz w:val="17"/>
          <w:szCs w:val="17"/>
          <w:color w:val="auto"/>
        </w:rPr>
      </w:pPr>
    </w:p>
    <w:p>
      <w:pPr>
        <w:ind w:left="340" w:right="300" w:hanging="224"/>
        <w:spacing w:after="0" w:line="271"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12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Tango has opted out of Section 203 of the Delaware General Corporation Law, or the DGCL. Section 203 of the DGCL prohibits a Delaware corporation from engaging in a “business combination” with an “interested stockholder” (i.e. a stockholder owning 15% or more of company’s voting stock) for three years following the time that the “interested stockholder” becomes such, subject to certain exceptions.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jurisdiction of certain actions</w:t>
      </w:r>
    </w:p>
    <w:p>
      <w:pPr>
        <w:spacing w:after="0" w:line="142"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Our bylaws require, to the fullest extent permitted by law, unless we consent in writing to the selection of an alternative forum, that derivative actions brought in the name of Tango, actions against any current or former directors, officers and employees for breach of fiduciary duty, actions asserting a claim arising pursuant to any provision of the DGCL or our certificate of incorporation or our bylaws, actions to interpret, apply, enforce or determine the validity of our certificate of incorporation or our bylaws and actions asserting a claim governed by the internal affairs doctrine may be brought only in the Court of Chancery in the State of Delaware, or the Delaware Forum Provision. The Delaware Forum Provision will not apply to any causes of action arising under the Securities Act and the Exchange Act. Our bylaws further provide that unless we consent in writing to the selection of an alternative forum, the federal district courts of the United States shall be the sole and exclusive forum for resolving any complaint asserting a cause of action arising under the Securities Act. We refer to such provision as the Federal Forum Provision.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 Any person or entity purchasing or otherwise acquiring any interest in shares of capital stock of Tango shall be deemed to have notice of and consented to this choice of forum provision.</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Certain material U.S. federal income tax considerations</w:t>
      </w:r>
    </w:p>
    <w:p>
      <w:pPr>
        <w:spacing w:after="0" w:line="154"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The following summary describes the material U.S. federal income tax considerations of the acquisition, ownership and disposition of our common stock acquired in this offering. This discussion does not address all aspects of U.S. federal income taxes, does not discuss the potential application of any alternative minimum tax or Medicare Contribution tax on net investment income, or the special tax accounting rules under Section 451(b) of the Internal Revenue Code, or the Code, and does not address state or local taxes, U.S. federal gift and estate tax laws or, except to the limited extent provided below, any non-U.S. tax consequences that may be relevant to investors in light of their particular circumstances.</w:t>
      </w:r>
    </w:p>
    <w:p>
      <w:pPr>
        <w:spacing w:after="0" w:line="111" w:lineRule="exact"/>
        <w:rPr>
          <w:sz w:val="20"/>
          <w:szCs w:val="20"/>
          <w:color w:val="auto"/>
        </w:rPr>
      </w:pPr>
    </w:p>
    <w:p>
      <w:pPr>
        <w:ind w:left="120" w:right="360"/>
        <w:spacing w:after="0" w:line="271" w:lineRule="auto"/>
        <w:rPr>
          <w:sz w:val="20"/>
          <w:szCs w:val="20"/>
          <w:color w:val="auto"/>
        </w:rPr>
      </w:pPr>
      <w:r>
        <w:rPr>
          <w:rFonts w:ascii="Arial" w:cs="Arial" w:eastAsia="Arial" w:hAnsi="Arial"/>
          <w:sz w:val="18"/>
          <w:szCs w:val="18"/>
          <w:color w:val="auto"/>
        </w:rPr>
        <w:t>Special rules different from those described below may apply to certain investors that are subject to special treatment under the Code, such as:</w:t>
      </w:r>
    </w:p>
    <w:p>
      <w:pPr>
        <w:spacing w:after="0" w:line="86" w:lineRule="exact"/>
        <w:rPr>
          <w:sz w:val="20"/>
          <w:szCs w:val="20"/>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insurance companies, banks and other financial institutions;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tax-exempt organizations (including private foundations) and tax-qualified retirement plans;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governments and international organizations;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broker-dealers and traders in securities;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44" w:lineRule="exact"/>
        <w:rPr>
          <w:rFonts w:ascii="Arial" w:cs="Arial" w:eastAsia="Arial" w:hAnsi="Arial"/>
          <w:sz w:val="18"/>
          <w:szCs w:val="18"/>
          <w:color w:val="auto"/>
        </w:rPr>
      </w:pPr>
    </w:p>
    <w:p>
      <w:pPr>
        <w:ind w:left="340" w:right="420" w:hanging="224"/>
        <w:spacing w:after="0" w:line="271"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Non-U.S. Holders (as defined below) that own, or are deemed to own, more than 5% of our common stock (directly, indirectly or by attribution);</w:t>
      </w:r>
    </w:p>
    <w:p>
      <w:pPr>
        <w:spacing w:after="0" w:line="86" w:lineRule="exact"/>
        <w:rPr>
          <w:rFonts w:ascii="Arial" w:cs="Arial" w:eastAsia="Arial" w:hAnsi="Arial"/>
          <w:sz w:val="18"/>
          <w:szCs w:val="18"/>
          <w:color w:val="auto"/>
        </w:rPr>
      </w:pPr>
    </w:p>
    <w:p>
      <w:pPr>
        <w:ind w:left="340" w:right="440" w:hanging="224"/>
        <w:spacing w:after="0" w:line="271"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86" w:lineRule="exact"/>
        <w:rPr>
          <w:rFonts w:ascii="Arial" w:cs="Arial" w:eastAsia="Arial" w:hAnsi="Arial"/>
          <w:sz w:val="18"/>
          <w:szCs w:val="18"/>
          <w:color w:val="auto"/>
        </w:rPr>
      </w:pPr>
    </w:p>
    <w:p>
      <w:pPr>
        <w:ind w:left="340" w:right="720" w:hanging="224"/>
        <w:spacing w:after="0" w:line="271"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that hold our common stock as part of a “straddle,” “hedge,” “conversion transaction,” “synthetic security” or integrated investment or other risk reduction strategy;</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for U.S. tax purposes is not the U.S. dollar;</w:t>
      </w:r>
    </w:p>
    <w:p>
      <w:pPr>
        <w:spacing w:after="0" w:line="144" w:lineRule="exact"/>
        <w:rPr>
          <w:rFonts w:ascii="Arial" w:cs="Arial" w:eastAsia="Arial" w:hAnsi="Arial"/>
          <w:sz w:val="18"/>
          <w:szCs w:val="18"/>
          <w:color w:val="auto"/>
        </w:rPr>
      </w:pPr>
    </w:p>
    <w:p>
      <w:pPr>
        <w:ind w:left="340" w:right="840" w:hanging="224"/>
        <w:spacing w:after="0" w:line="271"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who do not hold our common stock as “capital assets” within the meaning of Section 1221 of the Code (generally, for investment purposes)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44" w:lineRule="exact"/>
        <w:rPr>
          <w:rFonts w:ascii="Arial" w:cs="Arial" w:eastAsia="Arial" w:hAnsi="Arial"/>
          <w:sz w:val="18"/>
          <w:szCs w:val="18"/>
          <w:color w:val="auto"/>
        </w:rPr>
      </w:pPr>
    </w:p>
    <w:p>
      <w:pPr>
        <w:ind w:left="340" w:hanging="224"/>
        <w:spacing w:after="0" w:line="271"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 and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who hold or receive our common stock pursuant to the exercise of any employee stock option or otherwise as compensation.</w:t>
      </w:r>
    </w:p>
    <w:p>
      <w:pPr>
        <w:spacing w:after="0" w:line="144"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color w:val="auto"/>
        </w:rPr>
        <w:t>Such investors are urged to consult their own tax advisors to determine the U.S. federal, state, local and other tax consequences that may be relevant to them.</w:t>
      </w:r>
    </w:p>
    <w:p>
      <w:pPr>
        <w:spacing w:after="0" w:line="73"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In addition, this discussion does not address the tax treatment of partnerships or other pass-through entities or persons who hold our common stock through partnerships or other entities which are pass-through entities for U.S. federal income tax purposes. If a partnership or other pass-through entity holds our common stock, the tax</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treatment of a partner will generally depend upon the status of the partner and the activities of the partnership or other pass-through entity. A partner in a partnership or other pass-through entity that will hold our common stock should consult his, her or its own tax advisor regarding the tax consequences of the ownership and disposition of our common stock through a partnership or other pass-through entity, as applicable.</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Furthermore, the discussion below is based upon the provisions of the Code, and Treasury regulations, published rulings and administrative provisions of the Internal Revenue Service, or IRS, judicial decisions thereunder as of the date hereof, and such authorities may be repealed, revoked or modified, possibly retroactively, and are subject to differing interpretations which could result in U.S. federal income tax consequences different from those discussed below. We have not requested a ruling from the IRS with respect to the statements made and the conclusions reached in the following summary, and there can be no assurance that the IRS will agree with such statements and conclusions or will not take a contrary position regarding the tax consequences described herein, or that any such contrary position would not be sustained by a court.</w:t>
      </w:r>
    </w:p>
    <w:p>
      <w:pPr>
        <w:spacing w:after="0" w:line="117"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For the purposes of this discussion, a “U.S. Holder” means a beneficial owner of our common stock, other than a partnership or other pass-through entity, that is, for U.S. federal income tax purposes, (a) an individual who is a citizen or resident of the United States, (b) a corporation (or other entity taxable as a corporation for U.S. federal income tax purposes), created or organized in or under the laws of the United States, any state thereof or the District of Columbia, (c) an estate, the income of which is subject to U.S. federal income taxation regardless of its source, or (d) a trust if it (1) is subject to the primary supervision of a court within the United States and one or more ”United States persons” (within the meaning of Section 7701(a)(30) of the Code) have the authority to control all substantial decisions of the trust or (2) has a valid election in effect under applicable U.S. Treasury regulations to be treated as a U.S. person.</w:t>
      </w:r>
    </w:p>
    <w:p>
      <w:pPr>
        <w:spacing w:after="0" w:line="117"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If you are an individual non-U.S. citizen,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p>
    <w:p>
      <w:pPr>
        <w:spacing w:after="0" w:line="93"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common stock.</w:t>
      </w:r>
    </w:p>
    <w:p>
      <w:pPr>
        <w:spacing w:after="0" w:line="101" w:lineRule="exact"/>
        <w:rPr>
          <w:sz w:val="20"/>
          <w:szCs w:val="20"/>
          <w:color w:val="auto"/>
        </w:rPr>
      </w:pPr>
    </w:p>
    <w:p>
      <w:pPr>
        <w:ind w:left="120" w:right="240"/>
        <w:spacing w:after="0" w:line="242" w:lineRule="auto"/>
        <w:rPr>
          <w:sz w:val="20"/>
          <w:szCs w:val="20"/>
          <w:color w:val="auto"/>
        </w:rPr>
      </w:pPr>
      <w:r>
        <w:rPr>
          <w:rFonts w:ascii="Arial" w:cs="Arial" w:eastAsia="Arial" w:hAnsi="Arial"/>
          <w:sz w:val="18"/>
          <w:szCs w:val="18"/>
          <w:color w:val="auto"/>
        </w:rPr>
        <w:t>PERSONS CONSIDERING THE PURCHASE OF OUR COMMON STOCK PURSUANT TO THIS OFFERING SHOULD CONSULT THEIR OWN TAX ADVISORS CONCERNING THE U.S. FEDERAL INCOME TAX CONSEQUENCES OF ACQUIRING, OWNING AND DISPOSING OF OUR COMMON STOCK IN LIGHT OF THEIR PARTICULAR SITUATIONS AS WELL AS ANY CONSEQUENCES ARISING UNDER THE LAWS OF ANY OTHER TAXING JURISDICTION, INCLUDING ANY STATE, LOCAL OR NON-U.S. TAX CONSEQUENCES OR ANY U.S. FEDERAL NON-INCOME TAX CONSEQUENCES, AND THE POSSIBLE APPLICATION OF TAX TREATIES.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Tax consequences to U.S. holders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on common stock</w:t>
      </w:r>
    </w:p>
    <w:p>
      <w:pPr>
        <w:spacing w:after="0" w:line="129" w:lineRule="exact"/>
        <w:rPr>
          <w:sz w:val="20"/>
          <w:szCs w:val="20"/>
          <w:color w:val="auto"/>
        </w:rPr>
      </w:pPr>
    </w:p>
    <w:p>
      <w:pPr>
        <w:jc w:val="both"/>
        <w:ind w:left="120" w:right="40"/>
        <w:spacing w:after="0" w:line="253" w:lineRule="auto"/>
        <w:rPr>
          <w:sz w:val="20"/>
          <w:szCs w:val="20"/>
          <w:color w:val="auto"/>
        </w:rPr>
      </w:pPr>
      <w:r>
        <w:rPr>
          <w:rFonts w:ascii="Arial" w:cs="Arial" w:eastAsia="Arial" w:hAnsi="Arial"/>
          <w:sz w:val="18"/>
          <w:szCs w:val="18"/>
          <w:color w:val="auto"/>
        </w:rPr>
        <w:t>As stated under “</w:t>
      </w:r>
      <w:r>
        <w:rPr>
          <w:rFonts w:ascii="Arial" w:cs="Arial" w:eastAsia="Arial" w:hAnsi="Arial"/>
          <w:sz w:val="18"/>
          <w:szCs w:val="18"/>
          <w:i w:val="1"/>
          <w:iCs w:val="1"/>
          <w:color w:val="auto"/>
        </w:rPr>
        <w:t>Dividend Policy</w:t>
      </w:r>
      <w:r>
        <w:rPr>
          <w:rFonts w:ascii="Arial" w:cs="Arial" w:eastAsia="Arial" w:hAnsi="Arial"/>
          <w:sz w:val="18"/>
          <w:szCs w:val="18"/>
          <w:color w:val="auto"/>
        </w:rPr>
        <w:t>,” we do not expect to make distributions on our common stock in the foreseeable future. In the event that we do make distributions of cash or other property, distributions paid on common stock will be treated as a dividend to the extent paid out of our current or accumulated earnings and</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profits (as determined under U.S. federal income tax principles). Dividends received by individuals may be eligible to be taxed at the lower applicable qualified dividends rate, provided certain holding period requirements are satisfied. Distributions in excess of our current and accumulated earnings and profits will be treated as a return of capital to the extent of a U.S. Holder’s tax basis in the common stock and thereafter as capital gain from the sale or exchange of such common stock. The tax treatment of such gain is further described in “—</w:t>
      </w:r>
      <w:r>
        <w:rPr>
          <w:rFonts w:ascii="Arial" w:cs="Arial" w:eastAsia="Arial" w:hAnsi="Arial"/>
          <w:sz w:val="18"/>
          <w:szCs w:val="18"/>
          <w:i w:val="1"/>
          <w:iCs w:val="1"/>
          <w:color w:val="auto"/>
        </w:rPr>
        <w:t>Sale</w:t>
      </w:r>
      <w:r>
        <w:rPr>
          <w:rFonts w:ascii="Arial" w:cs="Arial" w:eastAsia="Arial" w:hAnsi="Arial"/>
          <w:sz w:val="18"/>
          <w:szCs w:val="18"/>
          <w:color w:val="auto"/>
        </w:rPr>
        <w:t xml:space="preserve"> </w:t>
      </w:r>
      <w:r>
        <w:rPr>
          <w:rFonts w:ascii="Arial" w:cs="Arial" w:eastAsia="Arial" w:hAnsi="Arial"/>
          <w:sz w:val="18"/>
          <w:szCs w:val="18"/>
          <w:i w:val="1"/>
          <w:iCs w:val="1"/>
          <w:color w:val="auto"/>
        </w:rPr>
        <w:t>or Other Disposition of Common Stock</w:t>
      </w:r>
      <w:r>
        <w:rPr>
          <w:rFonts w:ascii="Arial" w:cs="Arial" w:eastAsia="Arial" w:hAnsi="Arial"/>
          <w:sz w:val="18"/>
          <w:szCs w:val="18"/>
          <w:color w:val="auto"/>
        </w:rPr>
        <w:t>” below. Dividends received by a corporation may be eligible for a dividends received deduction,</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applicable limitations. Any such distributions will also be subject to the discussions below under the section titled “—</w:t>
      </w:r>
      <w:r>
        <w:rPr>
          <w:rFonts w:ascii="Arial" w:cs="Arial" w:eastAsia="Arial" w:hAnsi="Arial"/>
          <w:sz w:val="18"/>
          <w:szCs w:val="18"/>
          <w:i w:val="1"/>
          <w:iCs w:val="1"/>
          <w:color w:val="auto"/>
        </w:rPr>
        <w:t>Information</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 and Backup Withholding</w:t>
      </w:r>
      <w:r>
        <w:rPr>
          <w:rFonts w:ascii="Arial" w:cs="Arial" w:eastAsia="Arial" w:hAnsi="Arial"/>
          <w:sz w:val="18"/>
          <w:szCs w:val="18"/>
          <w:color w:val="auto"/>
        </w:rPr>
        <w:t>.”</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disposition of common stock</w:t>
      </w:r>
    </w:p>
    <w:p>
      <w:pPr>
        <w:spacing w:after="0" w:line="142"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color w:val="auto"/>
        </w:rPr>
        <w:t>For U.S. federal income tax purposes, gain or loss realized on the sale or other disposition of common stock will be capital gain or loss, and will be long-term capital gain or loss if you have held the common stock for more than one year. The amount of the gain or loss will equal the difference between your adjusted tax basis in the common stock disposed of and the amount realized on the disposition. Long-term capital gains recognized by non-corporate U.S. Holders will be subject to reduced tax rates. The deductibility of capital losses is subject to limitations.</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29"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Information reporting requirements generally will apply to any distributions on our common stock and gross proceeds on the sale or other disposition of our common stock, unless the U.S. Holder is an exempt recipient (such as a corporation), regardless of whether any tax was actually withheld. Backup withholding (currently at a 24% rate) will apply to those payments if the U.S. Holder fails to provide its correct taxpayer identification number, or certification of exempt status, or if the U.S. Holder is notified by the IRS that it has failed to report in full payments of interest and dividend income. Any amounts withheld under the backup withholding rules will be allowed as a refund or a credit against a U.S. Holder’s U.S. federal income tax liability provided the required information is furnished timely to the IRS.</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backup withholding is applied to you, you should consult with your own tax advisor to determine whether you have overpaid your U.S.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federal income tax, and whether you are able to obtain a tax refund or credit of the overpaid amount.</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Tax consequences to non-U.S. holders</w:t>
      </w:r>
    </w:p>
    <w:p>
      <w:pPr>
        <w:spacing w:after="0" w:line="148" w:lineRule="exact"/>
        <w:rPr>
          <w:sz w:val="20"/>
          <w:szCs w:val="20"/>
          <w:color w:val="auto"/>
        </w:rPr>
      </w:pPr>
    </w:p>
    <w:p>
      <w:pPr>
        <w:jc w:val="both"/>
        <w:ind w:left="120" w:right="40"/>
        <w:spacing w:after="0" w:line="253" w:lineRule="auto"/>
        <w:rPr>
          <w:sz w:val="20"/>
          <w:szCs w:val="20"/>
          <w:color w:val="auto"/>
        </w:rPr>
      </w:pPr>
      <w:r>
        <w:rPr>
          <w:rFonts w:ascii="Arial" w:cs="Arial" w:eastAsia="Arial" w:hAnsi="Arial"/>
          <w:sz w:val="18"/>
          <w:szCs w:val="18"/>
          <w:color w:val="auto"/>
        </w:rPr>
        <w:t>For purposes of this discussion, a “Non-U.S. Holder” is a beneficial owner of our common stock that, for U.S. federal income tax purposes is not a U.S. Holder or a partnership (including any entity or arrangement treated as a partnership). If you are not a Non-U.S. Holder, this section does not apply to you.</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on common stock</w:t>
      </w:r>
    </w:p>
    <w:p>
      <w:pPr>
        <w:spacing w:after="0" w:line="142" w:lineRule="exact"/>
        <w:rPr>
          <w:sz w:val="20"/>
          <w:szCs w:val="20"/>
          <w:color w:val="auto"/>
        </w:rPr>
      </w:pPr>
    </w:p>
    <w:p>
      <w:pPr>
        <w:ind w:left="120" w:right="340"/>
        <w:spacing w:after="0" w:line="242" w:lineRule="auto"/>
        <w:rPr>
          <w:sz w:val="20"/>
          <w:szCs w:val="20"/>
          <w:color w:val="auto"/>
        </w:rPr>
      </w:pPr>
      <w:r>
        <w:rPr>
          <w:rFonts w:ascii="Arial" w:cs="Arial" w:eastAsia="Arial" w:hAnsi="Arial"/>
          <w:sz w:val="18"/>
          <w:szCs w:val="18"/>
          <w:color w:val="auto"/>
        </w:rPr>
        <w:t>As stated under “</w:t>
      </w:r>
      <w:r>
        <w:rPr>
          <w:rFonts w:ascii="Arial" w:cs="Arial" w:eastAsia="Arial" w:hAnsi="Arial"/>
          <w:sz w:val="18"/>
          <w:szCs w:val="18"/>
          <w:i w:val="1"/>
          <w:iCs w:val="1"/>
          <w:color w:val="auto"/>
        </w:rPr>
        <w:t>Dividend Policy</w:t>
      </w:r>
      <w:r>
        <w:rPr>
          <w:rFonts w:ascii="Arial" w:cs="Arial" w:eastAsia="Arial" w:hAnsi="Arial"/>
          <w:sz w:val="18"/>
          <w:szCs w:val="18"/>
          <w:color w:val="auto"/>
        </w:rPr>
        <w:t>,” we do not expect to make any distributions on our common stock in the foreseeable future. If we do make distributions on our common stock, however, such distributions made to a Non-U.S. Holder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Any remaining excess will be treated as gain realized as described below under the section titled “—</w:t>
      </w:r>
      <w:r>
        <w:rPr>
          <w:rFonts w:ascii="Arial" w:cs="Arial" w:eastAsia="Arial" w:hAnsi="Arial"/>
          <w:sz w:val="18"/>
          <w:szCs w:val="18"/>
          <w:i w:val="1"/>
          <w:iCs w:val="1"/>
          <w:color w:val="auto"/>
        </w:rPr>
        <w:t>Sale or Other Disposition of Common Stock</w:t>
      </w:r>
      <w:r>
        <w:rPr>
          <w:rFonts w:ascii="Arial" w:cs="Arial" w:eastAsia="Arial" w:hAnsi="Arial"/>
          <w:sz w:val="18"/>
          <w:szCs w:val="18"/>
          <w:color w:val="auto"/>
        </w:rPr>
        <w: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Subject to the discussion below under the sections titled “—</w:t>
      </w:r>
      <w:r>
        <w:rPr>
          <w:rFonts w:ascii="Arial" w:cs="Arial" w:eastAsia="Arial" w:hAnsi="Arial"/>
          <w:sz w:val="18"/>
          <w:szCs w:val="18"/>
          <w:i w:val="1"/>
          <w:iCs w:val="1"/>
          <w:color w:val="auto"/>
        </w:rPr>
        <w:t>Information Reporting and Backup Withholding</w:t>
      </w:r>
      <w:r>
        <w:rPr>
          <w:rFonts w:ascii="Arial" w:cs="Arial" w:eastAsia="Arial" w:hAnsi="Arial"/>
          <w:sz w:val="18"/>
          <w:szCs w:val="18"/>
          <w:color w:val="auto"/>
        </w:rPr>
        <w:t>” and “—</w:t>
      </w:r>
      <w:r>
        <w:rPr>
          <w:rFonts w:ascii="Arial" w:cs="Arial" w:eastAsia="Arial" w:hAnsi="Arial"/>
          <w:sz w:val="18"/>
          <w:szCs w:val="18"/>
          <w:i w:val="1"/>
          <w:iCs w:val="1"/>
          <w:color w:val="auto"/>
        </w:rPr>
        <w:t>Foreign Accounts</w:t>
      </w:r>
      <w:r>
        <w:rPr>
          <w:rFonts w:ascii="Arial" w:cs="Arial" w:eastAsia="Arial" w:hAnsi="Arial"/>
          <w:sz w:val="18"/>
          <w:szCs w:val="18"/>
          <w:color w:val="auto"/>
        </w:rPr>
        <w:t>,” any distribution on our common stock that is treated as a dividend paid to a Non-U.S. Holder that is not effectively connected with the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the applicable withholding agent with a properly executed IRS Form W-8BEN, IRS Form W-8BEN-E or other appropriate form, certifying the Non-U.S. Holder’s entitlement to benefits under that treaty. Such form must be provided prior to the payment of dividends and must be updated periodically. If a Non-U.S. Holder holds stock through a financial institution or other agent acting on the holder’s behalf, the holder will be required to provide appropriate documentation to such agent. The holder’s agent may then be required to provide certification to the applicable withholding agent, either directly or through other intermediaries. If you are eligible for a reduced rate of U.S. withholding tax under an income tax treaty, you should consult with your own tax advisor to determine if you are able to obtain a refund or credit of any excess amounts withheld by timely filing an appropriate claim for a refund with the IRS.</w:t>
      </w:r>
    </w:p>
    <w:p>
      <w:pPr>
        <w:spacing w:after="0" w:line="102"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We generally are not required to withhold tax on dividends paid (or constructive dividends deemed paid) to a Non-U.S. Holder that are effectively connected with the holder’s conduct of a trade or business within the United States (and, if required by an applicable income tax treaty, are attributable to a permanent establishment or fixed base that the holder maintains in the United States) if a properly executed IRS Form W-8ECI, stating that the dividends are so connected, is furnished to us (or, if shares of our common stock are held through a financial institution or other agent, to the applicable withholding agent). In general, such effectively connected dividends will be subject to U.S. federal income tax on a net income basis at the regular graduated rates applicable to U.S. persons, unless a specific treaty exemption applies.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Non-U.S. Holders should consult their tax advisors regarding any applicable income tax treaties that may provide for different rules.</w:t>
      </w:r>
    </w:p>
    <w:p>
      <w:pPr>
        <w:spacing w:after="0" w:line="112"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86"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color w:val="auto"/>
        </w:rPr>
        <w:t>See also the section below titled “—</w:t>
      </w:r>
      <w:r>
        <w:rPr>
          <w:rFonts w:ascii="Arial" w:cs="Arial" w:eastAsia="Arial" w:hAnsi="Arial"/>
          <w:sz w:val="18"/>
          <w:szCs w:val="18"/>
          <w:i w:val="1"/>
          <w:iCs w:val="1"/>
          <w:color w:val="auto"/>
        </w:rPr>
        <w:t>Foreign Accounts</w:t>
      </w:r>
      <w:r>
        <w:rPr>
          <w:rFonts w:ascii="Arial" w:cs="Arial" w:eastAsia="Arial" w:hAnsi="Arial"/>
          <w:sz w:val="18"/>
          <w:szCs w:val="18"/>
          <w:color w:val="auto"/>
        </w:rPr>
        <w:t>” for additional withholding rules that may apply to dividends paid to certain foreign financial institutions or non-financial foreign entities.</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disposition of common stock</w:t>
      </w:r>
    </w:p>
    <w:p>
      <w:pPr>
        <w:spacing w:after="0" w:line="142"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Subject to the discussion below under the sections titled “—</w:t>
      </w:r>
      <w:r>
        <w:rPr>
          <w:rFonts w:ascii="Arial" w:cs="Arial" w:eastAsia="Arial" w:hAnsi="Arial"/>
          <w:sz w:val="18"/>
          <w:szCs w:val="18"/>
          <w:i w:val="1"/>
          <w:iCs w:val="1"/>
          <w:color w:val="auto"/>
        </w:rPr>
        <w:t>Information Reporting and Backup Withholding</w:t>
      </w:r>
      <w:r>
        <w:rPr>
          <w:rFonts w:ascii="Arial" w:cs="Arial" w:eastAsia="Arial" w:hAnsi="Arial"/>
          <w:sz w:val="18"/>
          <w:szCs w:val="18"/>
          <w:color w:val="auto"/>
        </w:rPr>
        <w:t>” and “—</w:t>
      </w:r>
      <w:r>
        <w:rPr>
          <w:rFonts w:ascii="Arial" w:cs="Arial" w:eastAsia="Arial" w:hAnsi="Arial"/>
          <w:sz w:val="18"/>
          <w:szCs w:val="18"/>
          <w:i w:val="1"/>
          <w:iCs w:val="1"/>
          <w:color w:val="auto"/>
        </w:rPr>
        <w:t>Foreign Accounts</w:t>
      </w:r>
      <w:r>
        <w:rPr>
          <w:rFonts w:ascii="Arial" w:cs="Arial" w:eastAsia="Arial" w:hAnsi="Arial"/>
          <w:sz w:val="18"/>
          <w:szCs w:val="18"/>
          <w:color w:val="auto"/>
        </w:rPr>
        <w:t>,” a Non-U.S. Holder generally will not be subject to U.S. federal income or withholding tax with respect to gain realized on a sale or other disposition of our common stock unless (a) the gain is effectively connected with a trade or business of the holder in the United States (and, if required by an applicable income tax treaty, is attributable to a permanent establishment that the holder maintains in the United States), (b) the Non-U.S. Holder is a nonresident alien individual and is present in the United States for a period or periods aggregating 183 or more days in the taxable year of the disposition and certain other conditions are met, or (c) we are or have been a “United States real property holding corporation” within the meaning of Code Section 897(c)(2) during the shorter of the 5-year period ending on the date of the disposition or the period that the Non-U.S. Holder held such class of stock, unless any class of our stock is regularly traded on an established securities market and the Non-U.S. Holder disposes of such class of stock and holds no more than 5% of such class of stock, directly or indirectly, actually or constructively.</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If you are a Non-U.S. Holder described in (a) above, you will be required to pay tax on the net gain derived from the sale at the regular graduated U.S. federal income tax rates applicable to U.S. persons, unless a specific treaty exemption applies. Corporate Non-U.S. Holders described in (a) above may also be subject to the additional branch profits tax at a 30% rate or such lower rate as may be specified by an applicable income tax treaty. If you are an individual Non-U.S. Holder described in (b) above, you will be required to pay a flat 30% tax on the gain derived from the sale, which gain may be offset by certain U.S. source capital losses (even though you are not considered a resident of the United States), provided you have timely filed U.S. federal income tax returns with respect to such losses. With respect to (c) above, in general, we would be a U.S. real property holding corporation if interests in U.S. real estate comprised (by fair market value) at least half of our worldwide real property interests plus our other assets used or held for use in a trade or business. We believe that we are not, and do not anticipate becoming, a U.S. real property holding corporation. However, there can be no assurance that we will not become a U.S. real property holding corporation in the future.</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42"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color w:val="auto"/>
        </w:rPr>
        <w:t>Generally, we or certain financial middlemen must report information to the IRS with respect to any distributions we pay on our common stock, the name and address of the recipient, and the amount, if any, of tax withheld. A similar report is sent to the holder to whom any such distributions are paid. Pursuant to tax treaties or certain other agreements, the IRS may make its reports available to tax authorities in the recipient’s country of residence.</w:t>
      </w:r>
    </w:p>
    <w:p>
      <w:pPr>
        <w:spacing w:after="0" w:line="106" w:lineRule="exact"/>
        <w:rPr>
          <w:sz w:val="20"/>
          <w:szCs w:val="20"/>
          <w:color w:val="auto"/>
        </w:rPr>
      </w:pPr>
    </w:p>
    <w:p>
      <w:pPr>
        <w:ind w:left="120" w:right="220"/>
        <w:spacing w:after="0" w:line="247" w:lineRule="auto"/>
        <w:rPr>
          <w:sz w:val="20"/>
          <w:szCs w:val="20"/>
          <w:color w:val="auto"/>
        </w:rPr>
      </w:pPr>
      <w:r>
        <w:rPr>
          <w:rFonts w:ascii="Arial" w:cs="Arial" w:eastAsia="Arial" w:hAnsi="Arial"/>
          <w:sz w:val="18"/>
          <w:szCs w:val="18"/>
          <w:color w:val="auto"/>
        </w:rPr>
        <w:t>Dividends paid by us (or our paying agents) to a Non-U.S. Holder may also be subject to U.S. backup withholding. U.S. backup withholding generally will not apply to a Non-U.S. Holder who provides a properly executed IRS Form W-8BEN or IRS Form W-8BEN-E, as applicable, or otherwise establishes an exemption, provided that the applicable withholding agent does not have actual knowledge or reason to know the holder is a U.S. person.</w:t>
      </w:r>
    </w:p>
    <w:p>
      <w:pPr>
        <w:spacing w:after="0" w:line="93"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Under current U.S. federal income tax law, U.S. information reporting and backup withholding requirements generally will apply to the proceeds of a disposition of our common stock effected by or through a U.S. office of any broker, U.S. or non-U.S., unless the Non-U.S. Holder provides a properly executed IRS Form W-8BEN or IRS Form W-8BEN-E, as applicable,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16" w:lineRule="exact"/>
        <w:rPr>
          <w:sz w:val="20"/>
          <w:szCs w:val="20"/>
          <w:color w:val="auto"/>
        </w:rPr>
      </w:pPr>
    </w:p>
    <w:p>
      <w:pPr>
        <w:jc w:val="both"/>
        <w:ind w:left="120" w:right="600"/>
        <w:spacing w:after="0" w:line="253" w:lineRule="auto"/>
        <w:rPr>
          <w:sz w:val="20"/>
          <w:szCs w:val="20"/>
          <w:color w:val="auto"/>
        </w:rPr>
      </w:pPr>
      <w:r>
        <w:rPr>
          <w:rFonts w:ascii="Arial" w:cs="Arial" w:eastAsia="Arial" w:hAnsi="Arial"/>
          <w:sz w:val="18"/>
          <w:szCs w:val="18"/>
          <w:color w:val="auto"/>
        </w:rPr>
        <w:t>Backup withholding is not an additional tax. If backup withholding is applied to you, you should consult with your own tax advisor to determine whether you have overpaid your U.S. federal income tax, and whether you are able to obtain a tax refund or credit of the overpaid amount.</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Foreign accounts</w:t>
      </w:r>
    </w:p>
    <w:p>
      <w:pPr>
        <w:spacing w:after="0" w:line="148"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color w:val="auto"/>
        </w:rPr>
        <w:t>In addition to, and separately from the withholding rules described above, U.S. federal withholding taxes may apply under the Foreign Account Tax Compliance Act, or FATCA, on certain types of payments, including dividends (and deemed dividends) to non-U.S. financial institutions and certain other non-U.S. entities. Specifically, a 30% withholding tax may be imposed on dividends paid in respect of our common stock and the gross proceeds of the disposition on our common stock paid to a “foreign financial institution” or a</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4" w:lineRule="auto"/>
        <w:rPr>
          <w:sz w:val="20"/>
          <w:szCs w:val="20"/>
          <w:color w:val="auto"/>
        </w:rPr>
      </w:pPr>
      <w:r>
        <w:rPr>
          <w:rFonts w:ascii="Arial" w:cs="Arial" w:eastAsia="Arial" w:hAnsi="Arial"/>
          <w:sz w:val="17"/>
          <w:szCs w:val="17"/>
          <w:color w:val="auto"/>
        </w:rPr>
        <w:t>“non-financial foreign entity” (each as defined in the Code), unless (1) the foreign financial institution agrees to undertake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The 30% federal withholding tax described in this paragraph cannot be reduced under an income tax treaty with the United States.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91"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The Treasury Secretary has issued proposed regulations providing that the withholding provisions under FATCA do not apply with respect to payment of gross proceeds from a sale or other disposition of our common stock, which may be relied upon by taxpayers until final regulations are issued. Prospective investors should consult their tax advisors regarding the potential application of withholding under FATCA to their investment in our common stock.</w:t>
      </w:r>
    </w:p>
    <w:p>
      <w:pPr>
        <w:spacing w:after="0" w:line="106" w:lineRule="exact"/>
        <w:rPr>
          <w:sz w:val="20"/>
          <w:szCs w:val="20"/>
          <w:color w:val="auto"/>
        </w:rPr>
      </w:pPr>
    </w:p>
    <w:p>
      <w:pPr>
        <w:ind w:left="120" w:right="180"/>
        <w:spacing w:after="0" w:line="247" w:lineRule="auto"/>
        <w:rPr>
          <w:sz w:val="20"/>
          <w:szCs w:val="20"/>
          <w:color w:val="auto"/>
        </w:rPr>
      </w:pPr>
      <w:r>
        <w:rPr>
          <w:rFonts w:ascii="Arial" w:cs="Arial" w:eastAsia="Arial" w:hAnsi="Arial"/>
          <w:sz w:val="18"/>
          <w:szCs w:val="18"/>
          <w:color w:val="auto"/>
        </w:rPr>
        <w:t>EACH PROSPECTIVE INVESTOR SHOULD CONSULT ITS OWN TAX ADVISOR REGARDING THE TAX CONSEQUENCES OF PURCHASING, HOLDING AND DISPOSING OF OUR COMMON STOCK, INCLUDING THE CONSEQUENCES OF ANY PROPOSED CHANGE IN APPLICABLE LAW, AS WELL AS TAX CONSEQUENCES ARISING UNDER ANY STATE, LOCAL, NON-U.S. OR U.S. FEDERAL NON-INCOME TAX LAWS SUCH AS ESTATE AND GIFT TAX.</w:t>
      </w:r>
    </w:p>
    <w:p>
      <w:pPr>
        <w:spacing w:after="0" w:line="1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060"/>
          </w:cols>
          <w:pgMar w:left="320" w:top="455" w:right="5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Underwriting</w:t>
      </w:r>
    </w:p>
    <w:p>
      <w:pPr>
        <w:spacing w:after="0" w:line="154"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We are offering the shares of common stock described in this prospectus supplement through a number of underwriters. J.P. Morgan Securities LLC, Leerink Partners LLC, Cantor Fitzgerald &amp; Co. and Stifel, Nicolaus &amp; Company, Incorporated are acting as joint book-running managers of the offering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supplement, the number of shares of common stock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95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Number of shares</w:t>
            </w:r>
          </w:p>
        </w:tc>
      </w:tr>
      <w:tr>
        <w:trPr>
          <w:trHeight w:val="196"/>
        </w:trPr>
        <w:tc>
          <w:tcPr>
            <w:tcW w:w="9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J.P. Morgan Securities LLC</w:t>
            </w:r>
          </w:p>
        </w:tc>
        <w:tc>
          <w:tcPr>
            <w:tcW w:w="1460" w:type="dxa"/>
            <w:vAlign w:val="bottom"/>
            <w:gridSpan w:val="2"/>
            <w:shd w:val="clear" w:color="auto" w:fill="CCEEFF"/>
          </w:tcPr>
          <w:p>
            <w:pPr>
              <w:ind w:left="680"/>
              <w:spacing w:after="0" w:line="196" w:lineRule="exact"/>
              <w:rPr>
                <w:sz w:val="20"/>
                <w:szCs w:val="20"/>
                <w:color w:val="auto"/>
              </w:rPr>
            </w:pPr>
            <w:r>
              <w:rPr>
                <w:rFonts w:ascii="Arial" w:cs="Arial" w:eastAsia="Arial" w:hAnsi="Arial"/>
                <w:sz w:val="18"/>
                <w:szCs w:val="18"/>
                <w:color w:val="auto"/>
              </w:rPr>
              <w:t xml:space="preserve">       </w:t>
            </w:r>
          </w:p>
        </w:tc>
      </w:tr>
      <w:tr>
        <w:trPr>
          <w:trHeight w:val="203"/>
        </w:trPr>
        <w:tc>
          <w:tcPr>
            <w:tcW w:w="9560" w:type="dxa"/>
            <w:vAlign w:val="bottom"/>
          </w:tcPr>
          <w:p>
            <w:pPr>
              <w:spacing w:after="0" w:line="202" w:lineRule="exact"/>
              <w:rPr>
                <w:sz w:val="20"/>
                <w:szCs w:val="20"/>
                <w:color w:val="auto"/>
              </w:rPr>
            </w:pPr>
            <w:r>
              <w:rPr>
                <w:rFonts w:ascii="Arial" w:cs="Arial" w:eastAsia="Arial" w:hAnsi="Arial"/>
                <w:sz w:val="18"/>
                <w:szCs w:val="18"/>
                <w:color w:val="auto"/>
              </w:rPr>
              <w:t>Leerink Partners LLC</w:t>
            </w: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Cantor Fitzgerald &amp; Co.</w:t>
            </w: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9"/>
        </w:trPr>
        <w:tc>
          <w:tcPr>
            <w:tcW w:w="9560" w:type="dxa"/>
            <w:vAlign w:val="bottom"/>
          </w:tcPr>
          <w:p>
            <w:pPr>
              <w:spacing w:after="0" w:line="202" w:lineRule="exact"/>
              <w:rPr>
                <w:sz w:val="20"/>
                <w:szCs w:val="20"/>
                <w:color w:val="auto"/>
              </w:rPr>
            </w:pPr>
            <w:r>
              <w:rPr>
                <w:rFonts w:ascii="Arial" w:cs="Arial" w:eastAsia="Arial" w:hAnsi="Arial"/>
                <w:sz w:val="18"/>
                <w:szCs w:val="18"/>
                <w:color w:val="auto"/>
              </w:rPr>
              <w:t>Stifel, Nicolaus &amp; Company, Incorporated</w:t>
            </w:r>
          </w:p>
        </w:tc>
        <w:tc>
          <w:tcPr>
            <w:tcW w:w="14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9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608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326"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The underwriters are committed to purchase all the common shares offered by us if they purchase any shares. The underwriting agreement also provides that if an underwriter defaults, the purchase commitments of non-defaulting underwriters may also be increased or the offering may be terminated.</w:t>
      </w:r>
    </w:p>
    <w:p>
      <w:pPr>
        <w:spacing w:after="0" w:line="101"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auto"/>
        </w:rPr>
        <w:t>The underwriters propose to offer the common shares directly to the public at the initial public offering price set forth on the cover page of this prospectus supplement and to certain dealers at that price less a concession not in excess of $    per share. After the initial offering of the shares to the public, if all of the common shares are not sold at the initial public offering price, the underwriters may change the offering price and the other selling terms. Sales of any shares made outside of the United States may be made by affiliates of the underwriters.</w:t>
      </w:r>
    </w:p>
    <w:p>
      <w:pPr>
        <w:spacing w:after="0" w:line="95"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color w:val="auto"/>
        </w:rPr>
        <w:t>The underwriters have an option to buy up to         additional shares of common stock from us. The underwriters have 30 days from the date of this prospectus supplement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09"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The underwriting fee is equal to the public offering price per share of common stock less the amount paid by the underwriters to us per share of common 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9"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800" w:type="dxa"/>
            <w:vAlign w:val="bottom"/>
          </w:tcPr>
          <w:p>
            <w:pPr>
              <w:spacing w:after="0"/>
              <w:rPr>
                <w:sz w:val="16"/>
                <w:szCs w:val="16"/>
                <w:color w:val="auto"/>
              </w:rPr>
            </w:pPr>
          </w:p>
        </w:tc>
        <w:tc>
          <w:tcPr>
            <w:tcW w:w="5060" w:type="dxa"/>
            <w:vAlign w:val="bottom"/>
          </w:tcPr>
          <w:p>
            <w:pPr>
              <w:jc w:val="right"/>
              <w:ind w:right="57"/>
              <w:spacing w:after="0"/>
              <w:rPr>
                <w:sz w:val="20"/>
                <w:szCs w:val="20"/>
                <w:color w:val="auto"/>
              </w:rPr>
            </w:pPr>
            <w:r>
              <w:rPr>
                <w:rFonts w:ascii="Arial" w:cs="Arial" w:eastAsia="Arial" w:hAnsi="Arial"/>
                <w:sz w:val="16"/>
                <w:szCs w:val="16"/>
                <w:b w:val="1"/>
                <w:bCs w:val="1"/>
                <w:color w:val="auto"/>
              </w:rPr>
              <w:t>Without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With full</w:t>
            </w:r>
          </w:p>
        </w:tc>
      </w:tr>
      <w:tr>
        <w:trPr>
          <w:trHeight w:val="189"/>
        </w:trPr>
        <w:tc>
          <w:tcPr>
            <w:tcW w:w="4800" w:type="dxa"/>
            <w:vAlign w:val="bottom"/>
          </w:tcPr>
          <w:p>
            <w:pPr>
              <w:spacing w:after="0"/>
              <w:rPr>
                <w:sz w:val="16"/>
                <w:szCs w:val="16"/>
                <w:color w:val="auto"/>
              </w:rPr>
            </w:pPr>
          </w:p>
        </w:tc>
        <w:tc>
          <w:tcPr>
            <w:tcW w:w="5060" w:type="dxa"/>
            <w:vAlign w:val="bottom"/>
          </w:tcPr>
          <w:p>
            <w:pPr>
              <w:jc w:val="right"/>
              <w:ind w:right="57"/>
              <w:spacing w:after="0"/>
              <w:rPr>
                <w:sz w:val="20"/>
                <w:szCs w:val="20"/>
                <w:color w:val="auto"/>
              </w:rPr>
            </w:pPr>
            <w:r>
              <w:rPr>
                <w:rFonts w:ascii="Arial" w:cs="Arial" w:eastAsia="Arial" w:hAnsi="Arial"/>
                <w:sz w:val="16"/>
                <w:szCs w:val="16"/>
                <w:b w:val="1"/>
                <w:bCs w:val="1"/>
                <w:color w:val="auto"/>
              </w:rPr>
              <w:t>option to</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option to</w:t>
            </w:r>
          </w:p>
        </w:tc>
      </w:tr>
      <w:tr>
        <w:trPr>
          <w:trHeight w:val="189"/>
        </w:trPr>
        <w:tc>
          <w:tcPr>
            <w:tcW w:w="4800" w:type="dxa"/>
            <w:vAlign w:val="bottom"/>
          </w:tcPr>
          <w:p>
            <w:pPr>
              <w:spacing w:after="0"/>
              <w:rPr>
                <w:sz w:val="16"/>
                <w:szCs w:val="16"/>
                <w:color w:val="auto"/>
              </w:rPr>
            </w:pPr>
          </w:p>
        </w:tc>
        <w:tc>
          <w:tcPr>
            <w:tcW w:w="5060" w:type="dxa"/>
            <w:vAlign w:val="bottom"/>
          </w:tcPr>
          <w:p>
            <w:pPr>
              <w:jc w:val="right"/>
              <w:ind w:right="57"/>
              <w:spacing w:after="0"/>
              <w:rPr>
                <w:sz w:val="20"/>
                <w:szCs w:val="20"/>
                <w:color w:val="auto"/>
              </w:rPr>
            </w:pPr>
            <w:r>
              <w:rPr>
                <w:rFonts w:ascii="Arial" w:cs="Arial" w:eastAsia="Arial" w:hAnsi="Arial"/>
                <w:sz w:val="16"/>
                <w:szCs w:val="16"/>
                <w:b w:val="1"/>
                <w:bCs w:val="1"/>
                <w:color w:val="auto"/>
              </w:rPr>
              <w:t>purchase</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purchase</w:t>
            </w:r>
          </w:p>
        </w:tc>
      </w:tr>
      <w:tr>
        <w:trPr>
          <w:trHeight w:val="189"/>
        </w:trPr>
        <w:tc>
          <w:tcPr>
            <w:tcW w:w="4800" w:type="dxa"/>
            <w:vAlign w:val="bottom"/>
          </w:tcPr>
          <w:p>
            <w:pPr>
              <w:spacing w:after="0"/>
              <w:rPr>
                <w:sz w:val="16"/>
                <w:szCs w:val="16"/>
                <w:color w:val="auto"/>
              </w:rPr>
            </w:pPr>
          </w:p>
        </w:tc>
        <w:tc>
          <w:tcPr>
            <w:tcW w:w="5060" w:type="dxa"/>
            <w:vAlign w:val="bottom"/>
          </w:tcPr>
          <w:p>
            <w:pPr>
              <w:jc w:val="right"/>
              <w:ind w:right="57"/>
              <w:spacing w:after="0"/>
              <w:rPr>
                <w:sz w:val="20"/>
                <w:szCs w:val="20"/>
                <w:color w:val="auto"/>
              </w:rPr>
            </w:pPr>
            <w:r>
              <w:rPr>
                <w:rFonts w:ascii="Arial" w:cs="Arial" w:eastAsia="Arial" w:hAnsi="Arial"/>
                <w:sz w:val="16"/>
                <w:szCs w:val="16"/>
                <w:b w:val="1"/>
                <w:bCs w:val="1"/>
                <w:color w:val="auto"/>
              </w:rPr>
              <w:t>additional</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additional</w:t>
            </w:r>
          </w:p>
        </w:tc>
      </w:tr>
      <w:tr>
        <w:trPr>
          <w:trHeight w:val="189"/>
        </w:trPr>
        <w:tc>
          <w:tcPr>
            <w:tcW w:w="4800" w:type="dxa"/>
            <w:vAlign w:val="bottom"/>
          </w:tcPr>
          <w:p>
            <w:pPr>
              <w:spacing w:after="0"/>
              <w:rPr>
                <w:sz w:val="16"/>
                <w:szCs w:val="16"/>
                <w:color w:val="auto"/>
              </w:rPr>
            </w:pPr>
          </w:p>
        </w:tc>
        <w:tc>
          <w:tcPr>
            <w:tcW w:w="5060" w:type="dxa"/>
            <w:vAlign w:val="bottom"/>
          </w:tcPr>
          <w:p>
            <w:pPr>
              <w:jc w:val="right"/>
              <w:ind w:right="57"/>
              <w:spacing w:after="0"/>
              <w:rPr>
                <w:sz w:val="20"/>
                <w:szCs w:val="20"/>
                <w:color w:val="auto"/>
              </w:rPr>
            </w:pPr>
            <w:r>
              <w:rPr>
                <w:rFonts w:ascii="Arial" w:cs="Arial" w:eastAsia="Arial" w:hAnsi="Arial"/>
                <w:sz w:val="16"/>
                <w:szCs w:val="16"/>
                <w:b w:val="1"/>
                <w:bCs w:val="1"/>
                <w:color w:val="auto"/>
              </w:rPr>
              <w:t>shares</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shares</w:t>
            </w:r>
          </w:p>
        </w:tc>
      </w:tr>
      <w:tr>
        <w:trPr>
          <w:trHeight w:val="217"/>
        </w:trPr>
        <w:tc>
          <w:tcPr>
            <w:tcW w:w="4800" w:type="dxa"/>
            <w:vAlign w:val="bottom"/>
            <w:tcBorders>
              <w:bottom w:val="single" w:sz="8" w:color="auto"/>
            </w:tcBorders>
          </w:tcPr>
          <w:p>
            <w:pPr>
              <w:spacing w:after="0"/>
              <w:rPr>
                <w:sz w:val="18"/>
                <w:szCs w:val="18"/>
                <w:color w:val="auto"/>
              </w:rPr>
            </w:pPr>
          </w:p>
        </w:tc>
        <w:tc>
          <w:tcPr>
            <w:tcW w:w="5060" w:type="dxa"/>
            <w:vAlign w:val="bottom"/>
            <w:tcBorders>
              <w:bottom w:val="single" w:sz="8" w:color="auto"/>
            </w:tcBorders>
          </w:tcPr>
          <w:p>
            <w:pPr>
              <w:jc w:val="right"/>
              <w:ind w:right="57"/>
              <w:spacing w:after="0"/>
              <w:rPr>
                <w:sz w:val="20"/>
                <w:szCs w:val="20"/>
                <w:color w:val="auto"/>
              </w:rPr>
            </w:pPr>
            <w:r>
              <w:rPr>
                <w:rFonts w:ascii="Arial" w:cs="Arial" w:eastAsia="Arial" w:hAnsi="Arial"/>
                <w:sz w:val="16"/>
                <w:szCs w:val="16"/>
                <w:b w:val="1"/>
                <w:bCs w:val="1"/>
                <w:color w:val="auto"/>
              </w:rPr>
              <w:t>exercise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exercise</w:t>
            </w:r>
          </w:p>
        </w:tc>
      </w:tr>
      <w:tr>
        <w:trPr>
          <w:trHeight w:val="196"/>
        </w:trPr>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5060" w:type="dxa"/>
            <w:vAlign w:val="bottom"/>
            <w:shd w:val="clear" w:color="auto" w:fill="CCEEFF"/>
          </w:tcPr>
          <w:p>
            <w:pPr>
              <w:ind w:left="4000"/>
              <w:spacing w:after="0" w:line="196" w:lineRule="exact"/>
              <w:rPr>
                <w:sz w:val="20"/>
                <w:szCs w:val="20"/>
                <w:color w:val="auto"/>
              </w:rPr>
            </w:pPr>
            <w:r>
              <w:rPr>
                <w:rFonts w:ascii="Arial" w:cs="Arial" w:eastAsia="Arial" w:hAnsi="Arial"/>
                <w:sz w:val="18"/>
                <w:szCs w:val="18"/>
                <w:color w:val="auto"/>
              </w:rPr>
              <w:t xml:space="preserve">$        </w:t>
            </w:r>
          </w:p>
        </w:tc>
        <w:tc>
          <w:tcPr>
            <w:tcW w:w="116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rPr>
              <w:t xml:space="preserve">$        </w:t>
            </w:r>
          </w:p>
        </w:tc>
      </w:tr>
      <w:tr>
        <w:trPr>
          <w:trHeight w:val="239"/>
        </w:trPr>
        <w:tc>
          <w:tcPr>
            <w:tcW w:w="4800" w:type="dxa"/>
            <w:vAlign w:val="bottom"/>
          </w:tcPr>
          <w:p>
            <w:pPr>
              <w:spacing w:after="0"/>
              <w:rPr>
                <w:sz w:val="20"/>
                <w:szCs w:val="20"/>
                <w:color w:val="auto"/>
              </w:rPr>
            </w:pPr>
            <w:r>
              <w:rPr>
                <w:rFonts w:ascii="Arial" w:cs="Arial" w:eastAsia="Arial" w:hAnsi="Arial"/>
                <w:sz w:val="18"/>
                <w:szCs w:val="18"/>
                <w:color w:val="auto"/>
              </w:rPr>
              <w:t>Total</w:t>
            </w:r>
          </w:p>
        </w:tc>
        <w:tc>
          <w:tcPr>
            <w:tcW w:w="5060" w:type="dxa"/>
            <w:vAlign w:val="bottom"/>
          </w:tcPr>
          <w:p>
            <w:pPr>
              <w:ind w:left="4000"/>
              <w:spacing w:after="0"/>
              <w:rPr>
                <w:sz w:val="20"/>
                <w:szCs w:val="20"/>
                <w:color w:val="auto"/>
              </w:rPr>
            </w:pPr>
            <w:r>
              <w:rPr>
                <w:rFonts w:ascii="Arial" w:cs="Arial" w:eastAsia="Arial" w:hAnsi="Arial"/>
                <w:sz w:val="18"/>
                <w:szCs w:val="18"/>
                <w:color w:val="auto"/>
              </w:rPr>
              <w:t>$</w:t>
            </w:r>
          </w:p>
        </w:tc>
        <w:tc>
          <w:tcPr>
            <w:tcW w:w="1160" w:type="dxa"/>
            <w:vAlign w:val="bottom"/>
          </w:tcPr>
          <w:p>
            <w:pPr>
              <w:ind w:left="1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105410</wp:posOffset>
            </wp:positionV>
            <wp:extent cx="6951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51980" cy="8890"/>
                    </a:xfrm>
                    <a:prstGeom prst="rect">
                      <a:avLst/>
                    </a:prstGeom>
                    <a:noFill/>
                  </pic:spPr>
                </pic:pic>
              </a:graphicData>
            </a:graphic>
          </wp:anchor>
        </w:drawing>
      </w:r>
    </w:p>
    <w:p>
      <w:pPr>
        <w:spacing w:after="0" w:line="276" w:lineRule="exact"/>
        <w:rPr>
          <w:sz w:val="20"/>
          <w:szCs w:val="20"/>
          <w:color w:val="auto"/>
        </w:rPr>
      </w:pPr>
    </w:p>
    <w:p>
      <w:pPr>
        <w:ind w:left="120" w:right="380"/>
        <w:spacing w:after="0" w:line="271"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 commissions, will be approximately $    .</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auto"/>
        </w:rPr>
        <w:t>A prospectus supplement and the accompanying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95"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any shares of our common stock or securities convertible into or exercisable or exchangeable for any shares of our common stock, or confidentially submit any registration statement under the Securities Act in connection with any of the foregoing, (ii) enter into any swap or any other agreement or any transaction that transfers, in whole or in part, directly or indirectly, the economic consequence of ownership of any shares of common stock or any such other securities, whether any such swap or transaction is to be settled by delivery of shares of common stock or such other securities, or (iii) publicly announce an intention to effect any of the foregoing, in cash or otherwise, in each case without the prior written consent of J.P. Morgan Securities LLC and Leerink Partners LLC for a period of 60 days from the date of this prospectus supplement, other than the shares of our common stock to be sold in this offering.</w:t>
      </w:r>
    </w:p>
    <w:p>
      <w:pPr>
        <w:spacing w:after="0" w:line="116"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restrictions on our actions, as described above, do not apply to certain transactions, including (A) the securities sold pursuant to the underwriting agreement, (B) any shares of our common stock issued by us upon the exercise (including any net exercise or exercise by delivery of already owned shares of our common stock) of an option or warrant or the conversion of a convertible security or settlement of restricted stock units, outstanding on the date hereof and described herein; (C) any shares of our common stock issued or options to purchase our common stock granted pursuant to existing employee benefit plans of ours referred to herein; (D) any shares of our common stock issued or options to purchase shares of our common stock or restricted stock units granted pursuant to any existing non-employee director stock plan or dividend reinvestment plan referred to herein; (E) our filing of any registration statement on Form S-8 or a successor form thereto; or (F) our filing of a prospectus supplement under Rule 424(b) in connection with, and issuance of shares of our common stock pursuant to that certain sales agreement, dated November 21, 2025, by and between us and Leerink Partners LLC; provided, however that no filing or sales shall be made until the earlier of (i) the full exercise by the underwriters of their option to purchase additional securities and (ii) 30 days from the date hereof.</w:t>
      </w:r>
    </w:p>
    <w:p>
      <w:pPr>
        <w:spacing w:after="0" w:line="118"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Our directors and executive officers (such persons, the “lock-up parties”) have entered into lock-up agreements with the underwriters prior to the commencement of this offering pursuant to which each lock-up party, with limited exceptions, for a period of 60 days from the date of the Underwriting Agreement (such period, the “restricted period”), may not (and may not cause any of their direct or indirect affiliates to), without the prior written consent of J.P. Morgan Securities LLC and Leerink Partners LLC, (1) offer, pledge, sell, contract to sell, sell any option or contract to purchase, purchase any option or contract to sell, grant any option, right or warrant for the sale of, lend, or otherwise dispose of or transfer, directly or indirectly, any shares of our common stock or any securities convertible into or exercisable or exchangeable for our common stock (including, without limitation, common stock or such other securities which may be deemed to be beneficially owned by such lock-up parties in accordance with the rules and regulations of the SEC and securities which may be issued upon exercise of a stock option or warrant (collectively with the common stock, the “lock-up securities”)), or exercise any right with respect to the registration of any of the lock-up securities, or file or cause to be filed any registration statement in connection therewith, under the Securities Act, or (2) enter into any swap or any other agreement or any transaction that transfers, in whole or in part, directly or indirectly, any of the economic consequence of ownership of the lock-up securities, whether any such swap or transaction</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is to be settled by delivery of lock-up securities or other securities, in cash or otherwise. Such lock-up parties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such lock-up party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0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restrictions described in the immediately preceding paragraph and contained in the lock-up agreements between the underwriters and the lock-up parties do not apply, subject in certain cases to various conditions, to certain transactions, including (a) transfers of lock-up securities: (i) as a bona fide gift or gifts, (ii) to any trust for the direct or indirect benefit of the lock-up party or the immediate family of the lock-up party (“immediate family” shall mean any relationship by blood, marriage or adoption, not more remote than first cousin), (iii) distributions by a trust to its beneficiaries, (iv) transfers or dispositions to any corporation, partnership, limited liability company or other entity, all of the beneficial ownership interests of which are held by the lock-up party, (v) as a distribution or other transfer by a partnership to its partners or former partners or by a limited liability company to its members or retired members or by a corporation to its stockholders or former stockholders or to any wholly-owned subsidiary of such corporation, (vi) to the lock-up party’s affiliates or to any investment fund or other entity controlled or managed by the lock-up party; (vii) pursuant to a qualified domestic relations order or in connection with a divorce settlement, (viii) by will or intestate succession upon the death of the lock-up party, (ix) to the Company in satisfaction of any tax withholding obligation, (x) transactions relating to securities acquired in the offering or in open market transactions after the completion of the offering, or (xi) pursuant to any trading plan, adopted prior to the date hereof, providing for the sale of common stock by the lock-up party, which trading plan meets the requirements of Rule 10b5-1(c) under the Exchange Act, provided, however, that the existence and details of such trading plan were communicated to the representatives prior to the date of the lock-up agreement and such trading plan will not be amended or otherwise modified during the lock-up period; (b) exercise of the options, settlement of RSUs or other equity awards, or the exercise of warrants granted pursuant to plans described in in this prospectus supplement,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common stock or warrants to acquire shares of our common stock, provided that any common stock or warrant received upon such conversion would be subject to restrictions similar to those in the immediately preceding paragraph; (d) the establishment by lock-up parties of trading plans under Rule 10b5-1 under the Exchange Act, provided that such plan does not provide for the transfer of lock-up securities during the restricted period; and (e) the sale of our common stock pursuant to the terms of the underwriting agreement.</w:t>
      </w:r>
    </w:p>
    <w:p>
      <w:pPr>
        <w:spacing w:after="0" w:line="126" w:lineRule="exact"/>
        <w:rPr>
          <w:sz w:val="20"/>
          <w:szCs w:val="20"/>
          <w:color w:val="auto"/>
        </w:rPr>
      </w:pPr>
    </w:p>
    <w:p>
      <w:pPr>
        <w:ind w:left="120" w:right="460"/>
        <w:spacing w:after="0" w:line="271" w:lineRule="auto"/>
        <w:rPr>
          <w:sz w:val="20"/>
          <w:szCs w:val="20"/>
          <w:color w:val="auto"/>
        </w:rPr>
      </w:pPr>
      <w:r>
        <w:rPr>
          <w:rFonts w:ascii="Arial" w:cs="Arial" w:eastAsia="Arial" w:hAnsi="Arial"/>
          <w:sz w:val="18"/>
          <w:szCs w:val="18"/>
          <w:color w:val="auto"/>
        </w:rPr>
        <w:t>J.P. Morgan Securities LLC and Leerink Partners LLC in their sole discretion, may release the securities subject to any of the lock-up agreements with the underwriters described above, in whole or in part at any time.</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listed/quoted on the Nasdaq Global Market under the symbol “TNGX”.</w:t>
      </w:r>
    </w:p>
    <w:p>
      <w:pPr>
        <w:spacing w:after="0" w:line="144"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05"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09"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Market, in the over-the-counter market or otherwise.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Selling restrictions</w:t>
      </w:r>
    </w:p>
    <w:p>
      <w:pPr>
        <w:spacing w:after="0" w:line="148" w:lineRule="exact"/>
        <w:rPr>
          <w:sz w:val="20"/>
          <w:szCs w:val="20"/>
          <w:color w:val="auto"/>
        </w:rPr>
      </w:pPr>
    </w:p>
    <w:p>
      <w:pPr>
        <w:ind w:left="120"/>
        <w:spacing w:after="0" w:line="256"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87"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080"/>
          </w:cols>
          <w:pgMar w:left="320" w:top="455"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Canada</w:t>
      </w:r>
    </w:p>
    <w:p>
      <w:pPr>
        <w:spacing w:after="0" w:line="135"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09"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9"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European Economic Area</w:t>
      </w:r>
    </w:p>
    <w:p>
      <w:pPr>
        <w:spacing w:after="0" w:line="135"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p>
      <w:pPr>
        <w:spacing w:after="0" w:line="10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any qualified investor as defined under Article 2 of the Prospectus Regulation;</w:t>
      </w:r>
    </w:p>
    <w:p>
      <w:pPr>
        <w:spacing w:after="0" w:line="144" w:lineRule="exact"/>
        <w:rPr>
          <w:rFonts w:ascii="Arial" w:cs="Arial" w:eastAsia="Arial" w:hAnsi="Arial"/>
          <w:sz w:val="18"/>
          <w:szCs w:val="18"/>
          <w:color w:val="auto"/>
        </w:rPr>
      </w:pPr>
    </w:p>
    <w:p>
      <w:pPr>
        <w:ind w:left="1080" w:right="740" w:hanging="532"/>
        <w:spacing w:after="0" w:line="271"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underwriters for any such offer; or</w:t>
      </w:r>
    </w:p>
    <w:p>
      <w:pPr>
        <w:spacing w:after="0" w:line="86"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44" w:lineRule="exact"/>
        <w:rPr>
          <w:sz w:val="20"/>
          <w:szCs w:val="20"/>
          <w:color w:val="auto"/>
        </w:rPr>
      </w:pPr>
    </w:p>
    <w:p>
      <w:pPr>
        <w:ind w:left="120" w:right="60"/>
        <w:spacing w:after="0" w:line="241"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the shares shall require the Company or any underwriter to publish a prospectus pursuant to Article 3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Regulation, supplement a prospectus pursuant to Article 23 of the Prospectus Regulation or publish an Annex IX document pursuant to Article 1(4) of the Prospectus Regulation.</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United Kingdom</w:t>
      </w:r>
    </w:p>
    <w:p>
      <w:pPr>
        <w:spacing w:after="0" w:line="148"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color w:val="auto"/>
        </w:rPr>
        <w:t>No shares have been offered or will be offered pursuant to the offering to the public in the United Kingdom except that the shares may be offered to the public in the United Kingdom at any time:</w:t>
      </w:r>
    </w:p>
    <w:p>
      <w:pPr>
        <w:spacing w:after="0" w:line="86" w:lineRule="exact"/>
        <w:rPr>
          <w:sz w:val="20"/>
          <w:szCs w:val="20"/>
          <w:color w:val="auto"/>
        </w:rPr>
      </w:pPr>
    </w:p>
    <w:p>
      <w:pPr>
        <w:ind w:left="1080" w:right="220" w:hanging="532"/>
        <w:spacing w:after="0" w:line="271"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where (i) the offer is conditional on the admission of the shares to trading on the London Stock Exchange plc’s main market (in reliance on the exception in paragraph 6(a) of Schedule 1 of the</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100" w:right="300"/>
        <w:spacing w:after="0" w:line="271" w:lineRule="auto"/>
        <w:rPr>
          <w:sz w:val="20"/>
          <w:szCs w:val="20"/>
          <w:color w:val="auto"/>
        </w:rPr>
      </w:pPr>
      <w:r>
        <w:rPr>
          <w:rFonts w:ascii="Arial" w:cs="Arial" w:eastAsia="Arial" w:hAnsi="Arial"/>
          <w:sz w:val="18"/>
          <w:szCs w:val="18"/>
          <w:color w:val="auto"/>
        </w:rPr>
        <w:t>POATR) or (ii) the shares being offered are at the time of the offer already admitted to trading on London Stock Exchange plc’s main market (in reliance on the exception in paragraph 6(b) of Schedule 1 of the POATR);</w:t>
      </w:r>
    </w:p>
    <w:p>
      <w:pPr>
        <w:spacing w:after="0" w:line="86"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any qualified investor as defined in paragraph 15 of Schedule 1 of the POATR;</w:t>
      </w:r>
    </w:p>
    <w:p>
      <w:pPr>
        <w:spacing w:after="0" w:line="144" w:lineRule="exact"/>
        <w:rPr>
          <w:rFonts w:ascii="Arial" w:cs="Arial" w:eastAsia="Arial" w:hAnsi="Arial"/>
          <w:sz w:val="18"/>
          <w:szCs w:val="18"/>
          <w:color w:val="auto"/>
        </w:rPr>
      </w:pPr>
    </w:p>
    <w:p>
      <w:pPr>
        <w:ind w:left="1080" w:right="60" w:hanging="532"/>
        <w:spacing w:after="0" w:line="271"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fewer than 150 persons (other than qualified investors as defined in paragraph 15 of Schedule 1 of the POATR), subject to obtaining the prior consent of the underwriters for any such offer; or</w:t>
      </w:r>
    </w:p>
    <w:p>
      <w:pPr>
        <w:spacing w:after="0" w:line="86"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any other circumstances falling within Part 1 of Schedule 1 of the POATR.</w:t>
      </w:r>
    </w:p>
    <w:p>
      <w:pPr>
        <w:spacing w:after="0" w:line="131"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For the purposes of this provision, the expression an “offer to the public” in relation to the shares in the United Kingdom means the communication to any person which presents sufficient information on: (a) the shares to be offered; and (b) the terms on which they are to be offered, to enable an investor to decide to buy or subscribe for the shares and the expression “POATR” means the Public Offers and Admissions to Trading Regulations 2024.</w:t>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Italy</w:t>
      </w:r>
    </w:p>
    <w:p>
      <w:pPr>
        <w:spacing w:after="0" w:line="135"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The offering of the shares has not been registered pursuant to Italian securities legislation. Any offer, sale or delivery of the shares in the Republic of Italy or distribution of copies of this prospectus supplement or any other document relating to the shares in the Republic of Italy must be:</w:t>
      </w:r>
    </w:p>
    <w:p>
      <w:pPr>
        <w:spacing w:after="0" w:line="101" w:lineRule="exact"/>
        <w:rPr>
          <w:sz w:val="20"/>
          <w:szCs w:val="20"/>
          <w:color w:val="auto"/>
        </w:rPr>
      </w:pPr>
    </w:p>
    <w:p>
      <w:pPr>
        <w:ind w:left="1080" w:right="340" w:hanging="532"/>
        <w:spacing w:after="0" w:line="25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made by an investment firm, bank or financial intermediary permitted to conduct such activities in the Republic of Italy in accordance with the Financial Services Act, CONSOB Regulation No. 20307 of 15 February 2018 and Legislative Decree No. 385 of 1 September 1993, as amended; and</w:t>
      </w:r>
    </w:p>
    <w:p>
      <w:pPr>
        <w:spacing w:after="0" w:line="101"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compliance with any other applicable laws and regulations.</w:t>
      </w:r>
    </w:p>
    <w:p>
      <w:pPr>
        <w:spacing w:after="0" w:line="144" w:lineRule="exact"/>
        <w:rPr>
          <w:sz w:val="20"/>
          <w:szCs w:val="20"/>
          <w:color w:val="auto"/>
        </w:rPr>
      </w:pPr>
    </w:p>
    <w:p>
      <w:pPr>
        <w:ind w:left="120" w:right="120"/>
        <w:spacing w:after="0" w:line="266" w:lineRule="auto"/>
        <w:rPr>
          <w:sz w:val="20"/>
          <w:szCs w:val="20"/>
          <w:color w:val="auto"/>
        </w:rPr>
      </w:pPr>
      <w:r>
        <w:rPr>
          <w:rFonts w:ascii="Arial" w:cs="Arial" w:eastAsia="Arial" w:hAnsi="Arial"/>
          <w:sz w:val="17"/>
          <w:szCs w:val="17"/>
          <w:color w:val="auto"/>
        </w:rPr>
        <w:t>Please note that, in accordance with Article 100-bis of the Financial Services Act, the subsequent distribution of the shares on the secondary market in Italy must be made in compliance with the rules on offers of securities to be made to the public provided under the Financial Services Act and the Regulation 11971/1999. Failure to comply with such rules may result, inter alia, in the sale of such shares being declared null and void and in the liability of the intermediary transferring the shares for any damages suffered by the investors.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Switzerland</w:t>
      </w:r>
    </w:p>
    <w:p>
      <w:pPr>
        <w:spacing w:after="0" w:line="148"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This prospectus supplement does not constitute an offer to the public or a solicitation to purchase or invest in any shares. No shares have been offered or will be offered to the public in Switzerland, except that offers of shares may be made to the public in Switzerland at any time under the following exemptions under the Swiss Financial Services Act (“FinSA”):</w:t>
      </w:r>
    </w:p>
    <w:p>
      <w:pPr>
        <w:spacing w:after="0" w:line="101"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any person which is a professional client as defined under the FinSA;</w:t>
      </w:r>
    </w:p>
    <w:p>
      <w:pPr>
        <w:spacing w:after="0" w:line="144" w:lineRule="exact"/>
        <w:rPr>
          <w:rFonts w:ascii="Arial" w:cs="Arial" w:eastAsia="Arial" w:hAnsi="Arial"/>
          <w:sz w:val="18"/>
          <w:szCs w:val="18"/>
          <w:color w:val="auto"/>
        </w:rPr>
      </w:pPr>
    </w:p>
    <w:p>
      <w:pPr>
        <w:ind w:left="1080" w:right="60" w:hanging="532"/>
        <w:spacing w:after="0" w:line="271"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fewer than 500 persons (other than professional clients as defined under the FinSA), subject to obtaining the prior consent of the representatives of the underwriters for any such offer; or</w:t>
      </w:r>
    </w:p>
    <w:p>
      <w:pPr>
        <w:spacing w:after="0" w:line="86" w:lineRule="exact"/>
        <w:rPr>
          <w:rFonts w:ascii="Arial" w:cs="Arial" w:eastAsia="Arial" w:hAnsi="Arial"/>
          <w:sz w:val="18"/>
          <w:szCs w:val="18"/>
          <w:color w:val="auto"/>
        </w:rPr>
      </w:pPr>
    </w:p>
    <w:p>
      <w:pPr>
        <w:ind w:left="1080" w:right="660" w:hanging="532"/>
        <w:spacing w:after="0" w:line="271"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36 FinSA in connection with Article 44 of the Swiss Financial Services Ordinance,</w:t>
      </w:r>
    </w:p>
    <w:p>
      <w:pPr>
        <w:spacing w:after="0" w:line="73"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color w:val="auto"/>
        </w:rPr>
        <w:t>provided that no such offer of shares shall require the Company or any investment bank to publish a prospectus pursuant to Article 35 FinSA.</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shares have not been and will not be listed or admitted to trading on a trading venue in Switzerland.</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060"/>
          </w:cols>
          <w:pgMar w:left="320" w:top="455" w:right="5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340"/>
        <w:spacing w:after="0" w:line="253" w:lineRule="auto"/>
        <w:rPr>
          <w:sz w:val="20"/>
          <w:szCs w:val="20"/>
          <w:color w:val="auto"/>
        </w:rPr>
      </w:pPr>
      <w:r>
        <w:rPr>
          <w:rFonts w:ascii="Arial" w:cs="Arial" w:eastAsia="Arial" w:hAnsi="Arial"/>
          <w:sz w:val="18"/>
          <w:szCs w:val="18"/>
          <w:color w:val="auto"/>
        </w:rPr>
        <w:t>Neither this document nor any other offering or marketing material relating to the shares constitutes a prospectus as such term is understood pursuant to the FinSA and neither this document nor any other offering or marketing material relating to the shares may be publicly distributed or otherwise made publicly available in Switzerland.</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Monaco</w:t>
      </w:r>
    </w:p>
    <w:p>
      <w:pPr>
        <w:spacing w:after="0" w:line="148"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The shares may not be offered or sold, directly or indirectly, to the public in Monaco other than by a Monaco Bank or a duly authorized Monegasque intermediary acting as a professional institutional investor which has such knowledge and experience in financial and business matters as to be capable of evaluating the risks and merits of an investment in the Fund. Consequently, this prospectus supplement may only be communicated to (i) banks, and (ii) portfolio management companies duly licensed by the “Commission de Contrôle des Activités Financières” by virtue of Law n° 1.338, of September 7, 2007, and authorized under Law n° 1.144 of July 26, 1991. Such regulated intermediaries may in turn communicate this prospectus supplement to potential investors.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Dubai International Financial Centre</w:t>
      </w:r>
    </w:p>
    <w:p>
      <w:pPr>
        <w:spacing w:after="0" w:line="148" w:lineRule="exact"/>
        <w:rPr>
          <w:sz w:val="20"/>
          <w:szCs w:val="20"/>
          <w:color w:val="auto"/>
        </w:rPr>
      </w:pPr>
    </w:p>
    <w:p>
      <w:pPr>
        <w:ind w:left="120" w:right="220"/>
        <w:spacing w:after="0"/>
        <w:rPr>
          <w:sz w:val="20"/>
          <w:szCs w:val="20"/>
          <w:color w:val="auto"/>
        </w:rPr>
      </w:pPr>
      <w:r>
        <w:rPr>
          <w:rFonts w:ascii="Arial" w:cs="Arial" w:eastAsia="Arial" w:hAnsi="Arial"/>
          <w:sz w:val="18"/>
          <w:szCs w:val="18"/>
          <w:color w:val="auto"/>
        </w:rPr>
        <w:t>This document relates to an Exempt Offer in accordance with the Markets Law, DIFC Law No. 1 of 2012, as amended. This document is intended for distribution only to persons of a type specified in the Markets Law, DIFC Law No. 1 of 2012, as amended. It must not be delivered to, or relied on by, any other person. The Dubai Financial Services Authority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04" w:lineRule="exact"/>
        <w:rPr>
          <w:sz w:val="20"/>
          <w:szCs w:val="20"/>
          <w:color w:val="auto"/>
        </w:rPr>
      </w:pPr>
    </w:p>
    <w:p>
      <w:pPr>
        <w:jc w:val="both"/>
        <w:ind w:left="120" w:right="200"/>
        <w:spacing w:after="0" w:line="253" w:lineRule="auto"/>
        <w:rPr>
          <w:sz w:val="20"/>
          <w:szCs w:val="20"/>
          <w:color w:val="auto"/>
        </w:rPr>
      </w:pPr>
      <w:r>
        <w:rPr>
          <w:rFonts w:ascii="Arial" w:cs="Arial" w:eastAsia="Arial" w:hAnsi="Arial"/>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United Arab Emirates</w:t>
      </w:r>
    </w:p>
    <w:p>
      <w:pPr>
        <w:spacing w:after="0" w:line="148"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does not constitute a public offer of securities in the United Arab Emirates (including the Dubai International Financial Centre) and is not intended to be a public offer. This prospectus supplement has not been approved by or filed with the Central Bank of the United Arab Emirates, the Securities and Commodities Authority, Financial Services Regulatory Authority (“FSRA”) or the Dubai Financial Services Authority (“DFSA”).</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Australia</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 supplement:</w:t>
      </w:r>
    </w:p>
    <w:p>
      <w:pPr>
        <w:spacing w:after="0" w:line="144" w:lineRule="exact"/>
        <w:rPr>
          <w:sz w:val="20"/>
          <w:szCs w:val="20"/>
          <w:color w:val="auto"/>
        </w:rPr>
      </w:pPr>
    </w:p>
    <w:p>
      <w:pPr>
        <w:ind w:left="340" w:right="240" w:hanging="224"/>
        <w:spacing w:after="0" w:line="271"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does not constitute a disclosure document or a prospectus under Chapter 6D.2 of the Corporations Act 2001 (Cth) (the “Corporations Act”);</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140"/>
          </w:cols>
          <w:pgMar w:left="320" w:top="45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340" w:right="240" w:hanging="224"/>
        <w:spacing w:after="0" w:line="25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101" w:lineRule="exact"/>
        <w:rPr>
          <w:rFonts w:ascii="Arial" w:cs="Arial" w:eastAsia="Arial" w:hAnsi="Arial"/>
          <w:sz w:val="18"/>
          <w:szCs w:val="18"/>
          <w:color w:val="auto"/>
        </w:rPr>
      </w:pPr>
    </w:p>
    <w:p>
      <w:pPr>
        <w:ind w:left="340" w:right="180" w:hanging="224"/>
        <w:spacing w:after="0" w:line="271"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73"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09"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As any offer of shares of our common stock under this prospectus supplement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our common stock you undertake to us that you will not, for a period of 12 months from the date of issue of the shares, offer, transfer, assign or otherwise alienate those shares of our common stock to investors in Australia except in circumstances where disclosure to investors is not required under Chapter 6D.2 of the Corporations Act or where a compliant disclosure document is prepared and lodged with ASIC.</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New Zealand</w:t>
      </w:r>
    </w:p>
    <w:p>
      <w:pPr>
        <w:spacing w:after="0" w:line="148"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This document has not been registered, filed with or approved by any New Zealand regulatory authority under the Financial Markets Conduct Act 2013 (the “FMA Act”). The shares may only be offered or sold in New Zealand (or allotted with a view to being offered for sale in New Zealand) to a person who:</w:t>
      </w:r>
    </w:p>
    <w:p>
      <w:pPr>
        <w:spacing w:after="0" w:line="101" w:lineRule="exact"/>
        <w:rPr>
          <w:sz w:val="20"/>
          <w:szCs w:val="20"/>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 an investment business within the meaning of clause 37 of Schedule 1 of the FMC Act;</w:t>
      </w:r>
    </w:p>
    <w:p>
      <w:pPr>
        <w:spacing w:after="0" w:line="13" w:lineRule="exact"/>
        <w:rPr>
          <w:rFonts w:ascii="Arial" w:cs="Arial" w:eastAsia="Arial" w:hAnsi="Arial"/>
          <w:sz w:val="18"/>
          <w:szCs w:val="18"/>
          <w:color w:val="auto"/>
        </w:rPr>
      </w:pPr>
    </w:p>
    <w:p>
      <w:pPr>
        <w:ind w:left="340" w:hanging="224"/>
        <w:spacing w:after="0" w:line="23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meets the investment activity criteria specified in clause 38 of Schedule 1 of the FMC Act;</w:t>
      </w:r>
    </w:p>
    <w:p>
      <w:pPr>
        <w:ind w:left="340" w:hanging="224"/>
        <w:spacing w:after="0" w:line="23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 large within the meaning of clause 39 of Schedule 1 of the FMC Act;</w:t>
      </w:r>
    </w:p>
    <w:p>
      <w:pPr>
        <w:ind w:left="340" w:hanging="224"/>
        <w:spacing w:after="0" w:line="23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 a government agency within the meaning of clause 40 of Schedule 1 of the FMC Act; or</w:t>
      </w: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 an eligible investor within the meaning of clause 41 of Schedule 1 of the FMC Act.</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Japan</w:t>
      </w:r>
    </w:p>
    <w:p>
      <w:pPr>
        <w:spacing w:after="0" w:line="148" w:lineRule="exact"/>
        <w:rPr>
          <w:sz w:val="20"/>
          <w:szCs w:val="20"/>
          <w:color w:val="auto"/>
        </w:rPr>
      </w:pPr>
    </w:p>
    <w:p>
      <w:pPr>
        <w:ind w:left="120" w:right="40"/>
        <w:spacing w:after="0" w:line="259" w:lineRule="auto"/>
        <w:rPr>
          <w:sz w:val="20"/>
          <w:szCs w:val="20"/>
          <w:color w:val="auto"/>
        </w:rPr>
      </w:pPr>
      <w:r>
        <w:rPr>
          <w:rFonts w:ascii="Arial" w:cs="Arial" w:eastAsia="Arial" w:hAnsi="Arial"/>
          <w:sz w:val="17"/>
          <w:szCs w:val="17"/>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Hong Kong</w:t>
      </w:r>
    </w:p>
    <w:p>
      <w:pPr>
        <w:spacing w:after="0" w:line="148" w:lineRule="exact"/>
        <w:rPr>
          <w:sz w:val="20"/>
          <w:szCs w:val="20"/>
          <w:color w:val="auto"/>
        </w:rPr>
      </w:pPr>
    </w:p>
    <w:p>
      <w:pPr>
        <w:ind w:left="120" w:right="540"/>
        <w:spacing w:after="0" w:line="271" w:lineRule="auto"/>
        <w:rPr>
          <w:sz w:val="20"/>
          <w:szCs w:val="20"/>
          <w:color w:val="auto"/>
        </w:rPr>
      </w:pPr>
      <w:r>
        <w:rPr>
          <w:rFonts w:ascii="Arial" w:cs="Arial" w:eastAsia="Arial" w:hAnsi="Arial"/>
          <w:sz w:val="18"/>
          <w:szCs w:val="18"/>
          <w:color w:val="auto"/>
        </w:rPr>
        <w:t>The shares have not been offered or sold and will not be offered or sold in Hong Kong, by means of any document, other than (a) to “professional investors” as defined in the Securities and Futures Ordinance (Cap.</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Singapore</w:t>
      </w:r>
    </w:p>
    <w:p>
      <w:pPr>
        <w:spacing w:after="0" w:line="148"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Each underwriter has acknowledged that this prospectus supplement has not been registered as a 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shares, whether directly or indirectly, to any person in Singapore other than:</w:t>
      </w:r>
    </w:p>
    <w:p>
      <w:pPr>
        <w:spacing w:after="0" w:line="111" w:lineRule="exact"/>
        <w:rPr>
          <w:sz w:val="20"/>
          <w:szCs w:val="20"/>
          <w:color w:val="auto"/>
        </w:rPr>
      </w:pPr>
    </w:p>
    <w:p>
      <w:pPr>
        <w:ind w:left="1080" w:right="20" w:hanging="532"/>
        <w:spacing w:after="0" w:line="271"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86" w:lineRule="exact"/>
        <w:rPr>
          <w:rFonts w:ascii="Arial" w:cs="Arial" w:eastAsia="Arial" w:hAnsi="Arial"/>
          <w:sz w:val="18"/>
          <w:szCs w:val="18"/>
          <w:color w:val="auto"/>
        </w:rPr>
      </w:pPr>
    </w:p>
    <w:p>
      <w:pPr>
        <w:ind w:left="1080" w:right="100" w:hanging="532"/>
        <w:spacing w:after="0" w:line="271"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86"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44"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44" w:lineRule="exact"/>
        <w:rPr>
          <w:rFonts w:ascii="Arial" w:cs="Arial" w:eastAsia="Arial" w:hAnsi="Arial"/>
          <w:sz w:val="18"/>
          <w:szCs w:val="18"/>
          <w:color w:val="auto"/>
        </w:rPr>
      </w:pPr>
    </w:p>
    <w:p>
      <w:pPr>
        <w:ind w:left="1080" w:right="120" w:hanging="532"/>
        <w:spacing w:after="0" w:line="25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1" w:lineRule="exact"/>
        <w:rPr>
          <w:rFonts w:ascii="Arial" w:cs="Arial" w:eastAsia="Arial" w:hAnsi="Arial"/>
          <w:sz w:val="18"/>
          <w:szCs w:val="18"/>
          <w:color w:val="auto"/>
        </w:rPr>
      </w:pPr>
    </w:p>
    <w:p>
      <w:pPr>
        <w:ind w:left="1080" w:right="20" w:hanging="532"/>
        <w:spacing w:after="0" w:line="271"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73"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01" w:lineRule="exact"/>
        <w:rPr>
          <w:sz w:val="20"/>
          <w:szCs w:val="20"/>
          <w:color w:val="auto"/>
        </w:rPr>
      </w:pPr>
    </w:p>
    <w:p>
      <w:pPr>
        <w:ind w:left="1080" w:right="460" w:hanging="532"/>
        <w:spacing w:after="0" w:line="271"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276(4)(c)(ii) of the SFA;</w:t>
      </w:r>
    </w:p>
    <w:p>
      <w:pPr>
        <w:spacing w:after="0" w:line="86"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44"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44"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080" w:right="740" w:hanging="532"/>
        <w:spacing w:after="0" w:line="271"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73"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i w:val="1"/>
          <w:iCs w:val="1"/>
          <w:color w:val="auto"/>
        </w:rPr>
        <w:t xml:space="preserve">Singapore SFA Product Classification </w:t>
      </w:r>
      <w:r>
        <w:rPr>
          <w:rFonts w:ascii="Arial" w:cs="Arial" w:eastAsia="Arial" w:hAnsi="Arial"/>
          <w:sz w:val="18"/>
          <w:szCs w:val="18"/>
          <w:color w:val="auto"/>
        </w:rPr>
        <w:t>— In connection with Section 309B of the SFA and the CMP Regulations 2018, unless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before an offer of shares of our common stock, we have determined, and hereby notify all relevant persons (as defined in Section 309A(1) of the SFA), that the shares of common stock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Bermuda</w:t>
      </w:r>
    </w:p>
    <w:p>
      <w:pPr>
        <w:spacing w:after="0" w:line="135"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China</w:t>
      </w:r>
    </w:p>
    <w:p>
      <w:pPr>
        <w:spacing w:after="0" w:line="135"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This prospectus supplement will not be circulated or distributed in the PRC and the shares will not be offered or sold, and will not be offered or sold to any person for re-offering or resale directly or indirectly to any residents of the PRC (for such purposes, not including the Hong Kong and Macau Special Administrative Regions or Taiwan), except pursuant to any applicable laws and regulations of the PRC. Neither this prospectus supplement nor any advertisement or other offering material may be distributed or published in the PRC, except under circumstances that will result in compliance with applicable laws and regulations.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Korea</w:t>
      </w:r>
    </w:p>
    <w:p>
      <w:pPr>
        <w:spacing w:after="0" w:line="148"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The shares have not been and will not be registered under the Financial Investments Services and Capital Markets Act of Korea and the decrees and regulations thereunder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Malaysia</w:t>
      </w:r>
    </w:p>
    <w:p>
      <w:pPr>
        <w:spacing w:after="0" w:line="148"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No prospectus or other offering material or document in connection with the offer and sale of the shares has been or will be registered with the Securities Commission of Malaysia (“Commission”) for the Commission’s approval pursuant to the Capital Markets and Services Act 2007.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 (ii) a holder of a Capital Markets Services Licence; (iii) a</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2" w:lineRule="auto"/>
        <w:rPr>
          <w:sz w:val="20"/>
          <w:szCs w:val="20"/>
          <w:color w:val="auto"/>
        </w:rPr>
      </w:pPr>
      <w:r>
        <w:rPr>
          <w:rFonts w:ascii="Arial" w:cs="Arial" w:eastAsia="Arial" w:hAnsi="Arial"/>
          <w:sz w:val="17"/>
          <w:szCs w:val="17"/>
          <w:color w:val="auto"/>
        </w:rPr>
        <w:t>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12 months; (vi) an individual who, jointly with his or her spouse, has a gross annual income of RM400,000 (or its equivalent in foreign currencies), per annum in the preceding 12 months; (vii) a corporation with total net assets exceeding</w:t>
      </w:r>
    </w:p>
    <w:p>
      <w:pPr>
        <w:spacing w:after="0" w:line="2"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License who carries on the business of dealing in securities. The distribution in Malaysia of this prospectus supplement is subject to Malaysian laws. This prospectus supplement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Thailand</w:t>
      </w:r>
    </w:p>
    <w:p>
      <w:pPr>
        <w:spacing w:after="0" w:line="148"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This material is intended to be read by the addressee who is a qualified investor under the private placement exemption pursuant to the Notification of the Securities and Exchange Commission No. KorChor. 18/2551 re: Exemption from Filing of the Registration Statement for the Offer for Sale of Securities (the “Private Placement Exemption”) only and must not be passed to, issued to, or shown to any person generally. This is not intended to be an offer, sale or invitation for subscription or purchase of shares to the public by the Offeror. Neither the offering of the shares nor the shares have been, or will be, approved by or registered with the Office of the Securities and Exchange Commission of Thailand. The shares may not be offered, sold or delivered in Thailand unless pursuant to the Private Placement Exemption. This material or any document relating to the offering of the shares, as well as information contained therein, may not be circulated or distributed, whether directly or indirectly, to any other person or to the public or any member of the public in Thailand, nor may they be used in connection with any offer for subscription or sale of the shares to the public in Thailand, unless permitted otherwise by applicable laws and regulations.</w:t>
      </w:r>
    </w:p>
    <w:p>
      <w:pPr>
        <w:spacing w:after="0" w:line="99" w:lineRule="exact"/>
        <w:rPr>
          <w:sz w:val="20"/>
          <w:szCs w:val="20"/>
          <w:color w:val="auto"/>
        </w:rPr>
      </w:pPr>
    </w:p>
    <w:p>
      <w:pPr>
        <w:ind w:left="120" w:right="500"/>
        <w:spacing w:after="0" w:line="271" w:lineRule="auto"/>
        <w:rPr>
          <w:sz w:val="20"/>
          <w:szCs w:val="20"/>
          <w:color w:val="auto"/>
        </w:rPr>
      </w:pPr>
      <w:r>
        <w:rPr>
          <w:rFonts w:ascii="Arial" w:cs="Arial" w:eastAsia="Arial" w:hAnsi="Arial"/>
          <w:sz w:val="18"/>
          <w:szCs w:val="18"/>
          <w:color w:val="auto"/>
        </w:rPr>
        <w:t>Please study product characteristics, conditions with respect to investment yields and associated risks before making an investment decision.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Taiwan</w:t>
      </w:r>
    </w:p>
    <w:p>
      <w:pPr>
        <w:spacing w:after="0" w:line="135"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Saudi Arabia</w:t>
      </w:r>
    </w:p>
    <w:p>
      <w:pPr>
        <w:spacing w:after="0" w:line="148"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color w:val="auto"/>
        </w:rPr>
        <w:t>This document may not be distributed in the Kingdom of Saudi Arabia except to such persons as are permitted under the Rules on the Offer of Securities and Continuing Obligations Regulations as issued by the board of the</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080"/>
          </w:cols>
          <w:pgMar w:left="320" w:top="455"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Saudi Arabian Capital Market Authority (“CMA”) pursuant to resolution number 3-123-2017 dated 27 December 2017, as amended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Qatar</w:t>
      </w:r>
    </w:p>
    <w:p>
      <w:pPr>
        <w:spacing w:after="0" w:line="148" w:lineRule="exact"/>
        <w:rPr>
          <w:sz w:val="20"/>
          <w:szCs w:val="20"/>
          <w:color w:val="auto"/>
        </w:rPr>
      </w:pPr>
    </w:p>
    <w:p>
      <w:pPr>
        <w:ind w:left="120" w:right="180"/>
        <w:spacing w:after="0" w:line="244" w:lineRule="auto"/>
        <w:rPr>
          <w:sz w:val="20"/>
          <w:szCs w:val="20"/>
          <w:color w:val="auto"/>
        </w:rPr>
      </w:pPr>
      <w:r>
        <w:rPr>
          <w:rFonts w:ascii="Arial" w:cs="Arial" w:eastAsia="Arial" w:hAnsi="Arial"/>
          <w:sz w:val="18"/>
          <w:szCs w:val="18"/>
          <w:color w:val="auto"/>
        </w:rPr>
        <w:t>The shares described in this prospectus supplement have not been, and will not be, offered, sold or delivered, at any time, directly or indirectly in the State of Qatar in a manner that would constitute a public offering. This prospectus supplement has not been, and will not be, registered with or approved by the Qatar Financial Markets Authority or Qatar Central Bank and may not be publicly distributed. This prospectus supplement is intended for the original recipient only and must not be provided to any other person. It is not for general circulation in the State of Qatar and may not be reproduced or used for any other purpose.</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Abu Dhabi Global Market</w:t>
      </w:r>
    </w:p>
    <w:p>
      <w:pPr>
        <w:spacing w:after="0" w:line="148" w:lineRule="exact"/>
        <w:rPr>
          <w:sz w:val="20"/>
          <w:szCs w:val="20"/>
          <w:color w:val="auto"/>
        </w:rPr>
      </w:pPr>
    </w:p>
    <w:p>
      <w:pPr>
        <w:ind w:left="120"/>
        <w:spacing w:after="0" w:line="261" w:lineRule="auto"/>
        <w:rPr>
          <w:sz w:val="20"/>
          <w:szCs w:val="20"/>
          <w:color w:val="auto"/>
        </w:rPr>
      </w:pPr>
      <w:r>
        <w:rPr>
          <w:rFonts w:ascii="Arial" w:cs="Arial" w:eastAsia="Arial" w:hAnsi="Arial"/>
          <w:sz w:val="17"/>
          <w:szCs w:val="17"/>
          <w:color w:val="auto"/>
        </w:rPr>
        <w:t>The Abu Dhabi Global Market (ADGM), including the Financial Services Regulatory Authority and the Registration Authority does not accept any responsibility for the content of the information included in this prospectus supplement, including the accuracy or completeness of such information. The liability for the content of this prospectus supplement lies with the issuer of this prospectus supplement and other persons, such as experts, whose opinions are included in this prospectus supplement with their consent. The ADGM has also not assessed the suitability of the securities to which this prospectus supplement relates to any particular investor or type of investor.</w:t>
      </w:r>
    </w:p>
    <w:p>
      <w:pPr>
        <w:spacing w:after="0" w:line="85" w:lineRule="exact"/>
        <w:rPr>
          <w:sz w:val="20"/>
          <w:szCs w:val="20"/>
          <w:color w:val="auto"/>
        </w:rPr>
      </w:pPr>
    </w:p>
    <w:p>
      <w:pPr>
        <w:ind w:left="120" w:right="620"/>
        <w:spacing w:after="0" w:line="271" w:lineRule="auto"/>
        <w:rPr>
          <w:sz w:val="20"/>
          <w:szCs w:val="20"/>
          <w:color w:val="auto"/>
        </w:rPr>
      </w:pPr>
      <w:r>
        <w:rPr>
          <w:rFonts w:ascii="Arial" w:cs="Arial" w:eastAsia="Arial" w:hAnsi="Arial"/>
          <w:sz w:val="18"/>
          <w:szCs w:val="18"/>
          <w:color w:val="auto"/>
        </w:rPr>
        <w:t>The securities to which this prospectus supplement relates may be illiquid and/or subject to restrictions on their resale. Prospective purchasers of the securities offered should conduct their own due diligence on the securities.</w:t>
      </w:r>
    </w:p>
    <w:p>
      <w:pPr>
        <w:spacing w:after="0" w:line="86" w:lineRule="exact"/>
        <w:rPr>
          <w:sz w:val="20"/>
          <w:szCs w:val="20"/>
          <w:color w:val="auto"/>
        </w:rPr>
      </w:pPr>
    </w:p>
    <w:p>
      <w:pPr>
        <w:ind w:left="120" w:right="280"/>
        <w:spacing w:after="0" w:line="253" w:lineRule="auto"/>
        <w:rPr>
          <w:sz w:val="20"/>
          <w:szCs w:val="20"/>
          <w:color w:val="auto"/>
        </w:rPr>
      </w:pPr>
      <w:r>
        <w:rPr>
          <w:rFonts w:ascii="Arial" w:cs="Arial" w:eastAsia="Arial" w:hAnsi="Arial"/>
          <w:sz w:val="18"/>
          <w:szCs w:val="18"/>
          <w:color w:val="auto"/>
        </w:rPr>
        <w:t>If you do not understand the contents of this prospectus supplement or are unsure whether the securities to which this prospectus supplement relates are suitable for your individual investment objectives and circumstances, you should consult an authorised financial adviser.</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British Virgin Islands</w:t>
      </w:r>
    </w:p>
    <w:p>
      <w:pPr>
        <w:spacing w:after="0" w:line="148"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The shares are not being, and may not be offered to the public or to any person in the British Virgin Islands for purchase or subscription by or on behalf of us. The shares may be offered to companies incorporated under the BVI Business Companies Act, 2004 (British Virgin Islands), “BVI Companies”), but only where the offer will be made to, and received by, the relevant BVI Company entirely outside of the British Virgin Islands.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Bahamas</w:t>
      </w:r>
    </w:p>
    <w:p>
      <w:pPr>
        <w:spacing w:after="0" w:line="148"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color w:val="auto"/>
        </w:rPr>
        <w:t>Shares may not be offered or sold in The Bahamas via a public offer. Shares may not be offered or sold or otherwise disposed of in any way to any person(s) deemed “resident” for exchange control purposes by the Central Bank of The Bahamas.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South Africa</w:t>
      </w:r>
    </w:p>
    <w:p>
      <w:pPr>
        <w:spacing w:after="0" w:line="148" w:lineRule="exact"/>
        <w:rPr>
          <w:sz w:val="20"/>
          <w:szCs w:val="20"/>
          <w:color w:val="auto"/>
        </w:rPr>
      </w:pPr>
    </w:p>
    <w:p>
      <w:pPr>
        <w:ind w:left="120" w:right="860"/>
        <w:spacing w:after="0" w:line="271" w:lineRule="auto"/>
        <w:rPr>
          <w:sz w:val="20"/>
          <w:szCs w:val="20"/>
          <w:color w:val="auto"/>
        </w:rPr>
      </w:pPr>
      <w:r>
        <w:rPr>
          <w:rFonts w:ascii="Arial" w:cs="Arial" w:eastAsia="Arial" w:hAnsi="Arial"/>
          <w:sz w:val="18"/>
          <w:szCs w:val="18"/>
          <w:color w:val="auto"/>
        </w:rPr>
        <w:t>Due to restrictions under the securities laws of South Africa, no “</w:t>
      </w:r>
      <w:r>
        <w:rPr>
          <w:rFonts w:ascii="Arial" w:cs="Arial" w:eastAsia="Arial" w:hAnsi="Arial"/>
          <w:sz w:val="18"/>
          <w:szCs w:val="18"/>
          <w:i w:val="1"/>
          <w:iCs w:val="1"/>
          <w:color w:val="auto"/>
        </w:rPr>
        <w:t>offer to the public</w:t>
      </w:r>
      <w:r>
        <w:rPr>
          <w:rFonts w:ascii="Arial" w:cs="Arial" w:eastAsia="Arial" w:hAnsi="Arial"/>
          <w:sz w:val="18"/>
          <w:szCs w:val="18"/>
          <w:color w:val="auto"/>
        </w:rPr>
        <w:t>” (as such term is defined in the South African Companies Act, No. 71 of 2008 (as amended or re-enacted) (the “South African Companies</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Act”) is being made in connection with the issue of the shares in South Africa. Accordingly, this document does not, nor is it intended to, constitute a “</w:t>
      </w:r>
      <w:r>
        <w:rPr>
          <w:rFonts w:ascii="Arial" w:cs="Arial" w:eastAsia="Arial" w:hAnsi="Arial"/>
          <w:sz w:val="18"/>
          <w:szCs w:val="18"/>
          <w:i w:val="1"/>
          <w:iCs w:val="1"/>
          <w:color w:val="auto"/>
        </w:rPr>
        <w:t>registered prospectus</w:t>
      </w:r>
      <w:r>
        <w:rPr>
          <w:rFonts w:ascii="Arial" w:cs="Arial" w:eastAsia="Arial" w:hAnsi="Arial"/>
          <w:sz w:val="18"/>
          <w:szCs w:val="18"/>
          <w:color w:val="auto"/>
        </w:rPr>
        <w:t>”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are not offered, and the offer shall not be transferred, sold, renounced or delivered, in South Africa or to a person with an address in South Africa, unless one or other of the following exemptions stipulated in section 96 (1) applies:</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96 (1) (a) the offer, transfer, sale, renunciation or delivery is to:</w:t>
      </w:r>
    </w:p>
    <w:p>
      <w:pPr>
        <w:spacing w:after="0" w:line="144"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persons whose ordinary business, or part of whose ordinary business, is to deal in securities, as principal or agent;</w:t>
      </w:r>
    </w:p>
    <w:p>
      <w:pPr>
        <w:spacing w:after="0" w:line="144"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144"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pacing w:after="0" w:line="144"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authorised financial service providers under South African law;</w:t>
      </w:r>
    </w:p>
    <w:p>
      <w:pPr>
        <w:spacing w:after="0" w:line="144"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financial institutions recognised as such under South African law;</w:t>
      </w:r>
    </w:p>
    <w:p>
      <w:pPr>
        <w:spacing w:after="0" w:line="144" w:lineRule="exact"/>
        <w:rPr>
          <w:rFonts w:ascii="Arial" w:cs="Arial" w:eastAsia="Arial" w:hAnsi="Arial"/>
          <w:sz w:val="18"/>
          <w:szCs w:val="18"/>
          <w:color w:val="auto"/>
        </w:rPr>
      </w:pPr>
    </w:p>
    <w:p>
      <w:pPr>
        <w:jc w:val="both"/>
        <w:ind w:left="1080" w:right="660" w:hanging="532"/>
        <w:spacing w:after="0" w:line="25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wholly-owned subsidiary of any person or entity contemplated in (c), (d) or (e), acting as agent in the capacity of an authorised portfolio manager for a pension fund, or as manager for a collective investment scheme (in each case duly registered as such under South African law); or</w:t>
      </w:r>
    </w:p>
    <w:p>
      <w:pPr>
        <w:spacing w:after="0" w:line="101"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combination of the person in (i) to (vi); or</w:t>
      </w:r>
    </w:p>
    <w:p>
      <w:pPr>
        <w:spacing w:after="0" w:line="144"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Section 96 (1) (b) 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01"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color w:val="auto"/>
        </w:rPr>
        <w:t>Information made available in this prospectus supplement should not be considered as “advice” as defined in the South African Financial Advisory and Intermediary Services Act, 2002.</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Mexico</w:t>
      </w:r>
    </w:p>
    <w:p>
      <w:pPr>
        <w:spacing w:after="0" w:line="13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The shares have not been and will not be registered with the Mexican National Securities Registry (Registro Nacional de Valores or the “RNV”) maintained by the Mexican National Banking and Securities Commission (Comisión Nacional Bancaria y de Valores, or the “CNBV”), and therefore, may not be offered or sold publicly in Mexico or otherwise be subject to intermediation activities in Mexico, however, the shares may only be offered and sold in Mexico on a private placement basis to investors that qualify as institutional or qualified investors pursuant to the private placement exemption set forth in Article 8 of the Mexican Securities Market Law (Ley del Mercado de Valores) and regulations thereunder. The information contained in this prospectus supplement is solely our responsibility and has not been reviewed or authorized by the CNBV and may not be publicly distributed in Mexico. In making an investment decision, all investors, including any Mexican investor, who may acquire shares from time to time, must rely on their own examination of the Issuer and the terms of this offering and the notes, including the merits and risks involved.</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Chile</w:t>
      </w:r>
    </w:p>
    <w:p>
      <w:pPr>
        <w:spacing w:after="0" w:line="135" w:lineRule="exact"/>
        <w:rPr>
          <w:sz w:val="20"/>
          <w:szCs w:val="20"/>
          <w:color w:val="auto"/>
        </w:rPr>
      </w:pPr>
    </w:p>
    <w:p>
      <w:pPr>
        <w:ind w:left="120" w:right="600"/>
        <w:spacing w:after="0" w:line="271" w:lineRule="auto"/>
        <w:rPr>
          <w:sz w:val="20"/>
          <w:szCs w:val="20"/>
          <w:color w:val="auto"/>
        </w:rPr>
      </w:pPr>
      <w:r>
        <w:rPr>
          <w:rFonts w:ascii="Arial" w:cs="Arial" w:eastAsia="Arial" w:hAnsi="Arial"/>
          <w:sz w:val="18"/>
          <w:szCs w:val="18"/>
          <w:color w:val="auto"/>
        </w:rPr>
        <w:t>THESE SHARES ARE PRIVATELY OFFERED IN CHILE PURSUANT TO THE PROVISIONS OF LAW 18,045, THE SECURITIES MARKET LAW OF CHILE, AND NORMA DE CARÁCTER GENERAL NO. 336 (“RULE 336”), DATED</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080"/>
          </w:cols>
          <w:pgMar w:left="320" w:top="455"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20"/>
        <w:spacing w:after="0" w:line="253" w:lineRule="auto"/>
        <w:rPr>
          <w:sz w:val="20"/>
          <w:szCs w:val="20"/>
          <w:color w:val="auto"/>
        </w:rPr>
      </w:pPr>
      <w:r>
        <w:rPr>
          <w:rFonts w:ascii="Arial" w:cs="Arial" w:eastAsia="Arial" w:hAnsi="Arial"/>
          <w:sz w:val="18"/>
          <w:szCs w:val="18"/>
          <w:color w:val="auto"/>
        </w:rPr>
        <w:t>JUNE 27, 2012, ISSUED BY THE SUPERINTENDENCIA DE VALORES Y SEGUROS DE CHILE (“SVS”), THE SECURITIES REGULATOR OF CHILE, TO RESIDENT QUALIFIED INVESTORS THAT ARE LISTED IN RULE 336 AND FURTHER DEFINED IN RULE 216 OF JUNE 12, 2008 ISSUED BY THE SVS.</w:t>
      </w:r>
    </w:p>
    <w:p>
      <w:pPr>
        <w:spacing w:after="0" w:line="88"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PURSUANT TO RULE 336 THE FOLLOWING INFORMATION IS PROVIDED IN CHILE TO PROSPECTIVE RESIDENT INVESTORS IN THE OFFERED SECURITIES:</w:t>
      </w:r>
    </w:p>
    <w:p>
      <w:pPr>
        <w:spacing w:after="0" w:line="86"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INITIATION OF THE OFFER IN CHILE IS June 8, 2026.</w:t>
      </w:r>
    </w:p>
    <w:p>
      <w:pPr>
        <w:spacing w:after="0" w:line="144" w:lineRule="exact"/>
        <w:rPr>
          <w:rFonts w:ascii="Arial" w:cs="Arial" w:eastAsia="Arial" w:hAnsi="Arial"/>
          <w:sz w:val="18"/>
          <w:szCs w:val="18"/>
          <w:color w:val="auto"/>
        </w:rPr>
      </w:pPr>
    </w:p>
    <w:p>
      <w:pPr>
        <w:ind w:left="1080" w:right="500" w:hanging="532"/>
        <w:spacing w:after="0" w:line="271"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OFFER IS SUBJECT TO NCG 336 OF JUNE 27, 2012 ISSUED BY THE SUPERINTENDENCIA DE VALORES Y SEGUROS DE CHILE (SUPERINTENDENCY OF SECURITIES AND INSURANCE OF CHILE).</w:t>
      </w:r>
    </w:p>
    <w:p>
      <w:pPr>
        <w:spacing w:after="0" w:line="86" w:lineRule="exact"/>
        <w:rPr>
          <w:rFonts w:ascii="Arial" w:cs="Arial" w:eastAsia="Arial" w:hAnsi="Arial"/>
          <w:sz w:val="18"/>
          <w:szCs w:val="18"/>
          <w:color w:val="auto"/>
        </w:rPr>
      </w:pPr>
    </w:p>
    <w:p>
      <w:pPr>
        <w:ind w:left="1080" w:right="60" w:hanging="532"/>
        <w:spacing w:after="0" w:line="25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OFFER REFERS TO SECURITIES THAT ARE NOT REGISTERED IN THE REGISTRO DE VALORES (SECURITIES REGISTRY) OR THE REGISTRO DE VALORES EXTRANJEROS (FOREIGN SECURITIES REGISTRY) OF THE SVS AND THEREFORE:</w:t>
      </w:r>
    </w:p>
    <w:p>
      <w:pPr>
        <w:spacing w:after="0" w:line="101" w:lineRule="exact"/>
        <w:rPr>
          <w:rFonts w:ascii="Arial" w:cs="Arial" w:eastAsia="Arial" w:hAnsi="Arial"/>
          <w:sz w:val="18"/>
          <w:szCs w:val="18"/>
          <w:color w:val="auto"/>
        </w:rPr>
      </w:pPr>
    </w:p>
    <w:p>
      <w:pPr>
        <w:ind w:left="1540" w:hanging="439"/>
        <w:spacing w:after="0"/>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SECURITIES ARE NOT SUBJECT TO THE OVERSIGHT OF THE SVS; AND</w:t>
      </w:r>
    </w:p>
    <w:p>
      <w:pPr>
        <w:spacing w:after="0" w:line="144" w:lineRule="exact"/>
        <w:rPr>
          <w:rFonts w:ascii="Arial" w:cs="Arial" w:eastAsia="Arial" w:hAnsi="Arial"/>
          <w:sz w:val="18"/>
          <w:szCs w:val="18"/>
          <w:color w:val="auto"/>
        </w:rPr>
      </w:pPr>
    </w:p>
    <w:p>
      <w:pPr>
        <w:ind w:left="1540" w:right="360" w:hanging="439"/>
        <w:spacing w:after="0" w:line="271" w:lineRule="auto"/>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ISSUER THEREOF IS NOT SUBJECT TO REPORTING OBLIGATION WITH RESPECT TO ITSELF OR THE OFFERED SECURITIES.</w:t>
      </w:r>
    </w:p>
    <w:p>
      <w:pPr>
        <w:spacing w:after="0" w:line="86" w:lineRule="exact"/>
        <w:rPr>
          <w:rFonts w:ascii="Arial" w:cs="Arial" w:eastAsia="Arial" w:hAnsi="Arial"/>
          <w:sz w:val="18"/>
          <w:szCs w:val="18"/>
          <w:color w:val="auto"/>
        </w:rPr>
      </w:pPr>
    </w:p>
    <w:p>
      <w:pPr>
        <w:ind w:left="1080" w:right="120" w:hanging="532"/>
        <w:spacing w:after="0" w:line="271"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SECURITIES MAY NOT BE PUBLICLY OFFERED IN CHILE UNLESS AND UNTIL THEY ARE REGISTERED IN THE SECURITIES REGISTRY OF THE SVS.</w:t>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INFORMACIÓN A LOS INVERSIONISTAS RESIDENTES EN CHILE</w:t>
      </w:r>
    </w:p>
    <w:p>
      <w:pPr>
        <w:spacing w:after="0" w:line="131"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LOS VALORES OBJETO DE ESTA OFERTA SE OFRECEN PRIVADAMENTE EN CHILE DE CONFORMIDAD CON LAS DISPOSICIONES DE LA LEY N° 18.045 DE MERCADO DE VALORES, Y LA NORMA DE CARÁCTER GENERAL N° 336 DE 27 DE JUNIO DE 2012 (“NCG 336”) EMITIDA POR LA SUPERINTENDENCIA DE VALORES Y SEGUROS DE CHILE, A LOS “INVERSIONISTAS CALIFICADOS” QUE ENUMERA LA NCG 336 Y QUE SE DEFINEN EN LA NORMA DE CARÁCTER GENERAL N° 216 DE 12 DE JUNIO DE 2008 EMITIDA POR LA MISMA SUPERINTENDENCIA.</w:t>
      </w:r>
    </w:p>
    <w:p>
      <w:pPr>
        <w:spacing w:after="0" w:line="109"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color w:val="auto"/>
        </w:rPr>
        <w:t>EN CUMPLIMIENTO DE LA NCG 336, LA SIGUIENTE INFORMACIÓN SE PROPORCIONA A LOS POTENCIALES INVERSIONISTAS RESIDENTES EN CHILE:</w:t>
      </w:r>
    </w:p>
    <w:p>
      <w:pPr>
        <w:spacing w:after="0" w:line="86"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 OFERTA DE ESTOS VALORES EN CHILE COMIENZA EL DÍA 8 DE Junio DE 2026.</w:t>
      </w:r>
    </w:p>
    <w:p>
      <w:pPr>
        <w:spacing w:after="0" w:line="144" w:lineRule="exact"/>
        <w:rPr>
          <w:rFonts w:ascii="Arial" w:cs="Arial" w:eastAsia="Arial" w:hAnsi="Arial"/>
          <w:sz w:val="18"/>
          <w:szCs w:val="18"/>
          <w:color w:val="auto"/>
        </w:rPr>
      </w:pPr>
    </w:p>
    <w:p>
      <w:pPr>
        <w:ind w:left="1080" w:right="500" w:hanging="532"/>
        <w:spacing w:after="0" w:line="271"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 OFERTA SE ENCUENTRA ACOGIDA A LA NCG 336 DE FECHA ECHA 27 DE JUNIO DE 2012 EMITIDA POR LA SUPERINTENDENCIA DE VALORES Y SEGUROS.</w:t>
      </w:r>
    </w:p>
    <w:p>
      <w:pPr>
        <w:spacing w:after="0" w:line="86" w:lineRule="exact"/>
        <w:rPr>
          <w:rFonts w:ascii="Arial" w:cs="Arial" w:eastAsia="Arial" w:hAnsi="Arial"/>
          <w:sz w:val="18"/>
          <w:szCs w:val="18"/>
          <w:color w:val="auto"/>
        </w:rPr>
      </w:pPr>
    </w:p>
    <w:p>
      <w:pPr>
        <w:ind w:left="1080" w:right="100" w:hanging="532"/>
        <w:spacing w:after="0" w:line="25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 OFERTA VERSA SOBRE VALORES QUE NO SE ENCUENTRAN INSCRITOS EN EL REGISTRO DE VALORES NI EN EL REGISTRO DE VALORES EXTRANJEROS QUE LLEVA LA SUPERINTENDENCIA DE VALORES Y SEGUROS, POR LO QUE:</w:t>
      </w:r>
    </w:p>
    <w:p>
      <w:pPr>
        <w:spacing w:after="0" w:line="101" w:lineRule="exact"/>
        <w:rPr>
          <w:rFonts w:ascii="Arial" w:cs="Arial" w:eastAsia="Arial" w:hAnsi="Arial"/>
          <w:sz w:val="18"/>
          <w:szCs w:val="18"/>
          <w:color w:val="auto"/>
        </w:rPr>
      </w:pPr>
    </w:p>
    <w:p>
      <w:pPr>
        <w:ind w:left="1540" w:hanging="439"/>
        <w:spacing w:after="0"/>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LOS VALORES NO ESTÁN SUJETOS A LA FISCALIZACIÓN DE ESA SUPERINTENDENCIA; Y</w:t>
      </w:r>
    </w:p>
    <w:p>
      <w:pPr>
        <w:spacing w:after="0" w:line="144" w:lineRule="exact"/>
        <w:rPr>
          <w:rFonts w:ascii="Arial" w:cs="Arial" w:eastAsia="Arial" w:hAnsi="Arial"/>
          <w:sz w:val="18"/>
          <w:szCs w:val="18"/>
          <w:color w:val="auto"/>
        </w:rPr>
      </w:pPr>
    </w:p>
    <w:p>
      <w:pPr>
        <w:ind w:left="1540" w:right="220" w:hanging="439"/>
        <w:spacing w:after="0" w:line="271" w:lineRule="auto"/>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EL EMISOR DE LOS VALORES NO ESTÁ SUJETO A LA OBLIGACIÓN DE ENTREGAR INFORMACIÓN PÚBLICA SOBRE LOS VALORES OFRECIDOS NI SU EMISOR.</w:t>
      </w:r>
    </w:p>
    <w:p>
      <w:pPr>
        <w:spacing w:after="0" w:line="86" w:lineRule="exact"/>
        <w:rPr>
          <w:rFonts w:ascii="Arial" w:cs="Arial" w:eastAsia="Arial" w:hAnsi="Arial"/>
          <w:sz w:val="18"/>
          <w:szCs w:val="18"/>
          <w:color w:val="auto"/>
        </w:rPr>
      </w:pPr>
    </w:p>
    <w:p>
      <w:pPr>
        <w:ind w:left="1080" w:right="60" w:hanging="532"/>
        <w:spacing w:after="0" w:line="271"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 VALORES PRIVADAMENTE OFRECIDOS NO PODRÁN SER OBJETO DE OFERTA PÚBLICA EN CHILE MIENTRAS NO SEAN INSCRITOS EN EL REGISTRO DE VALORES CORRESPONDIENTE.</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Colombia</w:t>
      </w:r>
    </w:p>
    <w:p>
      <w:pPr>
        <w:spacing w:after="0" w:line="148"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color w:val="auto"/>
        </w:rPr>
        <w:t>The shares may not be offered, sold or negotiated in Colombia, except under circumstances which do not constitute a public offering of securities under applicable Colombian securities laws and regulations.</w:t>
      </w:r>
    </w:p>
    <w:p>
      <w:pPr>
        <w:spacing w:after="0" w:line="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040"/>
          </w:cols>
          <w:pgMar w:left="320" w:top="455" w:right="5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00"/>
        <w:spacing w:after="0" w:line="271" w:lineRule="auto"/>
        <w:rPr>
          <w:sz w:val="20"/>
          <w:szCs w:val="20"/>
          <w:color w:val="auto"/>
        </w:rPr>
      </w:pPr>
      <w:r>
        <w:rPr>
          <w:rFonts w:ascii="Arial" w:cs="Arial" w:eastAsia="Arial" w:hAnsi="Arial"/>
          <w:sz w:val="18"/>
          <w:szCs w:val="18"/>
          <w:color w:val="auto"/>
        </w:rPr>
        <w:t>Furthermore, foreign financial entities must abide by the terms of Decree 2555 of 2010 to offer privately the shares to their Colombian clients.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Brazil</w:t>
      </w:r>
    </w:p>
    <w:p>
      <w:pPr>
        <w:spacing w:after="0" w:line="148"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The offer and sale of the shares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or unauthorized distribution under Brazilian laws and regulations. The shares will be authorized for trading on organized non-Brazilian securities markets and may only be offered to Brazilian Professional Investors (as defined by applicable CVM regulation), who may only acquire the shares through a non-Brazilian account, with settlement outside Brazil in non-Brazilian currency. The trading of these shares on regulated securities markets in Brazil is prohibited.</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Peru</w:t>
      </w:r>
    </w:p>
    <w:p>
      <w:pPr>
        <w:spacing w:after="0" w:line="148"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The shares and the information contained in this prospectus supplement are not being publicly marketed or offered in Peru and will not be distributed or caused to be distributed to the general public in Peru. Peruvian securities laws and regulations on public offerings will not be applicable to the offering of the shares and therefore, the disclosure obligations set forth therein will not be applicable to the Company or the sellers of the shares before or after their acquisition by prospective investors. The shares and the information contained in this prospectus supplement have not been and will not be reviewed, confirmed, approved or in any way submitted to the Superintendencia del Mercado de Valores (Peruvian capital market regulator) (the “SMV”) nor have they been registered with the SMV’s Securities Market Public Registry (Registro Público del Mercado de Valores). Accordingly, the shares cannot be offered or sold within Peruvian territory except to the extent any such offering or sale qualifies as a private offering under Peruvian law and regulations and complies with the provisions on private offerings set forth therein.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Legal matters</w:t>
      </w:r>
    </w:p>
    <w:p>
      <w:pPr>
        <w:spacing w:after="0" w:line="154"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color w:val="auto"/>
        </w:rPr>
        <w:t>Certain legal matters in connection with this offering will be passed upon for us by Goodwin Procter LLP, Boston, Massachusetts. Cooley LLP, New York, New York is acting as counsel to the underwriters in connection with this offering.</w:t>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Experts</w:t>
      </w:r>
    </w:p>
    <w:p>
      <w:pPr>
        <w:spacing w:after="0" w:line="154"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The financial statements incorporated in this prospectus supplement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Where you can find more information</w:t>
      </w:r>
    </w:p>
    <w:p>
      <w:pPr>
        <w:spacing w:after="0" w:line="154"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86"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i w:val="1"/>
          <w:iCs w:val="1"/>
          <w:color w:val="auto"/>
        </w:rPr>
        <w:t>https://tangotx.com</w:t>
      </w:r>
      <w:r>
        <w:rPr>
          <w:rFonts w:ascii="Arial" w:cs="Arial" w:eastAsia="Arial" w:hAnsi="Arial"/>
          <w:sz w:val="18"/>
          <w:szCs w:val="18"/>
          <w:color w:val="auto"/>
        </w:rPr>
        <w:t>. The information on our website, however, is not, and should not be deemed to be, a part of this prospectus supplement or the accompanying prospectus.</w:t>
      </w:r>
    </w:p>
    <w:p>
      <w:pPr>
        <w:spacing w:after="0" w:line="73"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This prospectus supplement and the accompanying prospectus is part of an automatic registration statement on Form S-3 that we filed with the SEC and does not contain all of the information in the registration statement. The full registration statement may be obtained from the SEC or us, as provided above. Statements in this prospectus supplement and the accompanying prospectus about any documents filed as exhibits to the registration statement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080"/>
          </w:cols>
          <w:pgMar w:left="320" w:top="455" w:right="4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Incorporation by reference</w:t>
      </w:r>
    </w:p>
    <w:p>
      <w:pPr>
        <w:spacing w:after="0" w:line="154"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The SEC allows us to incorporate by reference the information and reports we file with it, which means that we can disclose important information to you by referring you to these documents. The information incorporated by reference is an important part of this prospectus supplement, and information that we file later with the SEC will automatically update and supersede the information already incorporated by reference. We are incorporating by reference the documents listed below, which we have already filed with the SEC, and any future filings we make with the SEC under Sections 13(a), 13(c), 14 or 15(d) of the Exchange Act, including all filings made after the date of this prospectus supplement, except as to any portion of any future report or document that is not deemed filed under such provisions until we sell all of the securities:</w:t>
      </w:r>
    </w:p>
    <w:p>
      <w:pPr>
        <w:spacing w:after="0" w:line="117" w:lineRule="exact"/>
        <w:rPr>
          <w:sz w:val="20"/>
          <w:szCs w:val="20"/>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65">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2025, filed with the SEC on March 5, 2026;</w:t>
      </w:r>
    </w:p>
    <w:p>
      <w:pPr>
        <w:spacing w:after="0" w:line="144" w:lineRule="exact"/>
        <w:rPr>
          <w:rFonts w:ascii="Arial" w:cs="Arial" w:eastAsia="Arial" w:hAnsi="Arial"/>
          <w:sz w:val="18"/>
          <w:szCs w:val="18"/>
          <w:color w:val="auto"/>
        </w:rPr>
      </w:pPr>
    </w:p>
    <w:p>
      <w:pPr>
        <w:ind w:left="340" w:right="180" w:hanging="224"/>
        <w:spacing w:after="0" w:line="25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w:t>
      </w:r>
      <w:hyperlink r:id="rId65">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2025 from our definitive proxy statement on </w:t>
      </w:r>
      <w:hyperlink r:id="rId66">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(other than information furnished rather than filed), which was filed with the SEC on April 17, 2026;</w:t>
      </w:r>
    </w:p>
    <w:p>
      <w:pPr>
        <w:spacing w:after="0" w:line="101" w:lineRule="exact"/>
        <w:rPr>
          <w:rFonts w:ascii="Arial" w:cs="Arial" w:eastAsia="Arial" w:hAnsi="Arial"/>
          <w:sz w:val="18"/>
          <w:szCs w:val="18"/>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Quarterly Report on </w:t>
      </w:r>
      <w:hyperlink r:id="rId67">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for the quarter ended March 31, 2026 filed with the SEC on May 13, 2026;</w:t>
      </w:r>
    </w:p>
    <w:p>
      <w:pPr>
        <w:spacing w:after="0" w:line="144" w:lineRule="exact"/>
        <w:rPr>
          <w:rFonts w:ascii="Arial" w:cs="Arial" w:eastAsia="Arial" w:hAnsi="Arial"/>
          <w:sz w:val="18"/>
          <w:szCs w:val="18"/>
          <w:color w:val="auto"/>
        </w:rPr>
      </w:pPr>
    </w:p>
    <w:p>
      <w:pPr>
        <w:ind w:left="340" w:right="240" w:hanging="224"/>
        <w:spacing w:after="0" w:line="271" w:lineRule="auto"/>
        <w:tabs>
          <w:tab w:leader="none" w:pos="340" w:val="left"/>
        </w:tabs>
        <w:numPr>
          <w:ilvl w:val="0"/>
          <w:numId w:val="28"/>
        </w:numPr>
        <w:rPr>
          <w:rFonts w:ascii="Arial" w:cs="Arial" w:eastAsia="Arial" w:hAnsi="Arial"/>
          <w:sz w:val="18"/>
          <w:szCs w:val="18"/>
          <w:color w:val="0000EE"/>
        </w:rPr>
      </w:pPr>
      <w:r>
        <w:rPr>
          <w:rFonts w:ascii="Arial" w:cs="Arial" w:eastAsia="Arial" w:hAnsi="Arial"/>
          <w:sz w:val="18"/>
          <w:szCs w:val="18"/>
          <w:color w:val="auto"/>
        </w:rPr>
        <w:t xml:space="preserve">Current Reports on Form 8-K filed with the SEC on </w:t>
      </w:r>
      <w:hyperlink r:id="rId68">
        <w:r>
          <w:rPr>
            <w:rFonts w:ascii="Arial" w:cs="Arial" w:eastAsia="Arial" w:hAnsi="Arial"/>
            <w:sz w:val="18"/>
            <w:szCs w:val="18"/>
            <w:u w:val="single" w:color="auto"/>
            <w:color w:val="0000EE"/>
          </w:rPr>
          <w:t>January 5, 2026</w:t>
        </w:r>
      </w:hyperlink>
      <w:r>
        <w:rPr>
          <w:rFonts w:ascii="Arial" w:cs="Arial" w:eastAsia="Arial" w:hAnsi="Arial"/>
          <w:sz w:val="18"/>
          <w:szCs w:val="18"/>
          <w:color w:val="auto"/>
        </w:rPr>
        <w:t xml:space="preserve">, </w:t>
      </w:r>
      <w:hyperlink r:id="rId69">
        <w:r>
          <w:rPr>
            <w:rFonts w:ascii="Arial" w:cs="Arial" w:eastAsia="Arial" w:hAnsi="Arial"/>
            <w:sz w:val="18"/>
            <w:szCs w:val="18"/>
            <w:u w:val="single" w:color="auto"/>
            <w:color w:val="0000EE"/>
          </w:rPr>
          <w:t>January 8, 2026</w:t>
        </w:r>
      </w:hyperlink>
      <w:r>
        <w:rPr>
          <w:rFonts w:ascii="Arial" w:cs="Arial" w:eastAsia="Arial" w:hAnsi="Arial"/>
          <w:sz w:val="18"/>
          <w:szCs w:val="18"/>
          <w:color w:val="auto"/>
        </w:rPr>
        <w:t xml:space="preserve">, </w:t>
      </w:r>
      <w:hyperlink r:id="rId70">
        <w:r>
          <w:rPr>
            <w:rFonts w:ascii="Arial" w:cs="Arial" w:eastAsia="Arial" w:hAnsi="Arial"/>
            <w:sz w:val="18"/>
            <w:szCs w:val="18"/>
            <w:u w:val="single" w:color="auto"/>
            <w:color w:val="0000EE"/>
          </w:rPr>
          <w:t>April 15, 2026</w:t>
        </w:r>
      </w:hyperlink>
      <w:r>
        <w:rPr>
          <w:rFonts w:ascii="Arial" w:cs="Arial" w:eastAsia="Arial" w:hAnsi="Arial"/>
          <w:sz w:val="18"/>
          <w:szCs w:val="18"/>
          <w:color w:val="auto"/>
        </w:rPr>
        <w:t xml:space="preserve">, </w:t>
      </w:r>
      <w:hyperlink r:id="rId71">
        <w:r>
          <w:rPr>
            <w:rFonts w:ascii="Arial" w:cs="Arial" w:eastAsia="Arial" w:hAnsi="Arial"/>
            <w:sz w:val="18"/>
            <w:szCs w:val="18"/>
            <w:u w:val="single" w:color="auto"/>
            <w:color w:val="0000EE"/>
          </w:rPr>
          <w:t>May 8, 2026</w:t>
        </w:r>
      </w:hyperlink>
      <w:r>
        <w:rPr>
          <w:rFonts w:ascii="Arial" w:cs="Arial" w:eastAsia="Arial" w:hAnsi="Arial"/>
          <w:sz w:val="18"/>
          <w:szCs w:val="18"/>
          <w:color w:val="auto"/>
        </w:rPr>
        <w:t xml:space="preserve">, </w:t>
      </w:r>
      <w:hyperlink r:id="rId72">
        <w:r>
          <w:rPr>
            <w:rFonts w:ascii="Arial" w:cs="Arial" w:eastAsia="Arial" w:hAnsi="Arial"/>
            <w:sz w:val="18"/>
            <w:szCs w:val="18"/>
            <w:u w:val="single" w:color="auto"/>
            <w:color w:val="0000EE"/>
          </w:rPr>
          <w:t>May 13, 2026</w:t>
        </w:r>
      </w:hyperlink>
      <w:r>
        <w:rPr>
          <w:rFonts w:ascii="Arial" w:cs="Arial" w:eastAsia="Arial" w:hAnsi="Arial"/>
          <w:sz w:val="18"/>
          <w:szCs w:val="18"/>
          <w:color w:val="auto"/>
        </w:rPr>
        <w:t xml:space="preserve">, </w:t>
      </w:r>
      <w:hyperlink r:id="rId73">
        <w:r>
          <w:rPr>
            <w:rFonts w:ascii="Arial" w:cs="Arial" w:eastAsia="Arial" w:hAnsi="Arial"/>
            <w:sz w:val="18"/>
            <w:szCs w:val="18"/>
            <w:u w:val="single" w:color="auto"/>
            <w:color w:val="0000EE"/>
          </w:rPr>
          <w:t>June 4, 2026</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74">
        <w:r>
          <w:rPr>
            <w:rFonts w:ascii="Arial" w:cs="Arial" w:eastAsia="Arial" w:hAnsi="Arial"/>
            <w:sz w:val="18"/>
            <w:szCs w:val="18"/>
            <w:u w:val="single" w:color="auto"/>
            <w:color w:val="0000EE"/>
          </w:rPr>
          <w:t>June 8, 2026</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excluding information “furnished” pursuant to Items 2.02, 7.01 or 9.01; and</w:t>
      </w:r>
    </w:p>
    <w:p>
      <w:pPr>
        <w:spacing w:after="0" w:line="86" w:lineRule="exact"/>
        <w:rPr>
          <w:rFonts w:ascii="Arial" w:cs="Arial" w:eastAsia="Arial" w:hAnsi="Arial"/>
          <w:sz w:val="18"/>
          <w:szCs w:val="18"/>
          <w:color w:val="0000EE"/>
        </w:rPr>
      </w:pPr>
    </w:p>
    <w:p>
      <w:pPr>
        <w:ind w:left="340" w:right="60" w:hanging="224"/>
        <w:spacing w:after="0" w:line="25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75">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as filed with the SEC on September 2, 2020, including any amendments or reports filed for the purpose of updating this description, including </w:t>
      </w:r>
      <w:hyperlink r:id="rId76">
        <w:r>
          <w:rPr>
            <w:rFonts w:ascii="Arial" w:cs="Arial" w:eastAsia="Arial" w:hAnsi="Arial"/>
            <w:sz w:val="18"/>
            <w:szCs w:val="18"/>
            <w:u w:val="single" w:color="auto"/>
            <w:color w:val="0000EE"/>
          </w:rPr>
          <w:t>Exhibit 4.2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Annual Report on Form 10-K for the year ended December 31, 2025, as filed with the SEC on March 5, 2026.</w:t>
      </w:r>
    </w:p>
    <w:p>
      <w:pPr>
        <w:spacing w:after="0" w:line="101"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18"/>
          <w:szCs w:val="18"/>
          <w:color w:val="auto"/>
        </w:rPr>
        <w:t xml:space="preserve">Upon request, we will provide, without charge, to each person, including any beneficial owner, to whom a copy of this prospectus supplement is delivered, a copy of the documents incorporated by reference into this prospectus supplement but not delivered with the prospectus supplement. You may request a copy of these filings, and any exhibits we have specifically incorporated by reference as an exhibit in this prospectus supplement, at no cost by writing or telephoning us at the following address: Tango Therapeutics, Inc., 201 Brookline Avenue, Suite 901, Boston, Massachusetts 02215, telephone: (857) 320-4900. You may also access these documents, free of charge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or on our website at </w:t>
      </w:r>
      <w:r>
        <w:rPr>
          <w:rFonts w:ascii="Arial" w:cs="Arial" w:eastAsia="Arial" w:hAnsi="Arial"/>
          <w:sz w:val="18"/>
          <w:szCs w:val="18"/>
          <w:i w:val="1"/>
          <w:iCs w:val="1"/>
          <w:color w:val="auto"/>
        </w:rPr>
        <w:t>https://tangotx.com</w:t>
      </w:r>
      <w:r>
        <w:rPr>
          <w:rFonts w:ascii="Arial" w:cs="Arial" w:eastAsia="Arial" w:hAnsi="Arial"/>
          <w:sz w:val="18"/>
          <w:szCs w:val="18"/>
          <w:color w:val="auto"/>
        </w:rPr>
        <w:t>. Information contained on our website is not incorporated by reference into this prospectus supplement, and you should not consider any information on, or that can be accessed from, our website as part of this prospectus supplement or the accompanying prospectus.</w:t>
      </w:r>
    </w:p>
    <w:p>
      <w:pPr>
        <w:spacing w:after="0" w:line="113" w:lineRule="exact"/>
        <w:rPr>
          <w:rFonts w:ascii="Arial" w:cs="Arial" w:eastAsia="Arial" w:hAnsi="Arial"/>
          <w:sz w:val="18"/>
          <w:szCs w:val="18"/>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supplement or the registration statement of which this prospectus supplement is a part.</w:t>
      </w:r>
    </w:p>
    <w:p>
      <w:pPr>
        <w:spacing w:after="0" w:line="88" w:lineRule="exact"/>
        <w:rPr>
          <w:rFonts w:ascii="Arial" w:cs="Arial" w:eastAsia="Arial" w:hAnsi="Arial"/>
          <w:sz w:val="18"/>
          <w:szCs w:val="18"/>
          <w:color w:val="auto"/>
        </w:rPr>
      </w:pPr>
    </w:p>
    <w:p>
      <w:pPr>
        <w:ind w:left="120" w:right="320"/>
        <w:spacing w:after="0" w:line="301" w:lineRule="auto"/>
        <w:rPr>
          <w:sz w:val="20"/>
          <w:szCs w:val="20"/>
          <w:color w:val="auto"/>
        </w:rPr>
      </w:pPr>
      <w:r>
        <w:rPr>
          <w:rFonts w:ascii="Arial" w:cs="Arial" w:eastAsia="Arial" w:hAnsi="Arial"/>
          <w:sz w:val="17"/>
          <w:szCs w:val="17"/>
          <w:color w:val="auto"/>
        </w:rPr>
        <w:t>This prospectus supplement and the accompanying prospectus are part of a registration statement we filed with the SEC. We have incorporated exhibits into the registration statement. You should read the exhibits carefully for provisions that may be important to you.</w:t>
      </w:r>
    </w:p>
    <w:p>
      <w:pPr>
        <w:spacing w:after="0" w:line="63" w:lineRule="exact"/>
        <w:rPr>
          <w:rFonts w:ascii="Arial" w:cs="Arial" w:eastAsia="Arial" w:hAnsi="Arial"/>
          <w:sz w:val="18"/>
          <w:szCs w:val="18"/>
          <w:color w:val="auto"/>
        </w:rPr>
      </w:pPr>
    </w:p>
    <w:p>
      <w:pPr>
        <w:ind w:left="120" w:right="540"/>
        <w:spacing w:after="0" w:line="271" w:lineRule="auto"/>
        <w:rPr>
          <w:sz w:val="20"/>
          <w:szCs w:val="20"/>
          <w:color w:val="auto"/>
        </w:rPr>
      </w:pPr>
      <w:r>
        <w:rPr>
          <w:rFonts w:ascii="Arial" w:cs="Arial" w:eastAsia="Arial" w:hAnsi="Arial"/>
          <w:sz w:val="18"/>
          <w:szCs w:val="18"/>
          <w:color w:val="auto"/>
        </w:rPr>
        <w:t>You should rely only on the information incorporated by reference or provided in this prospectus supplement and the accompanying prospectus. We have not authorized anyone to provide you with different information.</w:t>
      </w:r>
    </w:p>
    <w:p>
      <w:pPr>
        <w:spacing w:after="0" w:line="86"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We are not making an offer of these securities in any state where the offer is not permitted. You should not assume that the information in this prospectus supplement, the accompanying prospectus or in the documents incorporated by reference is accurate as of any date other than the date on the front of this prospectus supplement or those documents.</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statement contained in a document that is incorporated by reference will be modified or superseded for all purposes to the extent that a statement contained in this prospectus supplement or in any other document that is subsequently filed with the SEC and incorporated by reference into this prospectus supplement and the accompanying prospectus, modifies or is contrary to that previous statement. Any statement so modified or superseded will not be deemed a part of this prospectus supplement and the accompanying prospectus, except as so modified or superseded. Since information that we later file with the SEC will update and supersede previously incorporated information, you should look at all of the SEC filings that we incorporate by reference to determine if any of the statements in this prospectus supplement or in any documents previously incorporated by reference have been modified or superseded.</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173990</wp:posOffset>
            </wp:positionV>
            <wp:extent cx="2263140" cy="677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226314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Tango Therapeutics, Inc.</w:t>
      </w: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2"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We may offer and sell, from time to time issue, in one or more series or classes, shares of our common stock, preferred stock, debt securities, warrants and/or units, in any combination, together or separately, in one or more offerings in amounts, at prices and on the terms that we will determine at the time of the offering and which will be set forth in a prospectus supplement to this prospectus and any related free writing prospectus.</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may offer these securities separately or together in units. Each time we sell securities described herein, we will provide prospective investors with a supplement to this prospectus that will specify the terms of the securities being offered. See “Plan of Distribution” in this prospectus. We may sell these securities to or through underwriters or dealers and also to other purchasers or through agents. We will set forth the names of any underwriters or agents, and any fees, conversions, or discount arrangements, in the applicable prospectus supplement. We may not sell any securities under this prospectus without delivery of the applicable prospectus supplement. You should read this document and any prospectus supplement or amendment carefully before you invest in our securities.</w:t>
      </w:r>
    </w:p>
    <w:p>
      <w:pPr>
        <w:spacing w:after="0" w:line="187"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“TNGX.” On November 20, 2025, the closing price for our common stock, as reported on The Nasdaq Global Market, was $8.90 per share.</w:t>
      </w:r>
    </w:p>
    <w:p>
      <w:pPr>
        <w:spacing w:after="0" w:line="148" w:lineRule="exact"/>
        <w:rPr>
          <w:sz w:val="20"/>
          <w:szCs w:val="20"/>
          <w:color w:val="auto"/>
        </w:rPr>
      </w:pPr>
    </w:p>
    <w:p>
      <w:pPr>
        <w:ind w:left="120" w:right="420"/>
        <w:spacing w:after="0" w:line="263" w:lineRule="auto"/>
        <w:rPr>
          <w:sz w:val="20"/>
          <w:szCs w:val="20"/>
          <w:color w:val="auto"/>
        </w:rPr>
      </w:pPr>
      <w:r>
        <w:rPr>
          <w:rFonts w:ascii="Times New Roman" w:cs="Times New Roman" w:eastAsia="Times New Roman" w:hAnsi="Times New Roman"/>
          <w:sz w:val="21"/>
          <w:szCs w:val="21"/>
          <w:b w:val="1"/>
          <w:bCs w:val="1"/>
          <w:color w:val="auto"/>
        </w:rPr>
        <w:t>Investing in these securities involves certain risks. See “</w:t>
      </w:r>
      <w:r>
        <w:rPr>
          <w:rFonts w:ascii="Times New Roman" w:cs="Times New Roman" w:eastAsia="Times New Roman" w:hAnsi="Times New Roman"/>
          <w:sz w:val="21"/>
          <w:szCs w:val="21"/>
          <w:b w:val="1"/>
          <w:bCs w:val="1"/>
          <w:u w:val="single" w:color="auto"/>
          <w:color w:val="0000EE"/>
        </w:rPr>
        <w:t>Risk Factors</w:t>
      </w:r>
      <w:r>
        <w:rPr>
          <w:rFonts w:ascii="Times New Roman" w:cs="Times New Roman" w:eastAsia="Times New Roman" w:hAnsi="Times New Roman"/>
          <w:sz w:val="21"/>
          <w:szCs w:val="21"/>
          <w:b w:val="1"/>
          <w:bCs w:val="1"/>
          <w:color w:val="auto"/>
        </w:rPr>
        <w:t>” on page 3 of this prospectus as well as those included in any accompanying prospectus supplement and in the documents incorporated by reference in this prospectus for a discussion of the factors you should carefully consider before deciding to purchase these securities.</w:t>
      </w:r>
    </w:p>
    <w:p>
      <w:pPr>
        <w:spacing w:after="0" w:line="160"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date of this prospectus is November 21, 2025.</w:t>
      </w:r>
    </w:p>
    <w:p>
      <w:pPr>
        <w:sectPr>
          <w:pgSz w:w="11900" w:h="16838" w:orient="portrait"/>
          <w:cols w:equalWidth="0" w:num="1">
            <w:col w:w="11120"/>
          </w:cols>
          <w:pgMar w:left="320" w:top="455" w:right="45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87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4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2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22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400" w:type="dxa"/>
            <w:vAlign w:val="bottom"/>
            <w:gridSpan w:val="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20" w:type="dxa"/>
            <w:vAlign w:val="bottom"/>
          </w:tcPr>
          <w:p>
            <w:pPr>
              <w:spacing w:after="0"/>
              <w:rPr>
                <w:sz w:val="17"/>
                <w:szCs w:val="17"/>
                <w:color w:val="auto"/>
              </w:rPr>
            </w:pPr>
          </w:p>
        </w:tc>
        <w:tc>
          <w:tcPr>
            <w:tcW w:w="532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OUR COMPANY</w:t>
            </w:r>
          </w:p>
        </w:tc>
        <w:tc>
          <w:tcPr>
            <w:tcW w:w="330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040" w:type="dxa"/>
            <w:vAlign w:val="bottom"/>
            <w:gridSpan w:val="10"/>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20" w:type="dxa"/>
            <w:vAlign w:val="bottom"/>
          </w:tcPr>
          <w:p>
            <w:pPr>
              <w:spacing w:after="0"/>
              <w:rPr>
                <w:sz w:val="17"/>
                <w:szCs w:val="17"/>
                <w:color w:val="auto"/>
              </w:rPr>
            </w:pPr>
          </w:p>
        </w:tc>
        <w:tc>
          <w:tcPr>
            <w:tcW w:w="86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SECURITIES THAT MAY BE OFFERED</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120" w:type="dxa"/>
            <w:vAlign w:val="bottom"/>
          </w:tcPr>
          <w:p>
            <w:pPr>
              <w:spacing w:after="0"/>
              <w:rPr>
                <w:sz w:val="17"/>
                <w:szCs w:val="17"/>
                <w:color w:val="auto"/>
              </w:rPr>
            </w:pPr>
          </w:p>
        </w:tc>
        <w:tc>
          <w:tcPr>
            <w:tcW w:w="308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554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60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6140" w:type="dxa"/>
            <w:vAlign w:val="bottom"/>
            <w:gridSpan w:val="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20" w:type="dxa"/>
            <w:vAlign w:val="bottom"/>
          </w:tcPr>
          <w:p>
            <w:pPr>
              <w:spacing w:after="0"/>
              <w:rPr>
                <w:sz w:val="17"/>
                <w:szCs w:val="17"/>
                <w:color w:val="auto"/>
              </w:rPr>
            </w:pPr>
          </w:p>
        </w:tc>
        <w:tc>
          <w:tcPr>
            <w:tcW w:w="20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6600" w:type="dxa"/>
            <w:vAlign w:val="bottom"/>
            <w:gridSpan w:val="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20" w:type="dxa"/>
            <w:vAlign w:val="bottom"/>
          </w:tcPr>
          <w:p>
            <w:pPr>
              <w:spacing w:after="0"/>
              <w:rPr>
                <w:sz w:val="17"/>
                <w:szCs w:val="17"/>
                <w:color w:val="auto"/>
              </w:rPr>
            </w:pPr>
          </w:p>
        </w:tc>
        <w:tc>
          <w:tcPr>
            <w:tcW w:w="86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6580" w:type="dxa"/>
            <w:vAlign w:val="bottom"/>
            <w:gridSpan w:val="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20" w:type="dxa"/>
            <w:vAlign w:val="bottom"/>
          </w:tcPr>
          <w:p>
            <w:pPr>
              <w:spacing w:after="0"/>
              <w:rPr>
                <w:sz w:val="17"/>
                <w:szCs w:val="17"/>
                <w:color w:val="auto"/>
              </w:rPr>
            </w:pPr>
          </w:p>
        </w:tc>
        <w:tc>
          <w:tcPr>
            <w:tcW w:w="86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100" w:type="dxa"/>
            <w:vAlign w:val="bottom"/>
            <w:gridSpan w:val="9"/>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2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BY REFERENCE</w:t>
            </w:r>
          </w:p>
        </w:tc>
        <w:tc>
          <w:tcPr>
            <w:tcW w:w="940" w:type="dxa"/>
            <w:vAlign w:val="bottom"/>
            <w:tcBorders>
              <w:top w:val="single" w:sz="8" w:color="0000EE"/>
            </w:tcBorders>
            <w:gridSpan w:val="3"/>
          </w:tcPr>
          <w:p>
            <w:pPr>
              <w:spacing w:after="0"/>
              <w:rPr>
                <w:sz w:val="17"/>
                <w:szCs w:val="17"/>
                <w:color w:val="auto"/>
              </w:rPr>
            </w:pPr>
          </w:p>
        </w:tc>
        <w:tc>
          <w:tcPr>
            <w:tcW w:w="482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on Form S-3 that we filed with the Securities and Exchange Commission, which we refer to as the “SEC,” as a “well-known seasoned issuer” as defined in Rule 405 under the Securities Act of 1933, as amended (the “Securities Act”). Under this shelf registration process, we and/or selling stockholders may from time to time sell any combination of the securities described in this prospectus in one or more offerings.</w:t>
      </w:r>
    </w:p>
    <w:p>
      <w:pPr>
        <w:spacing w:after="0" w:line="180"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and/or selling stockholders may offer. Each time we sell securities, we will provide one or more prospectus supplements that will contain specific information about the terms of the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This prospectus, together with any accompanying prospectus supplement and any free writing prospectus that we have authorized for use in connection with a specific offering, contains important information you should know before investing in our securities, including important information about us and the securities being offered. You should read both this prospectus and the accompanying prospectus supplement (and any free writing prospectus) together with the additional information described under the headings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by Reference</w:t>
      </w:r>
      <w:r>
        <w:rPr>
          <w:rFonts w:ascii="Times New Roman" w:cs="Times New Roman" w:eastAsia="Times New Roman" w:hAnsi="Times New Roman"/>
          <w:sz w:val="18"/>
          <w:szCs w:val="18"/>
          <w:color w:val="auto"/>
        </w:rPr>
        <w:t>” beginning on page 29 of this prospectus.</w:t>
      </w:r>
    </w:p>
    <w:p>
      <w:pPr>
        <w:spacing w:after="0" w:line="188"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or additional information. If anyone provides you with different, additional or inconsistent information, you should not rely on it. We do not take responsibility for, and can provide no assurance as to the reliability of, any information that others may give you. This prospectus and the accompanying prospectus supplement (and any free writing prospectus)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regardless of the time of delivery of this prospectus, any applicable prospectus supplement or any sale of securities. Our business, financial condition, results of operations and prospects may have changed materially since those dates. This prospectus, any applicable prospectus supplement and the information incorporated herein or therein by reference (or in any free writing prospectus) contains market data, industry statistics and other data that have been obtained or compiled from information made available by independent third parties. The industry in which we operate is subject to a high degree of uncertainty and risk due to a variety of factors, including those described in the section entitled “Risk Factors” of our most recent Annual Report on Form 10-K. These and other factors could cause the estimates to differ materially from those expressed in these publications.</w:t>
      </w:r>
    </w:p>
    <w:p>
      <w:pPr>
        <w:spacing w:after="0" w:line="193"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OFFER AND SELL SECURITIES UNLESS IT IS ACCOMPANIED BY AN ADDITIONAL PROSPECTUS OR A PROSPECTUS SUPPLEMENT.</w:t>
      </w:r>
    </w:p>
    <w:p>
      <w:pPr>
        <w:spacing w:after="0" w:line="15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As used in this prospectus, unless the context otherwise requires, references to “Tango,” “company,” “we,” “us” and “our” refer to Tango Therapeutics, Inc. and, where appropriate, our subsidiaries.</w:t>
      </w:r>
    </w:p>
    <w:p>
      <w:pPr>
        <w:spacing w:after="0" w:line="16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were formerly known as BCTG Acquisition Corp. (“BCTG”) and were incorporated in Delaware in May 2020 as a special purpose acquisition company, formed for the purpose of effecting a merger, capital stock exchange, asset acquisition, stock purchase, reorganization or other similar business. On August 10, 2021, we consummated the merger pursuant to the Agreement and Plan of Merger, dated as of April 13, 2021, by and among BCTG, BCTG Merger Sub Inc. and Tango Therapeutics Sub, Inc. Upon the consummation of the merger, we changed our name to “Tango Therapeutics, Inc.” We own various U.S. federal trademark applications and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55"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30" w:lineRule="auto"/>
        <w:rPr>
          <w:sz w:val="20"/>
          <w:szCs w:val="20"/>
          <w:color w:val="auto"/>
        </w:rPr>
      </w:pPr>
      <w:r>
        <w:rPr>
          <w:rFonts w:ascii="Times New Roman" w:cs="Times New Roman" w:eastAsia="Times New Roman" w:hAnsi="Times New Roman"/>
          <w:sz w:val="18"/>
          <w:szCs w:val="18"/>
          <w:color w:val="auto"/>
        </w:rPr>
        <w:t xml:space="preserve">unregistered trademarks, including our company name. All other trademarks or trade names referred to in this prospectus are the property of their respective owners. Solely for convenience, the trademarks and trade names in this prospectus are referred to without the symbols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but such references should not be construed as any indicator that their respective owners will not assert, to the fullest extent under applicable law, their rights thereto.</w:t>
      </w:r>
    </w:p>
    <w:p>
      <w:pPr>
        <w:spacing w:after="0" w:line="1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60"/>
          </w:cols>
          <w:pgMar w:left="320" w:top="455" w:right="8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consider the risks set forth in our filings with the SEC that are incorporated by reference herein and any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in the documents incorporated herein by reference, including our most recent Annual Report on Form 10-K, our Quarterly Reports on Form 10-Q and our Current Reports on Form 8-K and the other documents we file with the SEC that are deemed incorporated by reference into this prospectus.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prospectus, including the documents that we incorporate by reference, includes forward-looking statements within the meaning of Section 27A of the Securities Act of 1933, as amended (the “Securities Act”), and Section 21E of the Securities Exchange Act of 1934, as amended (the “Exchange Act”). Forward-looking statements relate to, among others, our plans, objectives and expectations for our business, operations and financial performance and condition, and can be identified by terminology such as “may,” “will,” “could,” “should,” “expect,” “intend,” “plan,” “anticipate,” “believe,” “estimate,” “predict,” “potential,” “project,” “seek,” “endeavor,” “target,” “continue” and similar expressions that do not relate solely to historical matters. Forward-looking statements are based on management’s belief and assumptions and on information currently available to management. Although we believe that the expectations reflected in forward-looking statements are reasonable, such statements involve known and unknown risks, uncertainties and other factors that may cause our actual results, performance or achievements to be materially different from any future results, performance or achievements expressed or implied by forward-looking statements.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about:</w:t>
      </w:r>
    </w:p>
    <w:p>
      <w:pPr>
        <w:spacing w:after="0" w:line="131" w:lineRule="exact"/>
        <w:rPr>
          <w:sz w:val="20"/>
          <w:szCs w:val="20"/>
          <w:color w:val="auto"/>
        </w:rPr>
      </w:pPr>
    </w:p>
    <w:p>
      <w:pPr>
        <w:ind w:left="1080" w:right="20" w:hanging="424"/>
        <w:spacing w:after="0" w:line="254"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and combination clinical trials, including statements regarding the timing of IND filings and acceptance, active enrollment and dosing in clinical trials (including combination clinical trials), future plans for dose expansions and dose escalations, and initiation and completion of studies or clinical trials (including combination trials), plans for initiating a registrational trial for vopimetostat (TNG462) in 2026 and the continued enrollment in our vopimetostat monotherapy and combination clinical trials (and related preparatory work for each), plans for the TNG456 clinical trial, and the period during which the results of our clinical trials (including initial and final trial results) will become available (such as the clinical data update from the lung cohort of the ongoing Phase 1/2 clinical trial in vopimetostat expected in 2026);</w:t>
      </w:r>
    </w:p>
    <w:p>
      <w:pPr>
        <w:spacing w:after="0" w:line="97" w:lineRule="exact"/>
        <w:rPr>
          <w:rFonts w:ascii="Times New Roman" w:cs="Times New Roman" w:eastAsia="Times New Roman" w:hAnsi="Times New Roman"/>
          <w:sz w:val="18"/>
          <w:szCs w:val="18"/>
          <w:color w:val="auto"/>
        </w:rPr>
      </w:pPr>
    </w:p>
    <w:p>
      <w:pPr>
        <w:ind w:left="1080" w:right="140" w:hanging="424"/>
        <w:spacing w:after="0" w:line="312" w:lineRule="auto"/>
        <w:tabs>
          <w:tab w:leader="none" w:pos="10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discover and develop product candidates efficiently (including the advancement of development candidates on the timelines identified and the ability to identify and contract with clinical trial sites and investigators to use our product candidates in trials);</w:t>
      </w:r>
    </w:p>
    <w:p>
      <w:pPr>
        <w:spacing w:after="0" w:line="45" w:lineRule="exact"/>
        <w:rPr>
          <w:rFonts w:ascii="Times New Roman" w:cs="Times New Roman" w:eastAsia="Times New Roman" w:hAnsi="Times New Roman"/>
          <w:sz w:val="17"/>
          <w:szCs w:val="17"/>
          <w:color w:val="auto"/>
        </w:rPr>
      </w:pPr>
    </w:p>
    <w:p>
      <w:pPr>
        <w:ind w:left="1080" w:right="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potential (or those of third parties) to manufacture our drug product, drug substance and product candidates successfully for preclinical use, for clinical trials and on a larger scale for commercial use, if approved;</w:t>
      </w:r>
    </w:p>
    <w:p>
      <w:pPr>
        <w:spacing w:after="0" w:line="67"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strategic collaborators to continue research and development activities relating to our development candidates and product candidates;</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research, development and commercialization of our product candidates (and that existing cash, cash equivalents and marketable securities will enable us to fund our operating expenses and capital expenditure requirements into 2028);</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if approved, maintain regulatory approval of our product candidates (as well as approval or clearance of screening tests and companion diagnostic tests for our product candidates) and the potential paths to approval our product candidates, including for vopimetostat as a monotherapy or in combination in MTAP-deleted pancreatic and lung cancer;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our ability to enforce our intellectual property rights;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capital requirements, and our need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(if approved) and any other approved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including the expectation that we will continue to incur operating losses and negative cash flow;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 if approved;</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 including product approval requirements and pricing regulations by U.S. regulatory authorities (such as the Centers for Medicare &amp; Medicaid Services) and foreign regulatory authorities;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ability of third parties with whom we contract) to produce our products or product candidates with advantages in turnaround times or manufacturing cost;</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the deep, durable target inhibition—with favorable tolerability and safety profiles—necessary to maximize clinical benefit as a result of the unique ability of synthetic lethal targeting to spare normal cells, as well as the success of competing therapies that are or may become available;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industry;</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trade restrictions (such as sanctions or tariffs); regulatory requirements, legal actions, or enforcement; inflation rates; and inadequate funding for government agencies on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public health crises on our business operations, including but not limited to our preclinical studies and clinical trials and any future studies or trials;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the use of our drugs in patients as single agents and/or in combination, including our belief that TNG456 has sufficient brain penetrance to potentially have meaningful efficacy in glioblastoma and our expectations regarding future clinical trials, including our belief that the ongoing Phase 1/2 combination study of vopimetostat and RAS(ON) inhibitors has the potential to support a first line pancreatic cancer pivotal study in MTAP-deleted/RAS mutated patients; and</w:t>
      </w:r>
    </w:p>
    <w:p>
      <w:pPr>
        <w:spacing w:after="0" w:line="8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may from time-to-time provide estimates, projections and other information concerning our industry, our financial performance, our business and the markets for our programs, product candidates and collaborations.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You should read this prospectus, any applicable prospectus supplement and any related free writing prospectus and the documents that we reference therein and have filed with the SEC as exhibits thereto completely and with the understanding that our actual future results may be materially different from any future results expressed or implied by these forward-looking statements. These estimates involve numerous assumptions, are subject to risks and uncertainties and are subject to change based on various factors, including those discussed under “Item 1A: Risk Factors” and elsewhere in our most recent Annual Report on Form 10-K, our subsequent Quarterly Reports on Form 10-Q and our Current Reports on Form 8-K, and the section of any accompanying prospectus supplement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Tango Therapeutics was founded with a clear mission: to discover the next wave of targeted therapies in oncology by addressing the specific genetic alterations that drive cancer. We develop new drugs directed at tumor suppressor gene loss in defined patient populations with high unmet medical need. Tumor suppressor gene loss remains a largely unaddressed target space specifically because these genetic events cannot be directly targeted. Our novel small molecules are designed to be selectively active in cancer cells with specific genetic alterations, killing those cancer cells while sparing normal cells. We also are extending this target space beyond the classic, cell-autonomous effects of tumor suppressor gene loss to include the discovery of novel targets that reverse tumor suppressor gene mediated immune evasion which prevents the immune system from recognizing and killing cancer cells. We believe our approach will provide the ability to deliver deep, durable target inhibition with favorable tolerability and safety profiles, thus potentially maximizing clinical benefit.</w:t>
      </w:r>
    </w:p>
    <w:p>
      <w:pPr>
        <w:spacing w:after="0" w:line="192" w:lineRule="exact"/>
        <w:rPr>
          <w:sz w:val="20"/>
          <w:szCs w:val="20"/>
          <w:color w:val="auto"/>
        </w:rPr>
      </w:pPr>
    </w:p>
    <w:p>
      <w:pPr>
        <w:jc w:val="both"/>
        <w:ind w:left="120" w:right="660"/>
        <w:spacing w:after="0" w:line="266" w:lineRule="auto"/>
        <w:rPr>
          <w:sz w:val="20"/>
          <w:szCs w:val="20"/>
          <w:color w:val="auto"/>
        </w:rPr>
      </w:pPr>
      <w:r>
        <w:rPr>
          <w:rFonts w:ascii="Times New Roman" w:cs="Times New Roman" w:eastAsia="Times New Roman" w:hAnsi="Times New Roman"/>
          <w:sz w:val="18"/>
          <w:szCs w:val="18"/>
          <w:color w:val="auto"/>
        </w:rPr>
        <w:t>We are currently developing two methylthioadenosine phosphorylase (MTAP)-deleted selective PRMT5 inhibitors: vopimetostat (TNG462) for non-CNS cancers, including pancreatic and lung cancer, and TNG456, our next-generation, brain-penetrant protein arginine methyltransferase 5 (PRMT5) inhibitor, for central nervous system (“CNS”) cancers, including glioblastoma (GBM).</w:t>
      </w:r>
    </w:p>
    <w:p>
      <w:pPr>
        <w:spacing w:after="0" w:line="176"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In October 2025, we reported positive data from the ongoing Phase 1/2 clinical trial of vopimetostat in patients with MTAP-deleted selective cancers, demonstrating clinical activity across multiple cancer types with a favorable safety and tolerability profile to date. The cutoff date for the analysis was September 1, 2025 and included all evaluable patients at active doses (200 mg QD and above). Overall response rates were calculated in all tumor-evaluable patients enrolled more than 6 months prior to the efficacy analysis. Median progression free survival (mPFS) was calculated in all patients who received a first scan (~8 weeks).</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Across all MTAP-deleted tumor types, there were 94 tumor evaluable patients. We observed an ORR (objective response rate) of 27% and mPFS of 6.4 months. In the 29 patients with second line (2L) MTAP-deleted pancreatic cancer, mPFS was 7.2 months. In patients with 2L pancreatic cancer that were enrolled more than 6 months prior to the data cutoff and were tumor evaluable (n=8), the ORR was 25%, more than double that observed in historical chemotherapy studies (~10%), supporting the planned initiation of a pivotal trial in this patient population in 2026. In the histology selective cohort with 37 evaluable late line patients, we observed a 49% ORR and mPFS of 9.1 months. The histology selective cohort excludes pancreatic and lung cancer patients, as those indications were enrolled in separate cohorts and are being developed independently. Sarcoma patients are also excluded from this analysis, as no activity was observed in this indication (ORR 0%), which will not be pursued in future development. As of September 1, 2025, 41 patients with 2L+ lung cancer were enrolled in the Phase 1/2 clinical trial at active doses, 12 of whom were enrolled more than 6 months prior to the analysis. Emerging data from the lung cohort are consistent with expectations, and we anticipate providing a safety and efficacy update in 2026.</w:t>
      </w:r>
    </w:p>
    <w:p>
      <w:pPr>
        <w:spacing w:after="0" w:line="188"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Additionally, vopimetostat demonstrated a favorable safety and tolerability profile with no drug-related dose discontinuations and ~8% dose reduction in patients dosed at 250 mg QD as of the data cutoff date. We have FDA agreement on 250 mg QD as the go-forward dose.</w:t>
      </w:r>
    </w:p>
    <w:p>
      <w:pPr>
        <w:spacing w:after="0" w:line="16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June 2025, the first patient was treated in the combination clinical trial that is evaluating vopimetostat with the RAS(ON) multi-selective inhibitor, daraxonrasib, and RAS(ON) G12D-selective inhibitor, zoldonrasib (Revolution Medicines). In the first cohort in the trial (n=7), both combinations have been well-tolerated to date with exposures in the active range for all compounds and early signs of activity. We believe this ongoing clinical trial has the potential to support a first line pancreatic cancer pivotal study in MTAP-deleted/RAS mutated patients.</w:t>
      </w:r>
    </w:p>
    <w:p>
      <w:pPr>
        <w:spacing w:after="0" w:line="180" w:lineRule="exact"/>
        <w:rPr>
          <w:sz w:val="20"/>
          <w:szCs w:val="20"/>
          <w:color w:val="auto"/>
        </w:rPr>
      </w:pPr>
    </w:p>
    <w:p>
      <w:pPr>
        <w:ind w:left="120" w:right="1140"/>
        <w:spacing w:after="0" w:line="282" w:lineRule="auto"/>
        <w:rPr>
          <w:sz w:val="20"/>
          <w:szCs w:val="20"/>
          <w:color w:val="auto"/>
        </w:rPr>
      </w:pPr>
      <w:r>
        <w:rPr>
          <w:rFonts w:ascii="Times New Roman" w:cs="Times New Roman" w:eastAsia="Times New Roman" w:hAnsi="Times New Roman"/>
          <w:sz w:val="18"/>
          <w:szCs w:val="18"/>
          <w:color w:val="auto"/>
        </w:rPr>
        <w:t>In May 2025, the first patient was treated with TNG456 in the dose escalation portion of the Phase 1/2 clinical trial to evaluate the safety, pharmacokinetics, pharmacodynamics and antitumor activity of TNG456 as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55"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monotherapy. The trial is currently enrolling patients with MTAP-deleted solid tumors, with a focus on GBM. Preclinical data for TNG456 showed favorable potency and MTAP selectivity and sufficient brain penetrance to potentially have meaningful efficacy in GBM.</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TNG260 is a first-in-class Co-repressor of Repressor Element-1 Silencing Transcription (CoREST) inhibitor, which in preclinical studies reversed the immune evasion effect of serine-threonine kinase 11 (STK11) loss-of-function mutations. TNG260 had a favorable safety, tolerability and pharmacokinetic profile in dose escalation. In November 2025, we announced that forty-one patients with STK11-mutant, locally advanced or metastatic solid tumors were enrolled in three dose escalation cohorts of the Phase 1/2 clinical trial. 21/41 patients were evaluable at active doses. The maximum tolerated dose (MTD) was 80 mg QD. Patients with checkpoint inhibitor resistant STK11 mutant/KRAS wild-type NSCLC receiving clinically active doses of TNG260 plus pembrolizumab had a mPFS of 27 weeks (n=5), more than double the standard of care PFS of ~10 weeks. There was no evidence of activity in other STK11 mutant cancers. 80 mg QD TNG260 was selected for dose optimization, which is ongoing for patients with advanced STK11 mutant/KRAS wild type NSCLC, representing ~10% of lung adenocarcinoma annually in the US (~10,000 patients).</w:t>
      </w:r>
    </w:p>
    <w:p>
      <w:pPr>
        <w:spacing w:after="0" w:line="192"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TNG961 is a development candidate targeting HBS1L in focadhesin (FOCAD)-deleted solid tumors. FOCAD deletion occurs in 20-40% of all MTAP-deleted cancers. FOCAD deletion is common in NSCLC, occurring in ~5% of these patients. 20-40% of cancers with MTAP deletion have a coincident FOCAD deletion on chromosome 9, and cancers with FOCAD deletion are dependent on HBS1L for mRNA processing, thus protein synthesis. By degrading HBS1L and disrupting the HBS1L/PELO complex, TNG961 causes tumor regression in FOCAD-deleted preclinical models of multiple histologies.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History and Information</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Tango Therapeutics, Inc. was incorporated in Delaware on May 21, 2020 under the name BCTG Acquisition Corp. On April 13, 2021, BCTG Acquisition Corp., BCTG Merger Sub Inc. and Tango Therapeutics, Inc. (now known as Tango Therapeutics Sub, Inc.) signed a definitive merger agreement (the “Merger Agreement”). Tango Therapeutics, Inc., prior to August 10, 2021, is referred to herein as Old Tango. Pursuant to the Merger Agreement, the business combination (“Business Combination”) was approved on August 9, 2021 by shareholders of BCTG Acquisition Corp. (“BCTG”), resulting in BCTG acquiring 100% of Old Tango’s issued and outstanding equity securities on August 10, 2021. As a result of the Business Combination, Tango Therapeutics, Inc. was renamed Tango Therapeutics Sub, Inc. (and is sometimes referred to as Old Tango) and BCTG was renamed “Tango Therapeutics, Inc.”</w:t>
      </w:r>
    </w:p>
    <w:p>
      <w:pPr>
        <w:spacing w:after="0" w:line="18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Our principal corporate office is located at 201 Brookline Avenue, Suite 901, Boston, MA 02215, and our telephone number is 857-320-4900. Our website address is https://tangotx.com. We do not incorporate the information on or accessible through our website into this prospectus, and you should not consider any information on, or that can be accessed through, our website as part of this prospectus.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currently intend to use the net proceeds from the sale of any security under this prospectus primarily for general corporate purposes, including funding working capital, operating expenses and to fund the research and development of our product candidates, including manufacturing and clinical trial expenses. We may also use the proceeds to make acquisitions or investments in businesses, products or technologies that are complementary to our own, although we have no current plans, commitments or agreements with respect to any acquisitions as of the date of this prospectus. Pending these uses, we may invest the net proceeds from this offering in short-term U.S. Treasury securities or other securities in accordance with our investment policy, or may hold such proceeds as cash, until they are used for their stated purpose. We have not determined the amount of net proceeds to be used specifically for such purposes. As a result, management will retain broad discretion over the allocation of net proceeds.</w:t>
      </w:r>
    </w:p>
    <w:p>
      <w:pPr>
        <w:spacing w:after="0" w:line="1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40"/>
          </w:cols>
          <w:pgMar w:left="320" w:top="455" w:right="5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THAT MAY BE OFFERED</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prospectus contains summary descriptions of the securities we may offer from time to time. These summary descriptions are not meant to be complete descriptions of each security. The particular terms of any security will be described in the applicable prospectus supplement. This prospectus provides you with a general description of the securities we may offer. Each time we sell securities described herein, we will provide prospective investors with a supplement to this prospectus that will contain specific information about the terms of that offering, including the specific amounts, prices and terms of the securities offered. We may sell the securities to or through underwriters, dealers or agents, directly to purchasers or through a combination of any of these methods of sale or as otherwise set forth below under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We, as well as any agents acting on our behalf, reserve the sole right to accept and to reject in whole or in part any proposed purchase of securities. Any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description of our capital stock is intended as a summary only and therefore is not a complete description of our capital stock. This description is based upon, and is qualified by reference to, our certificate of incorporation, our bylaws, and applicable provisions of Delaware corporate law. You should read our certificate of incorporation and our bylaws, in each case, as amended and supplemented, which are filed as exhibits to the registration statement of which this prospectus forms a part, for the provisions that are important to you.</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and Outstanding Stock</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authorizes the issuance of 410,000,000 shares, consisting of 400,000,000 shares of common stock, $0.001 par value per share, and 10,000,000 shares of preferred stock, $0.001 par value, all of which shares of preferred stock are undesignated.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certificate of incorporation provides the following with respect to the rights, powers, preferences and privileges of the common stock.</w:t>
      </w:r>
    </w:p>
    <w:p>
      <w:pPr>
        <w:spacing w:after="0" w:line="223" w:lineRule="exact"/>
        <w:rPr>
          <w:sz w:val="20"/>
          <w:szCs w:val="20"/>
          <w:color w:val="auto"/>
        </w:rPr>
      </w:pPr>
    </w:p>
    <w:p>
      <w:pPr>
        <w:ind w:left="120"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Voting Power. </w:t>
      </w: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common stock possess all voting power for the election of Tango’s directors and all other matters requiring stockholder action. Holders of common stock are entitled to one vote per share on matters to be voted on by stockholders.</w:t>
      </w:r>
    </w:p>
    <w:p>
      <w:pPr>
        <w:spacing w:after="0" w:line="173" w:lineRule="exact"/>
        <w:rPr>
          <w:sz w:val="20"/>
          <w:szCs w:val="20"/>
          <w:color w:val="auto"/>
        </w:rPr>
      </w:pPr>
    </w:p>
    <w:p>
      <w:pPr>
        <w:jc w:val="both"/>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Holders of common stock will be entitled to receive such dividends, if any, as may be declared from time to time by our board of directors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spacing w:after="0" w:line="173" w:lineRule="exact"/>
        <w:rPr>
          <w:sz w:val="20"/>
          <w:szCs w:val="20"/>
          <w:color w:val="auto"/>
        </w:rPr>
      </w:pPr>
    </w:p>
    <w:p>
      <w:pPr>
        <w:jc w:val="both"/>
        <w:ind w:left="120"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Liquidation, Dissolution and Winding Up. </w:t>
      </w:r>
      <w:r>
        <w:rPr>
          <w:rFonts w:ascii="Times New Roman" w:cs="Times New Roman" w:eastAsia="Times New Roman" w:hAnsi="Times New Roman"/>
          <w:sz w:val="18"/>
          <w:szCs w:val="18"/>
          <w:color w:val="auto"/>
        </w:rPr>
        <w:t>In the event of Tango’s voluntary or involuntary liquidation, dissolution, distribution of assets or winding-up,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holders of the common stock will be entitled to receive an equal amount per share of all of Tango’s assets of whatever kind available for distribution to stockholders, after the rights of the holders of the preferred stock have been satisfied.</w:t>
      </w:r>
    </w:p>
    <w:p>
      <w:pPr>
        <w:spacing w:after="0" w:line="173" w:lineRule="exact"/>
        <w:rPr>
          <w:sz w:val="20"/>
          <w:szCs w:val="20"/>
          <w:color w:val="auto"/>
        </w:rPr>
      </w:pPr>
    </w:p>
    <w:p>
      <w:pPr>
        <w:ind w:left="120"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Preemptive or Other Rights. </w:t>
      </w:r>
      <w:r>
        <w:rPr>
          <w:rFonts w:ascii="Times New Roman" w:cs="Times New Roman" w:eastAsia="Times New Roman" w:hAnsi="Times New Roman"/>
          <w:sz w:val="18"/>
          <w:szCs w:val="18"/>
          <w:color w:val="auto"/>
        </w:rPr>
        <w:t>Our common stock has no preemptive rights, conversion rights or other subscription rights or redemption or sinking fund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Listing of Securities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“TNGX”.</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Agent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transfer agent for our common stock is Computershare Trust Company, N.A.</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Our board of directors will have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455"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convertible preferred stock are outstanding, and we have no present plan to issue any shares of convertible preferred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Certain of our stockholders (“Holders”) hold registration rights pursuant to an amended and restated registration and stockholder rights agreement (the “Amended and Restated Registration and Stockholder Rights Agreement”). Stockholders holding a majority-in-interest of such registrable securities are entitled to make a written demand for registration under the Securities Act of 1933, as amended (the “Securities Act”), of all or part of their registrable securities.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particular, the Amended and Restated Registration and Stockholder Rights Agreement provides for the following registration rights:</w:t>
      </w:r>
    </w:p>
    <w:p>
      <w:pPr>
        <w:spacing w:after="0" w:line="129" w:lineRule="exact"/>
        <w:rPr>
          <w:sz w:val="20"/>
          <w:szCs w:val="20"/>
          <w:color w:val="auto"/>
        </w:rPr>
      </w:pPr>
    </w:p>
    <w:p>
      <w:pPr>
        <w:ind w:left="1080" w:right="40" w:hanging="424"/>
        <w:spacing w:after="0" w:line="257"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Shelf registration/demand registration rights</w:t>
      </w:r>
      <w:r>
        <w:rPr>
          <w:rFonts w:ascii="Times New Roman" w:cs="Times New Roman" w:eastAsia="Times New Roman" w:hAnsi="Times New Roman"/>
          <w:sz w:val="18"/>
          <w:szCs w:val="18"/>
          <w:color w:val="auto"/>
        </w:rPr>
        <w:t>. At any time and from time to time when an effective shelf registration statement is on file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SEC, a Holder may request to sell all or any portion of such Holder’s registrable securities by means of an underwritten takedown off of the shelf registration statement, except that we are only obligated to effect such underwritten shelf takedown if such offering will include registrable securities proposed to be sold by the requesting Holder, either individually or together with other requesting Holders, with a total offering price reasonably expected to exceed, in the aggregate, $20.0 million. Additionally, we are not required to effect more than one underwritten shelf takedown in any six-month period.</w:t>
      </w:r>
    </w:p>
    <w:p>
      <w:pPr>
        <w:spacing w:after="0" w:line="87" w:lineRule="exact"/>
        <w:rPr>
          <w:rFonts w:ascii="Times New Roman" w:cs="Times New Roman" w:eastAsia="Times New Roman" w:hAnsi="Times New Roman"/>
          <w:sz w:val="18"/>
          <w:szCs w:val="18"/>
          <w:color w:val="auto"/>
        </w:rPr>
      </w:pPr>
    </w:p>
    <w:p>
      <w:pPr>
        <w:ind w:left="1080" w:right="260" w:hanging="424"/>
        <w:spacing w:after="0" w:line="261"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Piggyback registration rights</w:t>
      </w:r>
      <w:r>
        <w:rPr>
          <w:rFonts w:ascii="Times New Roman" w:cs="Times New Roman" w:eastAsia="Times New Roman" w:hAnsi="Times New Roman"/>
          <w:sz w:val="18"/>
          <w:szCs w:val="18"/>
          <w:color w:val="auto"/>
        </w:rPr>
        <w:t>. Subject to exceptions for certain offerings and registration statements, if at any time, we propose to file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under the Securities Act, in connection with an offering of our equity securities or securities or other obligations exercisable or exchangeable for, or convertible into, our equity securities, either for our own account or for the account of other stockholders, the Holders are entitled to include their registrable securities in such registration statement.</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The Amended and Restated Registration and Stockholder Rights Agreement contains customary cross-indemnification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Expiration of Registration Rights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registration rights granted under the Amended and Restated Registration and Stockholder Rights Agreement will terminate on the earlier of (i) the 10th anniversary of the date of the agreement and (ii) with respect to any Holder, on the date that such Holder no longer holds any Registrable Securities.</w:t>
      </w:r>
    </w:p>
    <w:p>
      <w:pPr>
        <w:spacing w:after="0" w:line="280" w:lineRule="exact"/>
        <w:rPr>
          <w:sz w:val="20"/>
          <w:szCs w:val="20"/>
          <w:color w:val="auto"/>
        </w:rPr>
      </w:pPr>
    </w:p>
    <w:p>
      <w:pPr>
        <w:ind w:left="120" w:right="418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Anti-Takeover Effects of our Certificate of Incorporation and Bylaws and Delaware Law </w:t>
      </w:r>
      <w:r>
        <w:rPr>
          <w:rFonts w:ascii="Times New Roman" w:cs="Times New Roman" w:eastAsia="Times New Roman" w:hAnsi="Times New Roman"/>
          <w:sz w:val="18"/>
          <w:szCs w:val="18"/>
          <w:b w:val="1"/>
          <w:bCs w:val="1"/>
          <w:i w:val="1"/>
          <w:iCs w:val="1"/>
          <w:color w:val="auto"/>
        </w:rPr>
        <w:t>Certificate of Incorporation and Bylaws</w:t>
      </w: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include a number of provisions that may have the effect of delaying, deferring or preventing another party from acquiring control of us and encouraging persons considering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unsolicited tender offers or other unilateral takeover proposals to negotiate with our board of directors rather than pursue non-negotiated takeover attempts. These provisions include the items described below:</w:t>
      </w:r>
    </w:p>
    <w:p>
      <w:pPr>
        <w:spacing w:after="0" w:line="67" w:lineRule="exact"/>
        <w:rPr>
          <w:sz w:val="20"/>
          <w:szCs w:val="20"/>
          <w:color w:val="auto"/>
        </w:rPr>
      </w:pPr>
    </w:p>
    <w:p>
      <w:pPr>
        <w:ind w:left="1080" w:right="2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issue up to 10,000,000 shares of preferred stock, with any rights, preferences and privileges as they may designate, including the right to approve an acquisition or other change of control;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our board of directors;</w:t>
      </w:r>
    </w:p>
    <w:p>
      <w:pPr>
        <w:spacing w:after="0" w:line="130" w:lineRule="exact"/>
        <w:rPr>
          <w:rFonts w:ascii="Times New Roman" w:cs="Times New Roman" w:eastAsia="Times New Roman" w:hAnsi="Times New Roman"/>
          <w:sz w:val="18"/>
          <w:szCs w:val="18"/>
          <w:color w:val="auto"/>
        </w:rPr>
      </w:pPr>
    </w:p>
    <w:p>
      <w:pPr>
        <w:jc w:val="both"/>
        <w:ind w:left="1080" w:right="50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subject to the rights of any series of preferred stock to elect directors, directors may be removed only with cause by the holders of at least two thirds (2/3) of all of our then-outstanding shares of the capital stock entitled to vote generally at an election of directors;</w:t>
      </w:r>
    </w:p>
    <w:p>
      <w:pPr>
        <w:spacing w:after="0" w:line="81"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subject to the rights of any series of preferred stock to fill director vacancies, all director vacancies, including newly created directorships, may, except as otherwise required by law, be filled by the affirmative vote of a majority of directors then in office, even if less than a quorum; 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8"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be called by our board of directors pursuant to a resolution adopted by a majority of the directors then in office;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will be divided into three classes of directors, and with the directors serving three-year terms, therefore making it more difficult for stockholders to change the composition of our board of directors;</w:t>
      </w:r>
    </w:p>
    <w:p>
      <w:pPr>
        <w:spacing w:after="0" w:line="67"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certificate of incorporation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 majority of the outstanding shares entitled to vote on the amendment; and</w:t>
      </w:r>
    </w:p>
    <w:p>
      <w:pPr>
        <w:spacing w:after="0" w:line="9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Law</w:t>
      </w:r>
    </w:p>
    <w:p>
      <w:pPr>
        <w:spacing w:after="0" w:line="12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Tango has opted out of Section 203 of the Delaware General Corporation Law (the “DGCL”). Section 203 of the DGCL prohibits a Delaware corporation from engaging in a “business combination” with an “interested stockholder” (i.e. a stockholder owning 15% or more of company’s voting stock) for three years following the time that the “interested stockholder” becomes such, subject to certain exceptions.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Jurisdiction of Certain Actions</w:t>
      </w:r>
    </w:p>
    <w:p>
      <w:pPr>
        <w:spacing w:after="0" w:line="121" w:lineRule="exact"/>
        <w:rPr>
          <w:sz w:val="20"/>
          <w:szCs w:val="20"/>
          <w:color w:val="auto"/>
        </w:rPr>
      </w:pPr>
    </w:p>
    <w:p>
      <w:pPr>
        <w:jc w:val="both"/>
        <w:ind w:left="120" w:right="240"/>
        <w:spacing w:after="0" w:line="289" w:lineRule="auto"/>
        <w:rPr>
          <w:sz w:val="20"/>
          <w:szCs w:val="20"/>
          <w:color w:val="auto"/>
        </w:rPr>
      </w:pPr>
      <w:r>
        <w:rPr>
          <w:rFonts w:ascii="Times New Roman" w:cs="Times New Roman" w:eastAsia="Times New Roman" w:hAnsi="Times New Roman"/>
          <w:sz w:val="17"/>
          <w:szCs w:val="17"/>
          <w:color w:val="auto"/>
        </w:rPr>
        <w:t>Our bylaws require, to the fullest extent permitted by law, unless we consent in writing to the selection of an alternative forum, that derivative actions brought in the name of Tango, actions against any current or former directors, officers and employees for breach of fiduciary duty, actions asserting a claim arising pursuant to any provision of the DGCL or our certificate of incorporation or our bylaws, actions to interpret, apply, enforce or</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determine the validity of our certificate of incorporation or our bylaws and actions asserting a claim governed by the internal affairs doctrine may be brought only in the Court of Chancery in the State of Delaware (the “Delaware Forum Provision”). The Delaware Forum Provision will not apply to any causes of action arising under the Securities Act and the Securities Exchange Act of 1934. Our bylaws further provide that unless we consent in writing to the selection of an alternative forum, the federal district courts of the United States shall be the sole and exclusive forum for resolving any complaint asserting a cause of action arising under the Securities Act. We refer to such provision as the Federal Forum Provision.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 Any person or entity purchasing or otherwise acquiring any interest in shares of capital stock of Tango shall be deemed to have notice of and consented to this choice of forum provision.</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80"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7"/>
          <w:szCs w:val="17"/>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131"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85"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67" w:lineRule="exact"/>
        <w:rPr>
          <w:rFonts w:ascii="Times New Roman" w:cs="Times New Roman" w:eastAsia="Times New Roman" w:hAnsi="Times New Roman"/>
          <w:sz w:val="18"/>
          <w:szCs w:val="18"/>
          <w:color w:val="auto"/>
        </w:rPr>
      </w:pPr>
    </w:p>
    <w:p>
      <w:pPr>
        <w:ind w:left="1080" w:right="46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67" w:lineRule="exact"/>
        <w:rPr>
          <w:rFonts w:ascii="Times New Roman" w:cs="Times New Roman" w:eastAsia="Times New Roman" w:hAnsi="Times New Roman"/>
          <w:sz w:val="18"/>
          <w:szCs w:val="18"/>
          <w:color w:val="auto"/>
        </w:rPr>
      </w:pPr>
    </w:p>
    <w:p>
      <w:pPr>
        <w:ind w:left="1080" w:right="10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67" w:lineRule="exact"/>
        <w:rPr>
          <w:rFonts w:ascii="Times New Roman" w:cs="Times New Roman" w:eastAsia="Times New Roman" w:hAnsi="Times New Roman"/>
          <w:sz w:val="18"/>
          <w:szCs w:val="18"/>
          <w:color w:val="auto"/>
        </w:rPr>
      </w:pPr>
    </w:p>
    <w:p>
      <w:pPr>
        <w:ind w:left="5540" w:right="140" w:hanging="4884"/>
        <w:spacing w:after="0" w:line="454" w:lineRule="auto"/>
        <w:tabs>
          <w:tab w:leader="none" w:pos="109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 16</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any subsidiary of ours) must assume all of our obligations under the indenture or the debt securities, as appropriate.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67" w:lineRule="exact"/>
        <w:rPr>
          <w:sz w:val="20"/>
          <w:szCs w:val="20"/>
          <w:color w:val="auto"/>
        </w:rPr>
      </w:pPr>
    </w:p>
    <w:p>
      <w:pPr>
        <w:jc w:val="both"/>
        <w:ind w:left="1080" w:right="8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0"/>
        <w:spacing w:after="0" w:line="261" w:lineRule="auto"/>
        <w:rPr>
          <w:sz w:val="20"/>
          <w:szCs w:val="20"/>
          <w:color w:val="auto"/>
        </w:rPr>
      </w:pPr>
      <w:r>
        <w:rPr>
          <w:rFonts w:ascii="Times New Roman" w:cs="Times New Roman" w:eastAsia="Times New Roman" w:hAnsi="Times New Roman"/>
          <w:sz w:val="18"/>
          <w:szCs w:val="18"/>
          <w:color w:val="auto"/>
        </w:rPr>
        <w:t>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80"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89"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67"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131"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w:t>
      </w:r>
      <w:r>
        <w:rPr>
          <w:rFonts w:ascii="Times New Roman" w:cs="Times New Roman" w:eastAsia="Times New Roman" w:hAnsi="Times New Roman"/>
          <w:sz w:val="18"/>
          <w:szCs w:val="18"/>
          <w:i w:val="1"/>
          <w:iCs w:val="1"/>
          <w:color w:val="auto"/>
        </w:rPr>
        <w:t>Description of Debt Securities—Consolidation, Merger or Sale</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60" w:hanging="424"/>
        <w:spacing w:after="0" w:line="261"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85"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130"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w:t>
      </w:r>
      <w:r>
        <w:rPr>
          <w:rFonts w:ascii="Times New Roman" w:cs="Times New Roman" w:eastAsia="Times New Roman" w:hAnsi="Times New Roman"/>
          <w:sz w:val="18"/>
          <w:szCs w:val="18"/>
          <w:i w:val="1"/>
          <w:iCs w:val="1"/>
          <w:color w:val="auto"/>
        </w:rPr>
        <w:t>Description of Debt Securities—General</w:t>
      </w:r>
      <w:r>
        <w:rPr>
          <w:rFonts w:ascii="Times New Roman" w:cs="Times New Roman" w:eastAsia="Times New Roman" w:hAnsi="Times New Roman"/>
          <w:sz w:val="18"/>
          <w:szCs w:val="18"/>
          <w:color w:val="auto"/>
        </w:rPr>
        <w:t>” to establish the form of any certifications required to be furnished pursuant to the terms of the indenture or any series of debt securities, or to add to the rights of the holders of any series of debt securities;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225"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85"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specified obligations, including obligations to:</w:t>
      </w:r>
    </w:p>
    <w:p>
      <w:pPr>
        <w:spacing w:after="0" w:line="67"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87"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83"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31" w:lineRule="exact"/>
        <w:rPr>
          <w:sz w:val="20"/>
          <w:szCs w:val="20"/>
          <w:color w:val="auto"/>
        </w:rPr>
      </w:pPr>
    </w:p>
    <w:p>
      <w:pPr>
        <w:jc w:val="both"/>
        <w:ind w:left="1080" w:right="200" w:hanging="424"/>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60"/>
          </w:cols>
          <w:pgMar w:left="320" w:top="455" w:right="5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laws of the state of New York, except to the extent that the Trust Indenture Act is applicable.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7" w:lineRule="exact"/>
        <w:rPr>
          <w:sz w:val="20"/>
          <w:szCs w:val="20"/>
          <w:color w:val="auto"/>
        </w:rPr>
      </w:pPr>
    </w:p>
    <w:p>
      <w:pPr>
        <w:ind w:left="120" w:right="10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40"/>
        <w:spacing w:after="0" w:line="312" w:lineRule="auto"/>
        <w:rPr>
          <w:sz w:val="20"/>
          <w:szCs w:val="20"/>
          <w:color w:val="auto"/>
        </w:rPr>
      </w:pPr>
      <w:r>
        <w:rPr>
          <w:rFonts w:ascii="Times New Roman" w:cs="Times New Roman" w:eastAsia="Times New Roman" w:hAnsi="Times New Roman"/>
          <w:sz w:val="17"/>
          <w:szCs w:val="17"/>
          <w:color w:val="auto"/>
        </w:rPr>
        <w:t>We may issue warrants for the purchase of common stock, preferred stock and/or debt securities in one or more series. We may issue warrants independently or together with common stock, preferred stock and debt securities, and the warrants may be attached to or separate from these securities.</w:t>
      </w:r>
    </w:p>
    <w:p>
      <w:pPr>
        <w:spacing w:after="0" w:line="140"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including:</w:t>
      </w:r>
    </w:p>
    <w:p>
      <w:pPr>
        <w:spacing w:after="0" w:line="131"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 and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during which, and places at which, the warrants are exercisable;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exercise;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 and warrants may be modified;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income tax consequences of holding or exercising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We may issue units comprised of one or more of the other securities that may be offered under this prospectus,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8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85" w:lineRule="exact"/>
        <w:rPr>
          <w:sz w:val="20"/>
          <w:szCs w:val="20"/>
          <w:color w:val="auto"/>
        </w:rPr>
      </w:pPr>
    </w:p>
    <w:p>
      <w:pPr>
        <w:ind w:left="1080" w:right="2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units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United States federal income tax considerations relating to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of the securities comprising the units</w:t>
      </w:r>
    </w:p>
    <w:p>
      <w:pPr>
        <w:spacing w:after="0" w:line="223" w:lineRule="exact"/>
        <w:rPr>
          <w:sz w:val="20"/>
          <w:szCs w:val="20"/>
          <w:color w:val="auto"/>
        </w:rPr>
      </w:pPr>
    </w:p>
    <w:p>
      <w:pPr>
        <w:ind w:left="120" w:right="220"/>
        <w:spacing w:after="0" w:line="284"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Warrants</w:t>
      </w:r>
      <w:r>
        <w:rPr>
          <w:rFonts w:ascii="Times New Roman" w:cs="Times New Roman" w:eastAsia="Times New Roman" w:hAnsi="Times New Roman"/>
          <w:sz w:val="18"/>
          <w:szCs w:val="18"/>
          <w:color w:val="auto"/>
        </w:rPr>
        <w:t>” will apply to the securities included in each unit, to the extent relevant and as may be updated in any prospectus supplements.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 Agreements</w:t>
      </w:r>
    </w:p>
    <w:p>
      <w:pPr>
        <w:spacing w:after="0" w:line="121"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provisions will generally apply to all unit agreements unless otherwise stated in the applicable prospectus supplement: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without Consent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and the applicable unit agent may amend any unit or unit agreement without the consent of any holder:</w:t>
      </w:r>
    </w:p>
    <w:p>
      <w:pPr>
        <w:spacing w:after="0" w:line="131"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or supplement any defective or inconsistent provision; or</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change that we believe is necessary or desirable and will not adversely affect the interests of the affected holders in any material respect.</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with Consent</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We may not amend any particular unit or a unit agreement with respect to any particular unit unless we obtain the consent of the holder of that unit, if the amendment would:</w:t>
      </w:r>
    </w:p>
    <w:p>
      <w:pPr>
        <w:spacing w:after="0" w:line="67" w:lineRule="exact"/>
        <w:rPr>
          <w:sz w:val="20"/>
          <w:szCs w:val="20"/>
          <w:color w:val="auto"/>
        </w:rPr>
      </w:pPr>
    </w:p>
    <w:p>
      <w:pPr>
        <w:ind w:left="1080" w:right="14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other change to a particular unit agreement and the units issued under that agreement would require the following approval:</w:t>
      </w:r>
    </w:p>
    <w:p>
      <w:pPr>
        <w:spacing w:after="0" w:line="131" w:lineRule="exact"/>
        <w:rPr>
          <w:sz w:val="20"/>
          <w:szCs w:val="20"/>
          <w:color w:val="auto"/>
        </w:rPr>
      </w:pPr>
    </w:p>
    <w:p>
      <w:pPr>
        <w:ind w:left="1080" w:right="36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the units of a particular series issued under that agreement, the change must be approved by the holders of a majority of the outstanding units of that series; or</w:t>
      </w:r>
    </w:p>
    <w:p>
      <w:pPr>
        <w:spacing w:after="0" w:line="67" w:lineRule="exact"/>
        <w:rPr>
          <w:rFonts w:ascii="Times New Roman" w:cs="Times New Roman" w:eastAsia="Times New Roman" w:hAnsi="Times New Roman"/>
          <w:sz w:val="18"/>
          <w:szCs w:val="18"/>
          <w:color w:val="auto"/>
        </w:rPr>
      </w:pPr>
    </w:p>
    <w:p>
      <w:pPr>
        <w:jc w:val="both"/>
        <w:ind w:left="1080" w:right="120" w:hanging="424"/>
        <w:spacing w:after="0" w:line="312" w:lineRule="auto"/>
        <w:tabs>
          <w:tab w:leader="none" w:pos="10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40"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These provisions regarding changes with majority approval also apply to changes affecting any securities issued under a unit agreement, as the governing document.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 Agreements Will Not Be Qualified under Trust Indenture Act</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Mergers and Similar Transactions Permitted; No Restrictive Covenants or Events of Default</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55" w:right="4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and assume our obligations under the unit agreements. We will then be relieved of any further obligation under these agreements.</w:t>
      </w:r>
    </w:p>
    <w:p>
      <w:pPr>
        <w:spacing w:after="0" w:line="225"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unit agreements and the units will be governed by New York law.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unit and all securities comprising the unit will be issued in the same form.</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we issue any units in registered, non-global form, the following will apply to them.</w:t>
      </w:r>
    </w:p>
    <w:p>
      <w:pPr>
        <w:spacing w:after="0" w:line="225"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67" w:lineRule="exact"/>
        <w:rPr>
          <w:sz w:val="20"/>
          <w:szCs w:val="20"/>
          <w:color w:val="auto"/>
        </w:rPr>
      </w:pPr>
    </w:p>
    <w:p>
      <w:pPr>
        <w:ind w:left="1080" w:right="26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85"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Only the depositary will be entitled to transfer or exchange a unit in global form, since it will be the sole holder of the unit.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Payments and Notices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making payments and giving notices with respect to our units, we will follow the procedures as described in the applicable prospectus supplement.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may sell the securities offered through this prospectus and any accompanying prospectus supplement, if required, in any of the following ways: (i) to or through underwriters or dealers, (ii) directly to purchasers, including our affiliates, (iii) through agents, (iv) in an “at the market offering,” within the meaning of Rule 415(a)(4) of the Securities Act, to or through market makers or into an existing market for the securities; or (v) through a combination of any of these methods or any other method permitted by law. The securities may be distributed at a fixed price or prices, which may be changed, market prices prevailing at the time of sale, prices related to the prevailing market prices, or negotiated prices, either:</w:t>
      </w:r>
    </w:p>
    <w:p>
      <w:pPr>
        <w:spacing w:after="0" w:line="89" w:lineRule="exact"/>
        <w:rPr>
          <w:sz w:val="20"/>
          <w:szCs w:val="20"/>
          <w:color w:val="auto"/>
        </w:rPr>
      </w:pPr>
    </w:p>
    <w:p>
      <w:pPr>
        <w:ind w:left="1080" w:right="24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through the facilities of The Nasdaq Global Market or any other securities exchange or quotation or trading service on which such securities may be listed, quoted or traded at the time of sale; and/or</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a market maker otherwise than on The Nasdaq Global Market or such other securities exchanges or quotation or trading services.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 holders.</w:t>
      </w:r>
    </w:p>
    <w:p>
      <w:pPr>
        <w:spacing w:after="0" w:line="225"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67" w:lineRule="exact"/>
        <w:rPr>
          <w:sz w:val="20"/>
          <w:szCs w:val="20"/>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the agent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225"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used in the sale of the securities in respect of which this prospectus is delivered, we will enter into an underwriting agreement, sales agreement or other agreement with them at the time of sale to them, and we will set forth in the prospectus supplement relating to such offering the names of the underwriters or agents and the terms of the related agreement with them.</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 connection with the offering of securities, we may grant to the underwriters an option to purchase additional securities with an additional underwriting commission, as may be set forth in the accompanying prospectus supplement. If we grant any such option, the terms of such option will be set forth in the prospectus supplement for such securities.</w:t>
      </w:r>
    </w:p>
    <w:p>
      <w:pPr>
        <w:spacing w:after="0" w:line="176"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If a dealer is used in the sale of the securities in respect of which the prospectus is delivered, we will sell such securities to the dealer, as principal. The dealer, who may be deemed to be an “underwriter” as that term is defined in the Securities Act, may then resell such securities to the public at varying prices to be determined by such dealer at the time of resale.</w:t>
      </w:r>
    </w:p>
    <w:p>
      <w:pPr>
        <w:spacing w:after="0" w:line="176"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76"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76"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93" w:lineRule="exact"/>
        <w:rPr>
          <w:sz w:val="20"/>
          <w:szCs w:val="20"/>
          <w:color w:val="auto"/>
        </w:rPr>
      </w:pPr>
    </w:p>
    <w:p>
      <w:pPr>
        <w:ind w:left="1080" w:right="14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w:t>
      </w:r>
    </w:p>
    <w:p>
      <w:pPr>
        <w:spacing w:after="0" w:line="183"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8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9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first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w:t>
      </w:r>
    </w:p>
    <w:p>
      <w:pPr>
        <w:spacing w:after="0" w:line="187"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other than the shares of Common Stock, which are listed on Nasdaq Global Market. The securities may or may not be listed on a national securities exchange. We can make no assurance as to the liquidity of or the existence of trading markets for any of the securities.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Any underwriters, dealers and agents may engage in transactions with us, or perform services for us, in the ordinary course of business for which they receive compensation.</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anticipated date of delivery of offered securities will be set forth in the applicable prospectus supplement relating to each offer.</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Unless the applicable prospectus supplement indicates otherwise, the validity of the securities in respect of which this prospectus is being delivered will be passed upon by Goodwin Procter LLP, Boston, Massachusetts. Additional legal matters may be passed upon for us or any underwriters, dealers or agents, by counsel that we will name in the applicable prospectus supplement.</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2024 have been so incorporated in reliance on the report (which contains an emphasis of matter paragraph relating to the Company’s incurrence of significant operating losses and expectation to continue generating operating losses and negative cash flows from operations for the foreseeable future as described in Note 1 to the financial statements) of PricewaterhouseCoopers LLP, an independent registered public accounting firm, given on the authority of said firm as experts in auditing and accounting.</w:t>
      </w:r>
    </w:p>
    <w:p>
      <w:pPr>
        <w:spacing w:after="0" w:line="3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www.sec.gov and on our investor website at https://ir.tangotx.com/. Our website is not a part of this prospectus and is not incorporated by reference in this prospectus.</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the authority to designate and issue more than one class or series of stock having various preferences, conversion and other rights, voting powers, restrictions, limitations as to dividends, qualifications, and terms and conditions of redemption. See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 We will furnish a full statement of the relative rights and preferences of each class or series of our stock which has been so designated and any restrictions on the ownership or transfer of our stock to any stockholder upon request and without charge. Written requests for such copies should be directed to Tango Therapeutics, Inc., 201 Brookline Avenue, Suite 901, Boston, MA 02215, Attention: Corporate Secretary.</w:t>
      </w:r>
    </w:p>
    <w:p>
      <w:pPr>
        <w:spacing w:after="0" w:line="183"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on Form S-3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Securities Exchange Act of 1934, as amended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the securities under the registration statement is terminated or completed:</w:t>
      </w:r>
    </w:p>
    <w:p>
      <w:pPr>
        <w:spacing w:after="0" w:line="100" w:lineRule="exact"/>
        <w:rPr>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11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February 27, 2025;</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w:t>
      </w:r>
      <w:hyperlink r:id="rId11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2024 from our amended definitive proxy statement on </w:t>
      </w:r>
      <w:hyperlink r:id="rId112">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 filed with the SEC on April 24, 2025;</w:t>
      </w:r>
    </w:p>
    <w:p>
      <w:pPr>
        <w:spacing w:after="0" w:line="81"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5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Quarterly Reports on Form 10-Q for the quarters ended March 31, 2025, June 30, 2025 and September 30, 2025, filed with the SEC on </w:t>
      </w:r>
      <w:hyperlink r:id="rId113">
        <w:r>
          <w:rPr>
            <w:rFonts w:ascii="Times New Roman" w:cs="Times New Roman" w:eastAsia="Times New Roman" w:hAnsi="Times New Roman"/>
            <w:sz w:val="18"/>
            <w:szCs w:val="18"/>
            <w:u w:val="single" w:color="auto"/>
            <w:color w:val="0000EE"/>
          </w:rPr>
          <w:t>May 12,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14">
        <w:r>
          <w:rPr>
            <w:rFonts w:ascii="Times New Roman" w:cs="Times New Roman" w:eastAsia="Times New Roman" w:hAnsi="Times New Roman"/>
            <w:sz w:val="18"/>
            <w:szCs w:val="18"/>
            <w:u w:val="single" w:color="auto"/>
            <w:color w:val="0000EE"/>
          </w:rPr>
          <w:t xml:space="preserve">August 5, 2025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115">
        <w:r>
          <w:rPr>
            <w:rFonts w:ascii="Times New Roman" w:cs="Times New Roman" w:eastAsia="Times New Roman" w:hAnsi="Times New Roman"/>
            <w:sz w:val="18"/>
            <w:szCs w:val="18"/>
            <w:u w:val="single" w:color="auto"/>
            <w:color w:val="0000EE"/>
          </w:rPr>
          <w:t>November 4,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w:t>
      </w:r>
    </w:p>
    <w:p>
      <w:pPr>
        <w:spacing w:after="0" w:line="67" w:lineRule="exact"/>
        <w:rPr>
          <w:rFonts w:ascii="Times New Roman" w:cs="Times New Roman" w:eastAsia="Times New Roman" w:hAnsi="Times New Roman"/>
          <w:sz w:val="18"/>
          <w:szCs w:val="18"/>
          <w:color w:val="0000EE"/>
        </w:rPr>
      </w:pPr>
    </w:p>
    <w:p>
      <w:pPr>
        <w:ind w:left="1080" w:right="14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with the SEC on </w:t>
      </w:r>
      <w:hyperlink r:id="rId116">
        <w:r>
          <w:rPr>
            <w:rFonts w:ascii="Times New Roman" w:cs="Times New Roman" w:eastAsia="Times New Roman" w:hAnsi="Times New Roman"/>
            <w:sz w:val="18"/>
            <w:szCs w:val="18"/>
            <w:u w:val="single" w:color="auto"/>
            <w:color w:val="0000EE"/>
          </w:rPr>
          <w:t>June 6, 2025</w:t>
        </w:r>
      </w:hyperlink>
      <w:r>
        <w:rPr>
          <w:rFonts w:ascii="Times New Roman" w:cs="Times New Roman" w:eastAsia="Times New Roman" w:hAnsi="Times New Roman"/>
          <w:sz w:val="18"/>
          <w:szCs w:val="18"/>
          <w:color w:val="auto"/>
        </w:rPr>
        <w:t xml:space="preserve">, </w:t>
      </w:r>
      <w:hyperlink r:id="rId117">
        <w:r>
          <w:rPr>
            <w:rFonts w:ascii="Times New Roman" w:cs="Times New Roman" w:eastAsia="Times New Roman" w:hAnsi="Times New Roman"/>
            <w:sz w:val="18"/>
            <w:szCs w:val="18"/>
            <w:u w:val="single" w:color="auto"/>
            <w:color w:val="0000EE"/>
          </w:rPr>
          <w:t>August 25, 2025</w:t>
        </w:r>
      </w:hyperlink>
      <w:r>
        <w:rPr>
          <w:rFonts w:ascii="Times New Roman" w:cs="Times New Roman" w:eastAsia="Times New Roman" w:hAnsi="Times New Roman"/>
          <w:sz w:val="18"/>
          <w:szCs w:val="18"/>
          <w:color w:val="auto"/>
        </w:rPr>
        <w:t xml:space="preserve">, </w:t>
      </w:r>
      <w:hyperlink r:id="rId118">
        <w:r>
          <w:rPr>
            <w:rFonts w:ascii="Times New Roman" w:cs="Times New Roman" w:eastAsia="Times New Roman" w:hAnsi="Times New Roman"/>
            <w:sz w:val="18"/>
            <w:szCs w:val="18"/>
            <w:u w:val="single" w:color="auto"/>
            <w:color w:val="0000EE"/>
          </w:rPr>
          <w:t>October 23, 2025</w:t>
        </w:r>
      </w:hyperlink>
      <w:r>
        <w:rPr>
          <w:rFonts w:ascii="Times New Roman" w:cs="Times New Roman" w:eastAsia="Times New Roman" w:hAnsi="Times New Roman"/>
          <w:sz w:val="18"/>
          <w:szCs w:val="18"/>
          <w:color w:val="auto"/>
        </w:rPr>
        <w:t xml:space="preserve">, </w:t>
      </w:r>
      <w:hyperlink r:id="rId119">
        <w:r>
          <w:rPr>
            <w:rFonts w:ascii="Times New Roman" w:cs="Times New Roman" w:eastAsia="Times New Roman" w:hAnsi="Times New Roman"/>
            <w:sz w:val="18"/>
            <w:szCs w:val="18"/>
            <w:u w:val="single" w:color="auto"/>
            <w:color w:val="0000EE"/>
          </w:rPr>
          <w:t>October 24, 2025</w:t>
        </w:r>
      </w:hyperlink>
      <w:r>
        <w:rPr>
          <w:rFonts w:ascii="Times New Roman" w:cs="Times New Roman" w:eastAsia="Times New Roman" w:hAnsi="Times New Roman"/>
          <w:sz w:val="18"/>
          <w:szCs w:val="18"/>
          <w:color w:val="auto"/>
        </w:rPr>
        <w:t>, but only to the extent that such information is filed, not furnished; and</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75">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on September 2, 2020, including any amendments or reports filed for the purpose of updating such description, including </w:t>
      </w:r>
      <w:hyperlink r:id="rId76">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2024.</w:t>
      </w:r>
    </w:p>
    <w:p>
      <w:pPr>
        <w:spacing w:after="0" w:line="176" w:lineRule="exact"/>
        <w:rPr>
          <w:rFonts w:ascii="Times New Roman" w:cs="Times New Roman" w:eastAsia="Times New Roman" w:hAnsi="Times New Roman"/>
          <w:sz w:val="18"/>
          <w:szCs w:val="18"/>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62" w:lineRule="exact"/>
        <w:rPr>
          <w:rFonts w:ascii="Times New Roman" w:cs="Times New Roman" w:eastAsia="Times New Roman" w:hAnsi="Times New Roman"/>
          <w:sz w:val="18"/>
          <w:szCs w:val="18"/>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62" w:lineRule="exact"/>
        <w:rPr>
          <w:rFonts w:ascii="Times New Roman" w:cs="Times New Roman" w:eastAsia="Times New Roman" w:hAnsi="Times New Roman"/>
          <w:sz w:val="18"/>
          <w:szCs w:val="18"/>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or the registration statement of which this prospectus is a part.</w:t>
      </w:r>
    </w:p>
    <w:p>
      <w:pPr>
        <w:spacing w:after="0" w:line="176"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201 Brookline Avenue, Suite 901</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Boston, MA 02215</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320-4900</w:t>
      </w:r>
    </w:p>
    <w:p>
      <w:pPr>
        <w:spacing w:after="0" w:line="13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i w:val="1"/>
          <w:iCs w:val="1"/>
          <w:color w:val="auto"/>
        </w:rPr>
        <w:t>$500,000,000</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i w:val="1"/>
          <w:iCs w:val="1"/>
          <w:color w:val="auto"/>
        </w:rPr>
        <w:t>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2123440</wp:posOffset>
            </wp:positionV>
            <wp:extent cx="2263140" cy="6858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1">
                      <a:extLst>
                        <a:ext uri="{28A0092B-C50C-407E-A947-70E740481C1C}"/>
                      </a:extLst>
                    </a:blip>
                    <a:srcRect/>
                    <a:stretch>
                      <a:fillRect/>
                    </a:stretch>
                  </pic:blipFill>
                  <pic:spPr bwMode="auto">
                    <a:xfrm>
                      <a:off x="0" y="0"/>
                      <a:ext cx="226314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Prospectus supplement</w:t>
      </w:r>
    </w:p>
    <w:p>
      <w:pPr>
        <w:spacing w:after="0" w:line="200" w:lineRule="exact"/>
        <w:rPr>
          <w:sz w:val="20"/>
          <w:szCs w:val="20"/>
          <w:color w:val="auto"/>
        </w:rPr>
      </w:pPr>
    </w:p>
    <w:p>
      <w:pPr>
        <w:spacing w:after="0" w:line="314" w:lineRule="exact"/>
        <w:rPr>
          <w:sz w:val="20"/>
          <w:szCs w:val="20"/>
          <w:color w:val="auto"/>
        </w:rPr>
      </w:pPr>
    </w:p>
    <w:p>
      <w:pPr>
        <w:ind w:left="120"/>
        <w:spacing w:after="0"/>
        <w:tabs>
          <w:tab w:leader="none" w:pos="3820" w:val="left"/>
          <w:tab w:leader="none" w:pos="7960" w:val="left"/>
          <w:tab w:leader="none" w:pos="10400" w:val="left"/>
        </w:tabs>
        <w:rPr>
          <w:sz w:val="20"/>
          <w:szCs w:val="20"/>
          <w:color w:val="auto"/>
        </w:rPr>
      </w:pPr>
      <w:r>
        <w:rPr>
          <w:rFonts w:ascii="Arial" w:cs="Arial" w:eastAsia="Arial" w:hAnsi="Arial"/>
          <w:sz w:val="29"/>
          <w:szCs w:val="29"/>
          <w:b w:val="1"/>
          <w:bCs w:val="1"/>
          <w:color w:val="auto"/>
        </w:rPr>
        <w:t>J.P. Morgan</w:t>
      </w:r>
      <w:r>
        <w:rPr>
          <w:sz w:val="20"/>
          <w:szCs w:val="20"/>
          <w:color w:val="auto"/>
        </w:rPr>
        <w:tab/>
      </w:r>
      <w:r>
        <w:rPr>
          <w:rFonts w:ascii="Arial" w:cs="Arial" w:eastAsia="Arial" w:hAnsi="Arial"/>
          <w:sz w:val="29"/>
          <w:szCs w:val="29"/>
          <w:b w:val="1"/>
          <w:bCs w:val="1"/>
          <w:color w:val="auto"/>
        </w:rPr>
        <w:t>Leerink Partners</w:t>
      </w:r>
      <w:r>
        <w:rPr>
          <w:sz w:val="20"/>
          <w:szCs w:val="20"/>
          <w:color w:val="auto"/>
        </w:rPr>
        <w:tab/>
      </w:r>
      <w:r>
        <w:rPr>
          <w:rFonts w:ascii="Arial" w:cs="Arial" w:eastAsia="Arial" w:hAnsi="Arial"/>
          <w:sz w:val="29"/>
          <w:szCs w:val="29"/>
          <w:b w:val="1"/>
          <w:bCs w:val="1"/>
          <w:color w:val="auto"/>
        </w:rPr>
        <w:t>Cantor</w:t>
      </w:r>
      <w:r>
        <w:rPr>
          <w:sz w:val="20"/>
          <w:szCs w:val="20"/>
          <w:color w:val="auto"/>
        </w:rPr>
        <w:tab/>
      </w:r>
      <w:r>
        <w:rPr>
          <w:rFonts w:ascii="Arial" w:cs="Arial" w:eastAsia="Arial" w:hAnsi="Arial"/>
          <w:sz w:val="29"/>
          <w:szCs w:val="29"/>
          <w:b w:val="1"/>
          <w:bCs w:val="1"/>
          <w:color w:val="auto"/>
        </w:rPr>
        <w:t>Stifel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            , 2026</w:t>
      </w: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1)"/>
      <w:numFmt w:val="decimal"/>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1."/>
      <w:numFmt w:val="lowerLetter"/>
      <w:start w:val="1"/>
    </w:lvl>
  </w:abstractNum>
  <w:abstractNum w:abstractNumId="14">
    <w:nsid w:val="5577F8E1"/>
    <w:multiLevelType w:val="hybridMultilevel"/>
    <w:lvl w:ilvl="0">
      <w:lvlJc w:val="left"/>
      <w:lvlText w:val="%1."/>
      <w:numFmt w:val="lowerLetter"/>
      <w:start w:val="1"/>
    </w:lvl>
  </w:abstractNum>
  <w:abstractNum w:abstractNumId="15">
    <w:nsid w:val="440BADFC"/>
    <w:multiLevelType w:val="hybridMultilevel"/>
    <w:lvl w:ilvl="0">
      <w:lvlJc w:val="left"/>
      <w:lvlText w:val="%1."/>
      <w:numFmt w:val="lowerLetter"/>
      <w:start w:val="2"/>
    </w:lvl>
  </w:abstractNum>
  <w:abstractNum w:abstractNumId="16">
    <w:nsid w:val="5072367"/>
    <w:multiLevelType w:val="hybridMultilevel"/>
    <w:lvl w:ilvl="0">
      <w:lvlJc w:val="left"/>
      <w:lvlText w:val="(%1)"/>
      <w:numFmt w:val="lowerRoman"/>
      <w:start w:val="1"/>
    </w:lvl>
  </w:abstractNum>
  <w:abstractNum w:abstractNumId="17">
    <w:nsid w:val="3804823E"/>
    <w:multiLevelType w:val="hybridMultilevel"/>
    <w:lvl w:ilvl="0">
      <w:lvlJc w:val="left"/>
      <w:lvlText w:val="(%1)"/>
      <w:numFmt w:val="lowerRoman"/>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1)"/>
      <w:numFmt w:val="lowerRoman"/>
      <w:start w:val="1"/>
    </w:lvl>
  </w:abstractNum>
  <w:abstractNum w:abstractNumId="22">
    <w:nsid w:val="5E884ADC"/>
    <w:multiLevelType w:val="hybridMultilevel"/>
    <w:lvl w:ilvl="0">
      <w:lvlJc w:val="left"/>
      <w:lvlText w:val="(%1)"/>
      <w:numFmt w:val="lowerRoman"/>
      <w:start w:val="1"/>
    </w:lvl>
  </w:abstractNum>
  <w:abstractNum w:abstractNumId="23">
    <w:nsid w:val="51EAD36B"/>
    <w:multiLevelType w:val="hybridMultilevel"/>
    <w:lvl w:ilvl="0">
      <w:lvlJc w:val="left"/>
      <w:lvlText w:val="(%1)"/>
      <w:numFmt w:val="lowerRoman"/>
      <w:start w:val="5"/>
    </w:lvl>
  </w:abstractNum>
  <w:abstractNum w:abstractNumId="24">
    <w:nsid w:val="2D517796"/>
    <w:multiLevelType w:val="hybridMultilevel"/>
    <w:lvl w:ilvl="0">
      <w:lvlJc w:val="left"/>
      <w:lvlText w:val="(%1)"/>
      <w:numFmt w:val="lowerRoman"/>
      <w:start w:val="1"/>
    </w:lvl>
  </w:abstractNum>
  <w:abstractNum w:abstractNumId="25">
    <w:nsid w:val="580BD78F"/>
    <w:multiLevelType w:val="hybridMultilevel"/>
    <w:lvl w:ilvl="0">
      <w:lvlJc w:val="left"/>
      <w:lvlText w:val="%1."/>
      <w:numFmt w:val="decimal"/>
      <w:start w:val="1"/>
    </w:lvl>
    <w:lvl w:ilvl="1">
      <w:lvlJc w:val="left"/>
      <w:lvlText w:val="(%2)"/>
      <w:numFmt w:val="lowerLetter"/>
      <w:start w:val="1"/>
    </w:lvl>
  </w:abstractNum>
  <w:abstractNum w:abstractNumId="26">
    <w:nsid w:val="153EA438"/>
    <w:multiLevelType w:val="hybridMultilevel"/>
    <w:lvl w:ilvl="0">
      <w:lvlJc w:val="left"/>
      <w:lvlText w:val="%1."/>
      <w:numFmt w:val="decimal"/>
      <w:start w:val="1"/>
    </w:lvl>
    <w:lvl w:ilvl="1">
      <w:lvlJc w:val="left"/>
      <w:lvlText w:val="(%2)"/>
      <w:numFmt w:val="lowerLetter"/>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
      <w:numFmt w:val="bullet"/>
      <w:start w:val="1"/>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1)"/>
      <w:numFmt w:val="decimal"/>
      <w:start w:val="85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jpe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20" Type="http://schemas.openxmlformats.org/officeDocument/2006/relationships/image" Target="media/image92.png"/><Relationship Id="rId121" Type="http://schemas.openxmlformats.org/officeDocument/2006/relationships/image" Target="media/image93.jpeg"/><Relationship Id="rId65" Type="http://schemas.openxmlformats.org/officeDocument/2006/relationships/hyperlink" Target="http://www.sec.gov/ix?doc=/Archives/edgar/data/0001819133/000119312526092518/tngx-20251231.htm" TargetMode="External"/><Relationship Id="rId66" Type="http://schemas.openxmlformats.org/officeDocument/2006/relationships/hyperlink" Target="http://www.sec.gov/ix?doc=/Archives/edgar/data/0001819133/000119312526160287/tngx-20260416.htm" TargetMode="External"/><Relationship Id="rId67" Type="http://schemas.openxmlformats.org/officeDocument/2006/relationships/hyperlink" Target="http://www.sec.gov/ix?doc=/Archives/edgar/data/0001819133/000119312526221656/tngx-20260331.htm" TargetMode="External"/><Relationship Id="rId68" Type="http://schemas.openxmlformats.org/officeDocument/2006/relationships/hyperlink" Target="http://www.sec.gov/ix?doc=/Archives/edgar/data/0001819133/000119312526001495/d44532d8k.htm" TargetMode="External"/><Relationship Id="rId69" Type="http://schemas.openxmlformats.org/officeDocument/2006/relationships/hyperlink" Target="http://www.sec.gov/ix?doc=/Archives/edgar/data/0001819133/000119312526007086/d26323d8k.htm" TargetMode="External"/><Relationship Id="rId70" Type="http://schemas.openxmlformats.org/officeDocument/2006/relationships/hyperlink" Target="http://www.sec.gov/ix?doc=/Archives/edgar/data/0001819133/000119312526156127/d144586d8k.htm" TargetMode="External"/><Relationship Id="rId71" Type="http://schemas.openxmlformats.org/officeDocument/2006/relationships/hyperlink" Target="http://www.sec.gov/ix?doc=/Archives/edgar/data/0001819133/000119312526213491/d102174d8k.htm" TargetMode="External"/><Relationship Id="rId72" Type="http://schemas.openxmlformats.org/officeDocument/2006/relationships/hyperlink" Target="http://www.sec.gov/ix?doc=/Archives/edgar/data/0001819133/000119312526221677/tngx-20260513.htm" TargetMode="External"/><Relationship Id="rId73" Type="http://schemas.openxmlformats.org/officeDocument/2006/relationships/hyperlink" Target="http://www.sec.gov/ix?doc=/Archives/edgar/data/0001819133/000119312526257760/d149262d8k.htm" TargetMode="External"/><Relationship Id="rId74" Type="http://schemas.openxmlformats.org/officeDocument/2006/relationships/hyperlink" Target="http://www.sec.gov/ix?doc=/Archives/edgar/data/1819133/000119312526260679/d158334d8k.htm" TargetMode="External"/><Relationship Id="rId75" Type="http://schemas.openxmlformats.org/officeDocument/2006/relationships/hyperlink" Target="http://www.sec.gov/Archives/edgar/data/1819133/000121390020024994/ea126358-8a12b_bctgacquis.htm" TargetMode="External"/><Relationship Id="rId76" Type="http://schemas.openxmlformats.org/officeDocument/2006/relationships/hyperlink" Target="http://www.sec.gov/Archives/edgar/data/1819133/000095017023009854/tngx-ex4_2.htm" TargetMode="External"/><Relationship Id="rId111" Type="http://schemas.openxmlformats.org/officeDocument/2006/relationships/hyperlink" Target="http://www.sec.gov/ix?doc=/Archives/edgar/data/1819133/000095017025028353/tngx-20241231.htm" TargetMode="External"/><Relationship Id="rId112" Type="http://schemas.openxmlformats.org/officeDocument/2006/relationships/hyperlink" Target="http://www.sec.gov/ix?doc=/Archives/edgar/data/1819133/000095017025057632/tngx-20250424.htm" TargetMode="External"/><Relationship Id="rId113" Type="http://schemas.openxmlformats.org/officeDocument/2006/relationships/hyperlink" Target="http://www.sec.gov/ix?doc=/Archives/edgar/data/1819133/000095017025068549/tngx-20250331.htm" TargetMode="External"/><Relationship Id="rId114" Type="http://schemas.openxmlformats.org/officeDocument/2006/relationships/hyperlink" Target="http://www.sec.gov/ix?doc=/Archives/edgar/data/1819133/000095017025102392/tngx-20250630.htm" TargetMode="External"/><Relationship Id="rId115" Type="http://schemas.openxmlformats.org/officeDocument/2006/relationships/hyperlink" Target="http://www.sec.gov/ix?doc=/Archives/edgar/data/1819133/000119312525263680/tngx-20250930.htm" TargetMode="External"/><Relationship Id="rId116" Type="http://schemas.openxmlformats.org/officeDocument/2006/relationships/hyperlink" Target="http://www.sec.gov/ix?doc=/Archives/edgar/data/1819133/000119312525137032/d926935d8k.htm" TargetMode="External"/><Relationship Id="rId117" Type="http://schemas.openxmlformats.org/officeDocument/2006/relationships/hyperlink" Target="http://www.sec.gov/ix?doc=/Archives/edgar/data/1819133/000119312525187680/d88761d8k.htm" TargetMode="External"/><Relationship Id="rId118" Type="http://schemas.openxmlformats.org/officeDocument/2006/relationships/hyperlink" Target="http://www.sec.gov/ix?doc=/Archives/edgar/data/1819133/000119312525247658/d88744d8k.htm" TargetMode="External"/><Relationship Id="rId119" Type="http://schemas.openxmlformats.org/officeDocument/2006/relationships/hyperlink" Target="http://www.sec.gov/ix?doc=/Archives/edgar/data/1819133/000119312525249302/d80580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2026-06-08T15:23:52Z</dcterms:created>
  <dcterms:modified xsi:type="dcterms:W3CDTF">2026-06-08T15:23:52Z</dcterms:modified>
</cp:coreProperties>
</file>