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333-259448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160020</wp:posOffset>
            </wp:positionV>
            <wp:extent cx="2751455" cy="848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1455" cy="848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Up to 68,034,602 Shares of Common Stock</w:t>
      </w:r>
    </w:p>
    <w:p>
      <w:pPr>
        <w:spacing w:after="0" w:line="153" w:lineRule="exact"/>
        <w:rPr>
          <w:sz w:val="24"/>
          <w:szCs w:val="24"/>
          <w:color w:val="auto"/>
        </w:rPr>
      </w:pPr>
    </w:p>
    <w:p>
      <w:pPr>
        <w:ind w:right="260"/>
        <w:spacing w:after="0" w:line="319" w:lineRule="auto"/>
        <w:rPr>
          <w:sz w:val="20"/>
          <w:szCs w:val="20"/>
          <w:color w:val="auto"/>
        </w:rPr>
      </w:pPr>
      <w:r>
        <w:rPr>
          <w:rFonts w:ascii="Arial" w:cs="Arial" w:eastAsia="Arial" w:hAnsi="Arial"/>
          <w:sz w:val="16"/>
          <w:szCs w:val="16"/>
          <w:color w:val="auto"/>
        </w:rPr>
        <w:t>This prospectus supplement updates and supplements the prospectus dated October 7, 2021 (the “Prospectus”), which forms a part of our Registration Statement on Form S-1 (333-259448). This prospectus supplement is being filed to update and supplement the information in the Prospectus with the information contained in our Quarterly Report on Form 10-Q, filed with the Securities and Exchange Commission on November 9, 2021 (the “Quarterly Report on Form 10-Q”). Accordingly, we have attached the Quarterly Report on Form 10-Q to this prospectus supplement.</w:t>
      </w:r>
    </w:p>
    <w:p>
      <w:pPr>
        <w:spacing w:after="0" w:line="48" w:lineRule="exact"/>
        <w:rPr>
          <w:sz w:val="24"/>
          <w:szCs w:val="24"/>
          <w:color w:val="auto"/>
        </w:rPr>
      </w:pPr>
    </w:p>
    <w:p>
      <w:pPr>
        <w:ind w:right="60"/>
        <w:spacing w:after="0" w:line="292"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the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below) and (ii) up to 49,424,602 shares of our common stock that were issued to certain former shareholders of Tango Therapeutics Sub, Inc. at the closing of the Business Combination.</w:t>
      </w:r>
    </w:p>
    <w:p>
      <w:pPr>
        <w:spacing w:after="0" w:line="174" w:lineRule="exact"/>
        <w:rPr>
          <w:sz w:val="24"/>
          <w:szCs w:val="24"/>
          <w:color w:val="auto"/>
        </w:rPr>
      </w:pPr>
    </w:p>
    <w:p>
      <w:pPr>
        <w:ind w:right="40"/>
        <w:spacing w:after="0" w:line="275" w:lineRule="auto"/>
        <w:rPr>
          <w:sz w:val="20"/>
          <w:szCs w:val="20"/>
          <w:color w:val="auto"/>
        </w:rPr>
      </w:pPr>
      <w:r>
        <w:rPr>
          <w:rFonts w:ascii="Arial" w:cs="Arial" w:eastAsia="Arial" w:hAnsi="Arial"/>
          <w:sz w:val="18"/>
          <w:szCs w:val="18"/>
          <w:color w:val="auto"/>
        </w:rPr>
        <w:t xml:space="preserve">This prospectus supplement should be read in conjunction with the Prospectus. This prospectus supplement updates and supplements the information in the Prospectus </w:t>
      </w:r>
      <w:r>
        <w:rPr>
          <w:rFonts w:ascii="Arial" w:cs="Arial" w:eastAsia="Arial" w:hAnsi="Arial"/>
          <w:sz w:val="18"/>
          <w:szCs w:val="18"/>
          <w:color w:val="202124"/>
        </w:rPr>
        <w:t>and is not complete without, and may not be delivered or utilized except in combination with, the Prospectus, including any amendments or</w:t>
      </w:r>
      <w:r>
        <w:rPr>
          <w:rFonts w:ascii="Arial" w:cs="Arial" w:eastAsia="Arial" w:hAnsi="Arial"/>
          <w:sz w:val="18"/>
          <w:szCs w:val="18"/>
          <w:color w:val="auto"/>
        </w:rPr>
        <w:t xml:space="preserve"> </w:t>
      </w:r>
      <w:r>
        <w:rPr>
          <w:rFonts w:ascii="Arial" w:cs="Arial" w:eastAsia="Arial" w:hAnsi="Arial"/>
          <w:sz w:val="18"/>
          <w:szCs w:val="18"/>
          <w:color w:val="202124"/>
        </w:rPr>
        <w:t>supplements thereto</w:t>
      </w:r>
      <w:r>
        <w:rPr>
          <w:rFonts w:ascii="Arial" w:cs="Arial" w:eastAsia="Arial" w:hAnsi="Arial"/>
          <w:sz w:val="18"/>
          <w:szCs w:val="18"/>
          <w:color w:val="000000"/>
        </w:rPr>
        <w:t>. If there is any inconsistency between the information in the Prospectus and this prospectus supplement, you should rely on the</w:t>
      </w:r>
      <w:r>
        <w:rPr>
          <w:rFonts w:ascii="Arial" w:cs="Arial" w:eastAsia="Arial" w:hAnsi="Arial"/>
          <w:sz w:val="18"/>
          <w:szCs w:val="18"/>
          <w:color w:val="202124"/>
        </w:rPr>
        <w:t xml:space="preserve"> </w:t>
      </w:r>
      <w:r>
        <w:rPr>
          <w:rFonts w:ascii="Arial" w:cs="Arial" w:eastAsia="Arial" w:hAnsi="Arial"/>
          <w:sz w:val="18"/>
          <w:szCs w:val="18"/>
          <w:color w:val="000000"/>
        </w:rPr>
        <w:t>information in this prospectus supplement.</w:t>
      </w:r>
    </w:p>
    <w:p>
      <w:pPr>
        <w:spacing w:after="0" w:line="185" w:lineRule="exact"/>
        <w:rPr>
          <w:sz w:val="24"/>
          <w:szCs w:val="24"/>
          <w:color w:val="auto"/>
        </w:rPr>
      </w:pPr>
    </w:p>
    <w:p>
      <w:pPr>
        <w:ind w:right="200"/>
        <w:spacing w:after="0" w:line="293" w:lineRule="auto"/>
        <w:rPr>
          <w:sz w:val="20"/>
          <w:szCs w:val="20"/>
          <w:color w:val="auto"/>
        </w:rPr>
      </w:pPr>
      <w:r>
        <w:rPr>
          <w:rFonts w:ascii="Arial" w:cs="Arial" w:eastAsia="Arial" w:hAnsi="Arial"/>
          <w:sz w:val="18"/>
          <w:szCs w:val="18"/>
          <w:color w:val="auto"/>
        </w:rPr>
        <w:t>Our common stock is listed on the Nasdaq Global Market under the symbol “TNGX”. On November 8, 2021, the closing price of our common stock was $12.64 per share.</w:t>
      </w:r>
    </w:p>
    <w:p>
      <w:pPr>
        <w:spacing w:after="0" w:line="166" w:lineRule="exact"/>
        <w:rPr>
          <w:sz w:val="24"/>
          <w:szCs w:val="24"/>
          <w:color w:val="auto"/>
        </w:rPr>
      </w:pPr>
    </w:p>
    <w:p>
      <w:pPr>
        <w:ind w:right="60"/>
        <w:spacing w:after="0" w:line="297" w:lineRule="auto"/>
        <w:rPr>
          <w:sz w:val="20"/>
          <w:szCs w:val="20"/>
          <w:color w:val="auto"/>
        </w:rPr>
      </w:pPr>
      <w:r>
        <w:rPr>
          <w:rFonts w:ascii="Arial" w:cs="Arial" w:eastAsia="Arial" w:hAnsi="Arial"/>
          <w:sz w:val="18"/>
          <w:szCs w:val="18"/>
          <w:b w:val="1"/>
          <w:bCs w:val="1"/>
          <w:color w:val="auto"/>
        </w:rPr>
        <w:t>Investing in our securities involves risks that are described in the “</w:t>
      </w:r>
      <w:r>
        <w:rPr>
          <w:rFonts w:ascii="Arial" w:cs="Arial" w:eastAsia="Arial" w:hAnsi="Arial"/>
          <w:sz w:val="18"/>
          <w:szCs w:val="18"/>
          <w:b w:val="1"/>
          <w:bCs w:val="1"/>
          <w:i w:val="1"/>
          <w:iCs w:val="1"/>
          <w:u w:val="single" w:color="auto"/>
          <w:color w:val="0000EE"/>
        </w:rPr>
        <w:t>Risk Factors</w:t>
      </w:r>
      <w:r>
        <w:rPr>
          <w:rFonts w:ascii="Arial" w:cs="Arial" w:eastAsia="Arial" w:hAnsi="Arial"/>
          <w:sz w:val="18"/>
          <w:szCs w:val="18"/>
          <w:b w:val="1"/>
          <w:bCs w:val="1"/>
          <w:color w:val="auto"/>
        </w:rPr>
        <w:t>” section beginning on page 12 of the Prospectus and under similar headings in any further amendments or supplements to the Prospectus.</w:t>
      </w:r>
    </w:p>
    <w:p>
      <w:pPr>
        <w:spacing w:after="0" w:line="163" w:lineRule="exact"/>
        <w:rPr>
          <w:sz w:val="24"/>
          <w:szCs w:val="24"/>
          <w:color w:val="auto"/>
        </w:rPr>
      </w:pPr>
    </w:p>
    <w:p>
      <w:pPr>
        <w:ind w:right="100"/>
        <w:spacing w:after="0" w:line="28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1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date of this prospectus supplement is 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0"/>
          <w:szCs w:val="20"/>
          <w:color w:val="auto"/>
        </w:rPr>
      </w:pPr>
    </w:p>
    <w:p>
      <w:pPr>
        <w:ind w:left="3140" w:right="1600" w:hanging="3119"/>
        <w:spacing w:after="0" w:line="399"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43"/>
          <w:szCs w:val="43"/>
          <w:b w:val="1"/>
          <w:bCs w:val="1"/>
          <w:color w:val="auto"/>
        </w:rPr>
        <w:t>TANGO THERAPEUTICS, INC.</w:t>
      </w:r>
    </w:p>
    <w:p>
      <w:pPr>
        <w:sectPr>
          <w:pgSz w:w="11900" w:h="16838" w:orient="portrait"/>
          <w:cols w:equalWidth="0" w:num="1">
            <w:col w:w="11240"/>
          </w:cols>
          <w:pgMar w:left="320" w:top="513" w:right="339" w:bottom="1440" w:gutter="0" w:footer="0" w:header="0"/>
        </w:sectPr>
      </w:pP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0"/>
          <w:szCs w:val="20"/>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0"/>
          <w:szCs w:val="20"/>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85-1195036</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72" w:lineRule="exact"/>
        <w:rPr>
          <w:sz w:val="20"/>
          <w:szCs w:val="20"/>
          <w:color w:val="auto"/>
        </w:rPr>
      </w:pPr>
    </w:p>
    <w:p>
      <w:pPr>
        <w:sectPr>
          <w:pgSz w:w="11900" w:h="16838" w:orient="portrait"/>
          <w:cols w:equalWidth="0" w:num="2">
            <w:col w:w="7700" w:space="240"/>
            <w:col w:w="330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89"/>
              </w:rPr>
              <w:t>100 Binney St., Suite 700</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5"/>
              </w:rPr>
              <w:t>Cambridge, MA</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00" w:type="dxa"/>
            <w:vAlign w:val="bottom"/>
          </w:tcPr>
          <w:p>
            <w:pPr>
              <w:jc w:val="right"/>
              <w:ind w:right="2501"/>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87"/>
        </w:trPr>
        <w:tc>
          <w:tcPr>
            <w:tcW w:w="4500" w:type="dxa"/>
            <w:vAlign w:val="bottom"/>
            <w:gridSpan w:val="3"/>
          </w:tcPr>
          <w:p>
            <w:pPr>
              <w:jc w:val="center"/>
              <w:ind w:left="105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jc w:val="center"/>
              <w:ind w:right="104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(857) 320-4900</w:t>
            </w:r>
          </w:p>
        </w:tc>
        <w:tc>
          <w:tcPr>
            <w:tcW w:w="5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122"/>
        </w:trPr>
        <w:tc>
          <w:tcPr>
            <w:tcW w:w="4500" w:type="dxa"/>
            <w:vAlign w:val="bottom"/>
            <w:gridSpan w:val="3"/>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50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7"/>
              </w:rPr>
              <w:t>Trading</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4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4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TNGX</w:t>
            </w:r>
          </w:p>
        </w:tc>
        <w:tc>
          <w:tcPr>
            <w:tcW w:w="4500" w:type="dxa"/>
            <w:vAlign w:val="bottom"/>
          </w:tcPr>
          <w:p>
            <w:pPr>
              <w:jc w:val="center"/>
              <w:ind w:right="461"/>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0"/>
          <w:szCs w:val="20"/>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0"/>
          <w:szCs w:val="20"/>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0"/>
          <w:szCs w:val="20"/>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0"/>
          <w:szCs w:val="20"/>
          <w:color w:val="auto"/>
        </w:rPr>
      </w:pPr>
    </w:p>
    <w:p>
      <w:pPr>
        <w:ind w:left="600" w:right="20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5, 2021, the registrant had 87,546,430 shares of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FINANCIAL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Financial Statements (Unaudited)</w:t>
              </w:r>
            </w:hyperlink>
          </w:p>
        </w:tc>
        <w:tc>
          <w:tcPr>
            <w:tcW w:w="688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Operations and Comprehensive Loss</w:t>
              </w:r>
            </w:hyperlink>
          </w:p>
        </w:tc>
        <w:tc>
          <w:tcPr>
            <w:tcW w:w="378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Redeemable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20" w:type="dxa"/>
            <w:vAlign w:val="bottom"/>
            <w:tcBorders>
              <w:top w:val="single" w:sz="8" w:color="0000FF"/>
            </w:tcBorders>
            <w:gridSpan w:val="17"/>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Condensed Consolidated Statements of Cash Flows</w:t>
              </w:r>
            </w:hyperlink>
          </w:p>
        </w:tc>
        <w:tc>
          <w:tcPr>
            <w:tcW w:w="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Quantitative and Qualitative Disclosures About Market Risk</w:t>
              </w:r>
            </w:hyperlink>
          </w:p>
        </w:tc>
        <w:tc>
          <w:tcPr>
            <w:tcW w:w="494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OTHER INFORMATION</w:t>
              </w:r>
            </w:hyperlink>
          </w:p>
        </w:tc>
        <w:tc>
          <w:tcPr>
            <w:tcW w:w="74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79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83">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4"/>
          </w:tcPr>
          <w:p>
            <w:pPr>
              <w:spacing w:after="0"/>
              <w:rPr>
                <w:sz w:val="19"/>
                <w:szCs w:val="19"/>
                <w:color w:val="auto"/>
              </w:rPr>
            </w:pPr>
          </w:p>
        </w:tc>
        <w:tc>
          <w:tcPr>
            <w:tcW w:w="496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Other Information</w:t>
              </w:r>
            </w:hyperlink>
          </w:p>
        </w:tc>
        <w:tc>
          <w:tcPr>
            <w:tcW w:w="754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800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324" w:lineRule="exact"/>
        <w:rPr>
          <w:sz w:val="20"/>
          <w:szCs w:val="20"/>
          <w:color w:val="auto"/>
        </w:rPr>
      </w:pPr>
    </w:p>
    <w:p>
      <w:pPr>
        <w:ind w:right="280" w:firstLine="599"/>
        <w:spacing w:after="0" w:line="359" w:lineRule="auto"/>
        <w:rPr>
          <w:sz w:val="20"/>
          <w:szCs w:val="20"/>
          <w:color w:val="auto"/>
        </w:rPr>
      </w:pPr>
      <w:r>
        <w:rPr>
          <w:rFonts w:ascii="Arial" w:cs="Arial" w:eastAsia="Arial" w:hAnsi="Arial"/>
          <w:sz w:val="16"/>
          <w:szCs w:val="16"/>
          <w:color w:val="auto"/>
        </w:rPr>
        <w:t>Our business is subject to numerous material and other risks that you should be aware of before making an investment decision. These risks are described more fully in the section of this Quarterly Report on Form 10-Q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These risks include, among others, the following:</w:t>
      </w:r>
    </w:p>
    <w:p>
      <w:pPr>
        <w:spacing w:after="0" w:line="138" w:lineRule="exact"/>
        <w:rPr>
          <w:sz w:val="20"/>
          <w:szCs w:val="20"/>
          <w:color w:val="auto"/>
        </w:rPr>
      </w:pPr>
    </w:p>
    <w:p>
      <w:pPr>
        <w:ind w:left="1040" w:right="640" w:hanging="46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96" w:lineRule="exact"/>
        <w:rPr>
          <w:rFonts w:ascii="Arial" w:cs="Arial" w:eastAsia="Arial" w:hAnsi="Arial"/>
          <w:sz w:val="18"/>
          <w:szCs w:val="18"/>
          <w:color w:val="auto"/>
        </w:rPr>
      </w:pPr>
    </w:p>
    <w:p>
      <w:pPr>
        <w:ind w:left="1040" w:hanging="46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anticipate that we will continue to incur losses for the foreseeable future.</w:t>
      </w:r>
    </w:p>
    <w:p>
      <w:pPr>
        <w:spacing w:after="0" w:line="288" w:lineRule="exact"/>
        <w:rPr>
          <w:rFonts w:ascii="Arial" w:cs="Arial" w:eastAsia="Arial" w:hAnsi="Arial"/>
          <w:sz w:val="16"/>
          <w:szCs w:val="16"/>
          <w:color w:val="auto"/>
        </w:rPr>
      </w:pPr>
    </w:p>
    <w:p>
      <w:pPr>
        <w:ind w:left="1040" w:right="80" w:hanging="452"/>
        <w:spacing w:after="0" w:line="29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96" w:lineRule="exact"/>
        <w:rPr>
          <w:rFonts w:ascii="Arial" w:cs="Arial" w:eastAsia="Arial" w:hAnsi="Arial"/>
          <w:sz w:val="18"/>
          <w:szCs w:val="18"/>
          <w:color w:val="auto"/>
        </w:rPr>
      </w:pPr>
    </w:p>
    <w:p>
      <w:pPr>
        <w:ind w:left="1040" w:right="200" w:hanging="46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96" w:lineRule="exact"/>
        <w:rPr>
          <w:rFonts w:ascii="Arial" w:cs="Arial" w:eastAsia="Arial" w:hAnsi="Arial"/>
          <w:sz w:val="18"/>
          <w:szCs w:val="18"/>
          <w:color w:val="auto"/>
        </w:rPr>
      </w:pPr>
    </w:p>
    <w:p>
      <w:pPr>
        <w:ind w:left="1040" w:right="26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209" w:lineRule="exact"/>
        <w:rPr>
          <w:rFonts w:ascii="Arial" w:cs="Arial" w:eastAsia="Arial" w:hAnsi="Arial"/>
          <w:sz w:val="18"/>
          <w:szCs w:val="18"/>
          <w:color w:val="auto"/>
        </w:rPr>
      </w:pPr>
    </w:p>
    <w:p>
      <w:pPr>
        <w:ind w:left="1040" w:right="20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209" w:lineRule="exact"/>
        <w:rPr>
          <w:rFonts w:ascii="Arial" w:cs="Arial" w:eastAsia="Arial" w:hAnsi="Arial"/>
          <w:sz w:val="18"/>
          <w:szCs w:val="18"/>
          <w:color w:val="auto"/>
        </w:rPr>
      </w:pPr>
    </w:p>
    <w:p>
      <w:pPr>
        <w:ind w:left="1040" w:hanging="46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w:t>
      </w:r>
    </w:p>
    <w:p>
      <w:pPr>
        <w:spacing w:after="0" w:line="265" w:lineRule="exact"/>
        <w:rPr>
          <w:rFonts w:ascii="Arial" w:cs="Arial" w:eastAsia="Arial" w:hAnsi="Arial"/>
          <w:sz w:val="18"/>
          <w:szCs w:val="18"/>
          <w:color w:val="auto"/>
        </w:rPr>
      </w:pPr>
    </w:p>
    <w:p>
      <w:pPr>
        <w:ind w:left="1040" w:right="20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209" w:lineRule="exact"/>
        <w:rPr>
          <w:rFonts w:ascii="Arial" w:cs="Arial" w:eastAsia="Arial" w:hAnsi="Arial"/>
          <w:sz w:val="18"/>
          <w:szCs w:val="18"/>
          <w:color w:val="auto"/>
        </w:rPr>
      </w:pPr>
    </w:p>
    <w:p>
      <w:pPr>
        <w:ind w:left="1040" w:right="40" w:hanging="452"/>
        <w:spacing w:after="0" w:line="275"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212" w:lineRule="exact"/>
        <w:rPr>
          <w:rFonts w:ascii="Arial" w:cs="Arial" w:eastAsia="Arial" w:hAnsi="Arial"/>
          <w:sz w:val="18"/>
          <w:szCs w:val="18"/>
          <w:color w:val="auto"/>
        </w:rPr>
      </w:pPr>
    </w:p>
    <w:p>
      <w:pPr>
        <w:ind w:left="1040" w:hanging="46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196" w:lineRule="exact"/>
        <w:rPr>
          <w:rFonts w:ascii="Arial" w:cs="Arial" w:eastAsia="Arial" w:hAnsi="Arial"/>
          <w:sz w:val="18"/>
          <w:szCs w:val="18"/>
          <w:color w:val="auto"/>
        </w:rPr>
      </w:pPr>
    </w:p>
    <w:p>
      <w:pPr>
        <w:ind w:left="1040" w:right="30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209" w:lineRule="exact"/>
        <w:rPr>
          <w:rFonts w:ascii="Arial" w:cs="Arial" w:eastAsia="Arial" w:hAnsi="Arial"/>
          <w:sz w:val="18"/>
          <w:szCs w:val="18"/>
          <w:color w:val="auto"/>
        </w:rPr>
      </w:pPr>
    </w:p>
    <w:p>
      <w:pPr>
        <w:ind w:left="1040" w:right="8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209" w:lineRule="exact"/>
        <w:rPr>
          <w:rFonts w:ascii="Arial" w:cs="Arial" w:eastAsia="Arial" w:hAnsi="Arial"/>
          <w:sz w:val="18"/>
          <w:szCs w:val="18"/>
          <w:color w:val="auto"/>
        </w:rPr>
      </w:pPr>
    </w:p>
    <w:p>
      <w:pPr>
        <w:ind w:left="1040" w:right="16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9" w:lineRule="exact"/>
        <w:rPr>
          <w:rFonts w:ascii="Arial" w:cs="Arial" w:eastAsia="Arial" w:hAnsi="Arial"/>
          <w:sz w:val="18"/>
          <w:szCs w:val="18"/>
          <w:color w:val="auto"/>
        </w:rPr>
      </w:pPr>
    </w:p>
    <w:p>
      <w:pPr>
        <w:ind w:left="1040" w:right="320" w:hanging="465"/>
        <w:spacing w:after="0" w:line="324"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4" w:name="page5"/>
    <w:bookmarkEnd w:id="4"/>
    <w:p>
      <w:pPr>
        <w:ind w:left="1040" w:right="40" w:hanging="452"/>
        <w:spacing w:after="0" w:line="27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12" w:lineRule="exact"/>
        <w:rPr>
          <w:rFonts w:ascii="Arial" w:cs="Arial" w:eastAsia="Arial" w:hAnsi="Arial"/>
          <w:sz w:val="18"/>
          <w:szCs w:val="18"/>
          <w:color w:val="auto"/>
        </w:rPr>
      </w:pPr>
    </w:p>
    <w:p>
      <w:pPr>
        <w:ind w:left="1040" w:right="140" w:hanging="452"/>
        <w:spacing w:after="0" w:line="27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12" w:lineRule="exact"/>
        <w:rPr>
          <w:rFonts w:ascii="Arial" w:cs="Arial" w:eastAsia="Arial" w:hAnsi="Arial"/>
          <w:sz w:val="18"/>
          <w:szCs w:val="18"/>
          <w:color w:val="auto"/>
        </w:rPr>
      </w:pPr>
    </w:p>
    <w:p>
      <w:pPr>
        <w:ind w:left="1040" w:right="440" w:hanging="452"/>
        <w:spacing w:after="0" w:line="324"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ind w:firstLine="495"/>
        <w:spacing w:after="0" w:line="287" w:lineRule="auto"/>
        <w:rPr>
          <w:sz w:val="20"/>
          <w:szCs w:val="20"/>
          <w:color w:val="auto"/>
        </w:rPr>
      </w:pPr>
      <w:r>
        <w:rPr>
          <w:rFonts w:ascii="Arial" w:cs="Arial" w:eastAsia="Arial" w:hAnsi="Arial"/>
          <w:sz w:val="17"/>
          <w:szCs w:val="17"/>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95" w:lineRule="exact"/>
        <w:rPr>
          <w:sz w:val="20"/>
          <w:szCs w:val="20"/>
          <w:color w:val="auto"/>
        </w:rPr>
      </w:pPr>
    </w:p>
    <w:p>
      <w:pPr>
        <w:ind w:left="1040" w:right="60" w:hanging="452"/>
        <w:spacing w:after="0" w:line="303"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191" w:lineRule="exact"/>
        <w:rPr>
          <w:rFonts w:ascii="Arial" w:cs="Arial" w:eastAsia="Arial" w:hAnsi="Arial"/>
          <w:sz w:val="17"/>
          <w:szCs w:val="17"/>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w:t>
      </w:r>
    </w:p>
    <w:p>
      <w:pPr>
        <w:spacing w:after="0" w:line="265" w:lineRule="exact"/>
        <w:rPr>
          <w:rFonts w:ascii="Arial" w:cs="Arial" w:eastAsia="Arial" w:hAnsi="Arial"/>
          <w:sz w:val="18"/>
          <w:szCs w:val="18"/>
          <w:color w:val="auto"/>
        </w:rPr>
      </w:pPr>
    </w:p>
    <w:p>
      <w:pPr>
        <w:ind w:left="1040" w:right="40" w:hanging="452"/>
        <w:spacing w:after="0" w:line="29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96" w:lineRule="exact"/>
        <w:rPr>
          <w:rFonts w:ascii="Arial" w:cs="Arial" w:eastAsia="Arial" w:hAnsi="Arial"/>
          <w:sz w:val="18"/>
          <w:szCs w:val="18"/>
          <w:color w:val="auto"/>
        </w:rPr>
      </w:pPr>
    </w:p>
    <w:p>
      <w:pPr>
        <w:ind w:left="1040" w:right="820" w:hanging="452"/>
        <w:spacing w:after="0" w:line="29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196" w:lineRule="exact"/>
        <w:rPr>
          <w:rFonts w:ascii="Arial" w:cs="Arial" w:eastAsia="Arial" w:hAnsi="Arial"/>
          <w:sz w:val="18"/>
          <w:szCs w:val="18"/>
          <w:color w:val="auto"/>
        </w:rPr>
      </w:pPr>
    </w:p>
    <w:p>
      <w:pPr>
        <w:ind w:left="1040" w:right="120" w:hanging="452"/>
        <w:spacing w:after="0" w:line="27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209"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5" w:name="page6"/>
    <w:bookmarkEnd w:id="5"/>
    <w:p>
      <w:pPr>
        <w:ind w:left="1040" w:right="180" w:hanging="452"/>
        <w:spacing w:after="0" w:line="29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96"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products;</w:t>
      </w:r>
    </w:p>
    <w:p>
      <w:pPr>
        <w:spacing w:after="0" w:line="277" w:lineRule="exact"/>
        <w:rPr>
          <w:rFonts w:ascii="Arial" w:cs="Arial" w:eastAsia="Arial" w:hAnsi="Arial"/>
          <w:sz w:val="17"/>
          <w:szCs w:val="17"/>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its industry;</w:t>
      </w:r>
    </w:p>
    <w:p>
      <w:pPr>
        <w:spacing w:after="0" w:line="265" w:lineRule="exact"/>
        <w:rPr>
          <w:rFonts w:ascii="Arial" w:cs="Arial" w:eastAsia="Arial" w:hAnsi="Arial"/>
          <w:sz w:val="18"/>
          <w:szCs w:val="18"/>
          <w:color w:val="auto"/>
        </w:rPr>
      </w:pPr>
    </w:p>
    <w:p>
      <w:pPr>
        <w:ind w:left="1040" w:right="400" w:hanging="452"/>
        <w:spacing w:after="0" w:line="32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the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74" w:lineRule="exact"/>
        <w:rPr>
          <w:rFonts w:ascii="Arial" w:cs="Arial" w:eastAsia="Arial" w:hAnsi="Arial"/>
          <w:sz w:val="17"/>
          <w:szCs w:val="17"/>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306" w:lineRule="exact"/>
        <w:rPr>
          <w:sz w:val="20"/>
          <w:szCs w:val="20"/>
          <w:color w:val="auto"/>
        </w:rPr>
      </w:pPr>
    </w:p>
    <w:p>
      <w:pPr>
        <w:ind w:right="40" w:firstLine="495"/>
        <w:spacing w:after="0" w:line="306" w:lineRule="auto"/>
        <w:rPr>
          <w:sz w:val="20"/>
          <w:szCs w:val="20"/>
          <w:color w:val="auto"/>
        </w:rPr>
      </w:pPr>
      <w:r>
        <w:rPr>
          <w:rFonts w:ascii="Arial" w:cs="Arial" w:eastAsia="Arial" w:hAnsi="Arial"/>
          <w:sz w:val="16"/>
          <w:szCs w:val="16"/>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Website</w:t>
      </w:r>
    </w:p>
    <w:p>
      <w:pPr>
        <w:spacing w:after="0" w:line="25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intends to use its website http://www.tangotx.com as a means of disclosing material non-public information and for complying with its disclosure obligations under the Securities and Exchange Commission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 w:name="page7"/>
    <w:bookmarkEnd w:id="6"/>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amounts)</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204,974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28,381</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298,831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161,939</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516,339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193,632</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7,480</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9"/>
                <w:szCs w:val="19"/>
                <w:color w:val="auto"/>
              </w:rPr>
            </w:pPr>
          </w:p>
        </w:tc>
      </w:tr>
      <w:tr>
        <w:trPr>
          <w:trHeight w:val="23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530,137</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6,140</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31,977</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41,986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40,917</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6,925</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net of current portion</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116,649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120,805</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164,724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168,652</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$0.001 par value; 10,000,000 shares authorized; no shares issued and</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September 30, 2021 and December 31, 2020</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$0.001 par value; 200,000,000 and 56,393,261 shares authorized at</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September 30, 2021 and December 31, 2020; 87,544,002 and 40,372,133 shares</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issued and outstanding as of September 30, 2021 and December 31, 2020, respectively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504,625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141,644</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(139,290 )</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(103,101 )</w:t>
            </w:r>
          </w:p>
        </w:tc>
      </w:tr>
      <w:tr>
        <w:trPr>
          <w:trHeight w:val="223"/>
        </w:trPr>
        <w:tc>
          <w:tcPr>
            <w:tcW w:w="6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365,413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530,137</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-3519805</wp:posOffset>
            </wp:positionV>
            <wp:extent cx="1631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-3519805</wp:posOffset>
            </wp:positionV>
            <wp:extent cx="603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-176530</wp:posOffset>
            </wp:positionV>
            <wp:extent cx="1631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wp:posOffset>
            </wp:positionV>
            <wp:extent cx="603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64" w:right="89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47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(11,275 )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(2,169 )</w:t>
            </w: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License revenue</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r>
      <w:tr>
        <w:trPr>
          <w:trHeight w:val="25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(11,261 )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(1,486 )</w:t>
            </w:r>
          </w:p>
        </w:tc>
      </w:tr>
      <w:tr>
        <w:trPr>
          <w:trHeight w:val="250"/>
        </w:trPr>
        <w:tc>
          <w:tcPr>
            <w:tcW w:w="47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4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12,977</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56,002</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34,928</w:t>
            </w:r>
          </w:p>
        </w:tc>
        <w:tc>
          <w:tcPr>
            <w:tcW w:w="100" w:type="dxa"/>
            <w:vAlign w:val="bottom"/>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1"/>
                <w:szCs w:val="21"/>
                <w:color w:val="auto"/>
              </w:rPr>
            </w:pPr>
          </w:p>
        </w:tc>
      </w:tr>
      <w:tr>
        <w:trPr>
          <w:trHeight w:val="250"/>
        </w:trPr>
        <w:tc>
          <w:tcPr>
            <w:tcW w:w="47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67,532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(19,569 )</w:t>
            </w: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(26,756 )</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(36,206 )</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(43,263 )</w:t>
            </w: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Interest income (expense)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r>
      <w:tr>
        <w:trPr>
          <w:trHeight w:val="256"/>
        </w:trPr>
        <w:tc>
          <w:tcPr>
            <w:tcW w:w="4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(50 )</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(167 )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22"/>
                <w:szCs w:val="22"/>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72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(19,528 )</w:t>
            </w: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(26,802 )</w:t>
            </w: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(36,074 )</w:t>
            </w: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(43,108 )</w:t>
            </w: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(115 )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(19,590 )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(26,802 )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(36,189 )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(43,108 )</w:t>
            </w:r>
          </w:p>
        </w:tc>
      </w:tr>
      <w:tr>
        <w:trPr>
          <w:trHeight w:val="20"/>
        </w:trPr>
        <w:tc>
          <w:tcPr>
            <w:tcW w:w="4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506"/>
        </w:trPr>
        <w:tc>
          <w:tcPr>
            <w:tcW w:w="472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(0.76 )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(0.68 )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(1.48 )</w:t>
            </w:r>
          </w:p>
        </w:tc>
      </w:tr>
      <w:tr>
        <w:trPr>
          <w:trHeight w:val="24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basic and diluted</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70,160,663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35,069,988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53,397,557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29,176,082</w:t>
            </w:r>
          </w:p>
        </w:tc>
        <w:tc>
          <w:tcPr>
            <w:tcW w:w="100" w:type="dxa"/>
            <w:vAlign w:val="bottom"/>
            <w:shd w:val="clear" w:color="auto" w:fill="CFF0FC"/>
          </w:tcPr>
          <w:p>
            <w:pPr>
              <w:spacing w:after="0"/>
              <w:rPr>
                <w:sz w:val="21"/>
                <w:szCs w:val="2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(19,590 )</w:t>
            </w: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(26,802 )</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(36,189 )</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(43,108 )</w:t>
            </w: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(19,602 )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(26,787 )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(36,216 )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(43,092 )</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-3331210</wp:posOffset>
            </wp:positionV>
            <wp:extent cx="1371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-3331210</wp:posOffset>
            </wp:positionV>
            <wp:extent cx="1371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-3331210</wp:posOffset>
            </wp:positionV>
            <wp:extent cx="1200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-3331210</wp:posOffset>
            </wp:positionV>
            <wp:extent cx="603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-2662555</wp:posOffset>
            </wp:positionV>
            <wp:extent cx="1371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-2662555</wp:posOffset>
            </wp:positionV>
            <wp:extent cx="1371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-2662555</wp:posOffset>
            </wp:positionV>
            <wp:extent cx="1200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-2662555</wp:posOffset>
            </wp:positionV>
            <wp:extent cx="6032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-2002155</wp:posOffset>
            </wp:positionV>
            <wp:extent cx="1371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-2002155</wp:posOffset>
            </wp:positionV>
            <wp:extent cx="1371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-2002155</wp:posOffset>
            </wp:positionV>
            <wp:extent cx="1200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-2002155</wp:posOffset>
            </wp:positionV>
            <wp:extent cx="603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-1325245</wp:posOffset>
            </wp:positionV>
            <wp:extent cx="1371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-1325245</wp:posOffset>
            </wp:positionV>
            <wp:extent cx="1371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-1325245</wp:posOffset>
            </wp:positionV>
            <wp:extent cx="1200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-1325245</wp:posOffset>
            </wp:positionV>
            <wp:extent cx="603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-7620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-7620</wp:posOffset>
            </wp:positionV>
            <wp:extent cx="120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gridSpan w:val="13"/>
            <w:vMerge w:val="restart"/>
          </w:tcPr>
          <w:p>
            <w:pPr>
              <w:jc w:val="right"/>
              <w:ind w:right="640"/>
              <w:spacing w:after="0"/>
              <w:rPr>
                <w:sz w:val="20"/>
                <w:szCs w:val="20"/>
                <w:color w:val="auto"/>
              </w:rPr>
            </w:pPr>
            <w:r>
              <w:rPr>
                <w:rFonts w:ascii="Arial" w:cs="Arial" w:eastAsia="Arial" w:hAnsi="Arial"/>
                <w:sz w:val="11"/>
                <w:szCs w:val="11"/>
                <w:b w:val="1"/>
                <w:bCs w:val="1"/>
                <w:color w:val="auto"/>
              </w:rPr>
              <w:t>Redeemable Convertible Preferred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1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97"/>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9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1"/>
                <w:szCs w:val="11"/>
                <w:b w:val="1"/>
                <w:bCs w:val="1"/>
                <w:color w:val="auto"/>
              </w:rPr>
              <w:t>Series A</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Series B</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5"/>
              </w:rPr>
              <w:t>Series B-1</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1"/>
              </w:rPr>
              <w:t>Common Stock</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177"/>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3"/>
                <w:szCs w:val="13"/>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7"/>
              </w:rPr>
              <w:t>Comprehensive</w:t>
            </w:r>
          </w:p>
        </w:tc>
        <w:tc>
          <w:tcPr>
            <w:tcW w:w="92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13"/>
                <w:szCs w:val="13"/>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2"/>
          </w:tcPr>
          <w:p>
            <w:pPr>
              <w:jc w:val="right"/>
              <w:ind w:right="37"/>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2"/>
                <w:szCs w:val="12"/>
                <w:color w:val="auto"/>
              </w:rPr>
            </w:pPr>
          </w:p>
        </w:tc>
        <w:tc>
          <w:tcPr>
            <w:tcW w:w="640" w:type="dxa"/>
            <w:vAlign w:val="bottom"/>
            <w:gridSpan w:val="2"/>
          </w:tcPr>
          <w:p>
            <w:pPr>
              <w:jc w:val="right"/>
              <w:ind w:right="117"/>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46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jc w:val="right"/>
              <w:ind w:right="37"/>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660" w:type="dxa"/>
            <w:vAlign w:val="bottom"/>
            <w:gridSpan w:val="4"/>
          </w:tcPr>
          <w:p>
            <w:pPr>
              <w:jc w:val="right"/>
              <w:ind w:right="117"/>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60" w:type="dxa"/>
            <w:vAlign w:val="bottom"/>
            <w:gridSpan w:val="3"/>
          </w:tcPr>
          <w:p>
            <w:pPr>
              <w:jc w:val="right"/>
              <w:ind w:right="37"/>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177"/>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5"/>
              </w:rPr>
              <w:t>Income (Loss)</w:t>
            </w:r>
          </w:p>
        </w:tc>
        <w:tc>
          <w:tcPr>
            <w:tcW w:w="16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8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2020</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55,700,000</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ind w:right="12"/>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55,700</w:t>
            </w:r>
          </w:p>
        </w:tc>
        <w:tc>
          <w:tcPr>
            <w:tcW w:w="140" w:type="dxa"/>
            <w:vAlign w:val="bottom"/>
            <w:tcBorders>
              <w:right w:val="single" w:sz="8" w:color="CFF0FC"/>
            </w:tcBorders>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2"/>
              </w:rPr>
              <w:t>22,686,025</w:t>
            </w:r>
          </w:p>
        </w:tc>
        <w:tc>
          <w:tcPr>
            <w:tcW w:w="22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29,761</w:t>
            </w:r>
          </w:p>
        </w:tc>
        <w:tc>
          <w:tcPr>
            <w:tcW w:w="140" w:type="dxa"/>
            <w:vAlign w:val="bottom"/>
            <w:shd w:val="clear" w:color="auto" w:fill="CFF0FC"/>
          </w:tcPr>
          <w:p>
            <w:pPr>
              <w:spacing w:after="0"/>
              <w:rPr>
                <w:sz w:val="17"/>
                <w:szCs w:val="17"/>
                <w:color w:val="auto"/>
              </w:rPr>
            </w:pP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27,152,255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0"/>
              </w:rPr>
              <w:t>51,083</w:t>
            </w:r>
          </w:p>
        </w:tc>
        <w:tc>
          <w:tcPr>
            <w:tcW w:w="180" w:type="dxa"/>
            <w:vAlign w:val="bottom"/>
            <w:tcBorders>
              <w:right w:val="single" w:sz="8" w:color="auto"/>
            </w:tcBorders>
            <w:shd w:val="clear" w:color="auto" w:fill="CFF0FC"/>
          </w:tcPr>
          <w:p>
            <w:pPr>
              <w:spacing w:after="0"/>
              <w:rPr>
                <w:sz w:val="17"/>
                <w:szCs w:val="17"/>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4,518,833</w:t>
            </w:r>
          </w:p>
        </w:tc>
        <w:tc>
          <w:tcPr>
            <w:tcW w:w="380" w:type="dxa"/>
            <w:vAlign w:val="bottom"/>
            <w:gridSpan w:val="2"/>
            <w:shd w:val="clear" w:color="auto" w:fill="CFF0FC"/>
          </w:tcPr>
          <w:p>
            <w:pPr>
              <w:jc w:val="right"/>
              <w:ind w:right="122"/>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5,136</w:t>
            </w:r>
          </w:p>
        </w:tc>
        <w:tc>
          <w:tcPr>
            <w:tcW w:w="32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(103,101 )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(97,944 )</w:t>
            </w:r>
          </w:p>
        </w:tc>
        <w:tc>
          <w:tcPr>
            <w:tcW w:w="0" w:type="dxa"/>
            <w:vAlign w:val="bottom"/>
          </w:tcPr>
          <w:p>
            <w:pPr>
              <w:spacing w:after="0"/>
              <w:rPr>
                <w:sz w:val="1"/>
                <w:szCs w:val="1"/>
                <w:color w:val="auto"/>
              </w:rPr>
            </w:pPr>
          </w:p>
        </w:tc>
      </w:tr>
      <w:tr>
        <w:trPr>
          <w:trHeight w:val="184"/>
        </w:trPr>
        <w:tc>
          <w:tcPr>
            <w:tcW w:w="1740" w:type="dxa"/>
            <w:vAlign w:val="bottom"/>
          </w:tcPr>
          <w:p>
            <w:pPr>
              <w:ind w:left="20"/>
              <w:spacing w:after="0"/>
              <w:rPr>
                <w:sz w:val="20"/>
                <w:szCs w:val="20"/>
                <w:color w:val="auto"/>
              </w:rPr>
            </w:pPr>
            <w:r>
              <w:rPr>
                <w:rFonts w:ascii="Arial" w:cs="Arial" w:eastAsia="Arial" w:hAnsi="Arial"/>
                <w:sz w:val="14"/>
                <w:szCs w:val="14"/>
                <w:color w:val="auto"/>
              </w:rPr>
              <w:t>Retroactive application of</w:t>
            </w:r>
          </w:p>
        </w:tc>
        <w:tc>
          <w:tcPr>
            <w:tcW w:w="640" w:type="dxa"/>
            <w:vAlign w:val="bottom"/>
          </w:tcPr>
          <w:p>
            <w:pPr>
              <w:jc w:val="right"/>
              <w:spacing w:after="0"/>
              <w:rPr>
                <w:sz w:val="20"/>
                <w:szCs w:val="20"/>
                <w:color w:val="auto"/>
              </w:rPr>
            </w:pPr>
            <w:r>
              <w:rPr>
                <w:rFonts w:ascii="Arial" w:cs="Arial" w:eastAsia="Arial" w:hAnsi="Arial"/>
                <w:sz w:val="13"/>
                <w:szCs w:val="13"/>
                <w:color w:val="auto"/>
                <w:w w:val="99"/>
              </w:rPr>
              <w:t>(55,700,00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6"/>
              </w:rPr>
              <w:t>(22,686,02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w w:val="86"/>
              </w:rPr>
              <w:t>(27,152,25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recapitalization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0 )</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84"/>
              </w:rPr>
              <w:t>(55,700 )</w:t>
            </w:r>
          </w:p>
        </w:tc>
        <w:tc>
          <w:tcPr>
            <w:tcW w:w="860" w:type="dxa"/>
            <w:vAlign w:val="bottom"/>
            <w:gridSpan w:val="3"/>
          </w:tcPr>
          <w:p>
            <w:pPr>
              <w:jc w:val="right"/>
              <w:ind w:right="97"/>
              <w:spacing w:after="0"/>
              <w:rPr>
                <w:sz w:val="20"/>
                <w:szCs w:val="20"/>
                <w:color w:val="auto"/>
              </w:rPr>
            </w:pPr>
            <w:r>
              <w:rPr>
                <w:rFonts w:ascii="Arial" w:cs="Arial" w:eastAsia="Arial" w:hAnsi="Arial"/>
                <w:sz w:val="13"/>
                <w:szCs w:val="13"/>
                <w:color w:val="auto"/>
              </w:rPr>
              <w:t>5 )</w:t>
            </w: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(29,761 )</w:t>
            </w:r>
          </w:p>
        </w:tc>
        <w:tc>
          <w:tcPr>
            <w:tcW w:w="80" w:type="dxa"/>
            <w:vAlign w:val="bottom"/>
          </w:tcPr>
          <w:p>
            <w:pPr>
              <w:spacing w:after="0"/>
              <w:rPr>
                <w:sz w:val="15"/>
                <w:szCs w:val="15"/>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5 )</w:t>
            </w:r>
          </w:p>
        </w:tc>
        <w:tc>
          <w:tcPr>
            <w:tcW w:w="740" w:type="dxa"/>
            <w:vAlign w:val="bottom"/>
            <w:gridSpan w:val="4"/>
          </w:tcPr>
          <w:p>
            <w:pPr>
              <w:jc w:val="right"/>
              <w:ind w:right="120"/>
              <w:spacing w:after="0"/>
              <w:rPr>
                <w:sz w:val="20"/>
                <w:szCs w:val="20"/>
                <w:color w:val="auto"/>
              </w:rPr>
            </w:pPr>
            <w:r>
              <w:rPr>
                <w:rFonts w:ascii="Arial" w:cs="Arial" w:eastAsia="Arial" w:hAnsi="Arial"/>
                <w:sz w:val="13"/>
                <w:szCs w:val="13"/>
                <w:color w:val="auto"/>
              </w:rPr>
              <w:t>(51,083 )</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w w:val="95"/>
              </w:rPr>
              <w:t>35,853,300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136,508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136,544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Recasted balance as of</w:t>
            </w:r>
          </w:p>
        </w:tc>
        <w:tc>
          <w:tcPr>
            <w:tcW w:w="640" w:type="dxa"/>
            <w:vAlign w:val="bottom"/>
            <w:tcBorders>
              <w:top w:val="single" w:sz="8" w:color="auto"/>
            </w:tcBorders>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right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40,372,133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141,644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(103,101 )</w:t>
            </w:r>
          </w:p>
        </w:tc>
        <w:tc>
          <w:tcPr>
            <w:tcW w:w="6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38,600</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Issuance of Series B</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redeemable convertible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preferred stock, net of</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issuance costs of less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than $0.1 million</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2"/>
              </w:rPr>
              <w:t>22,686,026</w:t>
            </w:r>
          </w:p>
        </w:tc>
        <w:tc>
          <w:tcPr>
            <w:tcW w:w="2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29,990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Retroactive application of</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6"/>
              </w:rPr>
              <w:t>(22,686,02</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3"/>
            <w:shd w:val="clear" w:color="auto" w:fill="CFF0FC"/>
          </w:tcPr>
          <w:p>
            <w:pPr>
              <w:jc w:val="right"/>
              <w:ind w:right="97"/>
              <w:spacing w:after="0"/>
              <w:rPr>
                <w:sz w:val="20"/>
                <w:szCs w:val="20"/>
                <w:color w:val="auto"/>
              </w:rPr>
            </w:pPr>
            <w:r>
              <w:rPr>
                <w:rFonts w:ascii="Arial" w:cs="Arial" w:eastAsia="Arial" w:hAnsi="Arial"/>
                <w:sz w:val="13"/>
                <w:szCs w:val="13"/>
                <w:color w:val="auto"/>
              </w:rPr>
              <w:t>6 )</w:t>
            </w:r>
          </w:p>
        </w:tc>
        <w:tc>
          <w:tcPr>
            <w:tcW w:w="6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w w:val="96"/>
              </w:rPr>
              <w:t>(29,990 )</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7,706,861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29,982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29,990</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304,080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950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(12,106 )</w:t>
            </w:r>
          </w:p>
        </w:tc>
        <w:tc>
          <w:tcPr>
            <w:tcW w:w="6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(12,106 )</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48,383,074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22"/>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173,017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64"/>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(115,207 ) $</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57,891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FF0FC"/>
              <w:right w:val="single" w:sz="8" w:color="auto"/>
            </w:tcBorders>
          </w:tcPr>
          <w:p>
            <w:pPr>
              <w:spacing w:after="0"/>
              <w:rPr>
                <w:sz w:val="14"/>
                <w:szCs w:val="14"/>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rPr>
              <w:t>210,748</w:t>
            </w: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324</w:t>
            </w:r>
          </w:p>
        </w:tc>
        <w:tc>
          <w:tcPr>
            <w:tcW w:w="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1,196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(30 )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(4,493 )</w:t>
            </w:r>
          </w:p>
        </w:tc>
        <w:tc>
          <w:tcPr>
            <w:tcW w:w="6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(4,493 )</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48,593,822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174,540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(119,700 )</w:t>
            </w:r>
          </w:p>
        </w:tc>
        <w:tc>
          <w:tcPr>
            <w:tcW w:w="6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54,891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Shares issued in Business</w:t>
            </w: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CFF0FC"/>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3"/>
                <w:szCs w:val="13"/>
                <w:color w:val="auto"/>
              </w:rPr>
              <w:t>Combination and PIPE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rPr>
                <w:sz w:val="20"/>
                <w:szCs w:val="20"/>
                <w:color w:val="auto"/>
              </w:rPr>
            </w:pPr>
            <w:r>
              <w:rPr>
                <w:rFonts w:ascii="Arial" w:cs="Arial" w:eastAsia="Arial" w:hAnsi="Arial"/>
                <w:sz w:val="13"/>
                <w:szCs w:val="13"/>
                <w:color w:val="auto"/>
              </w:rPr>
              <w:t>Financing, net of issuance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costs of $15.6 million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3"/>
                <w:szCs w:val="13"/>
                <w:color w:val="auto"/>
                <w:w w:val="95"/>
              </w:rPr>
              <w:t>38,880,436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326,462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326,501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0"/>
              </w:rPr>
              <w:t>69,744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3,430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3,430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(12 )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(19,590 )</w:t>
            </w:r>
          </w:p>
        </w:tc>
        <w:tc>
          <w:tcPr>
            <w:tcW w:w="6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(19,590 )</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vMerge w:val="restart"/>
            <w:shd w:val="clear" w:color="auto" w:fill="CFF0FC"/>
          </w:tcPr>
          <w:p>
            <w:pPr>
              <w:spacing w:after="0"/>
              <w:rPr>
                <w:sz w:val="14"/>
                <w:szCs w:val="14"/>
                <w:color w:val="auto"/>
              </w:rPr>
            </w:pPr>
          </w:p>
        </w:tc>
        <w:tc>
          <w:tcPr>
            <w:tcW w:w="660" w:type="dxa"/>
            <w:vAlign w:val="bottom"/>
            <w:gridSpan w:val="4"/>
            <w:vMerge w:val="restart"/>
            <w:shd w:val="clear" w:color="auto" w:fill="CFF0FC"/>
          </w:tcPr>
          <w:p>
            <w:pPr>
              <w:jc w:val="right"/>
              <w:spacing w:after="0"/>
              <w:rPr>
                <w:sz w:val="20"/>
                <w:szCs w:val="20"/>
                <w:color w:val="auto"/>
              </w:rPr>
            </w:pPr>
            <w:r>
              <w:rPr>
                <w:rFonts w:ascii="Arial" w:cs="Arial" w:eastAsia="Arial" w:hAnsi="Arial"/>
                <w:sz w:val="13"/>
                <w:szCs w:val="13"/>
                <w:color w:val="auto"/>
                <w:w w:val="95"/>
              </w:rPr>
              <w:t>87,544,002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w w:val="93"/>
              </w:rPr>
              <w:t>504,625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(10 )</w:t>
            </w:r>
          </w:p>
        </w:tc>
        <w:tc>
          <w:tcPr>
            <w:tcW w:w="16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(139,290 )</w:t>
            </w:r>
          </w:p>
        </w:tc>
        <w:tc>
          <w:tcPr>
            <w:tcW w:w="6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365,413</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CFF0FC"/>
          </w:tcPr>
          <w:p>
            <w:pPr>
              <w:ind w:left="20"/>
              <w:spacing w:after="0" w:line="140" w:lineRule="exact"/>
              <w:rPr>
                <w:sz w:val="20"/>
                <w:szCs w:val="20"/>
                <w:color w:val="auto"/>
              </w:rPr>
            </w:pPr>
            <w:r>
              <w:rPr>
                <w:rFonts w:ascii="Arial" w:cs="Arial" w:eastAsia="Arial" w:hAnsi="Arial"/>
                <w:sz w:val="13"/>
                <w:szCs w:val="13"/>
                <w:b w:val="1"/>
                <w:bCs w:val="1"/>
                <w:color w:val="auto"/>
              </w:rPr>
              <w:t>2021</w:t>
            </w:r>
          </w:p>
        </w:tc>
        <w:tc>
          <w:tcPr>
            <w:tcW w:w="640" w:type="dxa"/>
            <w:vAlign w:val="bottom"/>
            <w:vMerge w:val="continue"/>
            <w:shd w:val="clear" w:color="auto" w:fill="CFF0FC"/>
          </w:tcPr>
          <w:p>
            <w:pPr>
              <w:spacing w:after="0"/>
              <w:rPr>
                <w:sz w:val="13"/>
                <w:szCs w:val="13"/>
                <w:color w:val="auto"/>
              </w:rPr>
            </w:pPr>
          </w:p>
        </w:tc>
        <w:tc>
          <w:tcPr>
            <w:tcW w:w="180" w:type="dxa"/>
            <w:vAlign w:val="bottom"/>
            <w:tcBorders>
              <w:left w:val="single" w:sz="8" w:color="CFF0FC"/>
              <w:right w:val="single" w:sz="8" w:color="CFF0FC"/>
            </w:tcBorders>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220" w:type="dxa"/>
            <w:vAlign w:val="bottom"/>
            <w:tcBorders>
              <w:left w:val="single" w:sz="8" w:color="CFF0FC"/>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80" w:type="dxa"/>
            <w:vAlign w:val="bottom"/>
            <w:tcBorders>
              <w:right w:val="single" w:sz="8" w:color="CFF0FC"/>
            </w:tcBorders>
            <w:vMerge w:val="continue"/>
            <w:shd w:val="clear" w:color="auto" w:fill="CFF0FC"/>
          </w:tcPr>
          <w:p>
            <w:pPr>
              <w:spacing w:after="0"/>
              <w:rPr>
                <w:sz w:val="13"/>
                <w:szCs w:val="13"/>
                <w:color w:val="auto"/>
              </w:rPr>
            </w:pPr>
          </w:p>
        </w:tc>
        <w:tc>
          <w:tcPr>
            <w:tcW w:w="660" w:type="dxa"/>
            <w:vAlign w:val="bottom"/>
            <w:gridSpan w:val="4"/>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gridSpan w:val="3"/>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Accumulate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13"/>
            <w:vMerge w:val="restart"/>
          </w:tcPr>
          <w:p>
            <w:pPr>
              <w:jc w:val="right"/>
              <w:ind w:right="260"/>
              <w:spacing w:after="0"/>
              <w:rPr>
                <w:sz w:val="20"/>
                <w:szCs w:val="20"/>
                <w:color w:val="auto"/>
              </w:rPr>
            </w:pPr>
            <w:r>
              <w:rPr>
                <w:rFonts w:ascii="Arial" w:cs="Arial" w:eastAsia="Arial" w:hAnsi="Arial"/>
                <w:sz w:val="13"/>
                <w:szCs w:val="13"/>
                <w:b w:val="1"/>
                <w:bCs w:val="1"/>
                <w:color w:val="auto"/>
                <w:w w:val="99"/>
              </w:rPr>
              <w:t>Redeemable Convertible Preferred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rPr>
              <w:t>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5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48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Series A</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Series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Series B-1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6"/>
            <w:vMerge w:val="restart"/>
          </w:tcPr>
          <w:p>
            <w:pPr>
              <w:jc w:val="right"/>
              <w:spacing w:after="0"/>
              <w:rPr>
                <w:sz w:val="20"/>
                <w:szCs w:val="20"/>
                <w:color w:val="auto"/>
              </w:rPr>
            </w:pPr>
            <w:r>
              <w:rPr>
                <w:rFonts w:ascii="Arial" w:cs="Arial" w:eastAsia="Arial" w:hAnsi="Arial"/>
                <w:sz w:val="13"/>
                <w:szCs w:val="13"/>
                <w:b w:val="1"/>
                <w:bCs w:val="1"/>
                <w:color w:val="auto"/>
                <w:w w:val="90"/>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Comprehens</w:t>
            </w: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Accumulat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Stockholde</w:t>
            </w: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148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4"/>
                <w:szCs w:val="14"/>
                <w:color w:val="auto"/>
              </w:rPr>
            </w:pPr>
          </w:p>
        </w:tc>
        <w:tc>
          <w:tcPr>
            <w:tcW w:w="5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88"/>
              </w:rPr>
              <w:t>ive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78"/>
              </w:rPr>
              <w: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rs’</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5"/>
                <w:szCs w:val="15"/>
                <w:color w:val="auto"/>
              </w:rPr>
            </w:pPr>
          </w:p>
        </w:tc>
        <w:tc>
          <w:tcPr>
            <w:tcW w:w="6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64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560" w:type="dxa"/>
            <w:vAlign w:val="bottom"/>
            <w:tcBorders>
              <w:bottom w:val="single" w:sz="8" w:color="auto"/>
            </w:tcBorders>
            <w:gridSpan w:val="2"/>
          </w:tcPr>
          <w:p>
            <w:pPr>
              <w:jc w:val="center"/>
              <w:ind w:left="97"/>
              <w:spacing w:after="0"/>
              <w:rPr>
                <w:sz w:val="20"/>
                <w:szCs w:val="20"/>
                <w:color w:val="auto"/>
              </w:rPr>
            </w:pPr>
            <w:r>
              <w:rPr>
                <w:rFonts w:ascii="Arial" w:cs="Arial" w:eastAsia="Arial" w:hAnsi="Arial"/>
                <w:sz w:val="13"/>
                <w:szCs w:val="13"/>
                <w:b w:val="1"/>
                <w:bCs w:val="1"/>
                <w:color w:val="auto"/>
                <w:w w:val="81"/>
              </w:rPr>
              <w:t>(Loss)</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1"/>
              </w:rPr>
              <w:t>Balance at December 31, 2019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55,700,000</w:t>
            </w:r>
          </w:p>
        </w:tc>
        <w:tc>
          <w:tcPr>
            <w:tcW w:w="18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55,700</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tcBorders>
              <w:left w:val="single" w:sz="8" w:color="CFF0FC"/>
              <w:right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5"/>
            <w:shd w:val="clear" w:color="auto" w:fill="CFF0FC"/>
          </w:tcPr>
          <w:p>
            <w:pPr>
              <w:jc w:val="right"/>
              <w:ind w:righ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ind w:left="60"/>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auto"/>
            </w:tcBorders>
            <w:shd w:val="clear" w:color="auto" w:fill="CFF0FC"/>
          </w:tcPr>
          <w:p>
            <w:pPr>
              <w:spacing w:after="0"/>
              <w:rPr>
                <w:sz w:val="16"/>
                <w:szCs w:val="16"/>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4,530,115</w:t>
            </w:r>
          </w:p>
        </w:tc>
        <w:tc>
          <w:tcPr>
            <w:tcW w:w="3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4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85"/>
              </w:rPr>
              <w:t>3,319</w:t>
            </w:r>
          </w:p>
        </w:tc>
        <w:tc>
          <w:tcPr>
            <w:tcW w:w="580" w:type="dxa"/>
            <w:vAlign w:val="bottom"/>
            <w:gridSpan w:val="2"/>
            <w:shd w:val="clear" w:color="auto" w:fill="CFF0FC"/>
          </w:tcPr>
          <w:p>
            <w:pPr>
              <w:jc w:val="center"/>
              <w:ind w:right="177"/>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10</w:t>
            </w: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   (51,129 )</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   (47,795 )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-5944235</wp:posOffset>
            </wp:positionV>
            <wp:extent cx="68580" cy="248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-5481320</wp:posOffset>
            </wp:positionV>
            <wp:extent cx="3429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-3299460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-3282315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-3299460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-3282315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-3299460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-3282315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-3299460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-3282315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-3299460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-3282315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-3561080</wp:posOffset>
            </wp:positionV>
            <wp:extent cx="90170" cy="299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-3299460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-3282315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-3299460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-3282315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-3299460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-3282315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-3299460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-3282315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-3299460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-3282315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-3299460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-3282315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-2339340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-2322195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-2339340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-2322195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-2339340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-2322195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-2339340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-2322195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-2339340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-2322195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-2600960</wp:posOffset>
            </wp:positionV>
            <wp:extent cx="90170" cy="299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-2339340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-2322195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-2339340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-2322195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-2339340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-2322195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-2339340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-2322195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-2339340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-2322195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-2339340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-2322195</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-1096645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-1079500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-1096645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-1079500</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-1096645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-1079500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-1096645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-1079500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-1096645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-1079500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-1435100</wp:posOffset>
            </wp:positionV>
            <wp:extent cx="90170" cy="377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0170" cy="3771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-1096645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-1079500</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-1096645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-1079500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-1096645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-1079500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-1096645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-1079500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-1096645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-1079500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-1096645</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-1079500</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-586105</wp:posOffset>
            </wp:positionV>
            <wp:extent cx="2983230" cy="4794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83230" cy="47942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0"/>
        </w:trPr>
        <w:tc>
          <w:tcPr>
            <w:tcW w:w="1740" w:type="dxa"/>
            <w:vAlign w:val="bottom"/>
          </w:tcPr>
          <w:p>
            <w:pPr>
              <w:ind w:left="20"/>
              <w:spacing w:after="0"/>
              <w:rPr>
                <w:sz w:val="20"/>
                <w:szCs w:val="20"/>
                <w:color w:val="auto"/>
              </w:rPr>
            </w:pPr>
            <w:r>
              <w:rPr>
                <w:rFonts w:ascii="Arial" w:cs="Arial" w:eastAsia="Arial" w:hAnsi="Arial"/>
                <w:sz w:val="13"/>
                <w:szCs w:val="13"/>
                <w:color w:val="auto"/>
              </w:rPr>
              <w:t>Retroactive application of</w:t>
            </w:r>
          </w:p>
        </w:tc>
        <w:tc>
          <w:tcPr>
            <w:tcW w:w="660" w:type="dxa"/>
            <w:vAlign w:val="bottom"/>
          </w:tcPr>
          <w:p>
            <w:pPr>
              <w:jc w:val="right"/>
              <w:spacing w:after="0"/>
              <w:rPr>
                <w:sz w:val="20"/>
                <w:szCs w:val="20"/>
                <w:color w:val="auto"/>
              </w:rPr>
            </w:pPr>
            <w:r>
              <w:rPr>
                <w:rFonts w:ascii="Arial" w:cs="Arial" w:eastAsia="Arial" w:hAnsi="Arial"/>
                <w:sz w:val="13"/>
                <w:szCs w:val="13"/>
                <w:color w:val="auto"/>
                <w:w w:val="99"/>
              </w:rPr>
              <w:t>(55,700,00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18,922,31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1"/>
        </w:trPr>
        <w:tc>
          <w:tcPr>
            <w:tcW w:w="1740" w:type="dxa"/>
            <w:vAlign w:val="bottom"/>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0 )</w:t>
            </w:r>
          </w:p>
        </w:tc>
        <w:tc>
          <w:tcPr>
            <w:tcW w:w="1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(55,700 )</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55,681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55,700</w:t>
            </w:r>
          </w:p>
        </w:tc>
        <w:tc>
          <w:tcPr>
            <w:tcW w:w="60" w:type="dxa"/>
            <w:vAlign w:val="bottom"/>
          </w:tcPr>
          <w:p>
            <w:pPr>
              <w:spacing w:after="0"/>
              <w:rPr>
                <w:sz w:val="14"/>
                <w:szCs w:val="14"/>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Recasted balance as of</w:t>
            </w: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23,452,43</w:t>
            </w:r>
          </w:p>
        </w:tc>
        <w:tc>
          <w:tcPr>
            <w:tcW w:w="1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0"/>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December 31, 2019</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59,000</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(51,129 )</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7,905</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Repurchase of restricted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(25,479 )</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awards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408</w:t>
            </w:r>
          </w:p>
        </w:tc>
        <w:tc>
          <w:tcPr>
            <w:tcW w:w="60" w:type="dxa"/>
            <w:vAlign w:val="bottom"/>
          </w:tcPr>
          <w:p>
            <w:pPr>
              <w:spacing w:after="0"/>
              <w:rPr>
                <w:sz w:val="14"/>
                <w:szCs w:val="14"/>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60" w:type="dxa"/>
            <w:vAlign w:val="bottom"/>
            <w:shd w:val="clear" w:color="auto" w:fill="CFF0FC"/>
          </w:tcPr>
          <w:p>
            <w:pPr>
              <w:spacing w:after="0"/>
              <w:rPr>
                <w:sz w:val="17"/>
                <w:szCs w:val="17"/>
                <w:color w:val="auto"/>
              </w:rPr>
            </w:pPr>
          </w:p>
        </w:tc>
      </w:tr>
      <w:tr>
        <w:trPr>
          <w:trHeight w:val="183"/>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(7,914 )</w:t>
            </w:r>
          </w:p>
        </w:tc>
        <w:tc>
          <w:tcPr>
            <w:tcW w:w="1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(7,914 )</w:t>
            </w: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23,426,95</w:t>
            </w:r>
          </w:p>
        </w:tc>
        <w:tc>
          <w:tcPr>
            <w:tcW w:w="1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11"/>
        </w:trPr>
        <w:tc>
          <w:tcPr>
            <w:tcW w:w="1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59,411</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(59,043 )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w:t>
            </w:r>
          </w:p>
        </w:tc>
        <w:tc>
          <w:tcPr>
            <w:tcW w:w="60" w:type="dxa"/>
            <w:vAlign w:val="bottom"/>
            <w:shd w:val="clear" w:color="auto" w:fill="CFF0FC"/>
          </w:tcPr>
          <w:p>
            <w:pPr>
              <w:spacing w:after="0"/>
              <w:rPr>
                <w:sz w:val="18"/>
                <w:szCs w:val="18"/>
                <w:color w:val="auto"/>
              </w:rPr>
            </w:pPr>
          </w:p>
        </w:tc>
      </w:tr>
      <w:tr>
        <w:trPr>
          <w:trHeight w:val="160"/>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Series B-1</w:t>
            </w: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CFF0FC"/>
              <w:right w:val="single" w:sz="8" w:color="auto"/>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redeemable convertible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preferred stock, net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issuance costs of less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than $0.2 million</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22,686,025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29,761</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Retroactive application of</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(22,686,02</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5 )</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w w:val="99"/>
              </w:rPr>
              <w:t>(29,761 )</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7,706,861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29,761</w:t>
            </w:r>
          </w:p>
        </w:tc>
        <w:tc>
          <w:tcPr>
            <w:tcW w:w="60" w:type="dxa"/>
            <w:vAlign w:val="bottom"/>
            <w:shd w:val="clear" w:color="auto" w:fill="CFF0FC"/>
          </w:tcPr>
          <w:p>
            <w:pPr>
              <w:spacing w:after="0"/>
              <w:rPr>
                <w:sz w:val="15"/>
                <w:szCs w:val="15"/>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6,688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5"/>
                <w:szCs w:val="15"/>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awards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407</w:t>
            </w:r>
          </w:p>
        </w:tc>
        <w:tc>
          <w:tcPr>
            <w:tcW w:w="60" w:type="dxa"/>
            <w:vAlign w:val="bottom"/>
          </w:tcPr>
          <w:p>
            <w:pPr>
              <w:spacing w:after="0"/>
              <w:rPr>
                <w:sz w:val="14"/>
                <w:szCs w:val="14"/>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(14 )</w:t>
            </w:r>
          </w:p>
        </w:tc>
        <w:tc>
          <w:tcPr>
            <w:tcW w:w="1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(14 )</w:t>
            </w:r>
          </w:p>
        </w:tc>
      </w:tr>
      <w:tr>
        <w:trPr>
          <w:trHeight w:val="183"/>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(8,392 )</w:t>
            </w:r>
          </w:p>
        </w:tc>
        <w:tc>
          <w:tcPr>
            <w:tcW w:w="1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(8,392 )</w:t>
            </w: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31,140,50</w:t>
            </w:r>
          </w:p>
        </w:tc>
        <w:tc>
          <w:tcPr>
            <w:tcW w:w="1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11"/>
        </w:trPr>
        <w:tc>
          <w:tcPr>
            <w:tcW w:w="1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89,583</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(67,435 )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22,191</w:t>
            </w:r>
          </w:p>
        </w:tc>
        <w:tc>
          <w:tcPr>
            <w:tcW w:w="60" w:type="dxa"/>
            <w:vAlign w:val="bottom"/>
            <w:shd w:val="clear" w:color="auto" w:fill="CFF0FC"/>
          </w:tcPr>
          <w:p>
            <w:pPr>
              <w:spacing w:after="0"/>
              <w:rPr>
                <w:sz w:val="18"/>
                <w:szCs w:val="18"/>
                <w:color w:val="auto"/>
              </w:rPr>
            </w:pPr>
          </w:p>
        </w:tc>
      </w:tr>
      <w:tr>
        <w:trPr>
          <w:trHeight w:val="160"/>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Series B-1</w:t>
            </w: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CFF0FC"/>
              <w:right w:val="single" w:sz="8" w:color="auto"/>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redeemable convertible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preferred stock, net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issuance costs of less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27,152,25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than $0.2 million</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51,083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Retroactive application of</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(27,152,2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55 )</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9"/>
              </w:rPr>
              <w:t>(51,083 )</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9,224,122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51,075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51,083</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Repurchase of restricted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(12,695 )</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FF0FC"/>
          </w:tcPr>
          <w:p>
            <w:pPr>
              <w:spacing w:after="0"/>
              <w:rPr>
                <w:sz w:val="17"/>
                <w:szCs w:val="17"/>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Vesting of restricted common</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stock awards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based compensation</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expense</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w:t>
            </w:r>
          </w:p>
        </w:tc>
        <w:tc>
          <w:tcPr>
            <w:tcW w:w="60" w:type="dxa"/>
            <w:vAlign w:val="bottom"/>
            <w:shd w:val="clear" w:color="auto" w:fill="CFF0FC"/>
          </w:tcPr>
          <w:p>
            <w:pPr>
              <w:spacing w:after="0"/>
              <w:rPr>
                <w:sz w:val="15"/>
                <w:szCs w:val="15"/>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6"/>
                <w:szCs w:val="16"/>
                <w:color w:val="auto"/>
              </w:rPr>
            </w:pPr>
          </w:p>
        </w:tc>
      </w:tr>
      <w:tr>
        <w:trPr>
          <w:trHeight w:val="18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(26,802 )</w:t>
            </w:r>
          </w:p>
        </w:tc>
        <w:tc>
          <w:tcPr>
            <w:tcW w:w="1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6"/>
              </w:rPr>
              <w:t>(26,802 )</w:t>
            </w:r>
          </w:p>
        </w:tc>
      </w:tr>
      <w:tr>
        <w:trPr>
          <w:trHeight w:val="171"/>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Balance at September 30,</w:t>
            </w: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40,353,07</w:t>
            </w: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r>
      <w:tr>
        <w:trPr>
          <w:trHeight w:val="174"/>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2020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40</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141,080</w:t>
            </w: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(94,237 )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46,909</w:t>
            </w:r>
          </w:p>
        </w:tc>
        <w:tc>
          <w:tcPr>
            <w:tcW w:w="60" w:type="dxa"/>
            <w:vAlign w:val="bottom"/>
          </w:tcPr>
          <w:p>
            <w:pPr>
              <w:spacing w:after="0"/>
              <w:rPr>
                <w:sz w:val="15"/>
                <w:szCs w:val="15"/>
                <w:color w:val="auto"/>
              </w:rPr>
            </w:pPr>
          </w:p>
        </w:tc>
      </w:tr>
      <w:tr>
        <w:trPr>
          <w:trHeight w:val="20"/>
        </w:trPr>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4361815</wp:posOffset>
            </wp:positionH>
            <wp:positionV relativeFrom="page">
              <wp:posOffset>221615</wp:posOffset>
            </wp:positionV>
            <wp:extent cx="34290" cy="2565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25654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-3882390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-3865245</wp:posOffset>
            </wp:positionV>
            <wp:extent cx="102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-3882390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-3865245</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-3882390</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-3865245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-3882390</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-3865245</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-3882390</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-3865245</wp:posOffset>
            </wp:positionV>
            <wp:extent cx="1111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-4246880</wp:posOffset>
            </wp:positionV>
            <wp:extent cx="90170" cy="402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170" cy="402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-3882390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-3865245</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-3882390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-3865245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-3882390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-3865245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-3882390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-3865245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-3882390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-3865245</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-3882390</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-3865245</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-2065020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-2048510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-2065020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-2048510</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-2065020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-2048510</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-2065020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-2048510</wp:posOffset>
            </wp:positionV>
            <wp:extent cx="102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-2065020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-2048510</wp:posOffset>
            </wp:positionV>
            <wp:extent cx="111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-2429510</wp:posOffset>
            </wp:positionV>
            <wp:extent cx="90170" cy="402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0170" cy="402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-2048510</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-2065020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-2048510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-2065020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-2048510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-2065020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-2048510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-2065020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-2048510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-2065020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-2048510</wp:posOffset>
            </wp:positionV>
            <wp:extent cx="431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-253365</wp:posOffset>
            </wp:positionV>
            <wp:extent cx="10287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-253365</wp:posOffset>
            </wp:positionV>
            <wp:extent cx="1028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-253365</wp:posOffset>
            </wp:positionV>
            <wp:extent cx="10287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-253365</wp:posOffset>
            </wp:positionV>
            <wp:extent cx="10287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-253365</wp:posOffset>
            </wp:positionV>
            <wp:extent cx="11112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-389255</wp:posOffset>
            </wp:positionV>
            <wp:extent cx="3034665" cy="402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34665"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 3 for discussion on the retroactive application of recapitalization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560" w:type="dxa"/>
            <w:vAlign w:val="bottom"/>
            <w:gridSpan w:val="6"/>
          </w:tcPr>
          <w:p>
            <w:pPr>
              <w:ind w:left="6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680" w:type="dxa"/>
            <w:vAlign w:val="bottom"/>
          </w:tcPr>
          <w:p>
            <w:pPr>
              <w:spacing w:after="0"/>
              <w:rPr>
                <w:sz w:val="17"/>
                <w:szCs w:val="17"/>
                <w:color w:val="auto"/>
              </w:rPr>
            </w:pP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w w:val="83"/>
              </w:rPr>
              <w:t>2021</w:t>
            </w:r>
          </w:p>
        </w:tc>
        <w:tc>
          <w:tcPr>
            <w:tcW w:w="6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(36,189 )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(43,108 )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net</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(6,000 )</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(3,222 )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long-term assets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3,794</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(703 )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(440 )</w:t>
            </w: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(8,326 )</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126,223</w:t>
            </w:r>
          </w:p>
        </w:tc>
        <w:tc>
          <w:tcPr>
            <w:tcW w:w="100" w:type="dxa"/>
            <w:vAlign w:val="bottom"/>
            <w:shd w:val="clear" w:color="auto" w:fill="CFF0FC"/>
          </w:tcPr>
          <w:p>
            <w:pPr>
              <w:spacing w:after="0"/>
              <w:rPr>
                <w:sz w:val="22"/>
                <w:szCs w:val="22"/>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(42,625 )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(1,141 )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(650 )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130,890</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(267,976 )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(101,943 )</w:t>
            </w:r>
          </w:p>
        </w:tc>
      </w:tr>
      <w:tr>
        <w:trPr>
          <w:trHeight w:val="20"/>
        </w:trPr>
        <w:tc>
          <w:tcPr>
            <w:tcW w:w="7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7"/>
              </w:rPr>
              <w:t>(138,227 )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(86,256 )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preferred stock, net of issuance costs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29,990</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80,934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Business Combination and PIPE Financing, gross proceeds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342,113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Payment of Business Combination and PIPE Financing transaction costs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(15,615 )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357,445</w:t>
            </w:r>
          </w:p>
        </w:tc>
        <w:tc>
          <w:tcPr>
            <w:tcW w:w="28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80,945</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176,593</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82,825</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30,660</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06"/>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207,253</w:t>
            </w: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107,993</w:t>
            </w:r>
          </w:p>
        </w:tc>
        <w:tc>
          <w:tcPr>
            <w:tcW w:w="100" w:type="dxa"/>
            <w:vAlign w:val="bottom"/>
          </w:tcPr>
          <w:p>
            <w:pPr>
              <w:spacing w:after="0"/>
              <w:rPr>
                <w:sz w:val="24"/>
                <w:szCs w:val="24"/>
                <w:color w:val="auto"/>
              </w:rPr>
            </w:pPr>
          </w:p>
        </w:tc>
      </w:tr>
      <w:tr>
        <w:trPr>
          <w:trHeight w:val="257"/>
        </w:trPr>
        <w:tc>
          <w:tcPr>
            <w:tcW w:w="7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Cash paid for leases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1,372</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Conversion of Preferred Shares to Common Shares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166,534</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-3768090</wp:posOffset>
            </wp:positionV>
            <wp:extent cx="1803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-3768090</wp:posOffset>
            </wp:positionV>
            <wp:extent cx="596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-1462405</wp:posOffset>
            </wp:positionV>
            <wp:extent cx="1803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-1462405</wp:posOffset>
            </wp:positionV>
            <wp:extent cx="596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35" w:lineRule="exact"/>
        <w:rPr>
          <w:sz w:val="20"/>
          <w:szCs w:val="20"/>
          <w:color w:val="auto"/>
        </w:rPr>
      </w:pPr>
    </w:p>
    <w:p>
      <w:pPr>
        <w:jc w:val="both"/>
        <w:ind w:right="460" w:firstLine="509"/>
        <w:spacing w:after="0" w:line="303" w:lineRule="auto"/>
        <w:rPr>
          <w:sz w:val="20"/>
          <w:szCs w:val="20"/>
          <w:color w:val="auto"/>
        </w:rPr>
      </w:pPr>
      <w:r>
        <w:rPr>
          <w:rFonts w:ascii="Arial" w:cs="Arial" w:eastAsia="Arial" w:hAnsi="Arial"/>
          <w:sz w:val="17"/>
          <w:szCs w:val="17"/>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56" w:lineRule="exact"/>
        <w:rPr>
          <w:sz w:val="20"/>
          <w:szCs w:val="20"/>
          <w:color w:val="auto"/>
        </w:rPr>
      </w:pPr>
    </w:p>
    <w:p>
      <w:pPr>
        <w:ind w:right="60" w:firstLine="509"/>
        <w:spacing w:after="0" w:line="285" w:lineRule="auto"/>
        <w:rPr>
          <w:sz w:val="20"/>
          <w:szCs w:val="20"/>
          <w:color w:val="auto"/>
        </w:rPr>
      </w:pPr>
      <w:r>
        <w:rPr>
          <w:rFonts w:ascii="Arial" w:cs="Arial" w:eastAsia="Arial" w:hAnsi="Arial"/>
          <w:sz w:val="17"/>
          <w:szCs w:val="17"/>
          <w:color w:val="auto"/>
        </w:rPr>
        <w:t>The registration statement for the Company’s initial public offering (“IPO”)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Upon the closing of the Initial Public Offering and the Private Placement, approximately $166.8 million ($10.00 per share),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31"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On April 13, 2021, the Company, BCTG Merger Sub Inc., a Delaware corporation, and Tango Therapeutics, Inc. (now known as Tango Therapeutics Sub, Inc. or “Old Tango”) signed a definitive merger agreement (the "Merger Agreement") memorializing the terms of BCTG’s acquisition of 100% of Old Tango's issued and outstanding equity securities in exchange for $550.0 million worth of consideration in the form of BCTG common stock (the “Business Combination”). The Business Combination was approved on August 9, 2021 by shareholders of BCTG, resulting in BCTG acquiring 100% of Old Tango's issued and outstanding equity securities on August 10, 2021. The Business Combination was accounted for as a “reverse recapitalization” in accordance with accounting principles generally accepted in the United States of America (“U.S. GAAP”). As a result of the Business Combination, BCTG was renamed Tango Therapeutics, Inc. The Company's common stock is trading on The Nasdaq Global Market under the ticker symbol TNGX.</w:t>
      </w:r>
    </w:p>
    <w:p>
      <w:pPr>
        <w:spacing w:after="0" w:line="178"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Tango received gross proceeds of $167.1 million upon the closing of the Business Combination. Tango continues to operate under the current Tango management team. Simultaneous with the closing of the Business Combination, an aggregate of 18,610,000 shares of common stock (the “PIPE Financing”) were purchased, resulting in gross proceeds of an additional $186.1 million upon the closing of the PIPE Financing. Total transaction costs and redemptions approximated $26.7 million, resulting in total net proceeds of $326.5 million.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Business following the Merger</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Company is now a precision oncology company committed to the discovery and development of novel new drugs in defined patient populations with high unmet medical need.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subsidiary is the U.S. dollar.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ind w:right="220" w:firstLine="509"/>
        <w:spacing w:after="0" w:line="311" w:lineRule="auto"/>
        <w:rPr>
          <w:sz w:val="20"/>
          <w:szCs w:val="20"/>
          <w:color w:val="auto"/>
        </w:rPr>
      </w:pPr>
      <w:r>
        <w:rPr>
          <w:rFonts w:ascii="Arial" w:cs="Arial" w:eastAsia="Arial" w:hAnsi="Arial"/>
          <w:sz w:val="16"/>
          <w:szCs w:val="16"/>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2021 and 2020 are not necessarily indicative of the results for the year ending December 31, 2021, any other interim periods, or any future year or period. The unaudited condensed consolidated financial statements for the three and nine months ended September 30, 2021 and 2020 have been prepared on the same basis as and should be read in conjunction with the audited consolidated financial statements and notes for the year ended December 31, 2020 included in the Company’s Prospectus as filed with the SEC pursuant to Rule 424(b)(3) on October 8, 2021 (the “Prospectus”).</w:t>
      </w:r>
    </w:p>
    <w:p>
      <w:pPr>
        <w:spacing w:after="0" w:line="267"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 xml:space="preserve">Other than policies noted below, there have been no significant changes from the significant accounting policies disclosed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the audited consolidated financial statements and notes for the year ended December 31, 2020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Prospectus.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 xml:space="preserve">In December 2019, the Financial Accounting Standards Board (the "FASB") issued Accounting Standards Update ("ASU") 2019-12,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(“ASC 740”). The ASU enhances and simplifies various aspects of the income tax accounting guidance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was permitted The Company adopted this standard as of January 1, 2021 on a prospective basis. The adoption did not have a material impact on the Company’s condensed consolidated financial statements.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46"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i w:val="1"/>
          <w:iCs w:val="1"/>
          <w:color w:val="auto"/>
        </w:rPr>
        <w:t>— Contracts in Entity’s Own Equity (Subtopic 815 — 40)</w:t>
      </w:r>
      <w:r>
        <w:rPr>
          <w:rFonts w:ascii="Arial" w:cs="Arial" w:eastAsia="Arial" w:hAnsi="Arial"/>
          <w:sz w:val="16"/>
          <w:szCs w:val="16"/>
          <w:color w:val="auto"/>
        </w:rPr>
        <w:t>. The amendments in this update affect entities that issue convertible instruments and/or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(“EPS”) computation. Early adoption is permitted, but no earlier than fiscal years beginning after December 15, 2020, including interim periods within those fiscal years. The Company elected to early adopt this guidance on January 1, 2021.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3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35"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68" w:lineRule="exact"/>
        <w:rPr>
          <w:sz w:val="20"/>
          <w:szCs w:val="20"/>
          <w:color w:val="auto"/>
        </w:rPr>
      </w:pPr>
    </w:p>
    <w:p>
      <w:pPr>
        <w:ind w:right="20" w:firstLine="509"/>
        <w:spacing w:after="0" w:line="296" w:lineRule="auto"/>
        <w:rPr>
          <w:sz w:val="20"/>
          <w:szCs w:val="20"/>
          <w:color w:val="auto"/>
        </w:rPr>
      </w:pPr>
      <w:r>
        <w:rPr>
          <w:rFonts w:ascii="Arial" w:cs="Arial" w:eastAsia="Arial" w:hAnsi="Arial"/>
          <w:sz w:val="17"/>
          <w:szCs w:val="17"/>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 w:name="page14"/>
    <w:bookmarkEnd w:id="13"/>
    <w:p>
      <w:pPr>
        <w:ind w:right="180" w:firstLine="509"/>
        <w:spacing w:after="0" w:line="293" w:lineRule="auto"/>
        <w:rPr>
          <w:sz w:val="20"/>
          <w:szCs w:val="20"/>
          <w:color w:val="auto"/>
        </w:rPr>
      </w:pPr>
      <w:r>
        <w:rPr>
          <w:rFonts w:ascii="Arial" w:cs="Arial" w:eastAsia="Arial" w:hAnsi="Arial"/>
          <w:sz w:val="18"/>
          <w:szCs w:val="18"/>
          <w:color w:val="auto"/>
        </w:rPr>
        <w:t>The following table summarizes the elements of the net proceeds from the Business Combination and PIPE Financing transaction as of September 30, 2021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Recapitalization</w:t>
            </w:r>
          </w:p>
        </w:tc>
      </w:tr>
      <w:tr>
        <w:trPr>
          <w:trHeight w:val="25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 BCTG's Trust Account and cash (net of redemptions)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156,013</w:t>
            </w:r>
          </w:p>
        </w:tc>
        <w:tc>
          <w:tcPr>
            <w:tcW w:w="120" w:type="dxa"/>
            <w:vAlign w:val="bottom"/>
            <w:shd w:val="clear" w:color="auto" w:fill="CFF0FC"/>
          </w:tcPr>
          <w:p>
            <w:pPr>
              <w:spacing w:after="0"/>
              <w:rPr>
                <w:sz w:val="22"/>
                <w:szCs w:val="22"/>
                <w:color w:val="auto"/>
              </w:rPr>
            </w:pPr>
          </w:p>
        </w:tc>
      </w:tr>
      <w:tr>
        <w:trPr>
          <w:trHeight w:val="250"/>
        </w:trPr>
        <w:tc>
          <w:tcPr>
            <w:tcW w:w="7880" w:type="dxa"/>
            <w:vAlign w:val="bottom"/>
          </w:tcPr>
          <w:p>
            <w:pPr>
              <w:spacing w:after="0"/>
              <w:rPr>
                <w:sz w:val="20"/>
                <w:szCs w:val="20"/>
                <w:color w:val="auto"/>
              </w:rPr>
            </w:pPr>
            <w:r>
              <w:rPr>
                <w:rFonts w:ascii="Arial" w:cs="Arial" w:eastAsia="Arial" w:hAnsi="Arial"/>
                <w:sz w:val="18"/>
                <w:szCs w:val="18"/>
                <w:color w:val="auto"/>
              </w:rPr>
              <w:t>Cash - PIPE Financing</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186,100</w:t>
            </w:r>
          </w:p>
        </w:tc>
        <w:tc>
          <w:tcPr>
            <w:tcW w:w="120" w:type="dxa"/>
            <w:vAlign w:val="bottom"/>
          </w:tcPr>
          <w:p>
            <w:pPr>
              <w:spacing w:after="0"/>
              <w:rPr>
                <w:sz w:val="21"/>
                <w:szCs w:val="21"/>
                <w:color w:val="auto"/>
              </w:rPr>
            </w:pPr>
          </w:p>
        </w:tc>
      </w:tr>
      <w:tr>
        <w:trPr>
          <w:trHeight w:val="25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costs and advisory fees paid</w:t>
            </w:r>
          </w:p>
        </w:tc>
        <w:tc>
          <w:tcPr>
            <w:tcW w:w="3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(15,615 )</w:t>
            </w:r>
          </w:p>
        </w:tc>
      </w:tr>
      <w:tr>
        <w:trPr>
          <w:trHeight w:val="250"/>
        </w:trPr>
        <w:tc>
          <w:tcPr>
            <w:tcW w:w="7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proceeds from the Business Combination and PIPE Financing</w:t>
            </w:r>
          </w:p>
        </w:tc>
        <w:tc>
          <w:tcPr>
            <w:tcW w:w="3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326,498</w:t>
            </w:r>
          </w:p>
        </w:tc>
        <w:tc>
          <w:tcPr>
            <w:tcW w:w="120" w:type="dxa"/>
            <w:vAlign w:val="bottom"/>
            <w:tcBorders>
              <w:top w:val="single" w:sz="8" w:color="CCEEFF"/>
            </w:tcBorders>
          </w:tcPr>
          <w:p>
            <w:pPr>
              <w:spacing w:after="0"/>
              <w:rPr>
                <w:sz w:val="21"/>
                <w:szCs w:val="21"/>
                <w:color w:val="auto"/>
              </w:rPr>
            </w:pPr>
          </w:p>
        </w:tc>
      </w:tr>
      <w:tr>
        <w:trPr>
          <w:trHeight w:val="257"/>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non-cash net assets assumed from BCTG</w:t>
            </w: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8"/>
                <w:szCs w:val="18"/>
                <w:color w:val="auto"/>
              </w:rPr>
              <w:t>Net contributions from Business Combination and PIPE Financing</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326,501</w:t>
            </w:r>
          </w:p>
        </w:tc>
        <w:tc>
          <w:tcPr>
            <w:tcW w:w="120" w:type="dxa"/>
            <w:vAlign w:val="bottom"/>
          </w:tcPr>
          <w:p>
            <w:pPr>
              <w:spacing w:after="0"/>
              <w:rPr>
                <w:sz w:val="22"/>
                <w:szCs w:val="22"/>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-527685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 and PIPE Financing transaction:</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 Shares</w:t>
            </w:r>
          </w:p>
        </w:tc>
      </w:tr>
      <w:tr>
        <w:trPr>
          <w:trHeight w:val="25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BCTG common shares outstanding prior to the Business Combination</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21,377,250</w:t>
            </w:r>
          </w:p>
        </w:tc>
        <w:tc>
          <w:tcPr>
            <w:tcW w:w="100" w:type="dxa"/>
            <w:vAlign w:val="bottom"/>
            <w:shd w:val="clear" w:color="auto" w:fill="CCEEFF"/>
          </w:tcPr>
          <w:p>
            <w:pPr>
              <w:spacing w:after="0"/>
              <w:rPr>
                <w:sz w:val="22"/>
                <w:szCs w:val="22"/>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Less redemption of BCTG shares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(1,106,814 )</w:t>
            </w:r>
          </w:p>
        </w:tc>
      </w:tr>
      <w:tr>
        <w:trPr>
          <w:trHeight w:val="25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of BCTG outstanding as of the Business Combination</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20,270,436</w:t>
            </w:r>
          </w:p>
        </w:tc>
        <w:tc>
          <w:tcPr>
            <w:tcW w:w="100" w:type="dxa"/>
            <w:vAlign w:val="bottom"/>
            <w:shd w:val="clear" w:color="auto" w:fill="CCEEFF"/>
          </w:tcPr>
          <w:p>
            <w:pPr>
              <w:spacing w:after="0"/>
              <w:rPr>
                <w:sz w:val="22"/>
                <w:szCs w:val="22"/>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Shares issued pursuant to the PIPE Financing</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18,610,000</w:t>
            </w:r>
          </w:p>
        </w:tc>
        <w:tc>
          <w:tcPr>
            <w:tcW w:w="100" w:type="dxa"/>
            <w:vAlign w:val="bottom"/>
          </w:tcPr>
          <w:p>
            <w:pPr>
              <w:spacing w:after="0"/>
              <w:rPr>
                <w:sz w:val="21"/>
                <w:szCs w:val="21"/>
                <w:color w:val="auto"/>
              </w:rPr>
            </w:pPr>
          </w:p>
        </w:tc>
      </w:tr>
      <w:tr>
        <w:trPr>
          <w:trHeight w:val="25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 and PIPE Financing shares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38,880,436</w:t>
            </w:r>
          </w:p>
        </w:tc>
        <w:tc>
          <w:tcPr>
            <w:tcW w:w="100" w:type="dxa"/>
            <w:vAlign w:val="bottom"/>
            <w:shd w:val="clear" w:color="auto" w:fill="CCEEFF"/>
          </w:tcPr>
          <w:p>
            <w:pPr>
              <w:spacing w:after="0"/>
              <w:rPr>
                <w:sz w:val="22"/>
                <w:szCs w:val="22"/>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Old Tango common shares (after preferred shares were converted 1-for-1 for common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48,593,803</w:t>
            </w:r>
          </w:p>
        </w:tc>
        <w:tc>
          <w:tcPr>
            <w:tcW w:w="100" w:type="dxa"/>
            <w:vAlign w:val="bottom"/>
          </w:tcPr>
          <w:p>
            <w:pPr>
              <w:spacing w:after="0"/>
              <w:rPr>
                <w:sz w:val="21"/>
                <w:szCs w:val="21"/>
                <w:color w:val="auto"/>
              </w:rPr>
            </w:pPr>
          </w:p>
        </w:tc>
      </w:tr>
      <w:tr>
        <w:trPr>
          <w:trHeight w:val="29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Business Combination consummation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87,474,239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The merger consideration of 55,000,0000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Retroactive Application of Recapitalization</w:t>
      </w:r>
    </w:p>
    <w:p>
      <w:pPr>
        <w:spacing w:after="0" w:line="13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Company comprises all of the ongoing operations of Old Tango, the Company comprises a majority of the governing body of Old Tango, and the Com</w:t>
      </w:r>
      <w:r>
        <w:rPr>
          <w:rFonts w:ascii="Arial" w:cs="Arial" w:eastAsia="Arial" w:hAnsi="Arial"/>
          <w:sz w:val="14"/>
          <w:szCs w:val="14"/>
          <w:color w:val="auto"/>
        </w:rPr>
        <w:t>pany’s senior management comprises all of the senior management of Old Tango.</w:t>
      </w:r>
    </w:p>
    <w:p>
      <w:pPr>
        <w:spacing w:after="0" w:line="55" w:lineRule="exact"/>
        <w:rPr>
          <w:sz w:val="20"/>
          <w:szCs w:val="20"/>
          <w:color w:val="auto"/>
        </w:rPr>
      </w:pPr>
    </w:p>
    <w:p>
      <w:pPr>
        <w:ind w:right="800" w:firstLine="509"/>
        <w:spacing w:after="0" w:line="293" w:lineRule="auto"/>
        <w:rPr>
          <w:sz w:val="20"/>
          <w:szCs w:val="20"/>
          <w:color w:val="auto"/>
        </w:rPr>
      </w:pPr>
      <w:r>
        <w:rPr>
          <w:rFonts w:ascii="Arial" w:cs="Arial" w:eastAsia="Arial" w:hAnsi="Arial"/>
          <w:sz w:val="18"/>
          <w:szCs w:val="18"/>
          <w:color w:val="auto"/>
        </w:rPr>
        <w:t>These unaudited condensed consolidated financial statements contain recasted stockholders' equity balances resulting from the retroactive application of reverse recapitalization accounting in accordance with U.S. GAAP.</w:t>
      </w:r>
    </w:p>
    <w:p>
      <w:pPr>
        <w:spacing w:after="0" w:line="170"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i w:val="1"/>
          <w:iCs w:val="1"/>
          <w:color w:val="auto"/>
        </w:rPr>
        <w:t>Retroactive Application of Recapitalization to Unaudited Condensed Consolidated Statements of Redeemable Convertible Preferred Stock and Stockholders’ Equity (Deficit)</w:t>
      </w:r>
    </w:p>
    <w:p>
      <w:pPr>
        <w:spacing w:after="0" w:line="170"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Redeemable</w:t>
            </w:r>
          </w:p>
        </w:tc>
        <w:tc>
          <w:tcPr>
            <w:tcW w:w="16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Preferred to</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w w:val="91"/>
              </w:rPr>
              <w:t>8/10/2021 Merger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w w:val="92"/>
              </w:rPr>
              <w:t>Convertible Preferred</w:t>
            </w:r>
          </w:p>
        </w:tc>
        <w:tc>
          <w:tcPr>
            <w:tcW w:w="160" w:type="dxa"/>
            <w:vAlign w:val="bottom"/>
          </w:tcPr>
          <w:p>
            <w:pPr>
              <w:spacing w:after="0"/>
              <w:rPr>
                <w:sz w:val="19"/>
                <w:szCs w:val="19"/>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Common</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w w:val="95"/>
              </w:rPr>
              <w:t>Common Stock</w:t>
            </w:r>
          </w:p>
        </w:tc>
        <w:tc>
          <w:tcPr>
            <w:tcW w:w="1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w w:val="97"/>
              </w:rPr>
              <w:t>Recapitalization</w:t>
            </w: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w w:val="95"/>
              </w:rPr>
              <w:t>Recapitalization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7"/>
        </w:trPr>
        <w:tc>
          <w:tcPr>
            <w:tcW w:w="240" w:type="dxa"/>
            <w:vAlign w:val="bottom"/>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0"/>
                <w:szCs w:val="20"/>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Description</w:t>
            </w:r>
          </w:p>
        </w:tc>
        <w:tc>
          <w:tcPr>
            <w:tcW w:w="80" w:type="dxa"/>
            <w:vAlign w:val="bottom"/>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Exchange Ratio</w:t>
            </w:r>
          </w:p>
        </w:tc>
        <w:tc>
          <w:tcPr>
            <w:tcW w:w="140" w:type="dxa"/>
            <w:vAlign w:val="bottom"/>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Exchange Ratio</w:t>
            </w: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Common Stock</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Series A</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55,700,000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55,700,000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18,922,317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240" w:type="dxa"/>
            <w:vAlign w:val="bottom"/>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4/7/2020</w:t>
            </w:r>
          </w:p>
        </w:tc>
        <w:tc>
          <w:tcPr>
            <w:tcW w:w="100" w:type="dxa"/>
            <w:vAlign w:val="bottom"/>
            <w:shd w:val="clear" w:color="auto" w:fill="CFF0FC"/>
          </w:tcPr>
          <w:p>
            <w:pPr>
              <w:spacing w:after="0"/>
              <w:rPr>
                <w:sz w:val="22"/>
                <w:szCs w:val="22"/>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(tranche 1)</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7,706,861</w:t>
            </w:r>
          </w:p>
        </w:tc>
        <w:tc>
          <w:tcPr>
            <w:tcW w:w="80" w:type="dxa"/>
            <w:vAlign w:val="bottom"/>
            <w:shd w:val="clear" w:color="auto" w:fill="CFF0FC"/>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8/17/2020</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Series B-1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27,152,255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27,152,255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9,224,122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240" w:type="dxa"/>
            <w:vAlign w:val="bottom"/>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3/18/2021</w:t>
            </w:r>
          </w:p>
        </w:tc>
        <w:tc>
          <w:tcPr>
            <w:tcW w:w="100" w:type="dxa"/>
            <w:vAlign w:val="bottom"/>
            <w:shd w:val="clear" w:color="auto" w:fill="CFF0FC"/>
          </w:tcPr>
          <w:p>
            <w:pPr>
              <w:spacing w:after="0"/>
              <w:rPr>
                <w:sz w:val="22"/>
                <w:szCs w:val="22"/>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(tranche 2)</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7,706,861</w:t>
            </w:r>
          </w:p>
        </w:tc>
        <w:tc>
          <w:tcPr>
            <w:tcW w:w="80" w:type="dxa"/>
            <w:vAlign w:val="bottom"/>
            <w:shd w:val="clear" w:color="auto" w:fill="CFF0FC"/>
          </w:tcPr>
          <w:p>
            <w:pPr>
              <w:spacing w:after="0"/>
              <w:rPr>
                <w:sz w:val="22"/>
                <w:szCs w:val="22"/>
                <w:color w:val="auto"/>
              </w:rPr>
            </w:pPr>
          </w:p>
        </w:tc>
        <w:tc>
          <w:tcPr>
            <w:tcW w:w="220" w:type="dxa"/>
            <w:vAlign w:val="bottom"/>
          </w:tcPr>
          <w:p>
            <w:pPr>
              <w:spacing w:after="0"/>
              <w:rPr>
                <w:sz w:val="22"/>
                <w:szCs w:val="22"/>
                <w:color w:val="auto"/>
              </w:rPr>
            </w:pPr>
          </w:p>
        </w:tc>
      </w:tr>
      <w:tr>
        <w:trPr>
          <w:trHeight w:val="675"/>
        </w:trPr>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gridSpan w:val="2"/>
          </w:tcPr>
          <w:p>
            <w:pPr>
              <w:jc w:val="right"/>
              <w:ind w:right="7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jc w:val="both"/>
        <w:ind w:right="400" w:firstLine="509"/>
        <w:spacing w:after="0" w:line="279" w:lineRule="auto"/>
        <w:rPr>
          <w:sz w:val="20"/>
          <w:szCs w:val="20"/>
          <w:color w:val="auto"/>
        </w:rPr>
      </w:pPr>
      <w:r>
        <w:rPr>
          <w:rFonts w:ascii="Arial" w:cs="Arial" w:eastAsia="Arial" w:hAnsi="Arial"/>
          <w:sz w:val="18"/>
          <w:szCs w:val="18"/>
          <w:color w:val="auto"/>
        </w:rPr>
        <w:t>All common shares, as well as previously issued share options and restricted stock awards (“RSAs”), presented in the accompanying unaudited recasted condensed consolidated statements of redeemable convertible preferred stock and stockholders' equity (deficit) and/or in the related notes are presented on an as-converted basis, converted at the ratio of 0.34.</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Retroactive Application of Recapitalization to Unaudited Condensed Consolidated Statements of Operations and Comprehensive Loss</w:t>
      </w:r>
    </w:p>
    <w:p>
      <w:pPr>
        <w:spacing w:after="0" w:line="239" w:lineRule="exact"/>
        <w:rPr>
          <w:sz w:val="20"/>
          <w:szCs w:val="20"/>
          <w:color w:val="auto"/>
        </w:rPr>
      </w:pPr>
    </w:p>
    <w:p>
      <w:pPr>
        <w:jc w:val="both"/>
        <w:ind w:right="60" w:firstLine="509"/>
        <w:spacing w:after="0" w:line="329" w:lineRule="auto"/>
        <w:rPr>
          <w:sz w:val="20"/>
          <w:szCs w:val="20"/>
          <w:color w:val="auto"/>
        </w:rPr>
      </w:pPr>
      <w:r>
        <w:rPr>
          <w:rFonts w:ascii="Arial" w:cs="Arial" w:eastAsia="Arial" w:hAnsi="Arial"/>
          <w:sz w:val="16"/>
          <w:szCs w:val="16"/>
          <w:color w:val="auto"/>
        </w:rPr>
        <w:t>In accordance with the retroactive application of recapitalization to the accompanying unaudited condensed consolidated statements of redeemable convertible preferred stock and stockholders' equity (deficit), the basic and diluted weighted-average shares of common stock outstanding for the three and nine month periods ended September 30, 2021 and 2020 have been retroactively converted using the exchange ratio of 0.34.</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weighted-average common shares, basic and diluted, for the three months ended September 30, 2020:</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8/10/2021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Merger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5"/>
                <w:szCs w:val="15"/>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Recapitalized</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in</w:t>
            </w: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common</w:t>
            </w:r>
          </w:p>
        </w:tc>
        <w:tc>
          <w:tcPr>
            <w:tcW w:w="80" w:type="dxa"/>
            <w:vAlign w:val="bottom"/>
          </w:tcPr>
          <w:p>
            <w:pPr>
              <w:spacing w:after="0"/>
              <w:rPr>
                <w:sz w:val="15"/>
                <w:szCs w:val="15"/>
                <w:color w:val="auto"/>
              </w:rPr>
            </w:pPr>
          </w:p>
        </w:tc>
      </w:tr>
      <w:tr>
        <w:trPr>
          <w:trHeight w:val="192"/>
        </w:trPr>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6"/>
                <w:szCs w:val="16"/>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recorded</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6"/>
                <w:szCs w:val="16"/>
                <w:color w:val="auto"/>
              </w:rPr>
            </w:pPr>
          </w:p>
        </w:tc>
      </w:tr>
      <w:tr>
        <w:trPr>
          <w:trHeight w:val="183"/>
        </w:trPr>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Weighted-average shares,</w:t>
            </w:r>
          </w:p>
        </w:tc>
        <w:tc>
          <w:tcPr>
            <w:tcW w:w="8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4"/>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9/30/2020</w:t>
            </w:r>
          </w:p>
        </w:tc>
        <w:tc>
          <w:tcPr>
            <w:tcW w:w="100" w:type="dxa"/>
            <w:vAlign w:val="bottom"/>
            <w:shd w:val="clear" w:color="auto" w:fill="CFF0FC"/>
          </w:tcPr>
          <w:p>
            <w:pPr>
              <w:spacing w:after="0"/>
              <w:rPr>
                <w:sz w:val="16"/>
                <w:szCs w:val="16"/>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11,723,528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3,982,482</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9"/>
              </w:rPr>
              <w:t>100%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3,982,482</w:t>
            </w:r>
          </w:p>
        </w:tc>
        <w:tc>
          <w:tcPr>
            <w:tcW w:w="80" w:type="dxa"/>
            <w:vAlign w:val="bottom"/>
            <w:shd w:val="clear" w:color="auto" w:fill="CFF0FC"/>
          </w:tcPr>
          <w:p>
            <w:pPr>
              <w:spacing w:after="0"/>
              <w:rPr>
                <w:sz w:val="16"/>
                <w:szCs w:val="16"/>
                <w:color w:val="auto"/>
              </w:rPr>
            </w:pPr>
          </w:p>
        </w:tc>
      </w:tr>
      <w:tr>
        <w:trPr>
          <w:trHeight w:val="197"/>
        </w:trPr>
        <w:tc>
          <w:tcPr>
            <w:tcW w:w="1200" w:type="dxa"/>
            <w:vAlign w:val="bottom"/>
          </w:tcPr>
          <w:p>
            <w:pPr>
              <w:jc w:val="right"/>
              <w:spacing w:after="0"/>
              <w:rPr>
                <w:sz w:val="20"/>
                <w:szCs w:val="20"/>
                <w:color w:val="auto"/>
              </w:rPr>
            </w:pPr>
            <w:r>
              <w:rPr>
                <w:rFonts w:ascii="Arial" w:cs="Arial" w:eastAsia="Arial" w:hAnsi="Arial"/>
                <w:sz w:val="14"/>
                <w:szCs w:val="14"/>
                <w:color w:val="auto"/>
              </w:rPr>
              <w:t>12/31/2019</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A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55,700,000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91</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9"/>
              </w:rPr>
              <w:t>100%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80" w:type="dxa"/>
            <w:vAlign w:val="bottom"/>
          </w:tcPr>
          <w:p>
            <w:pPr>
              <w:spacing w:after="0"/>
              <w:rPr>
                <w:sz w:val="17"/>
                <w:szCs w:val="17"/>
                <w:color w:val="auto"/>
              </w:rPr>
            </w:pPr>
          </w:p>
        </w:tc>
      </w:tr>
      <w:tr>
        <w:trPr>
          <w:trHeight w:val="208"/>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4/7/2020</w:t>
            </w: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B shares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11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89"/>
              </w:rPr>
              <w:t>91</w:t>
            </w: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9"/>
              </w:rPr>
              <w:t>100%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80" w:type="dxa"/>
            <w:vAlign w:val="bottom"/>
            <w:shd w:val="clear" w:color="auto" w:fill="CFF0FC"/>
          </w:tcPr>
          <w:p>
            <w:pPr>
              <w:spacing w:after="0"/>
              <w:rPr>
                <w:sz w:val="18"/>
                <w:szCs w:val="18"/>
                <w:color w:val="auto"/>
              </w:rPr>
            </w:pPr>
          </w:p>
        </w:tc>
      </w:tr>
      <w:tr>
        <w:trPr>
          <w:trHeight w:val="203"/>
        </w:trPr>
        <w:tc>
          <w:tcPr>
            <w:tcW w:w="1200" w:type="dxa"/>
            <w:vAlign w:val="bottom"/>
          </w:tcPr>
          <w:p>
            <w:pPr>
              <w:jc w:val="right"/>
              <w:spacing w:after="0"/>
              <w:rPr>
                <w:sz w:val="20"/>
                <w:szCs w:val="20"/>
                <w:color w:val="auto"/>
              </w:rPr>
            </w:pPr>
            <w:r>
              <w:rPr>
                <w:rFonts w:ascii="Arial" w:cs="Arial" w:eastAsia="Arial" w:hAnsi="Arial"/>
                <w:sz w:val="14"/>
                <w:szCs w:val="14"/>
                <w:color w:val="auto"/>
              </w:rPr>
              <w:t>8/17/2020</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B-1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27,152,255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9,223,621</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44</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48%</w:t>
            </w:r>
          </w:p>
        </w:tc>
        <w:tc>
          <w:tcPr>
            <w:tcW w:w="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4,459,773</w:t>
            </w:r>
          </w:p>
        </w:tc>
        <w:tc>
          <w:tcPr>
            <w:tcW w:w="80" w:type="dxa"/>
            <w:vAlign w:val="bottom"/>
          </w:tcPr>
          <w:p>
            <w:pPr>
              <w:spacing w:after="0"/>
              <w:rPr>
                <w:sz w:val="17"/>
                <w:szCs w:val="17"/>
                <w:color w:val="auto"/>
              </w:rPr>
            </w:pPr>
          </w:p>
        </w:tc>
      </w:tr>
      <w:tr>
        <w:trPr>
          <w:trHeight w:val="236"/>
        </w:trPr>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540" w:type="dxa"/>
            <w:vAlign w:val="bottom"/>
            <w:tcBorders>
              <w:bottom w:val="single" w:sz="8" w:color="CFF0FC"/>
            </w:tcBorders>
            <w:gridSpan w:val="11"/>
            <w:shd w:val="clear" w:color="auto" w:fill="CFF0FC"/>
          </w:tcPr>
          <w:p>
            <w:pPr>
              <w:ind w:left="340"/>
              <w:spacing w:after="0"/>
              <w:rPr>
                <w:sz w:val="20"/>
                <w:szCs w:val="20"/>
                <w:color w:val="auto"/>
              </w:rPr>
            </w:pPr>
            <w:r>
              <w:rPr>
                <w:rFonts w:ascii="Arial" w:cs="Arial" w:eastAsia="Arial" w:hAnsi="Arial"/>
                <w:sz w:val="14"/>
                <w:szCs w:val="14"/>
                <w:color w:val="auto"/>
                <w:w w:val="91"/>
              </w:rPr>
              <w:t>Weighted average number of common shares outstanding – basic and diluted for the three months ended September 30, 2020</w:t>
            </w:r>
          </w:p>
        </w:tc>
        <w:tc>
          <w:tcPr>
            <w:tcW w:w="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35,069,988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weighted-average common shares, basic and diluted, for the nine months ended September 30, 2020:</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8/10/2021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Merger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Recapitalized</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in</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5"/>
                <w:szCs w:val="15"/>
                <w:color w:val="auto"/>
              </w:rPr>
            </w:pPr>
          </w:p>
        </w:tc>
      </w:tr>
      <w:tr>
        <w:trPr>
          <w:trHeight w:val="192"/>
        </w:trPr>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6"/>
                <w:szCs w:val="16"/>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recorded</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common shares</w:t>
            </w:r>
          </w:p>
        </w:tc>
        <w:tc>
          <w:tcPr>
            <w:tcW w:w="80" w:type="dxa"/>
            <w:vAlign w:val="bottom"/>
          </w:tcPr>
          <w:p>
            <w:pPr>
              <w:spacing w:after="0"/>
              <w:rPr>
                <w:sz w:val="16"/>
                <w:szCs w:val="16"/>
                <w:color w:val="auto"/>
              </w:rPr>
            </w:pPr>
          </w:p>
        </w:tc>
      </w:tr>
      <w:tr>
        <w:trPr>
          <w:trHeight w:val="183"/>
        </w:trPr>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Weighted-average shares,</w:t>
            </w:r>
          </w:p>
        </w:tc>
        <w:tc>
          <w:tcPr>
            <w:tcW w:w="8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4"/>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9/30/2020</w:t>
            </w:r>
          </w:p>
        </w:tc>
        <w:tc>
          <w:tcPr>
            <w:tcW w:w="100" w:type="dxa"/>
            <w:vAlign w:val="bottom"/>
            <w:shd w:val="clear" w:color="auto" w:fill="CFF0FC"/>
          </w:tcPr>
          <w:p>
            <w:pPr>
              <w:spacing w:after="0"/>
              <w:rPr>
                <w:sz w:val="16"/>
                <w:szCs w:val="16"/>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11,186,180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3,799,945</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4"/>
              </w:rPr>
              <w:t>100%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3,799,945</w:t>
            </w:r>
          </w:p>
        </w:tc>
        <w:tc>
          <w:tcPr>
            <w:tcW w:w="80" w:type="dxa"/>
            <w:vAlign w:val="bottom"/>
            <w:shd w:val="clear" w:color="auto" w:fill="CFF0FC"/>
          </w:tcPr>
          <w:p>
            <w:pPr>
              <w:spacing w:after="0"/>
              <w:rPr>
                <w:sz w:val="16"/>
                <w:szCs w:val="16"/>
                <w:color w:val="auto"/>
              </w:rPr>
            </w:pPr>
          </w:p>
        </w:tc>
      </w:tr>
      <w:tr>
        <w:trPr>
          <w:trHeight w:val="197"/>
        </w:trPr>
        <w:tc>
          <w:tcPr>
            <w:tcW w:w="1200" w:type="dxa"/>
            <w:vAlign w:val="bottom"/>
          </w:tcPr>
          <w:p>
            <w:pPr>
              <w:jc w:val="right"/>
              <w:spacing w:after="0"/>
              <w:rPr>
                <w:sz w:val="20"/>
                <w:szCs w:val="20"/>
                <w:color w:val="auto"/>
              </w:rPr>
            </w:pPr>
            <w:r>
              <w:rPr>
                <w:rFonts w:ascii="Arial" w:cs="Arial" w:eastAsia="Arial" w:hAnsi="Arial"/>
                <w:sz w:val="14"/>
                <w:szCs w:val="14"/>
                <w:color w:val="auto"/>
              </w:rPr>
              <w:t>12/31/2019</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A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55,700,000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273</w:t>
            </w:r>
          </w:p>
        </w:tc>
        <w:tc>
          <w:tcPr>
            <w:tcW w:w="82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100%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80" w:type="dxa"/>
            <w:vAlign w:val="bottom"/>
          </w:tcPr>
          <w:p>
            <w:pPr>
              <w:spacing w:after="0"/>
              <w:rPr>
                <w:sz w:val="17"/>
                <w:szCs w:val="17"/>
                <w:color w:val="auto"/>
              </w:rPr>
            </w:pPr>
          </w:p>
        </w:tc>
      </w:tr>
      <w:tr>
        <w:trPr>
          <w:trHeight w:val="208"/>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4/7/2020</w:t>
            </w: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B shares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116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176</w:t>
            </w:r>
          </w:p>
        </w:tc>
        <w:tc>
          <w:tcPr>
            <w:tcW w:w="82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2"/>
              </w:rPr>
              <w:t>64%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4,968,256</w:t>
            </w:r>
          </w:p>
        </w:tc>
        <w:tc>
          <w:tcPr>
            <w:tcW w:w="80" w:type="dxa"/>
            <w:vAlign w:val="bottom"/>
            <w:shd w:val="clear" w:color="auto" w:fill="CFF0FC"/>
          </w:tcPr>
          <w:p>
            <w:pPr>
              <w:spacing w:after="0"/>
              <w:rPr>
                <w:sz w:val="18"/>
                <w:szCs w:val="18"/>
                <w:color w:val="auto"/>
              </w:rPr>
            </w:pPr>
          </w:p>
        </w:tc>
      </w:tr>
      <w:tr>
        <w:trPr>
          <w:trHeight w:val="203"/>
        </w:trPr>
        <w:tc>
          <w:tcPr>
            <w:tcW w:w="1200" w:type="dxa"/>
            <w:vAlign w:val="bottom"/>
          </w:tcPr>
          <w:p>
            <w:pPr>
              <w:jc w:val="right"/>
              <w:spacing w:after="0"/>
              <w:rPr>
                <w:sz w:val="20"/>
                <w:szCs w:val="20"/>
                <w:color w:val="auto"/>
              </w:rPr>
            </w:pPr>
            <w:r>
              <w:rPr>
                <w:rFonts w:ascii="Arial" w:cs="Arial" w:eastAsia="Arial" w:hAnsi="Arial"/>
                <w:sz w:val="14"/>
                <w:szCs w:val="14"/>
                <w:color w:val="auto"/>
              </w:rPr>
              <w:t>8/17/2020</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B-1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27,152,255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9,223,621</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44</w:t>
            </w:r>
          </w:p>
        </w:tc>
        <w:tc>
          <w:tcPr>
            <w:tcW w:w="82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16%</w:t>
            </w:r>
          </w:p>
        </w:tc>
        <w:tc>
          <w:tcPr>
            <w:tcW w:w="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1,486,591</w:t>
            </w:r>
          </w:p>
        </w:tc>
        <w:tc>
          <w:tcPr>
            <w:tcW w:w="80" w:type="dxa"/>
            <w:vAlign w:val="bottom"/>
          </w:tcPr>
          <w:p>
            <w:pPr>
              <w:spacing w:after="0"/>
              <w:rPr>
                <w:sz w:val="17"/>
                <w:szCs w:val="17"/>
                <w:color w:val="auto"/>
              </w:rPr>
            </w:pPr>
          </w:p>
        </w:tc>
      </w:tr>
      <w:tr>
        <w:trPr>
          <w:trHeight w:val="236"/>
        </w:trPr>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500" w:type="dxa"/>
            <w:vAlign w:val="bottom"/>
            <w:tcBorders>
              <w:bottom w:val="single" w:sz="8" w:color="CFF0FC"/>
            </w:tcBorders>
            <w:gridSpan w:val="11"/>
            <w:shd w:val="clear" w:color="auto" w:fill="CFF0FC"/>
          </w:tcPr>
          <w:p>
            <w:pPr>
              <w:ind w:left="340"/>
              <w:spacing w:after="0"/>
              <w:rPr>
                <w:sz w:val="20"/>
                <w:szCs w:val="20"/>
                <w:color w:val="auto"/>
              </w:rPr>
            </w:pPr>
            <w:r>
              <w:rPr>
                <w:rFonts w:ascii="Arial" w:cs="Arial" w:eastAsia="Arial" w:hAnsi="Arial"/>
                <w:sz w:val="14"/>
                <w:szCs w:val="14"/>
                <w:color w:val="auto"/>
                <w:w w:val="91"/>
              </w:rPr>
              <w:t>Weighted average number of common shares outstanding – basic and diluted for the nine months ended September 30, 2020</w:t>
            </w:r>
          </w:p>
        </w:tc>
        <w:tc>
          <w:tcPr>
            <w:tcW w:w="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29,176,082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Retroactive Application of Recapitalization to Unaudited Condensed Consolidated Balance Sheets</w:t>
      </w:r>
    </w:p>
    <w:p>
      <w:pPr>
        <w:spacing w:after="0" w:line="239"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To conform to the retroactive application of recapitalization to the accompanying unaudited condensed consolidated statements of redeemable convertible preferred stock and stockholders' equity (deficit), historical proceeds from the issuance of preferred stock, less the par value of the historical preferred shares that were converted into common shares using the 0.34 ratio at the Effective Time, have been reclassified to additional paid in capital for the periods ended September 30, 2021 and 2020, respectively.</w:t>
      </w:r>
    </w:p>
    <w:p>
      <w:pPr>
        <w:spacing w:after="0" w:line="289" w:lineRule="exact"/>
        <w:rPr>
          <w:sz w:val="20"/>
          <w:szCs w:val="20"/>
          <w:color w:val="auto"/>
        </w:rPr>
      </w:pPr>
    </w:p>
    <w:p>
      <w:pPr>
        <w:ind w:left="520" w:right="8740" w:hanging="512"/>
        <w:spacing w:after="0" w:line="442" w:lineRule="auto"/>
        <w:tabs>
          <w:tab w:leader="none" w:pos="4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2018 Gilead Agreement</w:t>
      </w:r>
    </w:p>
    <w:p>
      <w:pPr>
        <w:spacing w:after="0" w:line="1"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8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right="180" w:firstLine="509"/>
        <w:spacing w:after="0" w:line="269"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9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31" w:lineRule="exact"/>
        <w:rPr>
          <w:sz w:val="20"/>
          <w:szCs w:val="20"/>
          <w:color w:val="auto"/>
        </w:rPr>
      </w:pPr>
    </w:p>
    <w:p>
      <w:pPr>
        <w:ind w:right="160" w:firstLine="509"/>
        <w:spacing w:after="0" w:line="303" w:lineRule="auto"/>
        <w:rPr>
          <w:sz w:val="20"/>
          <w:szCs w:val="20"/>
          <w:color w:val="auto"/>
        </w:rPr>
      </w:pPr>
      <w:r>
        <w:rPr>
          <w:rFonts w:ascii="Arial" w:cs="Arial" w:eastAsia="Arial" w:hAnsi="Arial"/>
          <w:sz w:val="17"/>
          <w:szCs w:val="17"/>
          <w:color w:val="auto"/>
        </w:rPr>
        <w:t>In August 2020, Gilead made an equity investment of $20.0 million into the Company as a participant in Old Tango’s Series B-1 preferred stock offering. At the time of the original investment, as well as through the September 30, 2021 balance sheet date, Gilead maintains an ownership of less than 10% of the Company's common stock and is thus not considered to be a related party to the Company.</w:t>
      </w:r>
    </w:p>
    <w:p>
      <w:pPr>
        <w:spacing w:after="0" w:line="164"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75"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62"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62" w:lineRule="exact"/>
        <w:rPr>
          <w:sz w:val="20"/>
          <w:szCs w:val="20"/>
          <w:color w:val="auto"/>
        </w:rPr>
      </w:pPr>
    </w:p>
    <w:p>
      <w:pPr>
        <w:ind w:left="960" w:right="840"/>
        <w:spacing w:after="0" w:line="293" w:lineRule="auto"/>
        <w:rPr>
          <w:sz w:val="20"/>
          <w:szCs w:val="20"/>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62" w:lineRule="exact"/>
        <w:rPr>
          <w:sz w:val="20"/>
          <w:szCs w:val="20"/>
          <w:color w:val="auto"/>
        </w:rPr>
      </w:pPr>
    </w:p>
    <w:p>
      <w:pPr>
        <w:jc w:val="both"/>
        <w:ind w:left="960" w:right="140"/>
        <w:spacing w:after="0" w:line="279" w:lineRule="auto"/>
        <w:rPr>
          <w:sz w:val="20"/>
          <w:szCs w:val="20"/>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 and</w:t>
      </w:r>
    </w:p>
    <w:p>
      <w:pPr>
        <w:spacing w:after="0" w:line="75"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The Company is eligible to receive up to $410.0 million per program in license, research extension, and clinical, regulatory, and commercial milestones.</w:t>
      </w:r>
    </w:p>
    <w:p>
      <w:pPr>
        <w:spacing w:after="0" w:line="170"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8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60"/>
        <w:spacing w:after="0" w:line="279" w:lineRule="auto"/>
        <w:rPr>
          <w:sz w:val="20"/>
          <w:szCs w:val="20"/>
          <w:color w:val="auto"/>
        </w:rPr>
      </w:pPr>
      <w:r>
        <w:rPr>
          <w:rFonts w:ascii="Arial" w:cs="Arial" w:eastAsia="Arial" w:hAnsi="Arial"/>
          <w:sz w:val="18"/>
          <w:szCs w:val="18"/>
          <w:color w:val="auto"/>
        </w:rPr>
        <w:t>variable consideration of $12.0 million for each of the extensions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83" w:lineRule="exact"/>
        <w:rPr>
          <w:sz w:val="20"/>
          <w:szCs w:val="20"/>
          <w:color w:val="auto"/>
        </w:rPr>
      </w:pPr>
    </w:p>
    <w:p>
      <w:pPr>
        <w:jc w:val="both"/>
        <w:ind w:right="180" w:firstLine="509"/>
        <w:spacing w:after="0" w:line="279" w:lineRule="auto"/>
        <w:rPr>
          <w:sz w:val="20"/>
          <w:szCs w:val="20"/>
          <w:color w:val="auto"/>
        </w:rPr>
      </w:pPr>
      <w:r>
        <w:rPr>
          <w:rFonts w:ascii="Arial" w:cs="Arial" w:eastAsia="Arial" w:hAnsi="Arial"/>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3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$199.0 million at September 30, 2021. The total transaction price was comprised of the $50.0 million upfront payment pursuant to the 2018 Gilead Agreement, the $125.0 million upfront payment pursuant to the Gilead Agreement, the $12.0 million payment pursuant to the research extension fee in December 2020, and the $12.0 million payment pursuant to the research extension fee in September 2021. During the three and nine months ended September 30, 2021, the Company recognized $6.8 million and $20.3 million, respectively, of revenue associated with the Gilead Agreements based on performance completed during each period. During the three and nine months ended September 30, 2020, the Company recognized a reduction in revenue in the amounts of $11.3 million and $2.2 million, respectively, driven by a cumulative catch-up adjustment that was recorded during the third quarter in connection with the Amended Gilead Agreement. During the nine months ended September 30, 2021, the Company recognized revenue of $11.0 million, associated with the payment received in the second quarter of 2021 pursuant to the April 2021 program license. During the three and nine months ended September 30, 2020, the Company recognized revenue of $0 and $0.7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73"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September 30, 2021 and December 31, 2020, the Company had short-term deferred revenue of $27.8 million and $32.0 million, respectively, and long-term deferred revenue of $116.6 million and $120.8 million, respectively, related to the Gilead collaboration. The remaining long-term revenue is expected to be recognized proportionally to the completed obligations over an expected remaining contractual term of approximately 5.9 years.</w:t>
      </w:r>
    </w:p>
    <w:p>
      <w:pPr>
        <w:spacing w:after="0" w:line="176" w:lineRule="exact"/>
        <w:rPr>
          <w:sz w:val="20"/>
          <w:szCs w:val="20"/>
          <w:color w:val="auto"/>
        </w:rPr>
      </w:pPr>
    </w:p>
    <w:p>
      <w:pPr>
        <w:ind w:right="240" w:firstLine="509"/>
        <w:spacing w:after="0" w:line="292"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 As of September 30, 2021, $6.0 million of the total research extension fees of $24.0 million had been received, $8.0 million had been recorded as accounts receivable and the remaining $10.0 million was determined to be conditional upon the satisfaction of additional research obligations, and thus a contract asset. The contract asset balance is presented net of the deferred revenue contract liability.</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43"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5"/>
              </w:rPr>
              <w:t>Fair Market Value Measurements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0"/>
              </w:rPr>
              <w:t>as of September 30, 2021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93,387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51,647</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253,232</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253,232</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U.S. government agency bonds</w:t>
            </w:r>
          </w:p>
        </w:tc>
        <w:tc>
          <w:tcPr>
            <w:tcW w:w="1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93,387</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350,478</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443,865</w:t>
            </w: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62"/>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-539115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-521970</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-539115</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-521970</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-539115</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-521970</wp:posOffset>
            </wp:positionV>
            <wp:extent cx="1200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-539115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-521970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5"/>
              </w:rPr>
              <w:t>Fair Market Value Measurements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2"/>
              </w:rPr>
              <w:t>as of December 31, 2020</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12,698</w:t>
            </w: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131,939</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131,939</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r>
      <w:tr>
        <w:trPr>
          <w:trHeight w:val="29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12,698</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169,114</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181,812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111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nine months ended September 30, 2021.</w:t>
      </w:r>
    </w:p>
    <w:p>
      <w:pPr>
        <w:spacing w:after="0" w:line="343"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5" w:lineRule="exact"/>
        <w:rPr>
          <w:sz w:val="20"/>
          <w:szCs w:val="20"/>
          <w:color w:val="auto"/>
        </w:rPr>
      </w:pPr>
    </w:p>
    <w:p>
      <w:pPr>
        <w:ind w:right="240" w:firstLine="509"/>
        <w:spacing w:after="0" w:line="303"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9"/>
          </w:tcPr>
          <w:p>
            <w:pPr>
              <w:ind w:left="800"/>
              <w:spacing w:after="0"/>
              <w:rPr>
                <w:sz w:val="20"/>
                <w:szCs w:val="20"/>
                <w:color w:val="auto"/>
              </w:rPr>
            </w:pPr>
            <w:r>
              <w:rPr>
                <w:rFonts w:ascii="Arial" w:cs="Arial" w:eastAsia="Arial" w:hAnsi="Arial"/>
                <w:sz w:val="14"/>
                <w:szCs w:val="14"/>
                <w:b w:val="1"/>
                <w:bCs w:val="1"/>
                <w:color w:val="auto"/>
                <w:w w:val="94"/>
              </w:rPr>
              <w:t>Fair Value Measurements as of September 30, 2021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6"/>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ind w:left="8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253,232</w:t>
            </w:r>
          </w:p>
        </w:tc>
        <w:tc>
          <w:tcPr>
            <w:tcW w:w="110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253,232</w:t>
            </w:r>
          </w:p>
        </w:tc>
        <w:tc>
          <w:tcPr>
            <w:tcW w:w="80" w:type="dxa"/>
            <w:vAlign w:val="bottom"/>
          </w:tcPr>
          <w:p>
            <w:pPr>
              <w:spacing w:after="0"/>
              <w:rPr>
                <w:sz w:val="21"/>
                <w:szCs w:val="21"/>
                <w:color w:val="auto"/>
              </w:rPr>
            </w:pPr>
          </w:p>
        </w:tc>
      </w:tr>
      <w:tr>
        <w:trPr>
          <w:trHeight w:val="257"/>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45,609</w:t>
            </w:r>
          </w:p>
        </w:tc>
        <w:tc>
          <w:tcPr>
            <w:tcW w:w="220" w:type="dxa"/>
            <w:vAlign w:val="bottom"/>
            <w:tcBorders>
              <w:right w:val="single" w:sz="8" w:color="CFF0FC"/>
            </w:tcBorders>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45,599</w:t>
            </w:r>
          </w:p>
        </w:tc>
        <w:tc>
          <w:tcPr>
            <w:tcW w:w="80" w:type="dxa"/>
            <w:vAlign w:val="bottom"/>
            <w:shd w:val="clear" w:color="auto" w:fill="CFF0FC"/>
          </w:tcPr>
          <w:p>
            <w:pPr>
              <w:spacing w:after="0"/>
              <w:rPr>
                <w:sz w:val="22"/>
                <w:szCs w:val="22"/>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298,841</w:t>
            </w:r>
          </w:p>
        </w:tc>
        <w:tc>
          <w:tcPr>
            <w:tcW w:w="220" w:type="dxa"/>
            <w:vAlign w:val="bottom"/>
          </w:tcPr>
          <w:p>
            <w:pPr>
              <w:spacing w:after="0"/>
              <w:rPr>
                <w:sz w:val="21"/>
                <w:szCs w:val="21"/>
                <w:color w:val="auto"/>
              </w:rPr>
            </w:pPr>
          </w:p>
        </w:tc>
        <w:tc>
          <w:tcPr>
            <w:tcW w:w="880" w:type="dxa"/>
            <w:vAlign w:val="bottom"/>
          </w:tcPr>
          <w:p>
            <w:pPr>
              <w:jc w:val="right"/>
              <w:ind w:right="70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(25 )</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298,831</w:t>
            </w:r>
          </w:p>
        </w:tc>
        <w:tc>
          <w:tcPr>
            <w:tcW w:w="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ind w:left="800"/>
              <w:spacing w:after="0"/>
              <w:rPr>
                <w:sz w:val="20"/>
                <w:szCs w:val="20"/>
                <w:color w:val="auto"/>
              </w:rPr>
            </w:pPr>
            <w:r>
              <w:rPr>
                <w:rFonts w:ascii="Arial" w:cs="Arial" w:eastAsia="Arial" w:hAnsi="Arial"/>
                <w:sz w:val="14"/>
                <w:szCs w:val="14"/>
                <w:b w:val="1"/>
                <w:bCs w:val="1"/>
                <w:color w:val="auto"/>
                <w:w w:val="96"/>
              </w:rPr>
              <w:t>Fair Value Measurements as of December 31, 2020</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9"/>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left="8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5"/>
                <w:szCs w:val="15"/>
                <w:color w:val="auto"/>
              </w:rPr>
            </w:pPr>
          </w:p>
        </w:tc>
        <w:tc>
          <w:tcPr>
            <w:tcW w:w="880" w:type="dxa"/>
            <w:vAlign w:val="bottom"/>
          </w:tcPr>
          <w:p>
            <w:pPr>
              <w:jc w:val="center"/>
              <w:ind w:left="66"/>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860" w:type="dxa"/>
            <w:vAlign w:val="bottom"/>
          </w:tcPr>
          <w:p>
            <w:pPr>
              <w:jc w:val="center"/>
              <w:ind w:right="197"/>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ind w:left="8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131,927</w:t>
            </w:r>
          </w:p>
        </w:tc>
        <w:tc>
          <w:tcPr>
            <w:tcW w:w="1100" w:type="dxa"/>
            <w:vAlign w:val="bottom"/>
            <w:gridSpan w:val="2"/>
          </w:tcPr>
          <w:p>
            <w:pPr>
              <w:jc w:val="right"/>
              <w:ind w:right="74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131,939</w:t>
            </w:r>
          </w:p>
        </w:tc>
        <w:tc>
          <w:tcPr>
            <w:tcW w:w="8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29,995</w:t>
            </w:r>
          </w:p>
        </w:tc>
        <w:tc>
          <w:tcPr>
            <w:tcW w:w="220" w:type="dxa"/>
            <w:vAlign w:val="bottom"/>
            <w:tcBorders>
              <w:bottom w:val="single" w:sz="8" w:color="CFF0FC"/>
              <w:right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right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161,922</w:t>
            </w:r>
          </w:p>
        </w:tc>
        <w:tc>
          <w:tcPr>
            <w:tcW w:w="1100" w:type="dxa"/>
            <w:vAlign w:val="bottom"/>
            <w:gridSpan w:val="2"/>
          </w:tcPr>
          <w:p>
            <w:pPr>
              <w:jc w:val="right"/>
              <w:ind w:right="74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161,939</w:t>
            </w:r>
          </w:p>
        </w:tc>
        <w:tc>
          <w:tcPr>
            <w:tcW w:w="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-1676400</wp:posOffset>
            </wp:positionV>
            <wp:extent cx="13716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-1676400</wp:posOffset>
            </wp:positionV>
            <wp:extent cx="1371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-1676400</wp:posOffset>
            </wp:positionV>
            <wp:extent cx="13716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-1676400</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-193675</wp:posOffset>
            </wp:positionV>
            <wp:extent cx="13716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wp:posOffset>
            </wp:positionV>
            <wp:extent cx="1200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wp:posOffset>
            </wp:positionV>
            <wp:extent cx="1200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90"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 Company holds investment grade marketable securities, with less than $0.1 million of U.S. government agency bonds considered to be in an unrealized loss position as of September 30, 2021 and none considered to be in an unrealized loss position as of December 31, 2020. Although the U.S. government agency bonds are held at an unrealized loss position at September 30, 2021,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$0.1 million in accrued interest at September 30, 2021 and December 31, 2020.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8" w:name="page19"/>
    <w:bookmarkEnd w:id="18"/>
    <w:p>
      <w:pPr>
        <w:ind w:left="520" w:right="7560" w:hanging="512"/>
        <w:spacing w:after="0" w:line="416" w:lineRule="auto"/>
        <w:tabs>
          <w:tab w:leader="none" w:pos="45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Supplemental Balance Sheet Information </w:t>
      </w:r>
      <w:r>
        <w:rPr>
          <w:rFonts w:ascii="Arial" w:cs="Arial" w:eastAsia="Arial" w:hAnsi="Arial"/>
          <w:sz w:val="17"/>
          <w:szCs w:val="17"/>
          <w:b w:val="1"/>
          <w:bCs w:val="1"/>
          <w:i w:val="1"/>
          <w:iCs w:val="1"/>
          <w:color w:val="auto"/>
        </w:rPr>
        <w:t>Property and Equipment</w:t>
      </w:r>
    </w:p>
    <w:p>
      <w:pPr>
        <w:spacing w:after="0" w:line="1"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net as of September 30, 2021 and December 31, 2020 consists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5,567</w:t>
            </w:r>
          </w:p>
        </w:tc>
        <w:tc>
          <w:tcPr>
            <w:tcW w:w="20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4,580</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9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2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(2,318 )</w:t>
            </w: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(1,684 )</w:t>
            </w:r>
          </w:p>
        </w:tc>
      </w:tr>
      <w:tr>
        <w:trPr>
          <w:trHeight w:val="290"/>
        </w:trPr>
        <w:tc>
          <w:tcPr>
            <w:tcW w:w="4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137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Depreciation expense was $0.2 million for each of the three months ended September 30, 2021 and 2020 and $0.6 million and $0.5 million for the nine months ended September 30, 2021 and 2020,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September 30, 2021 and December 31, 2020 include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r>
      <w:tr>
        <w:trPr>
          <w:trHeight w:val="192"/>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employee-related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2,556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8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88"/>
              </w:rPr>
              <w:t>6,347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w:t>
            </w:r>
          </w:p>
        </w:tc>
        <w:tc>
          <w:tcPr>
            <w:tcW w:w="80" w:type="dxa"/>
            <w:vAlign w:val="bottom"/>
          </w:tcPr>
          <w:p>
            <w:pPr>
              <w:spacing w:after="0"/>
              <w:rPr>
                <w:sz w:val="21"/>
                <w:szCs w:val="21"/>
                <w:color w:val="auto"/>
              </w:rPr>
            </w:pPr>
          </w:p>
        </w:tc>
      </w:tr>
      <w:tr>
        <w:trPr>
          <w:trHeight w:val="257"/>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1,075</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760"/>
              <w:spacing w:after="0"/>
              <w:rPr>
                <w:sz w:val="20"/>
                <w:szCs w:val="20"/>
                <w:color w:val="auto"/>
              </w:rPr>
            </w:pPr>
            <w:r>
              <w:rPr>
                <w:rFonts w:ascii="Arial" w:cs="Arial" w:eastAsia="Arial" w:hAnsi="Arial"/>
                <w:sz w:val="18"/>
                <w:szCs w:val="18"/>
                <w:color w:val="auto"/>
                <w:w w:val="88"/>
              </w:rPr>
              <w:t>9,978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6,140</w:t>
            </w:r>
          </w:p>
        </w:tc>
        <w:tc>
          <w:tcPr>
            <w:tcW w:w="8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-193675</wp:posOffset>
            </wp:positionV>
            <wp:extent cx="12001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As of both September 30, 2021 and September 30, 2020, the Company maintained a restricted cash balance of $2.3 million,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r>
      <w:tr>
        <w:trPr>
          <w:trHeight w:val="25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204,974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105,714</w:t>
            </w:r>
          </w:p>
        </w:tc>
        <w:tc>
          <w:tcPr>
            <w:tcW w:w="80" w:type="dxa"/>
            <w:vAlign w:val="bottom"/>
            <w:shd w:val="clear" w:color="auto" w:fill="CFF0FC"/>
          </w:tcPr>
          <w:p>
            <w:pPr>
              <w:spacing w:after="0"/>
              <w:rPr>
                <w:sz w:val="22"/>
                <w:szCs w:val="22"/>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21"/>
                <w:szCs w:val="21"/>
                <w:color w:val="auto"/>
              </w:rPr>
            </w:pPr>
          </w:p>
        </w:tc>
      </w:tr>
      <w:tr>
        <w:trPr>
          <w:trHeight w:val="29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207,253</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107,993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1111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53" w:lineRule="exact"/>
        <w:rPr>
          <w:sz w:val="20"/>
          <w:szCs w:val="20"/>
          <w:color w:val="auto"/>
        </w:rPr>
      </w:pPr>
    </w:p>
    <w:p>
      <w:pPr>
        <w:ind w:left="520" w:right="8180" w:hanging="512"/>
        <w:spacing w:after="0" w:line="393" w:lineRule="auto"/>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Guarantees</w:t>
      </w:r>
    </w:p>
    <w:p>
      <w:pPr>
        <w:spacing w:after="0" w:line="1" w:lineRule="exact"/>
        <w:rPr>
          <w:sz w:val="20"/>
          <w:szCs w:val="20"/>
          <w:color w:val="auto"/>
        </w:rPr>
      </w:pPr>
    </w:p>
    <w:p>
      <w:pPr>
        <w:ind w:right="120" w:firstLine="509"/>
        <w:spacing w:after="0" w:line="288" w:lineRule="auto"/>
        <w:rPr>
          <w:sz w:val="20"/>
          <w:szCs w:val="20"/>
          <w:color w:val="auto"/>
        </w:rPr>
      </w:pPr>
      <w:r>
        <w:rPr>
          <w:rFonts w:ascii="Arial" w:cs="Arial" w:eastAsia="Arial" w:hAnsi="Arial"/>
          <w:sz w:val="17"/>
          <w:szCs w:val="17"/>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131"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September 30, 2021,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11"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35" w:lineRule="exact"/>
        <w:rPr>
          <w:sz w:val="20"/>
          <w:szCs w:val="20"/>
          <w:color w:val="auto"/>
        </w:rPr>
      </w:pPr>
    </w:p>
    <w:p>
      <w:pPr>
        <w:ind w:right="360" w:firstLine="509"/>
        <w:spacing w:after="0" w:line="329" w:lineRule="auto"/>
        <w:rPr>
          <w:sz w:val="20"/>
          <w:szCs w:val="20"/>
          <w:color w:val="auto"/>
        </w:rPr>
      </w:pPr>
      <w:r>
        <w:rPr>
          <w:rFonts w:ascii="Arial" w:cs="Arial" w:eastAsia="Arial" w:hAnsi="Arial"/>
          <w:sz w:val="16"/>
          <w:szCs w:val="16"/>
          <w:color w:val="auto"/>
        </w:rPr>
        <w:t>In March 2017, Old Tango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48"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Pursuant to the initial closing of the Series A stock purchase agreement, Old Tango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Old Tango issued 26,000,000 additional shares of Series A preferred stock at a price of $1.00 per share upon the achievement of specified development milestones in connection with the second tranche of the Series A stock purchase agreement. Total proceeds from this issuance were $26.0 million. In January 2019, Old Tango issued 11,000,000 additional shares of Series A preferred stock at a price of $1.00 per share upon the achievement of specified development milestones in connection with the third tranche of the Series A stock purchase agreement. Total proceeds from this issuance were $11.0 million. The aggregate issuance costs associated with the issuance of all three tranches of Series A preferred stock was less than $0.1 million.</w:t>
      </w:r>
    </w:p>
    <w:p>
      <w:pPr>
        <w:spacing w:after="0" w:line="18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In April 2020, Old Tango executed a stock purchase agreement to sell shares of redeemable convertible series B preferred stock (“Series B”). The Series B stock purchase agreement allows for the issuance of up to 45,372,051 shares. In April 2020, Old Tango issued 22,686,025 shares of Series B at a price of $1.32 per share. Proceeds from this issuance totaled $29.8 million, net of $0.2 million in issuance costs. In March 2021, Old Tango sold 22,686,025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176" w:lineRule="exact"/>
        <w:rPr>
          <w:sz w:val="20"/>
          <w:szCs w:val="20"/>
          <w:color w:val="auto"/>
        </w:rPr>
      </w:pPr>
    </w:p>
    <w:p>
      <w:pPr>
        <w:jc w:val="both"/>
        <w:ind w:right="120" w:firstLine="509"/>
        <w:spacing w:after="0" w:line="303" w:lineRule="auto"/>
        <w:rPr>
          <w:sz w:val="20"/>
          <w:szCs w:val="20"/>
          <w:color w:val="auto"/>
        </w:rPr>
      </w:pPr>
      <w:r>
        <w:rPr>
          <w:rFonts w:ascii="Arial" w:cs="Arial" w:eastAsia="Arial" w:hAnsi="Arial"/>
          <w:sz w:val="17"/>
          <w:szCs w:val="17"/>
          <w:color w:val="auto"/>
        </w:rPr>
        <w:t>In August 2020, Old Tango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Conversion of Redeemable Convertible Preferred Stock</w:t>
      </w:r>
    </w:p>
    <w:p>
      <w:pPr>
        <w:spacing w:after="0" w:line="239"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as discussed further in Note 1 and Note 3.</w:t>
      </w:r>
    </w:p>
    <w:p>
      <w:pPr>
        <w:spacing w:after="0" w:line="289"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31" w:lineRule="exact"/>
        <w:rPr>
          <w:sz w:val="20"/>
          <w:szCs w:val="20"/>
          <w:color w:val="auto"/>
        </w:rPr>
      </w:pPr>
    </w:p>
    <w:p>
      <w:pPr>
        <w:jc w:val="both"/>
        <w:ind w:right="460" w:firstLine="509"/>
        <w:spacing w:after="0" w:line="279" w:lineRule="auto"/>
        <w:rPr>
          <w:sz w:val="20"/>
          <w:szCs w:val="20"/>
          <w:color w:val="auto"/>
        </w:rPr>
      </w:pPr>
      <w:r>
        <w:rPr>
          <w:rFonts w:ascii="Arial" w:cs="Arial" w:eastAsia="Arial" w:hAnsi="Arial"/>
          <w:sz w:val="18"/>
          <w:szCs w:val="18"/>
          <w:color w:val="auto"/>
        </w:rPr>
        <w:t>In March 2017, Old Tango's stockholders approved the 2017 Stock Option and Grant Plan, pursuant to which Old Tango issued stock options, restricted stock awards (“RSAs”), unrestricted stock awards, restricted stock units, or any combination of the forgoing to eligible employees, officers, directors, consultants, or other key persons who provide services to the Company.</w:t>
      </w:r>
    </w:p>
    <w:p>
      <w:pPr>
        <w:spacing w:after="0" w:line="7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2021 Stock Option and Incentive Plan (the “2021 Plan”) became effective upon the closing of the Business Combination and replaced the 2017 Stock Option and Grant Plan. The 2021 Plan allows the Company to make equity and equity-based incentive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ind w:right="120"/>
        <w:spacing w:after="0" w:line="293" w:lineRule="auto"/>
        <w:rPr>
          <w:sz w:val="20"/>
          <w:szCs w:val="20"/>
          <w:color w:val="auto"/>
        </w:rPr>
      </w:pPr>
      <w:r>
        <w:rPr>
          <w:rFonts w:ascii="Arial" w:cs="Arial" w:eastAsia="Arial" w:hAnsi="Arial"/>
          <w:sz w:val="18"/>
          <w:szCs w:val="18"/>
          <w:color w:val="auto"/>
        </w:rPr>
        <w:t>awards to officers, employees, non-employee directors and consultants. As of September 30, 2021, the Company had 6,908,373 shares available for future issuance.</w:t>
      </w:r>
    </w:p>
    <w:p>
      <w:pPr>
        <w:spacing w:after="0" w:line="62"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The Company recorded stock-based compensation expense in the following expense categories in its accompanying condensed consolidated statements of operations:</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2,558</w:t>
            </w:r>
          </w:p>
        </w:tc>
        <w:tc>
          <w:tcPr>
            <w:tcW w:w="118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w w:val="86"/>
              </w:rPr>
              <w:t>233</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185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21"/>
                <w:szCs w:val="21"/>
                <w:color w:val="auto"/>
              </w:rPr>
            </w:pPr>
          </w:p>
        </w:tc>
      </w:tr>
      <w:tr>
        <w:trPr>
          <w:trHeight w:val="297"/>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3,430</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6"/>
              </w:rPr>
              <w:t>418</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200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39" w:lineRule="exact"/>
        <w:rPr>
          <w:sz w:val="20"/>
          <w:szCs w:val="20"/>
          <w:color w:val="auto"/>
        </w:rPr>
      </w:pPr>
    </w:p>
    <w:p>
      <w:pPr>
        <w:jc w:val="both"/>
        <w:ind w:right="40" w:firstLine="509"/>
        <w:spacing w:after="0" w:line="329" w:lineRule="auto"/>
        <w:rPr>
          <w:sz w:val="20"/>
          <w:szCs w:val="20"/>
          <w:color w:val="auto"/>
        </w:rPr>
      </w:pPr>
      <w:r>
        <w:rPr>
          <w:rFonts w:ascii="Arial" w:cs="Arial" w:eastAsia="Arial" w:hAnsi="Arial"/>
          <w:sz w:val="16"/>
          <w:szCs w:val="16"/>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1 and Note 3.</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2021:</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5"/>
                <w:szCs w:val="15"/>
                <w:color w:val="auto"/>
              </w:rPr>
            </w:pPr>
          </w:p>
        </w:tc>
      </w:tr>
      <w:tr>
        <w:trPr>
          <w:trHeight w:val="175"/>
        </w:trPr>
        <w:tc>
          <w:tcPr>
            <w:tcW w:w="4240" w:type="dxa"/>
            <w:vAlign w:val="bottom"/>
          </w:tcPr>
          <w:p>
            <w:pPr>
              <w:spacing w:after="0"/>
              <w:rPr>
                <w:sz w:val="15"/>
                <w:szCs w:val="15"/>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5"/>
                <w:szCs w:val="15"/>
                <w:color w:val="auto"/>
              </w:rPr>
            </w:pPr>
          </w:p>
        </w:tc>
      </w:tr>
      <w:tr>
        <w:trPr>
          <w:trHeight w:val="192"/>
        </w:trPr>
        <w:tc>
          <w:tcPr>
            <w:tcW w:w="4240" w:type="dxa"/>
            <w:vAlign w:val="bottom"/>
          </w:tcPr>
          <w:p>
            <w:pPr>
              <w:spacing w:after="0"/>
              <w:rPr>
                <w:sz w:val="16"/>
                <w:szCs w:val="16"/>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 years)</w:t>
            </w:r>
          </w:p>
        </w:tc>
        <w:tc>
          <w:tcPr>
            <w:tcW w:w="2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4,094,544</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1.88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6,625,511</w:t>
            </w:r>
          </w:p>
        </w:tc>
        <w:tc>
          <w:tcPr>
            <w:tcW w:w="80" w:type="dxa"/>
            <w:vAlign w:val="bottom"/>
            <w:shd w:val="clear" w:color="auto" w:fill="CFF0FC"/>
          </w:tcPr>
          <w:p>
            <w:pPr>
              <w:spacing w:after="0"/>
              <w:rPr>
                <w:sz w:val="22"/>
                <w:szCs w:val="22"/>
                <w:color w:val="auto"/>
              </w:rPr>
            </w:pPr>
          </w:p>
        </w:tc>
      </w:tr>
      <w:tr>
        <w:trPr>
          <w:trHeight w:val="250"/>
        </w:trPr>
        <w:tc>
          <w:tcPr>
            <w:tcW w:w="4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5,564,341</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6.92</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(584,561 )</w:t>
            </w:r>
          </w:p>
        </w:tc>
        <w:tc>
          <w:tcPr>
            <w:tcW w:w="90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1.64</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2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(247,427 )</w:t>
            </w: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3.37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Options outstanding as of September 30, 2021</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8,826,897</w:t>
            </w:r>
          </w:p>
        </w:tc>
        <w:tc>
          <w:tcPr>
            <w:tcW w:w="260" w:type="dxa"/>
            <w:vAlign w:val="bottom"/>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5.03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69,725,604</w:t>
            </w:r>
          </w:p>
        </w:tc>
        <w:tc>
          <w:tcPr>
            <w:tcW w:w="80" w:type="dxa"/>
            <w:vAlign w:val="bottom"/>
            <w:shd w:val="clear" w:color="auto" w:fill="CFF0FC"/>
          </w:tcPr>
          <w:p>
            <w:pPr>
              <w:spacing w:after="0"/>
              <w:rPr>
                <w:sz w:val="22"/>
                <w:szCs w:val="22"/>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exercisable as of September 30, 2021</w:t>
            </w:r>
          </w:p>
        </w:tc>
        <w:tc>
          <w:tcPr>
            <w:tcW w:w="1300" w:type="dxa"/>
            <w:vAlign w:val="bottom"/>
          </w:tcPr>
          <w:p>
            <w:pPr>
              <w:jc w:val="right"/>
              <w:spacing w:after="0"/>
              <w:rPr>
                <w:sz w:val="20"/>
                <w:szCs w:val="20"/>
                <w:color w:val="auto"/>
              </w:rPr>
            </w:pPr>
            <w:r>
              <w:rPr>
                <w:rFonts w:ascii="Arial" w:cs="Arial" w:eastAsia="Arial" w:hAnsi="Arial"/>
                <w:sz w:val="18"/>
                <w:szCs w:val="18"/>
                <w:color w:val="auto"/>
              </w:rPr>
              <w:t>1,843,814</w:t>
            </w:r>
          </w:p>
        </w:tc>
        <w:tc>
          <w:tcPr>
            <w:tcW w:w="260" w:type="dxa"/>
            <w:vAlign w:val="bottom"/>
          </w:tcPr>
          <w:p>
            <w:pPr>
              <w:spacing w:after="0"/>
              <w:rPr>
                <w:sz w:val="21"/>
                <w:szCs w:val="21"/>
                <w:color w:val="auto"/>
              </w:rPr>
            </w:pPr>
          </w:p>
        </w:tc>
        <w:tc>
          <w:tcPr>
            <w:tcW w:w="900" w:type="dxa"/>
            <w:vAlign w:val="bottom"/>
          </w:tcPr>
          <w:p>
            <w:pPr>
              <w:jc w:val="right"/>
              <w:ind w:right="74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2.56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19,120,394</w:t>
            </w:r>
          </w:p>
        </w:tc>
        <w:tc>
          <w:tcPr>
            <w:tcW w:w="80" w:type="dxa"/>
            <w:vAlign w:val="bottom"/>
          </w:tcPr>
          <w:p>
            <w:pPr>
              <w:spacing w:after="0"/>
              <w:rPr>
                <w:sz w:val="21"/>
                <w:szCs w:val="21"/>
                <w:color w:val="auto"/>
              </w:rPr>
            </w:pPr>
          </w:p>
        </w:tc>
      </w:tr>
    </w:tbl>
    <w:p>
      <w:pPr>
        <w:spacing w:after="0" w:line="283"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As of September 30, 2021, total unrecognized compensation expense related to stock options was $26.4 million, which the Company expects to recognize over a remaining weighted-average period of 3.1 years.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3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During the nine months ended September 30, 2021, 256,385 RSAs vested. Stock-based compensation expense attributable to RSAs during the nine months ended September 30, 2021 totaled $0.5 million.</w:t>
      </w:r>
    </w:p>
    <w:p>
      <w:pPr>
        <w:spacing w:after="0" w:line="274"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Three Months Ended September 30,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(in thousands, except per share data)</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(19,590 )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(26,802 )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(36,189 )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(43,108 )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loss attributable to common stockholders –</w:t>
            </w:r>
          </w:p>
        </w:tc>
        <w:tc>
          <w:tcPr>
            <w:tcW w:w="220" w:type="dxa"/>
            <w:vAlign w:val="bottom"/>
            <w:shd w:val="clear" w:color="auto" w:fill="CFF0FC"/>
          </w:tcPr>
          <w:p>
            <w:pPr>
              <w:spacing w:after="0"/>
              <w:rPr>
                <w:sz w:val="21"/>
                <w:szCs w:val="21"/>
                <w:color w:val="auto"/>
              </w:rPr>
            </w:pP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(19,590 )</w:t>
            </w:r>
          </w:p>
        </w:tc>
        <w:tc>
          <w:tcPr>
            <w:tcW w:w="200" w:type="dxa"/>
            <w:vAlign w:val="bottom"/>
            <w:shd w:val="clear" w:color="auto" w:fill="CFF0FC"/>
          </w:tcPr>
          <w:p>
            <w:pPr>
              <w:spacing w:after="0"/>
              <w:rPr>
                <w:sz w:val="21"/>
                <w:szCs w:val="21"/>
                <w:color w:val="auto"/>
              </w:rPr>
            </w:pP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(26,802 )</w:t>
            </w:r>
          </w:p>
        </w:tc>
        <w:tc>
          <w:tcPr>
            <w:tcW w:w="240" w:type="dxa"/>
            <w:vAlign w:val="bottom"/>
            <w:shd w:val="clear" w:color="auto" w:fill="CFF0FC"/>
          </w:tcPr>
          <w:p>
            <w:pPr>
              <w:spacing w:after="0"/>
              <w:rPr>
                <w:sz w:val="21"/>
                <w:szCs w:val="21"/>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(36,189 )</w:t>
            </w:r>
          </w:p>
        </w:tc>
        <w:tc>
          <w:tcPr>
            <w:tcW w:w="300" w:type="dxa"/>
            <w:vAlign w:val="bottom"/>
            <w:shd w:val="clear" w:color="auto" w:fill="CFF0FC"/>
          </w:tcPr>
          <w:p>
            <w:pPr>
              <w:spacing w:after="0"/>
              <w:rPr>
                <w:sz w:val="21"/>
                <w:szCs w:val="21"/>
                <w:color w:val="auto"/>
              </w:rPr>
            </w:pPr>
          </w:p>
        </w:tc>
        <w:tc>
          <w:tcPr>
            <w:tcW w:w="1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(43,108 )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Weighted-average common stock outstanding</w:t>
            </w:r>
          </w:p>
        </w:tc>
        <w:tc>
          <w:tcPr>
            <w:tcW w:w="220" w:type="dxa"/>
            <w:vAlign w:val="bottom"/>
            <w:shd w:val="clear" w:color="auto" w:fill="CFF0FC"/>
          </w:tcPr>
          <w:p>
            <w:pPr>
              <w:spacing w:after="0"/>
              <w:rPr>
                <w:sz w:val="21"/>
                <w:szCs w:val="21"/>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70,160,663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35,069,988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53,397,557</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29,176,082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 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(0.28 )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(0.76 )</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(0.68 )</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(1.48 )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stockholders – basic and diluted</w:t>
            </w:r>
          </w:p>
        </w:tc>
        <w:tc>
          <w:tcPr>
            <w:tcW w:w="2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-1299210</wp:posOffset>
            </wp:positionV>
            <wp:extent cx="13716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-1299210</wp:posOffset>
            </wp:positionV>
            <wp:extent cx="13716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-1299210</wp:posOffset>
            </wp:positionV>
            <wp:extent cx="12890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-1299210</wp:posOffset>
            </wp:positionV>
            <wp:extent cx="6032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-828040</wp:posOffset>
            </wp:positionV>
            <wp:extent cx="13716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-828040</wp:posOffset>
            </wp:positionV>
            <wp:extent cx="1371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-828040</wp:posOffset>
            </wp:positionV>
            <wp:extent cx="12890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-828040</wp:posOffset>
            </wp:positionV>
            <wp:extent cx="6032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80" w:firstLine="509"/>
        <w:spacing w:after="0" w:line="314" w:lineRule="auto"/>
        <w:rPr>
          <w:sz w:val="20"/>
          <w:szCs w:val="20"/>
          <w:color w:val="auto"/>
        </w:rPr>
      </w:pPr>
      <w:r>
        <w:rPr>
          <w:rFonts w:ascii="Arial" w:cs="Arial" w:eastAsia="Arial" w:hAnsi="Arial"/>
          <w:sz w:val="16"/>
          <w:szCs w:val="16"/>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4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8,826,897</w:t>
            </w:r>
          </w:p>
        </w:tc>
        <w:tc>
          <w:tcPr>
            <w:tcW w:w="2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3,379,915</w:t>
            </w:r>
          </w:p>
        </w:tc>
        <w:tc>
          <w:tcPr>
            <w:tcW w:w="80" w:type="dxa"/>
            <w:vAlign w:val="bottom"/>
            <w:shd w:val="clear" w:color="auto" w:fill="CFF0FC"/>
          </w:tcPr>
          <w:p>
            <w:pPr>
              <w:spacing w:after="0"/>
              <w:rPr>
                <w:sz w:val="22"/>
                <w:szCs w:val="22"/>
                <w:color w:val="auto"/>
              </w:rPr>
            </w:pPr>
          </w:p>
        </w:tc>
      </w:tr>
      <w:tr>
        <w:trPr>
          <w:trHeight w:val="250"/>
        </w:trPr>
        <w:tc>
          <w:tcPr>
            <w:tcW w:w="446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599,276</w:t>
            </w:r>
          </w:p>
        </w:tc>
        <w:tc>
          <w:tcPr>
            <w:tcW w:w="80" w:type="dxa"/>
            <w:vAlign w:val="bottom"/>
          </w:tcPr>
          <w:p>
            <w:pPr>
              <w:spacing w:after="0"/>
              <w:rPr>
                <w:sz w:val="21"/>
                <w:szCs w:val="21"/>
                <w:color w:val="auto"/>
              </w:rPr>
            </w:pPr>
          </w:p>
        </w:tc>
      </w:tr>
      <w:tr>
        <w:trPr>
          <w:trHeight w:val="250"/>
        </w:trPr>
        <w:tc>
          <w:tcPr>
            <w:tcW w:w="4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8,827,110</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3,979,191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-5080</wp:posOffset>
            </wp:positionV>
            <wp:extent cx="12890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-5080</wp:posOffset>
            </wp:positionV>
            <wp:extent cx="431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Company’s effective income tax rate was 0.3% and 0.0% for the three months ended September 30, 2021 and 2020, respectively, and 0.7% and 0.0% for the nine months ended September 30, 2021 and 2020, respectively. The income tax provision was $62 thousand and $0 for the three months ended September 30, 2021 and 2020, respectively, and $115 thousand and $0 for the nine months ended September 30, 2021 and 2020, respectively. The change in the provision for income taxes for the three and nine months ended September 30, 2021, respectively, compared to the three and nine months ended September 30, 2020 was primarily due to taxable deferred revenue partially offset by the utilization of federal and state net operating losses and federal and state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03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9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effective income tax rate for the three and nine months ended September 30, 2021 and 2020 differed from the federal statutory rate primarily due to the valuation allowance maintained against the Company’s deferred tax assets.</w:t>
      </w:r>
    </w:p>
    <w:p>
      <w:pPr>
        <w:spacing w:after="0" w:line="58"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100 Binney Street Lease Modification</w:t>
      </w:r>
    </w:p>
    <w:p>
      <w:pPr>
        <w:spacing w:after="0" w:line="239"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In November 2021, the Company entered into a lease termination agreement for the Company's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for which the earlier date shall be no later than October 15, 2022.</w:t>
      </w:r>
    </w:p>
    <w:p>
      <w:pPr>
        <w:spacing w:after="0" w:line="18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Company estimates that the execution of the lease termination agreement will result in material reductions to the associated lease liability and right-of-use asset balances in the fourth quarter of 2021. The Company also expects to reduce the useful life assigned to leasehold improvements associated with the Binney Street lease, resulting in an increase to depreciation expense recognized over the remaining term of the modified lease. The restricted cash balance will be reduced by $0.6 million on the last day of the modified lease term, at which time the related security deposit will be returned to the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20" w:firstLine="495"/>
        <w:spacing w:after="0" w:line="27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with our audited consolidated financial statements and related notes for the year ended December 31, 2020 included in the Prospectus as filed with the SEC pursuant to Rule 424(b)(3) on October 8, 2021, or the Prospectus.</w:t>
      </w:r>
    </w:p>
    <w:p>
      <w:pPr>
        <w:spacing w:after="0" w:line="77" w:lineRule="exact"/>
        <w:rPr>
          <w:sz w:val="20"/>
          <w:szCs w:val="20"/>
          <w:color w:val="auto"/>
        </w:rPr>
      </w:pPr>
    </w:p>
    <w:p>
      <w:pPr>
        <w:ind w:right="200" w:firstLine="509"/>
        <w:spacing w:after="0" w:line="303" w:lineRule="auto"/>
        <w:rPr>
          <w:sz w:val="20"/>
          <w:szCs w:val="20"/>
          <w:color w:val="auto"/>
        </w:rPr>
      </w:pPr>
      <w:r>
        <w:rPr>
          <w:rFonts w:ascii="Arial" w:cs="Arial" w:eastAsia="Arial" w:hAnsi="Arial"/>
          <w:sz w:val="17"/>
          <w:szCs w:val="17"/>
          <w:i w:val="1"/>
          <w:iCs w:val="1"/>
          <w:color w:val="auto"/>
        </w:rPr>
        <w:t>Unless otherwise indicated, references in this Management’s Discussion and Analysis of Financial Condition and Results of Operations section to “Tango,” “we,” “us,” “our” and other similar terms refer to Old Tango (as defined below) and its subsidiary prior to the closing of the business combination with BCTG Acquisition Corp. and to Tango and its consolidated subsidiaries after giving effect to the Business Combination.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6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 xml:space="preserve">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We plan to file an Investigational New Drug, or IND, application for TNG908 in the fourth quarter of 2021 and initiate a Phase 1/2 clinical trial in the first half of 2022. We are also developing a ubiquitin-specific protease 1, or USP1, inhibitor that is synthetic lethal with BRCA1 mutations, which are present in approximately 15% of ovarian cancers, 5% of breast cancers, and 1% of prostate cancers.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data for USP1 demonstrated potent anti-tumor activity. We plan to file an IND in 2022 and expect this molecule to have both single agent activity in PARPi-naïve and PARPi-resistant BRCA1 mutant cancers and to synergize with PARP inhibitors. Our Target 3 program, an undisclosed synthetic lethal target, reverses the immune evasion effect of serine-threonine kinase 11 (STK11) loss-of-function mutations, which are present in approximately 20% of non-small cell lung cancers. In combination with a PD-1 inhibitor, Target 3 sustained strong regressions in animal models. We plan to file an IND for this program in 2023.</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w:t>
      </w:r>
    </w:p>
    <w:p>
      <w:pPr>
        <w:spacing w:after="0" w:line="135"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On April 13, 2021, the Company, BCTG Merger Sub Inc., a Delaware corporation, and Tango Therapeutics, Inc. (now known as Tango Therapeutics Sub, Inc.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unaudited condensed consolidated financial statements included elsewhere in this Quarterly Report on Form 10-Q.</w:t>
      </w:r>
    </w:p>
    <w:p>
      <w:pPr>
        <w:spacing w:after="0" w:line="19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We received gross proceeds of $167.1 million upon the closing of the Business Combination. Simultaneous with the closing of the Business Combination, the PIPE Investors purchased an aggregate of 18,610,000 shares of our common stock at a price of $10.00 per share, which resulted in gross proceeds of an additional $186.1 million upon the closing of the PIPE Financing. Total transaction costs and redemptions approximated $26.7 million, resulting in total net proceeds of $326.5 million.</w:t>
      </w:r>
    </w:p>
    <w:p>
      <w:pPr>
        <w:spacing w:after="0" w:line="18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effective time of the Business Combination, each option to purchase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Old Tango common stock became an option to purchase shares of New Tango common stock, subject to adjustment in accordance with the exchange ratio.</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4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or Gilead. Since inception, we have raised an aggregate of approximately $166.9 million of gross proceeds from the sale of our preferred shares, approximately $342.1 million in gross proceeds through the closing of the Business Combination and PIPE Financing transactions (as described below) and another $210.1 million through our collaboration with Gilead.</w:t>
      </w:r>
    </w:p>
    <w:p>
      <w:pPr>
        <w:spacing w:after="0" w:line="19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We believe that our existing cash, cash equivalents and marketable securities on hand as of September 30, 2021 of $503.8 million will enable us to fund our operating expenses and capital expenditure requirements at least into the second half of 2024. Since inception, we have incurred significant operating losses. For the nine months ended September 30, 2021 and 2020, our net losses were $36.2 million and $43.1 million, respectively. We had an accumulated deficit of $139.3 million and $103.1 million as of September 30, 2021 and December 31, 2020, respectively.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78"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3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83"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w:t>
      </w:r>
    </w:p>
    <w:p>
      <w:pPr>
        <w:spacing w:after="0" w:line="185"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right="540"/>
        <w:spacing w:after="0" w:line="359" w:lineRule="auto"/>
        <w:rPr>
          <w:sz w:val="20"/>
          <w:szCs w:val="20"/>
          <w:color w:val="auto"/>
        </w:rPr>
      </w:pPr>
      <w:r>
        <w:rPr>
          <w:rFonts w:ascii="Arial" w:cs="Arial" w:eastAsia="Arial" w:hAnsi="Arial"/>
          <w:sz w:val="16"/>
          <w:szCs w:val="16"/>
          <w:color w:val="auto"/>
        </w:rPr>
        <w:t>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2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December 2020 and September 2021, Gilead elected to extend two programs for research extension fees totaling $24.0 million, which was added to our estimate of the transaction price to total $199.0 million. A total of $18.0 million of fees related to the research extensions have not been received as of September 30, 2021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9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83"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As of September 30, 2021, $44.6 million has been recognized as collaboration revenue related to the upfront and research extension payments from the Gilead Agreement.</w:t>
      </w:r>
    </w:p>
    <w:p>
      <w:pPr>
        <w:spacing w:after="0" w:line="170"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During the three and nine months ended September 30, 2021, the Company recognized $6.8 million and $20.3 million, respectively, of revenue associated with the Gilead Agreement based on performance completed during each period. During the three and nine months ended September 30, 2020, the Company recognized a reduction in revenue in the amounts of $11.3 million and $2.2 million, respectively, driven by a cumulative catch-up adjustment that was recorded during the third quarter in connection with the execution of the Gilead Agreement in August 2020.</w:t>
      </w:r>
    </w:p>
    <w:p>
      <w:pPr>
        <w:spacing w:after="0" w:line="170" w:lineRule="exact"/>
        <w:rPr>
          <w:sz w:val="20"/>
          <w:szCs w:val="20"/>
          <w:color w:val="auto"/>
        </w:rPr>
      </w:pPr>
    </w:p>
    <w:p>
      <w:pPr>
        <w:ind w:right="320" w:firstLine="509"/>
        <w:spacing w:after="0" w:line="329" w:lineRule="auto"/>
        <w:rPr>
          <w:sz w:val="20"/>
          <w:szCs w:val="20"/>
          <w:color w:val="auto"/>
        </w:rPr>
      </w:pPr>
      <w:r>
        <w:rPr>
          <w:rFonts w:ascii="Arial" w:cs="Arial" w:eastAsia="Arial" w:hAnsi="Arial"/>
          <w:sz w:val="16"/>
          <w:szCs w:val="16"/>
          <w:color w:val="auto"/>
        </w:rPr>
        <w:t>Refer to Note 4 to our unaudited condensed consolidated financial statements and related notes appearing elsewhere in this Quarterly Report on Form 10-Q and our audited consolidated financial statements and related notes for the year ended December 31, 2020 included in the Company’s Prospectus, for additional information regarding our revenue recognition accounting policy and our collaboration agreement with Gilead.</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related to manufacturing material for our preclinical studies;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laboratory supplies and research materials;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to fulfill our obligations under the collaboration with Gilead;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related to compliance with regulatory requirements;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250"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3" w:lineRule="exact"/>
        <w:rPr>
          <w:sz w:val="20"/>
          <w:szCs w:val="20"/>
          <w:color w:val="auto"/>
        </w:rPr>
      </w:pPr>
    </w:p>
    <w:p>
      <w:pPr>
        <w:jc w:val="both"/>
        <w:ind w:right="400" w:firstLine="509"/>
        <w:spacing w:after="0" w:line="329"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8"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5" w:name="page26"/>
    <w:bookmarkEnd w:id="25"/>
    <w:p>
      <w:pPr>
        <w:ind w:right="180"/>
        <w:spacing w:after="0" w:line="279" w:lineRule="auto"/>
        <w:rPr>
          <w:sz w:val="20"/>
          <w:szCs w:val="20"/>
          <w:color w:val="auto"/>
        </w:rPr>
      </w:pPr>
      <w:r>
        <w:rPr>
          <w:rFonts w:ascii="Arial" w:cs="Arial" w:eastAsia="Arial" w:hAnsi="Arial"/>
          <w:sz w:val="18"/>
          <w:szCs w:val="18"/>
          <w:color w:val="auto"/>
        </w:rPr>
        <w:t>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98" w:lineRule="exact"/>
        <w:rPr>
          <w:sz w:val="20"/>
          <w:szCs w:val="20"/>
          <w:color w:val="auto"/>
        </w:rPr>
      </w:pPr>
    </w:p>
    <w:tbl>
      <w:tblPr>
        <w:tblLayout w:type="fixed"/>
        <w:tblInd w:w="102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4"/>
              </w:rPr>
              <w:t>Nine Months Ended September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660" w:type="dxa"/>
            <w:vAlign w:val="bottom"/>
            <w:gridSpan w:val="4"/>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TNG908 direct program expenses</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FF0FC"/>
          </w:tcPr>
          <w:p>
            <w:pPr>
              <w:ind w:left="44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USP1 direct program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Discovery direct program expenses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19,118</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 related expenses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Facilities and other related expenses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21,923</w:t>
            </w:r>
          </w:p>
        </w:tc>
        <w:tc>
          <w:tcPr>
            <w:tcW w:w="120" w:type="dxa"/>
            <w:vAlign w:val="bottom"/>
            <w:vMerge w:val="restart"/>
            <w:shd w:val="clear" w:color="auto" w:fill="CFF0FC"/>
          </w:tcPr>
          <w:p>
            <w:pPr>
              <w:spacing w:after="0"/>
              <w:rPr>
                <w:sz w:val="21"/>
                <w:szCs w:val="2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12,977</w:t>
            </w:r>
          </w:p>
        </w:tc>
        <w:tc>
          <w:tcPr>
            <w:tcW w:w="80" w:type="dxa"/>
            <w:vAlign w:val="bottom"/>
            <w:vMerge w:val="restart"/>
            <w:shd w:val="clear" w:color="auto" w:fill="CFF0FC"/>
          </w:tcPr>
          <w:p>
            <w:pPr>
              <w:spacing w:after="0"/>
              <w:rPr>
                <w:sz w:val="21"/>
                <w:szCs w:val="2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56,002</w:t>
            </w:r>
          </w:p>
        </w:tc>
        <w:tc>
          <w:tcPr>
            <w:tcW w:w="100" w:type="dxa"/>
            <w:vAlign w:val="bottom"/>
            <w:vMerge w:val="restart"/>
            <w:shd w:val="clear" w:color="auto" w:fill="CFF0FC"/>
          </w:tcPr>
          <w:p>
            <w:pPr>
              <w:spacing w:after="0"/>
              <w:rPr>
                <w:sz w:val="21"/>
                <w:szCs w:val="2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34,928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500" w:type="dxa"/>
            <w:vAlign w:val="bottom"/>
            <w:tcBorders>
              <w:bottom w:val="single" w:sz="8" w:color="CFF0FC"/>
            </w:tcBorders>
            <w:shd w:val="clear" w:color="auto" w:fill="CFF0FC"/>
          </w:tcPr>
          <w:p>
            <w:pPr>
              <w:ind w:left="440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vMerge w:val="continue"/>
            <w:shd w:val="clear" w:color="auto" w:fill="CFF0FC"/>
          </w:tcPr>
          <w:p>
            <w:pPr>
              <w:spacing w:after="0"/>
              <w:rPr>
                <w:sz w:val="24"/>
                <w:szCs w:val="24"/>
                <w:color w:val="auto"/>
              </w:rPr>
            </w:pPr>
          </w:p>
        </w:tc>
        <w:tc>
          <w:tcPr>
            <w:tcW w:w="120" w:type="dxa"/>
            <w:vAlign w:val="bottom"/>
            <w:tcBorders>
              <w:bottom w:val="single" w:sz="8" w:color="CFF0FC"/>
            </w:tcBorders>
            <w:vMerge w:val="continue"/>
            <w:shd w:val="clear" w:color="auto" w:fill="CFF0FC"/>
          </w:tcPr>
          <w:p>
            <w:pPr>
              <w:spacing w:after="0"/>
              <w:rPr>
                <w:sz w:val="24"/>
                <w:szCs w:val="24"/>
                <w:color w:val="auto"/>
              </w:rPr>
            </w:pPr>
          </w:p>
        </w:tc>
        <w:tc>
          <w:tcPr>
            <w:tcW w:w="120" w:type="dxa"/>
            <w:vAlign w:val="bottom"/>
            <w:tcBorders>
              <w:bottom w:val="single" w:sz="8" w:color="auto"/>
            </w:tcBorders>
            <w:vMerge w:val="continue"/>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vMerge w:val="continue"/>
            <w:shd w:val="clear" w:color="auto" w:fill="CFF0FC"/>
          </w:tcPr>
          <w:p>
            <w:pPr>
              <w:spacing w:after="0"/>
              <w:rPr>
                <w:sz w:val="24"/>
                <w:szCs w:val="24"/>
                <w:color w:val="auto"/>
              </w:rPr>
            </w:pPr>
          </w:p>
        </w:tc>
        <w:tc>
          <w:tcPr>
            <w:tcW w:w="80" w:type="dxa"/>
            <w:vAlign w:val="bottom"/>
            <w:tcBorders>
              <w:bottom w:val="single" w:sz="8" w:color="CFF0FC"/>
            </w:tcBorders>
            <w:vMerge w:val="continue"/>
            <w:shd w:val="clear" w:color="auto" w:fill="CFF0FC"/>
          </w:tcPr>
          <w:p>
            <w:pPr>
              <w:spacing w:after="0"/>
              <w:rPr>
                <w:sz w:val="24"/>
                <w:szCs w:val="24"/>
                <w:color w:val="auto"/>
              </w:rPr>
            </w:pPr>
          </w:p>
        </w:tc>
        <w:tc>
          <w:tcPr>
            <w:tcW w:w="120" w:type="dxa"/>
            <w:vAlign w:val="bottom"/>
            <w:tcBorders>
              <w:bottom w:val="single" w:sz="8" w:color="auto"/>
            </w:tcBorders>
            <w:vMerge w:val="continue"/>
            <w:shd w:val="clear" w:color="auto" w:fill="CFF0FC"/>
          </w:tcPr>
          <w:p>
            <w:pPr>
              <w:spacing w:after="0"/>
              <w:rPr>
                <w:sz w:val="24"/>
                <w:szCs w:val="24"/>
                <w:color w:val="auto"/>
              </w:rPr>
            </w:pPr>
          </w:p>
        </w:tc>
        <w:tc>
          <w:tcPr>
            <w:tcW w:w="92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vMerge w:val="continue"/>
            <w:shd w:val="clear" w:color="auto" w:fill="CFF0FC"/>
          </w:tcPr>
          <w:p>
            <w:pPr>
              <w:spacing w:after="0"/>
              <w:rPr>
                <w:sz w:val="24"/>
                <w:szCs w:val="24"/>
                <w:color w:val="auto"/>
              </w:rPr>
            </w:pPr>
          </w:p>
        </w:tc>
        <w:tc>
          <w:tcPr>
            <w:tcW w:w="120" w:type="dxa"/>
            <w:vAlign w:val="bottom"/>
            <w:tcBorders>
              <w:bottom w:val="single" w:sz="8" w:color="auto"/>
            </w:tcBorders>
            <w:vMerge w:val="continue"/>
            <w:shd w:val="clear" w:color="auto" w:fill="CFF0FC"/>
          </w:tcPr>
          <w:p>
            <w:pPr>
              <w:spacing w:after="0"/>
              <w:rPr>
                <w:sz w:val="24"/>
                <w:szCs w:val="24"/>
                <w:color w:val="auto"/>
              </w:rPr>
            </w:pPr>
          </w:p>
        </w:tc>
        <w:tc>
          <w:tcPr>
            <w:tcW w:w="940" w:type="dxa"/>
            <w:vAlign w:val="bottom"/>
            <w:tcBorders>
              <w:bottom w:val="single" w:sz="8" w:color="auto"/>
            </w:tcBorders>
            <w:vMerge w:val="continue"/>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59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57"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establishing an appropriate safety profile with IND enabling studies;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successful enrollment in and completion of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whether our product candidates show safety and efficacy in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receipt of marketing approvals from applicable regulatory authorities;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progress of our collaboration with Gilead;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continued acceptable safety profile and efficacy profile of products following any regulatory approval.</w:t>
      </w:r>
    </w:p>
    <w:p>
      <w:pPr>
        <w:spacing w:after="0" w:line="239"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48"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(Expense)</w:t>
      </w:r>
    </w:p>
    <w:p>
      <w:pPr>
        <w:spacing w:after="0" w:line="13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Interest income (expense) consists of income earned and losses incurred in connection with our investments in money market funds, U.S. Treasury bills and U.S. government agency bonds.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income, net consists of miscellaneous income and expense unrelated to our core operations.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31"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have recorded an insignificant provision for income taxes for the three and nine months ended September 30, 2021. There is no provision for income taxes for the three and nine months ended September 30, 2020 because we have historically incurred net operating losses and maintain a full valuation allowance against our deferred tax assets.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 September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(11,275 )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License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21,923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26,356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15,495</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(19,569 )</w:t>
            </w: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(26,756 )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 (expense)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(19,528 )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(26,802 )</w:t>
            </w:r>
          </w:p>
        </w:tc>
        <w:tc>
          <w:tcPr>
            <w:tcW w:w="1120" w:type="dxa"/>
            <w:vAlign w:val="bottom"/>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for income taxes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(62 )</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(19,590 )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(26,802 )</w:t>
            </w:r>
          </w:p>
        </w:tc>
        <w:tc>
          <w:tcPr>
            <w:tcW w:w="1120" w:type="dxa"/>
            <w:vAlign w:val="bottom"/>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4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(19,602 ) $</w:t>
            </w:r>
          </w:p>
        </w:tc>
        <w:tc>
          <w:tcPr>
            <w:tcW w:w="13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(26,787 ) $</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420" w:type="dxa"/>
            <w:vAlign w:val="bottom"/>
            <w:gridSpan w:val="3"/>
            <w:vMerge w:val="continue"/>
            <w:shd w:val="clear" w:color="auto" w:fill="CFF0FC"/>
          </w:tcPr>
          <w:p>
            <w:pPr>
              <w:spacing w:after="0"/>
              <w:rPr>
                <w:sz w:val="21"/>
                <w:szCs w:val="21"/>
                <w:color w:val="auto"/>
              </w:rPr>
            </w:pPr>
          </w:p>
        </w:tc>
        <w:tc>
          <w:tcPr>
            <w:tcW w:w="1380" w:type="dxa"/>
            <w:vAlign w:val="bottom"/>
            <w:gridSpan w:val="2"/>
            <w:vMerge w:val="continue"/>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-1830705</wp:posOffset>
            </wp:positionV>
            <wp:extent cx="768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-1830705</wp:posOffset>
            </wp:positionV>
            <wp:extent cx="15430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-1830705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-1496695</wp:posOffset>
            </wp:positionV>
            <wp:extent cx="7683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-1496695</wp:posOffset>
            </wp:positionV>
            <wp:extent cx="15430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-1496695</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-828040</wp:posOffset>
            </wp:positionV>
            <wp:extent cx="7683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-828040</wp:posOffset>
            </wp:positionV>
            <wp:extent cx="15430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-828040</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-493395</wp:posOffset>
            </wp:positionV>
            <wp:extent cx="7683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-493395</wp:posOffset>
            </wp:positionV>
            <wp:extent cx="15430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-493395</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-5080</wp:posOffset>
            </wp:positionV>
            <wp:extent cx="768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-5080</wp:posOffset>
            </wp:positionV>
            <wp:extent cx="15430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-5080</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8"/>
          <w:szCs w:val="18"/>
          <w:color w:val="auto"/>
        </w:rPr>
        <w:t>Collaboration revenue of $6.8 million and ($11.3) million for the three months ended September 30, 2021 and 2020, respectively, was derived from the Gilead collaboration. The increase of $18.1 million is primarily due the charge against revenue of $11.3 million for the three months ended September 30, 2020 driven by a cumulative catch-up adjustment to the revenue previously recognized from the Gilead collaboration due to a change to the transaction price resulting from the execution of the Gilead Agreement during the third quarter of 2020.</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131" w:lineRule="exact"/>
        <w:rPr>
          <w:sz w:val="20"/>
          <w:szCs w:val="20"/>
          <w:color w:val="auto"/>
        </w:rPr>
      </w:pPr>
    </w:p>
    <w:p>
      <w:pPr>
        <w:ind w:right="20" w:firstLine="509"/>
        <w:spacing w:after="0" w:line="324" w:lineRule="auto"/>
        <w:rPr>
          <w:sz w:val="20"/>
          <w:szCs w:val="20"/>
          <w:color w:val="auto"/>
        </w:rPr>
      </w:pPr>
      <w:r>
        <w:rPr>
          <w:rFonts w:ascii="Arial" w:cs="Arial" w:eastAsia="Arial" w:hAnsi="Arial"/>
          <w:sz w:val="17"/>
          <w:szCs w:val="17"/>
          <w:color w:val="auto"/>
        </w:rPr>
        <w:t>License revenue was $0 for the three months ended September 30, 2021 compared to an amount of less than $0.1 million for the three months ended September 30, 2020. License revenue was not significant for both the three months ended September 30, 2021 and 2020.</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Research and development expense was $21.9 million for the three months ended September 30, 2021 compared to $13.0 million for the three months ended September 30, 2020. The increase of $8.9 million was primarily due to a $4.9 million increase in external CRO expenses and lab supplies primarily relating to our lead product candidate, TNG908, and the advancement of our other drug discovery programs. Additionally, personnel-related costs increased $3.1 million primarily due to an increase of share-based compensation expense and additional headcount to support our research and development activities, as well as a $0.9 million increase in IT spend, consulting and professional fees.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General and administrative expense was $4.4 million for the three months ended September 30, 2021 compared to $2.5 million for the three months ended September 30, 2020. The increase of $1.9 million was primarily due to a $1.2 million increase in personnel-related costs due to an increase in share-based compensation expense and additional headcount.</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jc w:val="both"/>
        <w:ind w:right="120" w:firstLine="509"/>
        <w:spacing w:after="0" w:line="359" w:lineRule="auto"/>
        <w:rPr>
          <w:sz w:val="20"/>
          <w:szCs w:val="20"/>
          <w:color w:val="auto"/>
        </w:rPr>
      </w:pPr>
      <w:r>
        <w:rPr>
          <w:rFonts w:ascii="Arial" w:cs="Arial" w:eastAsia="Arial" w:hAnsi="Arial"/>
          <w:sz w:val="16"/>
          <w:szCs w:val="16"/>
          <w:color w:val="auto"/>
        </w:rPr>
        <w:t>Interest income was $0.1 million for the three months ended September 30, 2021 compared to interest expense of $0.1 million for the three months ended September 30, 2020. Interest income and expense was not significant for the three month periods primarily due to low interest rates in each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31" w:lineRule="exact"/>
        <w:rPr>
          <w:sz w:val="20"/>
          <w:szCs w:val="20"/>
          <w:color w:val="auto"/>
        </w:rPr>
      </w:pPr>
    </w:p>
    <w:p>
      <w:pPr>
        <w:ind w:right="120" w:firstLine="509"/>
        <w:spacing w:after="0" w:line="359" w:lineRule="auto"/>
        <w:rPr>
          <w:sz w:val="20"/>
          <w:szCs w:val="20"/>
          <w:color w:val="auto"/>
        </w:rPr>
      </w:pPr>
      <w:r>
        <w:rPr>
          <w:rFonts w:ascii="Arial" w:cs="Arial" w:eastAsia="Arial" w:hAnsi="Arial"/>
          <w:sz w:val="16"/>
          <w:szCs w:val="16"/>
          <w:color w:val="auto"/>
        </w:rPr>
        <w:t>Other expense, net was less than $0.1 million for the three months ended September 30, 2021 compared to other income, net of $0.1 million for the three months ended September 30, 2020. Other expense and income was not significant for both the three months ended September 30, 2021 and 2020.</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Provision for income taxes was $0.1 million for the three months ended September 30, 2021 compared to $0 for the three months ended September 30, 2020. The increase of $0.1 million is primarily attributable to taxable deferred revenue partially offset by the utilization of federal and state net operating losses and federal and state tax credits.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(2,169 )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License revenue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56,002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34,928</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w:t>
            </w: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67,532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41,777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(36,206 )</w:t>
            </w: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(43,263 )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(167 )</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net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(36,074 )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(43,108 )</w:t>
            </w:r>
          </w:p>
        </w:tc>
        <w:tc>
          <w:tcPr>
            <w:tcW w:w="1120" w:type="dxa"/>
            <w:vAlign w:val="bottom"/>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for income taxes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(115 )</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(36,189 )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(43,108 )</w:t>
            </w:r>
          </w:p>
        </w:tc>
        <w:tc>
          <w:tcPr>
            <w:tcW w:w="112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4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(36,216 ) $</w:t>
            </w:r>
          </w:p>
        </w:tc>
        <w:tc>
          <w:tcPr>
            <w:tcW w:w="13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(43,092 ) $</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420" w:type="dxa"/>
            <w:vAlign w:val="bottom"/>
            <w:gridSpan w:val="3"/>
            <w:vMerge w:val="continue"/>
            <w:shd w:val="clear" w:color="auto" w:fill="CFF0FC"/>
          </w:tcPr>
          <w:p>
            <w:pPr>
              <w:spacing w:after="0"/>
              <w:rPr>
                <w:sz w:val="21"/>
                <w:szCs w:val="21"/>
                <w:color w:val="auto"/>
              </w:rPr>
            </w:pPr>
          </w:p>
        </w:tc>
        <w:tc>
          <w:tcPr>
            <w:tcW w:w="1380" w:type="dxa"/>
            <w:vAlign w:val="bottom"/>
            <w:gridSpan w:val="2"/>
            <w:vMerge w:val="continue"/>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-1830705</wp:posOffset>
            </wp:positionV>
            <wp:extent cx="7683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-1830705</wp:posOffset>
            </wp:positionV>
            <wp:extent cx="15430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-1830705</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-1496695</wp:posOffset>
            </wp:positionV>
            <wp:extent cx="768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-1496695</wp:posOffset>
            </wp:positionV>
            <wp:extent cx="15430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-1496695</wp:posOffset>
            </wp:positionV>
            <wp:extent cx="685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-828040</wp:posOffset>
            </wp:positionV>
            <wp:extent cx="7683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-828040</wp:posOffset>
            </wp:positionV>
            <wp:extent cx="15430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-828040</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-493395</wp:posOffset>
            </wp:positionV>
            <wp:extent cx="7683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-493395</wp:posOffset>
            </wp:positionV>
            <wp:extent cx="15430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-493395</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-5080</wp:posOffset>
            </wp:positionV>
            <wp:extent cx="7683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-5080</wp:posOffset>
            </wp:positionV>
            <wp:extent cx="15430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-5080</wp:posOffset>
            </wp:positionV>
            <wp:extent cx="685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jc w:val="both"/>
        <w:ind w:right="100" w:firstLine="509"/>
        <w:spacing w:after="0" w:line="292" w:lineRule="auto"/>
        <w:rPr>
          <w:sz w:val="20"/>
          <w:szCs w:val="20"/>
          <w:color w:val="auto"/>
        </w:rPr>
      </w:pPr>
      <w:r>
        <w:rPr>
          <w:rFonts w:ascii="Arial" w:cs="Arial" w:eastAsia="Arial" w:hAnsi="Arial"/>
          <w:sz w:val="17"/>
          <w:szCs w:val="17"/>
          <w:color w:val="auto"/>
        </w:rPr>
        <w:t>Collaboration revenue of $20.3 million and $(2.2) million for the nine months ended September 30, 2021 and 2020, respectively, was derived from the Gilead collaboration. The increase of $22.5 million is primarily due to an increase in the total transaction price allocated to the combined performance obligation related to the execution of the Gilead Agreement during the third quarter of 2020, which resulted in a cumulative catch-up adjustment to reduce a portion of the revenue previously recognized from the Gilead collaboration, as well as incremental costs incurred under the Gilead Agreement during the nine months ended September 30, 2021 as compared to the nine months ended September 30, 2020.</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131"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License revenue was $11.0 million for the nine months ended September 30, 2021 compared to $0.7 million for the nine months ended September 30, 2020. The increase of $10.3 million is primarily due to the incremental revenue recognized during the nine months ended September 30, 2021 from Gilead licensing a program for an $11.0 million fee as compared to residual 2019 Gilead Letter Agreement revenue of $0.7 million recognized during the nine months ended September 30, 2020.</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Research and development expense was $56.0 million for the nine months ended September 30, 2021 compared to $34.9 million for the nine months ended September 30, 2020. The increase of $21.1 million was primarily due to a $14.0 million increase in external CRO expenses and lab supplies primarily relating to our lead product candidate, TNG908, and the advancement of our other drug discovery programs. Additionally, personnel-related costs increased $5.4 million primarily due to an increase in share-based compensation expense and additional headcount to support our research and development activities, as well as a $1.7 million increase in IT spend, consulting and professional fees.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ind w:right="60" w:firstLine="509"/>
        <w:spacing w:after="0" w:line="303" w:lineRule="auto"/>
        <w:rPr>
          <w:sz w:val="20"/>
          <w:szCs w:val="20"/>
          <w:color w:val="auto"/>
        </w:rPr>
      </w:pPr>
      <w:r>
        <w:rPr>
          <w:rFonts w:ascii="Arial" w:cs="Arial" w:eastAsia="Arial" w:hAnsi="Arial"/>
          <w:sz w:val="17"/>
          <w:szCs w:val="17"/>
          <w:color w:val="auto"/>
        </w:rPr>
        <w:t>General and administrative expense was $11.5 million for the nine months ended September 30, 2021 compared to $6.8 million for the nine months ended September 30, 2020. The increase of $4.7 million was primarily due to a $2.8 million increase in personnel-related costs due to an increase in share-based compensation expense and additional headcount and a $1.2 million increase in consulting and professional fees.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jc w:val="both"/>
        <w:ind w:right="60" w:firstLine="509"/>
        <w:spacing w:after="0" w:line="293" w:lineRule="auto"/>
        <w:rPr>
          <w:sz w:val="20"/>
          <w:szCs w:val="20"/>
          <w:color w:val="auto"/>
        </w:rPr>
      </w:pPr>
      <w:r>
        <w:rPr>
          <w:rFonts w:ascii="Arial" w:cs="Arial" w:eastAsia="Arial" w:hAnsi="Arial"/>
          <w:sz w:val="18"/>
          <w:szCs w:val="18"/>
          <w:color w:val="auto"/>
        </w:rPr>
        <w:t>Interest income was $0.3 million for the nine months ended September 30, 2021 compared to $0.1 million for the nine months ended September 30, 2020. Interest income was not significant for the nine month periods primarily due to low interest rates in each period.</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31" w:lineRule="exact"/>
        <w:rPr>
          <w:sz w:val="20"/>
          <w:szCs w:val="20"/>
          <w:color w:val="auto"/>
        </w:rPr>
      </w:pPr>
    </w:p>
    <w:p>
      <w:pPr>
        <w:ind w:right="460" w:firstLine="509"/>
        <w:spacing w:after="0" w:line="359" w:lineRule="auto"/>
        <w:rPr>
          <w:sz w:val="20"/>
          <w:szCs w:val="20"/>
          <w:color w:val="auto"/>
        </w:rPr>
      </w:pPr>
      <w:r>
        <w:rPr>
          <w:rFonts w:ascii="Arial" w:cs="Arial" w:eastAsia="Arial" w:hAnsi="Arial"/>
          <w:sz w:val="16"/>
          <w:szCs w:val="16"/>
          <w:color w:val="auto"/>
        </w:rPr>
        <w:t>Other expense, net was $0.2 million for the nine months ended September 30, 2021 compared to other income, net of $0.1 million for the nine months ended September 30, 2020. Other expense and income was not significant for both the nine months ended September 30, 2021 and 2020.</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Provision for income taxes was $0.1 million for the nine months ended September 30, 2021 compared to $0 for the nine months ended September 30, 2020. The increase of less than $0.1 million is primarily attributable to taxable deferred revenue partially offset by the utilization of federal and state net operating losses and federal and state tax credits.</w:t>
      </w:r>
    </w:p>
    <w:p>
      <w:pPr>
        <w:spacing w:after="0" w:line="287" w:lineRule="exact"/>
        <w:rPr>
          <w:sz w:val="20"/>
          <w:szCs w:val="20"/>
          <w:color w:val="auto"/>
        </w:rPr>
      </w:pPr>
    </w:p>
    <w:p>
      <w:pPr>
        <w:jc w:val="center"/>
        <w:ind w:right="8720"/>
        <w:spacing w:after="0"/>
        <w:rPr>
          <w:sz w:val="20"/>
          <w:szCs w:val="20"/>
          <w:color w:val="auto"/>
        </w:rPr>
      </w:pPr>
      <w:r>
        <w:rPr>
          <w:rFonts w:ascii="Arial" w:cs="Arial" w:eastAsia="Arial" w:hAnsi="Arial"/>
          <w:sz w:val="16"/>
          <w:szCs w:val="16"/>
          <w:b w:val="1"/>
          <w:bCs w:val="1"/>
          <w:color w:val="auto"/>
        </w:rPr>
        <w:t>Liquidity and Capital Resources</w:t>
      </w:r>
    </w:p>
    <w:p>
      <w:pPr>
        <w:spacing w:after="0" w:line="158" w:lineRule="exact"/>
        <w:rPr>
          <w:sz w:val="20"/>
          <w:szCs w:val="20"/>
          <w:color w:val="auto"/>
        </w:rPr>
      </w:pPr>
    </w:p>
    <w:p>
      <w:pPr>
        <w:jc w:val="center"/>
        <w:ind w:right="87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$210.1 million through the collaboration and license agreement with Gilead. As of September 30, 2021, we had cash and cash equivalents and marketable securities of $503.8 million.</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We believe that our existing cash, cash equivalents and marketable securities on hand as of September 30, 2021 of $503.8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nine month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4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(in thousands)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2"/>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(42,625 )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(130,761 )</w:t>
            </w:r>
          </w:p>
        </w:tc>
      </w:tr>
      <w:tr>
        <w:trPr>
          <w:trHeight w:val="250"/>
        </w:trPr>
        <w:tc>
          <w:tcPr>
            <w:tcW w:w="4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(138,227 )</w:t>
            </w: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(86,256 )</w:t>
            </w:r>
          </w:p>
        </w:tc>
        <w:tc>
          <w:tcPr>
            <w:tcW w:w="1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(51,971 )</w:t>
            </w:r>
          </w:p>
        </w:tc>
      </w:tr>
      <w:tr>
        <w:trPr>
          <w:trHeight w:val="257"/>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357,445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80,945</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86"/>
        </w:trPr>
        <w:tc>
          <w:tcPr>
            <w:tcW w:w="4460" w:type="dxa"/>
            <w:vAlign w:val="bottom"/>
          </w:tcPr>
          <w:p>
            <w:pPr>
              <w:spacing w:after="0"/>
              <w:rPr>
                <w:sz w:val="20"/>
                <w:szCs w:val="20"/>
                <w:color w:val="auto"/>
              </w:rPr>
            </w:pPr>
            <w:r>
              <w:rPr>
                <w:rFonts w:ascii="Arial" w:cs="Arial" w:eastAsia="Arial" w:hAnsi="Arial"/>
                <w:sz w:val="18"/>
                <w:szCs w:val="18"/>
                <w:color w:val="auto"/>
                <w:w w:val="95"/>
              </w:rPr>
              <w:t>Net increase in cash, cash equivalents and restricted cash</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93,768</w:t>
            </w:r>
          </w:p>
        </w:tc>
        <w:tc>
          <w:tcPr>
            <w:tcW w:w="100" w:type="dxa"/>
            <w:vAlign w:val="bottom"/>
          </w:tcPr>
          <w:p>
            <w:pPr>
              <w:spacing w:after="0"/>
              <w:rPr>
                <w:sz w:val="24"/>
                <w:szCs w:val="24"/>
                <w:color w:val="auto"/>
              </w:rPr>
            </w:pPr>
          </w:p>
        </w:tc>
      </w:tr>
      <w:tr>
        <w:trPr>
          <w:trHeight w:val="20"/>
        </w:trPr>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-339090</wp:posOffset>
            </wp:positionV>
            <wp:extent cx="16256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-339090</wp:posOffset>
            </wp:positionV>
            <wp:extent cx="15430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-339090</wp:posOffset>
            </wp:positionV>
            <wp:extent cx="685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0" w:name="page31"/>
    <w:bookmarkEnd w:id="30"/>
    <w:p>
      <w:pPr>
        <w:ind w:right="140"/>
        <w:spacing w:after="0" w:line="293" w:lineRule="auto"/>
        <w:rPr>
          <w:sz w:val="20"/>
          <w:szCs w:val="20"/>
          <w:color w:val="auto"/>
        </w:rPr>
      </w:pPr>
      <w:r>
        <w:rPr>
          <w:rFonts w:ascii="Arial" w:cs="Arial" w:eastAsia="Arial" w:hAnsi="Arial"/>
          <w:sz w:val="18"/>
          <w:szCs w:val="18"/>
          <w:color w:val="auto"/>
        </w:rPr>
        <w:t>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70"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Net cash used in operating activities was $42.6 million for the nine months ended September 30, 2021 compared to net cash provided by operating activities of $88.1 million for the nine months ended September 30, 2020. The increase in net cash used in operating activities for the nine months ended September 30, 2021 was primarily driven by our net loss of $36.2 million for the period, along with a higher non-cash items, including an increase in accounts receivable of $6.0 million and a decrease in deferred revenue of $8.3 million, and a partial offset attributable to an increase in stock-based compensation expense of $5.6 million. The increase in net cash provided by operating activities for the nine months ended September 30, 2020 is primarily due to an upfront, non-refundable payment of $125.0 million from Gilead paid upon execution of the Gilead Agreement in the third quarter of 2020, partially offset by the net loss of $43.1 million during the period.</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Net cash used in investing activities was $138.3 million for the nine months ended September 30, 2021 compared to net cash used in investing activities of $86.3 million for the nine months ended September 30, 2020. The increase in cash used in investing activities was primarily due to increase in purchases of marketable securities partially offset by increased sales and maturities of marketable securities.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Net cash provided by financing activities was $357.4 million for the nine months ended September 30, 2021 compared to net cash provided by financing activities of $80.9 million for the nine months ended September 30, 2020. The increase net cash provided by financing activities for the nine months ended September 30, 2021 was primarily due to net proceeds of $326.5 million received upon the closing of the Business Combination and PIPE Financing in August 2021, as well as $30.0 million in proceeds related to the issuance of shares of redeemable convertible Series B preferred stock in March 2021. The increase in net cash provided by financing activities for the nine months ended September 30, 2020 was primarily due to net proceeds of $30.0 million related to the issuance of shares of redeemable convertible Series B preferred stock in April 2020 and net proceeds of $51.2 million related to the issuance of shares of redeemable convertible Series-B-1 preferred stock in August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following table summarizes our contractual obligations at September 30, 2021 and the effects that such obligations are expected to have on our liquidity and cash flows in future periods: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Payments Due by Period</w:t>
            </w: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b w:val="1"/>
                <w:bCs w:val="1"/>
                <w:color w:val="auto"/>
                <w:w w:val="94"/>
              </w:rPr>
              <w:t>Less than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More than</w:t>
            </w:r>
          </w:p>
        </w:tc>
        <w:tc>
          <w:tcPr>
            <w:tcW w:w="80" w:type="dxa"/>
            <w:vAlign w:val="bottom"/>
          </w:tcPr>
          <w:p>
            <w:pPr>
              <w:spacing w:after="0"/>
              <w:rPr>
                <w:sz w:val="15"/>
                <w:szCs w:val="15"/>
                <w:color w:val="auto"/>
              </w:rPr>
            </w:pPr>
          </w:p>
        </w:tc>
      </w:tr>
      <w:tr>
        <w:trPr>
          <w:trHeight w:val="192"/>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1 –3 Years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3 –5 Years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5 Years</w:t>
            </w:r>
          </w:p>
        </w:tc>
        <w:tc>
          <w:tcPr>
            <w:tcW w:w="80" w:type="dxa"/>
            <w:vAlign w:val="bottom"/>
          </w:tcPr>
          <w:p>
            <w:pPr>
              <w:spacing w:after="0"/>
              <w:rPr>
                <w:sz w:val="16"/>
                <w:szCs w:val="16"/>
                <w:color w:val="auto"/>
              </w:rPr>
            </w:pPr>
          </w:p>
        </w:tc>
      </w:tr>
      <w:tr>
        <w:trPr>
          <w:trHeight w:val="196"/>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commitments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9,424</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-176530</wp:posOffset>
            </wp:positionV>
            <wp:extent cx="12890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-176530</wp:posOffset>
            </wp:positionV>
            <wp:extent cx="12890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-176530</wp:posOffset>
            </wp:positionV>
            <wp:extent cx="12001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-176530</wp:posOffset>
            </wp:positionV>
            <wp:extent cx="11112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-176530</wp:posOffset>
            </wp:positionV>
            <wp:extent cx="5143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September 30, 2021. In November 2021, the Company entered into a lease termination agreement for the Company's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which earlier date shall be no later than October 15, 2022. See Note 13 of the unaudited condensed consolidated financial statements and related notes appearing elsewhere in this Quarterly Report on Form 10-Q for additional discussion of the impact resulting from the lease termination agreement that was executed as a subsequent event.</w:t>
      </w:r>
    </w:p>
    <w:p>
      <w:pPr>
        <w:spacing w:after="0" w:line="19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 table does not include the minimum payments due under our new operating lease for office and laboratory space at the 201 Brookline Avenue, Boston, Massachusetts as we have not occupied the premises and the lease payments in connection with this lease are yet to commence as of September 30, 2021. Commitments pertaining to the 201 Brookline Avenue lease will be added to the table above, and also recognized as operating lease liabilities on our balance sheet once the new lease payments commence. The fixed annual rent payable under the lease is $5.1 million, increasing by 3% annually from the rent commencement date. We will also be required to pay the remaining security deposit balance of $1.7 million for the 201 Brookline Avenue lease on the delivery date notice, which is expected to occur in the first half of 2022.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Purchase Obligations</w:t>
      </w:r>
    </w:p>
    <w:p>
      <w:pPr>
        <w:spacing w:after="0" w:line="131" w:lineRule="exact"/>
        <w:rPr>
          <w:sz w:val="20"/>
          <w:szCs w:val="20"/>
          <w:color w:val="auto"/>
        </w:rPr>
      </w:pPr>
    </w:p>
    <w:p>
      <w:pPr>
        <w:ind w:right="220" w:firstLine="509"/>
        <w:spacing w:after="0" w:line="329" w:lineRule="auto"/>
        <w:rPr>
          <w:sz w:val="20"/>
          <w:szCs w:val="20"/>
          <w:color w:val="auto"/>
        </w:rPr>
      </w:pPr>
      <w:r>
        <w:rPr>
          <w:rFonts w:ascii="Arial" w:cs="Arial" w:eastAsia="Arial" w:hAnsi="Arial"/>
          <w:sz w:val="16"/>
          <w:szCs w:val="16"/>
          <w:color w:val="auto"/>
        </w:rPr>
        <w:t>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September 30, 2021.</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Obligations</w:t>
      </w:r>
    </w:p>
    <w:p>
      <w:pPr>
        <w:spacing w:after="0" w:line="131"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September 30, 2021 and December 31, 2020, we were unable to estimate the timing or likelihood of achieving these milestones or generating future product sales. See Note 8 to our audited consolidated financial statements and related notes for the year ended December 31, 2020 included in the Prospectus.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2"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for the year ended December 31, 2020 included in the Company’s Prospectus, we believe that the following accounting policies are those most critical to the judgments and estimates used in the preparation of our financial statements.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right="140" w:firstLine="509"/>
        <w:spacing w:after="0" w:line="303"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7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400"/>
        <w:spacing w:after="0" w:line="293" w:lineRule="auto"/>
        <w:rPr>
          <w:sz w:val="20"/>
          <w:szCs w:val="20"/>
          <w:color w:val="auto"/>
        </w:rPr>
      </w:pPr>
      <w:r>
        <w:rPr>
          <w:rFonts w:ascii="Arial" w:cs="Arial" w:eastAsia="Arial" w:hAnsi="Arial"/>
          <w:sz w:val="18"/>
          <w:szCs w:val="18"/>
          <w:color w:val="auto"/>
        </w:rPr>
        <w:t>license payments. We evaluate the measure of progress each reporting period and, if necessary, adjust the measure of performance and related revenue recognition.</w:t>
      </w:r>
    </w:p>
    <w:p>
      <w:pPr>
        <w:spacing w:after="0" w:line="170"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8"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3"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5" w:lineRule="exact"/>
        <w:rPr>
          <w:sz w:val="20"/>
          <w:szCs w:val="20"/>
          <w:color w:val="auto"/>
        </w:rPr>
      </w:pPr>
    </w:p>
    <w:p>
      <w:pPr>
        <w:jc w:val="both"/>
        <w:ind w:right="120" w:firstLine="509"/>
        <w:spacing w:after="0" w:line="319"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6"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85" w:lineRule="exact"/>
        <w:rPr>
          <w:sz w:val="20"/>
          <w:szCs w:val="20"/>
          <w:color w:val="auto"/>
        </w:rPr>
      </w:pPr>
    </w:p>
    <w:p>
      <w:pPr>
        <w:ind w:right="180" w:firstLine="509"/>
        <w:spacing w:after="0" w:line="309"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31"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3" w:name="page34"/>
    <w:bookmarkEnd w:id="33"/>
    <w:p>
      <w:pPr>
        <w:ind w:firstLine="509"/>
        <w:spacing w:after="0" w:line="286"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Our board of directors determines the fair value of each share of common stock underlying stock-based awards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70"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83"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 xml:space="preserve">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200" w:lineRule="exact"/>
        <w:rPr>
          <w:sz w:val="20"/>
          <w:szCs w:val="20"/>
          <w:color w:val="auto"/>
        </w:rPr>
      </w:pPr>
    </w:p>
    <w:p>
      <w:pPr>
        <w:spacing w:after="0" w:line="209"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3"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different.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3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within the unaudited condensed consolidated financial statements and related notes appearing elsewhere in this Quarterly Report on Form 10-Q and also in Note 2 to our audited consolidated financial statements and related notes for the year ended December 31, 2020 included in the Company’s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55"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62"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provide reduced disclosure about our executive compensation arrangements;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may not require nonbinding advisory votes on executive compensation or stockholder approval of any golden parachute payments.</w:t>
      </w:r>
    </w:p>
    <w:p>
      <w:pPr>
        <w:spacing w:after="0" w:line="250"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We had cash, cash equivalents and marketable securities of $503.8 million and $190.3 million as of September 30,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31"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Effects of Inflation</w:t>
      </w:r>
    </w:p>
    <w:p>
      <w:pPr>
        <w:spacing w:after="0" w:line="13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September 30,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80" w:firstLine="8"/>
        <w:spacing w:after="0" w:line="292"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September 30, 2021 that materially affected, or were reasonably likely to materially affect, the Company’s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other information in this Quarterly Report on Form 10-Q,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the section titled “Note Regarding Forward-Looking Statements” above.</w:t>
      </w:r>
    </w:p>
    <w:p>
      <w:pPr>
        <w:spacing w:after="0" w:line="277" w:lineRule="exact"/>
        <w:rPr>
          <w:sz w:val="20"/>
          <w:szCs w:val="20"/>
          <w:color w:val="auto"/>
        </w:rPr>
      </w:pPr>
    </w:p>
    <w:p>
      <w:pPr>
        <w:ind w:right="3900"/>
        <w:spacing w:after="0" w:line="393" w:lineRule="auto"/>
        <w:rPr>
          <w:sz w:val="20"/>
          <w:szCs w:val="20"/>
          <w:color w:val="auto"/>
        </w:rPr>
      </w:pPr>
      <w:r>
        <w:rPr>
          <w:rFonts w:ascii="Arial" w:cs="Arial" w:eastAsia="Arial" w:hAnsi="Arial"/>
          <w:sz w:val="18"/>
          <w:szCs w:val="18"/>
          <w:b w:val="1"/>
          <w:bCs w:val="1"/>
          <w:color w:val="auto"/>
        </w:rPr>
        <w:t xml:space="preserve">Risks Related to Our Limited Operating History, Financial Position, and Capital Requirements </w:t>
      </w:r>
      <w:r>
        <w:rPr>
          <w:rFonts w:ascii="Arial" w:cs="Arial" w:eastAsia="Arial" w:hAnsi="Arial"/>
          <w:sz w:val="18"/>
          <w:szCs w:val="18"/>
          <w:b w:val="1"/>
          <w:bCs w:val="1"/>
          <w:i w:val="1"/>
          <w:iCs w:val="1"/>
          <w:color w:val="auto"/>
        </w:rPr>
        <w:t>We are a precision oncology company with a limited operating history.</w:t>
      </w:r>
    </w:p>
    <w:p>
      <w:pPr>
        <w:spacing w:after="0" w:line="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precision oncology programs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our inception and anticipate that we will continue to incur losses for the foreseeable future.</w:t>
      </w:r>
    </w:p>
    <w:p>
      <w:pPr>
        <w:spacing w:after="0" w:line="142" w:lineRule="exact"/>
        <w:rPr>
          <w:sz w:val="20"/>
          <w:szCs w:val="20"/>
          <w:color w:val="auto"/>
        </w:rPr>
      </w:pPr>
    </w:p>
    <w:p>
      <w:pPr>
        <w:ind w:right="220" w:firstLine="509"/>
        <w:spacing w:after="0" w:line="308" w:lineRule="auto"/>
        <w:rPr>
          <w:sz w:val="20"/>
          <w:szCs w:val="20"/>
          <w:color w:val="auto"/>
        </w:rPr>
      </w:pPr>
      <w:r>
        <w:rPr>
          <w:rFonts w:ascii="Arial" w:cs="Arial" w:eastAsia="Arial" w:hAnsi="Arial"/>
          <w:sz w:val="16"/>
          <w:szCs w:val="16"/>
          <w:color w:val="auto"/>
        </w:rPr>
        <w:t>We have incurred significant net losses since our inception. For the nine months ended September 30, 2021, our net loss was $36.2 million. As of September 30, 2021, we had an accumulated deficit of $139.3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55" w:lineRule="exact"/>
        <w:rPr>
          <w:sz w:val="20"/>
          <w:szCs w:val="20"/>
          <w:color w:val="auto"/>
        </w:rPr>
      </w:pPr>
    </w:p>
    <w:p>
      <w:pPr>
        <w:ind w:right="120" w:firstLine="554"/>
        <w:spacing w:after="0" w:line="275"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7" w:name="page38"/>
    <w:bookmarkEnd w:id="37"/>
    <w:p>
      <w:pPr>
        <w:ind w:left="1100" w:right="120"/>
        <w:spacing w:after="0" w:line="293" w:lineRule="auto"/>
        <w:rPr>
          <w:sz w:val="20"/>
          <w:szCs w:val="20"/>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62" w:lineRule="exact"/>
        <w:rPr>
          <w:sz w:val="20"/>
          <w:szCs w:val="20"/>
          <w:color w:val="auto"/>
        </w:rPr>
      </w:pPr>
    </w:p>
    <w:p>
      <w:pPr>
        <w:ind w:left="1100" w:right="260"/>
        <w:spacing w:after="0" w:line="293" w:lineRule="auto"/>
        <w:rPr>
          <w:sz w:val="20"/>
          <w:szCs w:val="20"/>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142" w:lineRule="exact"/>
        <w:rPr>
          <w:sz w:val="20"/>
          <w:szCs w:val="20"/>
          <w:color w:val="auto"/>
        </w:rPr>
      </w:pPr>
    </w:p>
    <w:p>
      <w:pPr>
        <w:ind w:left="1100" w:right="60"/>
        <w:spacing w:after="0" w:line="293" w:lineRule="auto"/>
        <w:rPr>
          <w:sz w:val="20"/>
          <w:szCs w:val="20"/>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62"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ability to attract, hire and retain qualified personnel;</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expenditures that we will or may incur to develop additional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131"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sz w:val="20"/>
          <w:szCs w:val="20"/>
          <w:color w:val="auto"/>
        </w:rPr>
      </w:pPr>
    </w:p>
    <w:p>
      <w:pPr>
        <w:ind w:left="1100" w:right="1440"/>
        <w:spacing w:after="0" w:line="418" w:lineRule="auto"/>
        <w:rPr>
          <w:sz w:val="20"/>
          <w:szCs w:val="20"/>
          <w:color w:val="auto"/>
        </w:rPr>
      </w:pPr>
      <w:r>
        <w:rPr>
          <w:rFonts w:ascii="Arial" w:cs="Arial" w:eastAsia="Arial" w:hAnsi="Arial"/>
          <w:sz w:val="18"/>
          <w:szCs w:val="18"/>
          <w:color w:val="auto"/>
        </w:rPr>
        <w:t>the changing and volatile U.S. and global economic environments, including as a result of the COVID-19 pandemic; and future accounting pronouncements or changes in our accounting policies.</w:t>
      </w:r>
    </w:p>
    <w:p>
      <w:pPr>
        <w:spacing w:after="0" w:line="6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31"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successfully complete our planned preclinical studies for our novel precision oncology development programs;</w:t>
      </w:r>
    </w:p>
    <w:p>
      <w:pPr>
        <w:spacing w:after="0" w:line="131" w:lineRule="exact"/>
        <w:rPr>
          <w:sz w:val="20"/>
          <w:szCs w:val="20"/>
          <w:color w:val="auto"/>
        </w:rPr>
      </w:pPr>
    </w:p>
    <w:p>
      <w:pPr>
        <w:ind w:left="1100" w:right="1080"/>
        <w:spacing w:after="0" w:line="293" w:lineRule="auto"/>
        <w:rPr>
          <w:sz w:val="20"/>
          <w:szCs w:val="20"/>
          <w:color w:val="auto"/>
        </w:rPr>
      </w:pPr>
      <w:r>
        <w:rPr>
          <w:rFonts w:ascii="Arial" w:cs="Arial" w:eastAsia="Arial" w:hAnsi="Arial"/>
          <w:sz w:val="18"/>
          <w:szCs w:val="18"/>
          <w:color w:val="auto"/>
        </w:rPr>
        <w:t>timely file and the acceptance of our IND for TNG908 and our other programs in order to commence our future clinical trials; successfully enroll subjects in, and complete, our planned clinical trials and future clinical trials;</w:t>
      </w:r>
    </w:p>
    <w:p>
      <w:pPr>
        <w:spacing w:after="0" w:line="62" w:lineRule="exact"/>
        <w:rPr>
          <w:sz w:val="20"/>
          <w:szCs w:val="20"/>
          <w:color w:val="auto"/>
        </w:rPr>
      </w:pPr>
    </w:p>
    <w:p>
      <w:pPr>
        <w:ind w:left="1100" w:right="380"/>
        <w:spacing w:after="0" w:line="293" w:lineRule="auto"/>
        <w:rPr>
          <w:sz w:val="20"/>
          <w:szCs w:val="20"/>
          <w:color w:val="auto"/>
        </w:rPr>
      </w:pPr>
      <w:r>
        <w:rPr>
          <w:rFonts w:ascii="Arial" w:cs="Arial" w:eastAsia="Arial" w:hAnsi="Arial"/>
          <w:sz w:val="18"/>
          <w:szCs w:val="18"/>
          <w:color w:val="auto"/>
        </w:rPr>
        <w:t>initiate and successfully complete all safety and efficacy studies required to obtain U.S. and foreign regulatory approval for our product candidates;</w:t>
      </w:r>
    </w:p>
    <w:p>
      <w:pPr>
        <w:spacing w:after="0" w:line="62" w:lineRule="exact"/>
        <w:rPr>
          <w:sz w:val="20"/>
          <w:szCs w:val="20"/>
          <w:color w:val="auto"/>
        </w:rPr>
      </w:pPr>
    </w:p>
    <w:p>
      <w:pPr>
        <w:ind w:left="1100" w:right="220"/>
        <w:spacing w:after="0" w:line="293" w:lineRule="auto"/>
        <w:rPr>
          <w:sz w:val="20"/>
          <w:szCs w:val="20"/>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obtain and maintain acceptance of our products, if and when approved, by patients, the medical community and third-party payors;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position our products to effectively compete with other therapies;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obtain and maintain healthcare coverage and adequate reimbursement;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ind w:left="1100"/>
        <w:spacing w:after="0"/>
        <w:rPr>
          <w:sz w:val="20"/>
          <w:szCs w:val="20"/>
          <w:color w:val="auto"/>
        </w:rPr>
      </w:pPr>
      <w:r>
        <w:rPr>
          <w:rFonts w:ascii="Arial" w:cs="Arial" w:eastAsia="Arial" w:hAnsi="Arial"/>
          <w:sz w:val="18"/>
          <w:szCs w:val="18"/>
          <w:color w:val="auto"/>
        </w:rPr>
        <w:t>enforce and defend intellectual property rights and claims;</w:t>
      </w:r>
    </w:p>
    <w:p>
      <w:pPr>
        <w:spacing w:after="0" w:line="131" w:lineRule="exact"/>
        <w:rPr>
          <w:sz w:val="20"/>
          <w:szCs w:val="20"/>
          <w:color w:val="auto"/>
        </w:rPr>
      </w:pPr>
    </w:p>
    <w:p>
      <w:pPr>
        <w:ind w:left="1100" w:right="80"/>
        <w:spacing w:after="0" w:line="293" w:lineRule="auto"/>
        <w:rPr>
          <w:sz w:val="20"/>
          <w:szCs w:val="20"/>
          <w:color w:val="auto"/>
        </w:rPr>
      </w:pPr>
      <w:r>
        <w:rPr>
          <w:rFonts w:ascii="Arial" w:cs="Arial" w:eastAsia="Arial" w:hAnsi="Arial"/>
          <w:sz w:val="18"/>
          <w:szCs w:val="18"/>
          <w:color w:val="auto"/>
        </w:rPr>
        <w:t>implement measures to help minimize the risk of COVID-19 to our employees as well as patients and subjects to be enrolled in our clinical trials; and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maintain a continued acceptable safety profile of our products following approval.</w:t>
      </w:r>
    </w:p>
    <w:p>
      <w:pPr>
        <w:spacing w:after="0" w:line="239"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sz w:val="20"/>
          <w:szCs w:val="20"/>
          <w:color w:val="auto"/>
        </w:rPr>
      </w:pPr>
    </w:p>
    <w:p>
      <w:pPr>
        <w:jc w:val="both"/>
        <w:ind w:right="80" w:firstLine="509"/>
        <w:spacing w:after="0" w:line="299" w:lineRule="auto"/>
        <w:rPr>
          <w:sz w:val="20"/>
          <w:szCs w:val="20"/>
          <w:color w:val="auto"/>
        </w:rPr>
      </w:pPr>
      <w:r>
        <w:rPr>
          <w:rFonts w:ascii="Arial" w:cs="Arial" w:eastAsia="Arial" w:hAnsi="Arial"/>
          <w:sz w:val="16"/>
          <w:szCs w:val="16"/>
          <w:color w:val="auto"/>
        </w:rPr>
        <w:t>The development of pharmaceutical products is capital-intensive. We are currently advancing our precision oncology programs through preclinical development. We plan to file an IND for TNG908 in the fourth quarter of 2021 and begin a Phase 1/2 clinical trial in the first half of 2022. We also plan to file an IND for our USP1 inhibitor program in 2022 and also file an IND for our undisclosed target for STK11-mutant cancers (Target 3) in 2023.</w:t>
      </w:r>
    </w:p>
    <w:p>
      <w:pPr>
        <w:spacing w:after="0" w:line="2"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Consequently,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34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75" w:lineRule="exact"/>
        <w:rPr>
          <w:sz w:val="20"/>
          <w:szCs w:val="20"/>
          <w:color w:val="auto"/>
        </w:rPr>
      </w:pPr>
    </w:p>
    <w:p>
      <w:pPr>
        <w:ind w:left="1100" w:right="780"/>
        <w:spacing w:after="0" w:line="293" w:lineRule="auto"/>
        <w:rPr>
          <w:sz w:val="20"/>
          <w:szCs w:val="20"/>
          <w:color w:val="auto"/>
        </w:rPr>
      </w:pPr>
      <w:r>
        <w:rPr>
          <w:rFonts w:ascii="Arial" w:cs="Arial" w:eastAsia="Arial" w:hAnsi="Arial"/>
          <w:sz w:val="18"/>
          <w:szCs w:val="18"/>
          <w:color w:val="auto"/>
        </w:rPr>
        <w:t>the scope, progress, results and costs of product discovery, preclinical and clinical development, and clinical trials for our product candidates;</w:t>
      </w:r>
    </w:p>
    <w:p>
      <w:pPr>
        <w:spacing w:after="0" w:line="62" w:lineRule="exact"/>
        <w:rPr>
          <w:sz w:val="20"/>
          <w:szCs w:val="20"/>
          <w:color w:val="auto"/>
        </w:rPr>
      </w:pPr>
    </w:p>
    <w:p>
      <w:pPr>
        <w:ind w:left="1100" w:right="220"/>
        <w:spacing w:after="0" w:line="293" w:lineRule="auto"/>
        <w:rPr>
          <w:sz w:val="20"/>
          <w:szCs w:val="20"/>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ability to establish and maintain additional collaborations on favorable terms, if at all;</w:t>
      </w:r>
    </w:p>
    <w:p>
      <w:pPr>
        <w:spacing w:after="0" w:line="131" w:lineRule="exact"/>
        <w:rPr>
          <w:sz w:val="20"/>
          <w:szCs w:val="20"/>
          <w:color w:val="auto"/>
        </w:rPr>
      </w:pPr>
    </w:p>
    <w:p>
      <w:pPr>
        <w:ind w:left="1100" w:right="260"/>
        <w:spacing w:after="0" w:line="293" w:lineRule="auto"/>
        <w:rPr>
          <w:sz w:val="20"/>
          <w:szCs w:val="20"/>
          <w:color w:val="auto"/>
        </w:rPr>
      </w:pPr>
      <w:r>
        <w:rPr>
          <w:rFonts w:ascii="Arial" w:cs="Arial" w:eastAsia="Arial" w:hAnsi="Arial"/>
          <w:sz w:val="18"/>
          <w:szCs w:val="18"/>
          <w:color w:val="auto"/>
        </w:rPr>
        <w:t>the achievement of milestones or occurrence of other developments that trigger payments under our existing collaboration agreements or any additional collaboration agreements we may establish;</w:t>
      </w:r>
    </w:p>
    <w:p>
      <w:pPr>
        <w:spacing w:after="0" w:line="62" w:lineRule="exact"/>
        <w:rPr>
          <w:sz w:val="20"/>
          <w:szCs w:val="20"/>
          <w:color w:val="auto"/>
        </w:rPr>
      </w:pPr>
    </w:p>
    <w:p>
      <w:pPr>
        <w:ind w:left="1100" w:right="20"/>
        <w:spacing w:after="0" w:line="293"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62" w:lineRule="exact"/>
        <w:rPr>
          <w:sz w:val="20"/>
          <w:szCs w:val="20"/>
          <w:color w:val="auto"/>
        </w:rPr>
      </w:pPr>
    </w:p>
    <w:p>
      <w:pPr>
        <w:ind w:left="1100" w:right="180"/>
        <w:spacing w:after="0" w:line="293" w:lineRule="auto"/>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extent to which we acquire or in-license other product candidates and technologies;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costs of securing manufacturing arrangements for clinical and commercial production;</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our ability to hire and retain skilled scientific and operational personnel to meet our development, clinical and commercial objectives;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costs related to the development of any companion diagnostics we may use in the future; and</w:t>
      </w:r>
    </w:p>
    <w:p>
      <w:pPr>
        <w:spacing w:after="0" w:line="131" w:lineRule="exact"/>
        <w:rPr>
          <w:sz w:val="20"/>
          <w:szCs w:val="20"/>
          <w:color w:val="auto"/>
        </w:rPr>
      </w:pPr>
    </w:p>
    <w:p>
      <w:pPr>
        <w:ind w:left="1100" w:right="700"/>
        <w:spacing w:after="0" w:line="293"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9" w:name="page40"/>
    <w:bookmarkEnd w:id="39"/>
    <w:p>
      <w:pPr>
        <w:ind w:right="80" w:firstLine="509"/>
        <w:spacing w:after="0" w:line="272"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9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8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93"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180" w:firstLine="509"/>
        <w:spacing w:after="0" w:line="285"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85"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62" w:lineRule="exact"/>
        <w:rPr>
          <w:sz w:val="20"/>
          <w:szCs w:val="20"/>
          <w:color w:val="auto"/>
        </w:rPr>
      </w:pPr>
    </w:p>
    <w:p>
      <w:pPr>
        <w:jc w:val="both"/>
        <w:ind w:right="260" w:firstLine="509"/>
        <w:spacing w:after="0" w:line="299" w:lineRule="auto"/>
        <w:rPr>
          <w:sz w:val="20"/>
          <w:szCs w:val="20"/>
          <w:color w:val="auto"/>
        </w:rPr>
      </w:pPr>
      <w:r>
        <w:rPr>
          <w:rFonts w:ascii="Arial" w:cs="Arial" w:eastAsia="Arial" w:hAnsi="Arial"/>
          <w:sz w:val="16"/>
          <w:szCs w:val="16"/>
          <w:color w:val="auto"/>
        </w:rPr>
        <w:t>We have not yet demonstrated our ability to successfully register,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development and may never advance to clinical development.</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plan to file an IND for TNG908 in the fourth quarter of 2021 and expect to begin a Phase 1/2 clinical trial in the first half of 2022. We also plan to file an IND our USP1 inhibitor program in 2022 and also file an IND for our undisclosed target for STK11-mutant cancers (Target 3) in 2023. We may not be able to file such IND or INDs for any of our other product candidates on the timelines we expect, if at all. Further, timelines for developing and filing INDs are subject to significant uncertainties and projected timelines can be improved upon or delayed. Moreover, we cannot be sure that submission of an IND will result in the U.S. Food and Drug Administration, or FDA, allowing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8"/>
          <w:szCs w:val="18"/>
          <w:color w:val="auto"/>
        </w:rPr>
        <w:t>in the imposition of stricter approval conditions than we currently expect. Successful completion of our clinical trials is a prerequisite to submitting a new drug application, or NDA to the FDA, a Marketing Authorization Application, or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Our lead development candidate, TNG908, is currently in IND-enabling studies. However, we do not know whether this will advance to future clinical trials, and if so, whether it or any of our future clinical trials will begin on time or be completed on schedule, if at all.</w:t>
      </w:r>
    </w:p>
    <w:p>
      <w:pPr>
        <w:spacing w:after="0" w:line="366"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be delayed in obtaining regulatory approval for our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obtain regulatory approval at all;</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continue to be subject to post-marketing testing requirements; or</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experience having the product removed from the market after obtaining regulatory approval.</w:t>
      </w:r>
    </w:p>
    <w:p>
      <w:pPr>
        <w:spacing w:after="0" w:line="347"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discovery and development of oncology therapeutics for patients with genetically defined or biomarker-driven cancers is an emerging field,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for each alternation will be large enough to allow us to successfully obtain approval for each alternation type and commercialize our product candidates and achieve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31"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Our preclinical studies and future clinical trials may not be successful. Currently, all our programs are in preclinical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200" w:lineRule="exact"/>
        <w:rPr>
          <w:sz w:val="20"/>
          <w:szCs w:val="20"/>
          <w:color w:val="auto"/>
        </w:rPr>
      </w:pPr>
    </w:p>
    <w:p>
      <w:pPr>
        <w:spacing w:after="0" w:line="227"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75" w:lineRule="exact"/>
        <w:rPr>
          <w:sz w:val="20"/>
          <w:szCs w:val="20"/>
          <w:color w:val="auto"/>
        </w:rPr>
      </w:pPr>
    </w:p>
    <w:p>
      <w:pPr>
        <w:jc w:val="both"/>
        <w:ind w:right="180" w:firstLine="509"/>
        <w:spacing w:after="0" w:line="279" w:lineRule="auto"/>
        <w:rPr>
          <w:sz w:val="20"/>
          <w:szCs w:val="20"/>
          <w:color w:val="auto"/>
        </w:rPr>
      </w:pPr>
      <w:r>
        <w:rPr>
          <w:rFonts w:ascii="Arial" w:cs="Arial" w:eastAsia="Arial" w:hAnsi="Arial"/>
          <w:sz w:val="18"/>
          <w:szCs w:val="18"/>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ind w:right="180"/>
        <w:spacing w:after="0" w:line="272" w:lineRule="auto"/>
        <w:rPr>
          <w:sz w:val="20"/>
          <w:szCs w:val="20"/>
          <w:color w:val="auto"/>
        </w:rPr>
      </w:pPr>
      <w:r>
        <w:rPr>
          <w:rFonts w:ascii="Arial" w:cs="Arial" w:eastAsia="Arial" w:hAnsi="Arial"/>
          <w:sz w:val="18"/>
          <w:szCs w:val="18"/>
          <w:color w:val="auto"/>
        </w:rPr>
        <w:t xml:space="preserve">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as medical devices and, under that regulatory framework, will likely require the conduct of clinical trials to demonstrate the</w:t>
      </w:r>
      <w:r>
        <w:rPr>
          <w:rFonts w:ascii="Arial" w:cs="Arial" w:eastAsia="Arial" w:hAnsi="Arial"/>
          <w:sz w:val="18"/>
          <w:szCs w:val="18"/>
          <w:i w:val="1"/>
          <w:iCs w:val="1"/>
          <w:color w:val="auto"/>
        </w:rPr>
        <w:t xml:space="preserve"> </w:t>
      </w:r>
      <w:r>
        <w:rPr>
          <w:rFonts w:ascii="Arial" w:cs="Arial" w:eastAsia="Arial" w:hAnsi="Arial"/>
          <w:sz w:val="18"/>
          <w:szCs w:val="18"/>
          <w:color w:val="auto"/>
        </w:rPr>
        <w:t>safety and effectiveness of any diagnostics we may develop, which we expect will require separate regulatory clearance or approval prior to commercialization.</w:t>
      </w:r>
    </w:p>
    <w:p>
      <w:pPr>
        <w:spacing w:after="0" w:line="191" w:lineRule="exact"/>
        <w:rPr>
          <w:sz w:val="20"/>
          <w:szCs w:val="20"/>
          <w:color w:val="auto"/>
        </w:rPr>
      </w:pPr>
    </w:p>
    <w:p>
      <w:pPr>
        <w:ind w:right="20" w:firstLine="509"/>
        <w:spacing w:after="0" w:line="303"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77"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From time to time, we may publicly disclose interim, top-line or preliminary data from our future clinical trials, which is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 remain subject to audit and verification procedures that may result in the final data being materially different from the preliminary top-line data we previously published. As a result, preliminary, interim and top-line data should be viewed with caution until the final data are available. Adverse differences between preliminary or interim data and final data could significantly harm our business prospects and may cause the price of our common stock to fluctuate or decline.</w:t>
      </w:r>
    </w:p>
    <w:p>
      <w:pPr>
        <w:spacing w:after="0" w:line="18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for the product, commercialization of any approved product and the business prospects of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9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If the preliminary, interim or top-line data that we report differ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291" w:lineRule="exact"/>
        <w:rPr>
          <w:sz w:val="20"/>
          <w:szCs w:val="20"/>
          <w:color w:val="auto"/>
        </w:rPr>
      </w:pPr>
    </w:p>
    <w:p>
      <w:pPr>
        <w:ind w:right="1120"/>
        <w:spacing w:after="0" w:line="293"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2" w:name="page43"/>
    <w:bookmarkEnd w:id="42"/>
    <w:p>
      <w:pPr>
        <w:ind w:right="240"/>
        <w:spacing w:after="0" w:line="303" w:lineRule="auto"/>
        <w:rPr>
          <w:sz w:val="20"/>
          <w:szCs w:val="20"/>
          <w:color w:val="auto"/>
        </w:rPr>
      </w:pPr>
      <w:r>
        <w:rPr>
          <w:rFonts w:ascii="Arial" w:cs="Arial" w:eastAsia="Arial" w:hAnsi="Arial"/>
          <w:sz w:val="17"/>
          <w:szCs w:val="17"/>
          <w:color w:val="auto"/>
        </w:rPr>
        <w:t>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56" w:lineRule="exact"/>
        <w:rPr>
          <w:sz w:val="20"/>
          <w:szCs w:val="20"/>
          <w:color w:val="auto"/>
        </w:rPr>
      </w:pPr>
    </w:p>
    <w:p>
      <w:pPr>
        <w:ind w:left="1100" w:right="340"/>
        <w:spacing w:after="0" w:line="293" w:lineRule="auto"/>
        <w:rPr>
          <w:sz w:val="20"/>
          <w:szCs w:val="20"/>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62" w:lineRule="exact"/>
        <w:rPr>
          <w:sz w:val="20"/>
          <w:szCs w:val="20"/>
          <w:color w:val="auto"/>
        </w:rPr>
      </w:pPr>
    </w:p>
    <w:p>
      <w:pPr>
        <w:ind w:left="1100" w:right="40"/>
        <w:spacing w:after="0" w:line="293" w:lineRule="auto"/>
        <w:rPr>
          <w:sz w:val="20"/>
          <w:szCs w:val="20"/>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62" w:lineRule="exact"/>
        <w:rPr>
          <w:sz w:val="20"/>
          <w:szCs w:val="20"/>
          <w:color w:val="auto"/>
        </w:rPr>
      </w:pPr>
    </w:p>
    <w:p>
      <w:pPr>
        <w:ind w:left="1100" w:right="260"/>
        <w:spacing w:after="0" w:line="279" w:lineRule="auto"/>
        <w:rPr>
          <w:sz w:val="20"/>
          <w:szCs w:val="20"/>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75" w:lineRule="exact"/>
        <w:rPr>
          <w:sz w:val="20"/>
          <w:szCs w:val="20"/>
          <w:color w:val="auto"/>
        </w:rPr>
      </w:pPr>
    </w:p>
    <w:p>
      <w:pPr>
        <w:ind w:left="1100" w:right="140"/>
        <w:spacing w:after="0" w:line="279" w:lineRule="auto"/>
        <w:rPr>
          <w:sz w:val="20"/>
          <w:szCs w:val="20"/>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75" w:lineRule="exact"/>
        <w:rPr>
          <w:sz w:val="20"/>
          <w:szCs w:val="20"/>
          <w:color w:val="auto"/>
        </w:rPr>
      </w:pPr>
    </w:p>
    <w:p>
      <w:pPr>
        <w:ind w:left="1100" w:right="320"/>
        <w:spacing w:after="0" w:line="293" w:lineRule="auto"/>
        <w:rPr>
          <w:sz w:val="20"/>
          <w:szCs w:val="20"/>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62" w:lineRule="exact"/>
        <w:rPr>
          <w:sz w:val="20"/>
          <w:szCs w:val="20"/>
          <w:color w:val="auto"/>
        </w:rPr>
      </w:pPr>
    </w:p>
    <w:p>
      <w:pPr>
        <w:ind w:left="1100" w:right="140"/>
        <w:spacing w:after="0" w:line="279"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75" w:lineRule="exact"/>
        <w:rPr>
          <w:sz w:val="20"/>
          <w:szCs w:val="20"/>
          <w:color w:val="auto"/>
        </w:rPr>
      </w:pPr>
    </w:p>
    <w:p>
      <w:pPr>
        <w:ind w:left="1100"/>
        <w:spacing w:after="0" w:line="275" w:lineRule="auto"/>
        <w:rPr>
          <w:sz w:val="20"/>
          <w:szCs w:val="20"/>
          <w:color w:val="auto"/>
        </w:rPr>
      </w:pPr>
      <w:r>
        <w:rPr>
          <w:rFonts w:ascii="Arial" w:cs="Arial" w:eastAsia="Arial" w:hAnsi="Arial"/>
          <w:sz w:val="18"/>
          <w:szCs w:val="18"/>
          <w:color w:val="auto"/>
        </w:rPr>
        <w:t>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7" w:lineRule="exact"/>
        <w:rPr>
          <w:sz w:val="20"/>
          <w:szCs w:val="20"/>
          <w:color w:val="auto"/>
        </w:rPr>
      </w:pPr>
    </w:p>
    <w:p>
      <w:pPr>
        <w:ind w:left="1100" w:right="60"/>
        <w:spacing w:after="0" w:line="279" w:lineRule="auto"/>
        <w:rPr>
          <w:sz w:val="20"/>
          <w:szCs w:val="20"/>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 of clinical trials of our product candidates may be greater than we anticipate;</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clinical trials of our product candidates may be delayed due to complications associated with the evolving COVID-19 pandemic;</w:t>
      </w:r>
    </w:p>
    <w:p>
      <w:pPr>
        <w:spacing w:after="0" w:line="131" w:lineRule="exact"/>
        <w:rPr>
          <w:sz w:val="20"/>
          <w:szCs w:val="20"/>
          <w:color w:val="auto"/>
        </w:rPr>
      </w:pPr>
    </w:p>
    <w:p>
      <w:pPr>
        <w:ind w:left="1100" w:right="500"/>
        <w:spacing w:after="0" w:line="293"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sz w:val="20"/>
          <w:szCs w:val="20"/>
          <w:color w:val="auto"/>
        </w:rPr>
      </w:pPr>
    </w:p>
    <w:p>
      <w:pPr>
        <w:ind w:left="1100"/>
        <w:spacing w:after="0" w:line="279" w:lineRule="auto"/>
        <w:rPr>
          <w:sz w:val="20"/>
          <w:szCs w:val="20"/>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70"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firstLine="509"/>
        <w:spacing w:after="0" w:line="288" w:lineRule="auto"/>
        <w:rPr>
          <w:sz w:val="20"/>
          <w:szCs w:val="20"/>
          <w:color w:val="auto"/>
        </w:rPr>
      </w:pPr>
      <w:r>
        <w:rPr>
          <w:rFonts w:ascii="Arial" w:cs="Arial" w:eastAsia="Arial" w:hAnsi="Arial"/>
          <w:sz w:val="17"/>
          <w:szCs w:val="17"/>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99"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orphan indications have small populations, our ability to enroll eligible patients may be limited or may result in slower enrollment than we anticipate.</w:t>
      </w:r>
    </w:p>
    <w:p>
      <w:pPr>
        <w:spacing w:after="0" w:line="191" w:lineRule="exact"/>
        <w:rPr>
          <w:sz w:val="20"/>
          <w:szCs w:val="20"/>
          <w:color w:val="auto"/>
        </w:rPr>
      </w:pPr>
    </w:p>
    <w:p>
      <w:pPr>
        <w:ind w:right="140" w:firstLine="509"/>
        <w:spacing w:after="0" w:line="319"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5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Furthermore, our ability to enroll patients may be significantly delayed by the evolving COVID-19 pandemic, and we cannot accurately predict the extent and scope of such delays at this point.</w:t>
      </w:r>
    </w:p>
    <w:p>
      <w:pPr>
        <w:spacing w:after="0" w:line="185" w:lineRule="exact"/>
        <w:rPr>
          <w:sz w:val="20"/>
          <w:szCs w:val="20"/>
          <w:color w:val="auto"/>
        </w:rPr>
      </w:pPr>
    </w:p>
    <w:p>
      <w:pPr>
        <w:ind w:right="160" w:firstLine="509"/>
        <w:spacing w:after="0" w:line="288" w:lineRule="auto"/>
        <w:rPr>
          <w:sz w:val="20"/>
          <w:szCs w:val="20"/>
          <w:color w:val="auto"/>
        </w:rPr>
      </w:pPr>
      <w:r>
        <w:rPr>
          <w:rFonts w:ascii="Arial" w:cs="Arial" w:eastAsia="Arial" w:hAnsi="Arial"/>
          <w:sz w:val="17"/>
          <w:szCs w:val="17"/>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8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(to the extent these are available to us in the future), or otherwise seek to accelerate clinical development and regulatory timelines. Patient enrollment may be affected by other factors, including:</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severity of the disease under investigation;</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ability to monitor patients adequately during and after treatment;</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left="1100" w:right="3140"/>
        <w:spacing w:after="0" w:line="391" w:lineRule="auto"/>
        <w:rPr>
          <w:sz w:val="20"/>
          <w:szCs w:val="20"/>
          <w:color w:val="auto"/>
        </w:rPr>
      </w:pPr>
      <w:r>
        <w:rPr>
          <w:rFonts w:ascii="Arial" w:cs="Arial" w:eastAsia="Arial" w:hAnsi="Arial"/>
          <w:sz w:val="18"/>
          <w:szCs w:val="18"/>
          <w:color w:val="auto"/>
        </w:rPr>
        <w:t>the ability to recruit clinical trial investigators with the appropriate competencies and experience; reporting of the preliminary results of any of our clinical trials; and</w:t>
      </w:r>
    </w:p>
    <w:p>
      <w:pPr>
        <w:spacing w:after="0" w:line="1" w:lineRule="exact"/>
        <w:rPr>
          <w:sz w:val="20"/>
          <w:szCs w:val="20"/>
          <w:color w:val="auto"/>
        </w:rPr>
      </w:pPr>
    </w:p>
    <w:p>
      <w:pPr>
        <w:ind w:left="1100" w:right="180"/>
        <w:spacing w:after="0" w:line="293" w:lineRule="auto"/>
        <w:rPr>
          <w:sz w:val="20"/>
          <w:szCs w:val="20"/>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278"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Certain of our current product candidates and any future product candidates have the potential to be administered in combination with existing standards of care like checkpoint inhibitor immunotherapies, chemotherapies, targeted therapies or radiotherapy. Our ability to develop and ultimately commercialize our current programs and product candidates and any future programs or product candidates used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9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Any failure to maintain or enter into new successful commercial relationships, or the expense of purchasing checkpoint inhibitor immunotherapies or other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7"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Any results from our early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8"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ind w:right="180"/>
        <w:spacing w:after="0" w:line="293" w:lineRule="auto"/>
        <w:rPr>
          <w:sz w:val="20"/>
          <w:szCs w:val="20"/>
          <w:color w:val="auto"/>
        </w:rPr>
      </w:pPr>
      <w:r>
        <w:rPr>
          <w:rFonts w:ascii="Arial" w:cs="Arial" w:eastAsia="Arial" w:hAnsi="Arial"/>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2"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We expect to file an IND for TNG908 in the fourth quarter of 2021, file an IND for our USP1 inhibitor program in 2022 and an IND for our undisclosed target for STK11-mutant cancers (Target 3) in 2023. However, we may not be able to file such INDs or INDs for future product candidates for our precision oncology or other programs on the timelines we expect. 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71"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b w:val="1"/>
          <w:bCs w:val="1"/>
          <w:i w:val="1"/>
          <w:iCs w:val="1"/>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our precision oncology programs,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118"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3"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ind w:right="480"/>
        <w:spacing w:after="0" w:line="279"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7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18"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Some of our product candidates utilize novel binding locations, which may result in greater research and development expenses, regulatory issues that could delay or prevent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we raise problems we may not be able to resolve.</w:t>
      </w:r>
    </w:p>
    <w:p>
      <w:pPr>
        <w:spacing w:after="0" w:line="128" w:lineRule="exact"/>
        <w:rPr>
          <w:sz w:val="20"/>
          <w:szCs w:val="20"/>
          <w:color w:val="auto"/>
        </w:rPr>
      </w:pPr>
    </w:p>
    <w:p>
      <w:pPr>
        <w:ind w:firstLine="513"/>
        <w:spacing w:after="0" w:line="306" w:lineRule="auto"/>
        <w:rPr>
          <w:sz w:val="20"/>
          <w:szCs w:val="20"/>
          <w:color w:val="auto"/>
        </w:rPr>
      </w:pPr>
      <w:r>
        <w:rPr>
          <w:rFonts w:ascii="Arial" w:cs="Arial" w:eastAsia="Arial" w:hAnsi="Arial"/>
          <w:sz w:val="16"/>
          <w:szCs w:val="16"/>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78"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We may in the future choose to conduct certain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90"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5"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7" w:name="page48"/>
    <w:bookmarkEnd w:id="47"/>
    <w:p>
      <w:pPr>
        <w:ind w:left="1100" w:right="80"/>
        <w:spacing w:after="0" w:line="293" w:lineRule="auto"/>
        <w:rPr>
          <w:sz w:val="20"/>
          <w:szCs w:val="20"/>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62" w:lineRule="exact"/>
        <w:rPr>
          <w:sz w:val="20"/>
          <w:szCs w:val="20"/>
          <w:color w:val="auto"/>
        </w:rPr>
      </w:pPr>
    </w:p>
    <w:p>
      <w:pPr>
        <w:ind w:left="1100" w:right="260"/>
        <w:spacing w:after="0" w:line="279" w:lineRule="auto"/>
        <w:rPr>
          <w:sz w:val="20"/>
          <w:szCs w:val="20"/>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83"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5" w:lineRule="exact"/>
        <w:rPr>
          <w:sz w:val="20"/>
          <w:szCs w:val="20"/>
          <w:color w:val="auto"/>
        </w:rPr>
      </w:pPr>
    </w:p>
    <w:p>
      <w:pPr>
        <w:ind w:right="140" w:firstLine="509"/>
        <w:spacing w:after="0" w:line="303"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72" w:lineRule="exact"/>
        <w:rPr>
          <w:sz w:val="20"/>
          <w:szCs w:val="20"/>
          <w:color w:val="auto"/>
        </w:rPr>
      </w:pPr>
    </w:p>
    <w:p>
      <w:pPr>
        <w:jc w:val="both"/>
        <w:ind w:right="700"/>
        <w:spacing w:after="0" w:line="394"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or preclinical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71" w:lineRule="exact"/>
        <w:rPr>
          <w:sz w:val="20"/>
          <w:szCs w:val="20"/>
          <w:color w:val="auto"/>
        </w:rPr>
      </w:pPr>
    </w:p>
    <w:p>
      <w:pPr>
        <w:ind w:right="40" w:firstLine="509"/>
        <w:spacing w:after="0" w:line="308"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55" w:lineRule="exact"/>
        <w:rPr>
          <w:sz w:val="20"/>
          <w:szCs w:val="20"/>
          <w:color w:val="auto"/>
        </w:rPr>
      </w:pPr>
    </w:p>
    <w:p>
      <w:pPr>
        <w:ind w:left="1100" w:right="1260"/>
        <w:spacing w:after="0" w:line="391"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 we may not be able to enroll a sufficient number of patients in our clinical studies;</w:t>
      </w:r>
    </w:p>
    <w:p>
      <w:pPr>
        <w:spacing w:after="0" w:line="1" w:lineRule="exact"/>
        <w:rPr>
          <w:sz w:val="20"/>
          <w:szCs w:val="20"/>
          <w:color w:val="auto"/>
        </w:rPr>
      </w:pPr>
    </w:p>
    <w:p>
      <w:pPr>
        <w:ind w:left="1100" w:right="60"/>
        <w:spacing w:after="0" w:line="359" w:lineRule="auto"/>
        <w:rPr>
          <w:sz w:val="20"/>
          <w:szCs w:val="20"/>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17" w:lineRule="exact"/>
        <w:rPr>
          <w:sz w:val="20"/>
          <w:szCs w:val="20"/>
          <w:color w:val="auto"/>
        </w:rPr>
      </w:pPr>
    </w:p>
    <w:p>
      <w:pPr>
        <w:ind w:left="1100" w:right="760"/>
        <w:spacing w:after="0" w:line="293"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ind w:left="1100"/>
        <w:spacing w:after="0"/>
        <w:rPr>
          <w:sz w:val="20"/>
          <w:szCs w:val="20"/>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4" w:lineRule="exact"/>
        <w:rPr>
          <w:sz w:val="20"/>
          <w:szCs w:val="20"/>
          <w:color w:val="auto"/>
        </w:rPr>
      </w:pPr>
    </w:p>
    <w:p>
      <w:pPr>
        <w:ind w:left="1100" w:right="640"/>
        <w:spacing w:after="0" w:line="293" w:lineRule="auto"/>
        <w:rPr>
          <w:sz w:val="20"/>
          <w:szCs w:val="20"/>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62" w:lineRule="exact"/>
        <w:rPr>
          <w:sz w:val="20"/>
          <w:szCs w:val="20"/>
          <w:color w:val="auto"/>
        </w:rPr>
      </w:pPr>
    </w:p>
    <w:p>
      <w:pPr>
        <w:ind w:left="1100" w:right="40"/>
        <w:spacing w:after="0" w:line="293" w:lineRule="auto"/>
        <w:rPr>
          <w:sz w:val="20"/>
          <w:szCs w:val="20"/>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sz w:val="20"/>
          <w:szCs w:val="20"/>
          <w:color w:val="auto"/>
        </w:rPr>
      </w:pPr>
    </w:p>
    <w:p>
      <w:pPr>
        <w:ind w:left="1100" w:right="60"/>
        <w:spacing w:after="0" w:line="293" w:lineRule="auto"/>
        <w:rPr>
          <w:sz w:val="20"/>
          <w:szCs w:val="20"/>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170" w:lineRule="exact"/>
        <w:rPr>
          <w:sz w:val="20"/>
          <w:szCs w:val="20"/>
          <w:color w:val="auto"/>
        </w:rPr>
      </w:pPr>
    </w:p>
    <w:p>
      <w:pPr>
        <w:ind w:right="220" w:firstLine="509"/>
        <w:spacing w:after="0" w:line="272"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7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2020 and continuing into 2021, a novel strain of a virus named SARS-CoV-2 (severe acute respiratory syndrome coronavirus 2), or coronavirus, which causes COVID-19 has spread to most countries across the world, including all 50 states within the United States,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United States,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74"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Additionally, timely enrollment in planned clinical trials is dependent upon clinical trial sites which could be adversely affected by global health matters, such as pandemics. We plan to conduct clinical trials for our product candidates in geographies which are currently being affected by the COVID-19 pandemic. Some factors from the COVID-19 pandemic that may delay or otherwise adversely affect enrollment in the clinical trials of our product candidates, as well as our business generally, include:</w:t>
      </w:r>
    </w:p>
    <w:p>
      <w:pPr>
        <w:spacing w:after="0" w:line="77" w:lineRule="exact"/>
        <w:rPr>
          <w:sz w:val="20"/>
          <w:szCs w:val="20"/>
          <w:color w:val="auto"/>
        </w:rPr>
      </w:pPr>
    </w:p>
    <w:p>
      <w:pPr>
        <w:ind w:left="1100" w:right="120"/>
        <w:spacing w:after="0" w:line="279" w:lineRule="auto"/>
        <w:rPr>
          <w:sz w:val="20"/>
          <w:szCs w:val="20"/>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75" w:lineRule="exact"/>
        <w:rPr>
          <w:sz w:val="20"/>
          <w:szCs w:val="20"/>
          <w:color w:val="auto"/>
        </w:rPr>
      </w:pPr>
    </w:p>
    <w:p>
      <w:pPr>
        <w:ind w:left="1100" w:right="80"/>
        <w:spacing w:after="0" w:line="272" w:lineRule="auto"/>
        <w:rPr>
          <w:sz w:val="20"/>
          <w:szCs w:val="20"/>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potential negative affect on the operations of our third-party manufacturers;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9" w:name="page50"/>
    <w:bookmarkEnd w:id="49"/>
    <w:p>
      <w:pPr>
        <w:ind w:left="1100" w:right="300"/>
        <w:spacing w:after="0" w:line="293" w:lineRule="auto"/>
        <w:rPr>
          <w:sz w:val="20"/>
          <w:szCs w:val="20"/>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62" w:lineRule="exact"/>
        <w:rPr>
          <w:sz w:val="20"/>
          <w:szCs w:val="20"/>
          <w:color w:val="auto"/>
        </w:rPr>
      </w:pPr>
    </w:p>
    <w:p>
      <w:pPr>
        <w:ind w:left="1100" w:right="280"/>
        <w:spacing w:after="0" w:line="293" w:lineRule="auto"/>
        <w:rPr>
          <w:sz w:val="20"/>
          <w:szCs w:val="20"/>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62" w:lineRule="exact"/>
        <w:rPr>
          <w:sz w:val="20"/>
          <w:szCs w:val="20"/>
          <w:color w:val="auto"/>
        </w:rPr>
      </w:pPr>
    </w:p>
    <w:p>
      <w:pPr>
        <w:ind w:left="1100" w:right="20"/>
        <w:spacing w:after="0" w:line="279" w:lineRule="auto"/>
        <w:rPr>
          <w:sz w:val="20"/>
          <w:szCs w:val="20"/>
          <w:color w:val="auto"/>
        </w:rPr>
      </w:pPr>
      <w:r>
        <w:rPr>
          <w:rFonts w:ascii="Arial" w:cs="Arial" w:eastAsia="Arial" w:hAnsi="Arial"/>
          <w:sz w:val="18"/>
          <w:szCs w:val="18"/>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spacing w:after="0" w:line="75" w:lineRule="exact"/>
        <w:rPr>
          <w:sz w:val="20"/>
          <w:szCs w:val="20"/>
          <w:color w:val="auto"/>
        </w:rPr>
      </w:pPr>
    </w:p>
    <w:p>
      <w:pPr>
        <w:ind w:left="1100" w:right="540"/>
        <w:spacing w:after="0" w:line="359" w:lineRule="auto"/>
        <w:rPr>
          <w:sz w:val="20"/>
          <w:szCs w:val="20"/>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250"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 or FDA.</w:t>
      </w:r>
    </w:p>
    <w:p>
      <w:pPr>
        <w:spacing w:after="0" w:line="191"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We also compete more broadly across the market for cost-effective and reimbursable cancer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8"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93"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0" w:name="page51"/>
    <w:bookmarkEnd w:id="50"/>
    <w:p>
      <w:pPr>
        <w:ind w:right="80"/>
        <w:spacing w:after="0" w:line="293" w:lineRule="auto"/>
        <w:rPr>
          <w:sz w:val="20"/>
          <w:szCs w:val="20"/>
          <w:color w:val="auto"/>
        </w:rPr>
      </w:pPr>
      <w:r>
        <w:rPr>
          <w:rFonts w:ascii="Arial" w:cs="Arial" w:eastAsia="Arial" w:hAnsi="Arial"/>
          <w:sz w:val="18"/>
          <w:szCs w:val="18"/>
          <w:color w:val="auto"/>
        </w:rPr>
        <w:t>necessary for, our programs. If these or other barriers to entry do not remain in place, other companies may be able to more directly or effectively compete with us.</w:t>
      </w:r>
    </w:p>
    <w:p>
      <w:pPr>
        <w:spacing w:after="0" w:line="89"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200" w:lineRule="exact"/>
        <w:rPr>
          <w:sz w:val="20"/>
          <w:szCs w:val="20"/>
          <w:color w:val="auto"/>
        </w:rPr>
      </w:pPr>
    </w:p>
    <w:p>
      <w:pPr>
        <w:spacing w:after="0" w:line="232" w:lineRule="exact"/>
        <w:rPr>
          <w:sz w:val="20"/>
          <w:szCs w:val="20"/>
          <w:color w:val="auto"/>
        </w:rPr>
      </w:pPr>
    </w:p>
    <w:p>
      <w:pPr>
        <w:ind w:right="40"/>
        <w:spacing w:after="0" w:line="394" w:lineRule="auto"/>
        <w:rPr>
          <w:sz w:val="20"/>
          <w:szCs w:val="20"/>
          <w:color w:val="auto"/>
        </w:rPr>
      </w:pPr>
      <w:r>
        <w:rPr>
          <w:rFonts w:ascii="Arial" w:cs="Arial" w:eastAsia="Arial" w:hAnsi="Arial"/>
          <w:sz w:val="15"/>
          <w:szCs w:val="15"/>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genetic alteration which occurs in 10 to 15% of all human tumors, including many commonly occurring cancers with high unmet need such as squamous cell lung, esophageal and bladder cancer. Our second product candidate, USP1, is a strong synthetic lethal target for BRCA1-mutant which are present in approximately 15% of ovarian cancer, 5% of breast cancer, and 1% of prostate cancer. Additionally, our undisclosed Target 3 program is being developed for patients with STK11 loss-of-function mutations, a genetic alteration in approximately 20% of non-small cell lung cancer. Our projections of both the number of people who have these diseases, as well as the subset of people with these diseases who have the potential to benefit from treatment with our programs and product candidates, are based on our estimates.</w:t>
      </w:r>
    </w:p>
    <w:p>
      <w:pPr>
        <w:spacing w:after="0" w:line="114"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289"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11"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48" w:lineRule="exact"/>
        <w:rPr>
          <w:sz w:val="20"/>
          <w:szCs w:val="20"/>
          <w:color w:val="auto"/>
        </w:rPr>
      </w:pPr>
    </w:p>
    <w:p>
      <w:pPr>
        <w:ind w:left="1100" w:right="680"/>
        <w:spacing w:after="0" w:line="293" w:lineRule="auto"/>
        <w:rPr>
          <w:sz w:val="20"/>
          <w:szCs w:val="20"/>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commercial success of the checkpoint blockade drugs with which our products may be co-administered;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1" w:name="page52"/>
    <w:bookmarkEnd w:id="51"/>
    <w:p>
      <w:pPr>
        <w:ind w:left="1100" w:right="400"/>
        <w:spacing w:after="0" w:line="293" w:lineRule="auto"/>
        <w:rPr>
          <w:sz w:val="20"/>
          <w:szCs w:val="20"/>
          <w:color w:val="auto"/>
        </w:rPr>
      </w:pPr>
      <w:r>
        <w:rPr>
          <w:rFonts w:ascii="Arial" w:cs="Arial" w:eastAsia="Arial" w:hAnsi="Arial"/>
          <w:sz w:val="18"/>
          <w:szCs w:val="18"/>
          <w:color w:val="auto"/>
        </w:rPr>
        <w:t>the prevalence and severity of adverse events associated with our current product candidates and any future product candidates or those products with which they may be co-administered;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clinical indications for which our product candidates are approved and the approved claims that we may make for the products;</w:t>
      </w:r>
    </w:p>
    <w:p>
      <w:pPr>
        <w:spacing w:after="0" w:line="142" w:lineRule="exact"/>
        <w:rPr>
          <w:sz w:val="20"/>
          <w:szCs w:val="20"/>
          <w:color w:val="auto"/>
        </w:rPr>
      </w:pPr>
    </w:p>
    <w:p>
      <w:pPr>
        <w:ind w:left="1100" w:right="180"/>
        <w:spacing w:after="0" w:line="279" w:lineRule="auto"/>
        <w:rPr>
          <w:sz w:val="20"/>
          <w:szCs w:val="20"/>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75" w:lineRule="exact"/>
        <w:rPr>
          <w:sz w:val="20"/>
          <w:szCs w:val="20"/>
          <w:color w:val="auto"/>
        </w:rPr>
      </w:pPr>
    </w:p>
    <w:p>
      <w:pPr>
        <w:ind w:left="1100" w:right="40"/>
        <w:spacing w:after="0" w:line="279" w:lineRule="auto"/>
        <w:rPr>
          <w:sz w:val="20"/>
          <w:szCs w:val="20"/>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75" w:lineRule="exact"/>
        <w:rPr>
          <w:sz w:val="20"/>
          <w:szCs w:val="20"/>
          <w:color w:val="auto"/>
        </w:rPr>
      </w:pPr>
    </w:p>
    <w:p>
      <w:pPr>
        <w:ind w:left="1100" w:right="260"/>
        <w:spacing w:after="0" w:line="293" w:lineRule="auto"/>
        <w:rPr>
          <w:sz w:val="20"/>
          <w:szCs w:val="20"/>
          <w:color w:val="auto"/>
        </w:rPr>
      </w:pPr>
      <w:r>
        <w:rPr>
          <w:rFonts w:ascii="Arial" w:cs="Arial" w:eastAsia="Arial" w:hAnsi="Arial"/>
          <w:sz w:val="18"/>
          <w:szCs w:val="18"/>
          <w:color w:val="auto"/>
        </w:rPr>
        <w:t>the relative convenience and ease of administration of our current product candidates and any future product candidates and any products with which they are co-administered;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31"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the availability of adequate coverage or reimbursement by third party payors, including government healthcare programs such as Medicare and Medicaid and other healthcare payors;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price concessions required by third-party payors to obtain coverage;</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willingness of patients to pay out-of-pocket in the absence of adequate coverage and reimbursement;</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31" w:lineRule="exact"/>
        <w:rPr>
          <w:sz w:val="20"/>
          <w:szCs w:val="20"/>
          <w:color w:val="auto"/>
        </w:rPr>
      </w:pPr>
    </w:p>
    <w:p>
      <w:pPr>
        <w:ind w:left="1100" w:right="740"/>
        <w:spacing w:after="0" w:line="293" w:lineRule="auto"/>
        <w:rPr>
          <w:sz w:val="20"/>
          <w:szCs w:val="20"/>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62" w:lineRule="exact"/>
        <w:rPr>
          <w:sz w:val="20"/>
          <w:szCs w:val="20"/>
          <w:color w:val="auto"/>
        </w:rPr>
      </w:pPr>
    </w:p>
    <w:p>
      <w:pPr>
        <w:ind w:left="1100" w:right="560"/>
        <w:spacing w:after="0" w:line="279" w:lineRule="auto"/>
        <w:rPr>
          <w:sz w:val="20"/>
          <w:szCs w:val="20"/>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75" w:lineRule="exact"/>
        <w:rPr>
          <w:sz w:val="20"/>
          <w:szCs w:val="20"/>
          <w:color w:val="auto"/>
        </w:rPr>
      </w:pPr>
    </w:p>
    <w:p>
      <w:pPr>
        <w:ind w:left="1100" w:right="440"/>
        <w:spacing w:after="0" w:line="391" w:lineRule="auto"/>
        <w:rPr>
          <w:sz w:val="20"/>
          <w:szCs w:val="20"/>
          <w:color w:val="auto"/>
        </w:rPr>
      </w:pPr>
      <w:r>
        <w:rPr>
          <w:rFonts w:ascii="Arial" w:cs="Arial" w:eastAsia="Arial" w:hAnsi="Arial"/>
          <w:sz w:val="18"/>
          <w:szCs w:val="18"/>
          <w:color w:val="auto"/>
        </w:rPr>
        <w:t>the timing of market introduction of our current product candidates and any future product candidates, as well as competitive products; our ability to offer our current product candidates and any future product candidates for sale at competitive prices; the willingness of the target patient population to try new therapies and of physicians to prescribe these therapies; the extent and strength of our third-party manufacturer and supplier support;</w:t>
      </w:r>
    </w:p>
    <w:p>
      <w:pPr>
        <w:spacing w:after="0" w:line="1" w:lineRule="exact"/>
        <w:rPr>
          <w:sz w:val="20"/>
          <w:szCs w:val="20"/>
          <w:color w:val="auto"/>
        </w:rPr>
      </w:pPr>
    </w:p>
    <w:p>
      <w:pPr>
        <w:ind w:left="1100" w:right="120"/>
        <w:spacing w:after="0" w:line="293" w:lineRule="auto"/>
        <w:rPr>
          <w:sz w:val="20"/>
          <w:szCs w:val="20"/>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approval of other new products;</w:t>
      </w:r>
    </w:p>
    <w:p>
      <w:pPr>
        <w:spacing w:after="0" w:line="131" w:lineRule="exact"/>
        <w:rPr>
          <w:sz w:val="20"/>
          <w:szCs w:val="20"/>
          <w:color w:val="auto"/>
        </w:rPr>
      </w:pPr>
    </w:p>
    <w:p>
      <w:pPr>
        <w:ind w:left="1100" w:right="840"/>
        <w:spacing w:after="0" w:line="293" w:lineRule="auto"/>
        <w:rPr>
          <w:sz w:val="20"/>
          <w:szCs w:val="20"/>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potential product liability claims.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3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4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planned Phase 1/2 clinical trial of TNG908 and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ind w:right="420"/>
        <w:spacing w:after="0" w:line="293" w:lineRule="auto"/>
        <w:rPr>
          <w:sz w:val="20"/>
          <w:szCs w:val="20"/>
          <w:color w:val="auto"/>
        </w:rPr>
      </w:pPr>
      <w:r>
        <w:rPr>
          <w:rFonts w:ascii="Arial" w:cs="Arial" w:eastAsia="Arial" w:hAnsi="Arial"/>
          <w:sz w:val="18"/>
          <w:szCs w:val="18"/>
          <w:color w:val="auto"/>
        </w:rPr>
        <w:t>clinical trials, whether controlled by us or third parties, for any number of reasons, including elements of the design or execution of the trials or safety concerns or other trial results.</w:t>
      </w:r>
    </w:p>
    <w:p>
      <w:pPr>
        <w:spacing w:after="0" w:line="102"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1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23"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2"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Although we plan to design our Phase 1/2 clinical trial of TNG908 and intend to design the future clinical trials for our product candidates, these trials are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6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3" w:name="page54"/>
    <w:bookmarkEnd w:id="53"/>
    <w:p>
      <w:pPr>
        <w:ind w:right="280"/>
        <w:spacing w:after="0" w:line="293" w:lineRule="auto"/>
        <w:rPr>
          <w:sz w:val="20"/>
          <w:szCs w:val="20"/>
          <w:color w:val="auto"/>
        </w:rPr>
      </w:pPr>
      <w:r>
        <w:rPr>
          <w:rFonts w:ascii="Arial" w:cs="Arial" w:eastAsia="Arial" w:hAnsi="Arial"/>
          <w:sz w:val="18"/>
          <w:szCs w:val="18"/>
          <w:color w:val="auto"/>
        </w:rPr>
        <w:t>commercial prospects for our product candidates in the subject indication would be harmed, our costs could increase and our ability to generate revenue could be delayed.</w:t>
      </w:r>
    </w:p>
    <w:p>
      <w:pPr>
        <w:spacing w:after="0" w:line="278"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are subject to numerous risks, which include the following:</w:t>
      </w:r>
    </w:p>
    <w:p>
      <w:pPr>
        <w:spacing w:after="0" w:line="62" w:lineRule="exact"/>
        <w:rPr>
          <w:sz w:val="20"/>
          <w:szCs w:val="20"/>
          <w:color w:val="auto"/>
        </w:rPr>
      </w:pPr>
    </w:p>
    <w:p>
      <w:pPr>
        <w:ind w:left="1100" w:right="140"/>
        <w:spacing w:after="0" w:line="293" w:lineRule="auto"/>
        <w:rPr>
          <w:sz w:val="20"/>
          <w:szCs w:val="20"/>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2"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62" w:lineRule="exact"/>
        <w:rPr>
          <w:sz w:val="20"/>
          <w:szCs w:val="20"/>
          <w:color w:val="auto"/>
        </w:rPr>
      </w:pPr>
    </w:p>
    <w:p>
      <w:pPr>
        <w:ind w:left="1100" w:right="240"/>
        <w:spacing w:after="0" w:line="275" w:lineRule="auto"/>
        <w:rPr>
          <w:sz w:val="20"/>
          <w:szCs w:val="20"/>
          <w:color w:val="auto"/>
        </w:rPr>
      </w:pPr>
      <w:r>
        <w:rPr>
          <w:rFonts w:ascii="Arial" w:cs="Arial" w:eastAsia="Arial" w:hAnsi="Arial"/>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77" w:lineRule="exact"/>
        <w:rPr>
          <w:sz w:val="20"/>
          <w:szCs w:val="20"/>
          <w:color w:val="auto"/>
        </w:rPr>
      </w:pPr>
    </w:p>
    <w:p>
      <w:pPr>
        <w:ind w:left="1100" w:right="320"/>
        <w:spacing w:after="0" w:line="293" w:lineRule="auto"/>
        <w:rPr>
          <w:sz w:val="20"/>
          <w:szCs w:val="20"/>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62" w:lineRule="exact"/>
        <w:rPr>
          <w:sz w:val="20"/>
          <w:szCs w:val="20"/>
          <w:color w:val="auto"/>
        </w:rPr>
      </w:pPr>
    </w:p>
    <w:p>
      <w:pPr>
        <w:ind w:left="1100" w:right="60"/>
        <w:spacing w:after="0" w:line="293" w:lineRule="auto"/>
        <w:rPr>
          <w:sz w:val="20"/>
          <w:szCs w:val="20"/>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62" w:lineRule="exact"/>
        <w:rPr>
          <w:sz w:val="20"/>
          <w:szCs w:val="20"/>
          <w:color w:val="auto"/>
        </w:rPr>
      </w:pPr>
    </w:p>
    <w:p>
      <w:pPr>
        <w:ind w:left="1100" w:right="80"/>
        <w:spacing w:after="0" w:line="293" w:lineRule="auto"/>
        <w:rPr>
          <w:sz w:val="20"/>
          <w:szCs w:val="20"/>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62" w:lineRule="exact"/>
        <w:rPr>
          <w:sz w:val="20"/>
          <w:szCs w:val="20"/>
          <w:color w:val="auto"/>
        </w:rPr>
      </w:pPr>
    </w:p>
    <w:p>
      <w:pPr>
        <w:ind w:left="1100" w:right="400"/>
        <w:spacing w:after="0" w:line="293" w:lineRule="auto"/>
        <w:rPr>
          <w:sz w:val="20"/>
          <w:szCs w:val="20"/>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62" w:lineRule="exact"/>
        <w:rPr>
          <w:sz w:val="20"/>
          <w:szCs w:val="20"/>
          <w:color w:val="auto"/>
        </w:rPr>
      </w:pPr>
    </w:p>
    <w:p>
      <w:pPr>
        <w:ind w:left="1100" w:right="900"/>
        <w:spacing w:after="0" w:line="293" w:lineRule="auto"/>
        <w:rPr>
          <w:sz w:val="20"/>
          <w:szCs w:val="20"/>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62" w:lineRule="exact"/>
        <w:rPr>
          <w:sz w:val="20"/>
          <w:szCs w:val="20"/>
          <w:color w:val="auto"/>
        </w:rPr>
      </w:pPr>
    </w:p>
    <w:p>
      <w:pPr>
        <w:ind w:left="1100" w:right="220"/>
        <w:spacing w:after="0" w:line="293" w:lineRule="auto"/>
        <w:rPr>
          <w:sz w:val="20"/>
          <w:szCs w:val="20"/>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62" w:lineRule="exact"/>
        <w:rPr>
          <w:sz w:val="20"/>
          <w:szCs w:val="20"/>
          <w:color w:val="auto"/>
        </w:rPr>
      </w:pPr>
    </w:p>
    <w:p>
      <w:pPr>
        <w:ind w:left="1100" w:right="540"/>
        <w:spacing w:after="0" w:line="293" w:lineRule="auto"/>
        <w:rPr>
          <w:sz w:val="20"/>
          <w:szCs w:val="20"/>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102"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85" w:lineRule="exact"/>
        <w:rPr>
          <w:sz w:val="20"/>
          <w:szCs w:val="20"/>
          <w:color w:val="auto"/>
        </w:rPr>
      </w:pPr>
    </w:p>
    <w:p>
      <w:pPr>
        <w:ind w:right="240" w:firstLine="509"/>
        <w:spacing w:after="0" w:line="314" w:lineRule="auto"/>
        <w:rPr>
          <w:sz w:val="20"/>
          <w:szCs w:val="20"/>
          <w:color w:val="auto"/>
        </w:rPr>
      </w:pPr>
      <w:r>
        <w:rPr>
          <w:rFonts w:ascii="Arial" w:cs="Arial" w:eastAsia="Arial" w:hAnsi="Arial"/>
          <w:sz w:val="16"/>
          <w:szCs w:val="16"/>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160" w:lineRule="exact"/>
        <w:rPr>
          <w:sz w:val="20"/>
          <w:szCs w:val="20"/>
          <w:color w:val="auto"/>
        </w:rPr>
      </w:pPr>
    </w:p>
    <w:p>
      <w:pPr>
        <w:ind w:right="260" w:firstLine="509"/>
        <w:spacing w:after="0" w:line="324" w:lineRule="auto"/>
        <w:rPr>
          <w:sz w:val="20"/>
          <w:szCs w:val="20"/>
          <w:color w:val="auto"/>
        </w:rPr>
      </w:pPr>
      <w:r>
        <w:rPr>
          <w:rFonts w:ascii="Arial" w:cs="Arial" w:eastAsia="Arial" w:hAnsi="Arial"/>
          <w:sz w:val="17"/>
          <w:szCs w:val="17"/>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ind w:right="180"/>
        <w:spacing w:after="0" w:line="359"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66"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70" w:lineRule="exact"/>
        <w:rPr>
          <w:sz w:val="20"/>
          <w:szCs w:val="20"/>
          <w:color w:val="auto"/>
        </w:rPr>
      </w:pPr>
    </w:p>
    <w:p>
      <w:pPr>
        <w:ind w:right="60" w:firstLine="509"/>
        <w:spacing w:after="0" w:line="285" w:lineRule="auto"/>
        <w:rPr>
          <w:sz w:val="20"/>
          <w:szCs w:val="20"/>
          <w:color w:val="auto"/>
        </w:rPr>
      </w:pPr>
      <w:r>
        <w:rPr>
          <w:rFonts w:ascii="Arial" w:cs="Arial" w:eastAsia="Arial" w:hAnsi="Arial"/>
          <w:sz w:val="17"/>
          <w:szCs w:val="17"/>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79"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5"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We may be unable to establish any additional agreements with third-party manufacturers or do so on acceptable terms. Reliance on third-party manufacturers entails additional risks, including:</w:t>
      </w:r>
    </w:p>
    <w:p>
      <w:pPr>
        <w:spacing w:after="0" w:line="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reliance on the third party for regulatory compliance and quality assurance;</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possible breach of the manufacturing agreement by the third party;</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50"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right="120" w:firstLine="509"/>
        <w:spacing w:after="0" w:line="27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83" w:lineRule="exact"/>
        <w:rPr>
          <w:sz w:val="20"/>
          <w:szCs w:val="20"/>
          <w:color w:val="auto"/>
        </w:rPr>
      </w:pPr>
    </w:p>
    <w:p>
      <w:pPr>
        <w:ind w:right="420" w:firstLine="509"/>
        <w:spacing w:after="0" w:line="324"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5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active pharmaceutical ingredients, or API, and drug product we expect to use in all of our product candidates are supplied to us from single-source suppliers.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potential global health concerns such as the COVID-19 pandemic, as well as potential supply chain disruptions, will affect our third-party suppliers and manufacturers. Any negative impact of such matters on our third-party suppliers and manufacturers may also have an adverse impact on our results of operations or financial condition.</w:t>
      </w:r>
    </w:p>
    <w:p>
      <w:pPr>
        <w:spacing w:after="0" w:line="18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9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Establishing additional or replacement suppliers for the API and drug product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29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2"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3"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70" w:lineRule="exact"/>
        <w:rPr>
          <w:sz w:val="20"/>
          <w:szCs w:val="20"/>
          <w:color w:val="auto"/>
        </w:rPr>
      </w:pPr>
    </w:p>
    <w:p>
      <w:pPr>
        <w:ind w:right="540" w:firstLine="509"/>
        <w:spacing w:after="0" w:line="329"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56" w:name="page57"/>
    <w:bookmarkEnd w:id="56"/>
    <w:p>
      <w:pPr>
        <w:ind w:right="60" w:firstLine="509"/>
        <w:spacing w:after="0" w:line="311"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3"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spacing w:after="0" w:line="329"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40"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194"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2" w:lineRule="exact"/>
        <w:rPr>
          <w:sz w:val="20"/>
          <w:szCs w:val="20"/>
          <w:color w:val="auto"/>
        </w:rPr>
      </w:pPr>
    </w:p>
    <w:p>
      <w:pPr>
        <w:ind w:right="640" w:firstLine="509"/>
        <w:spacing w:after="0" w:line="279" w:lineRule="auto"/>
        <w:rPr>
          <w:sz w:val="20"/>
          <w:szCs w:val="20"/>
          <w:color w:val="auto"/>
        </w:rPr>
      </w:pPr>
      <w:r>
        <w:rPr>
          <w:rFonts w:ascii="Arial" w:cs="Arial" w:eastAsia="Arial" w:hAnsi="Arial"/>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ind w:right="200"/>
        <w:spacing w:after="0" w:line="271" w:lineRule="auto"/>
        <w:rPr>
          <w:sz w:val="20"/>
          <w:szCs w:val="20"/>
          <w:color w:val="auto"/>
        </w:rPr>
      </w:pPr>
      <w:r>
        <w:rPr>
          <w:rFonts w:ascii="Arial" w:cs="Arial" w:eastAsia="Arial" w:hAnsi="Arial"/>
          <w:sz w:val="18"/>
          <w:szCs w:val="18"/>
          <w:color w:val="auto"/>
        </w:rPr>
        <w:t>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1"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6"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7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1"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3"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8" w:name="page59"/>
    <w:bookmarkEnd w:id="58"/>
    <w:p>
      <w:pPr>
        <w:ind w:right="300" w:firstLine="509"/>
        <w:spacing w:after="0" w:line="275" w:lineRule="auto"/>
        <w:rPr>
          <w:sz w:val="20"/>
          <w:szCs w:val="20"/>
          <w:color w:val="auto"/>
        </w:rPr>
      </w:pPr>
      <w:r>
        <w:rPr>
          <w:rFonts w:ascii="Arial" w:cs="Arial" w:eastAsia="Arial" w:hAnsi="Arial"/>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00" w:lineRule="exact"/>
        <w:rPr>
          <w:sz w:val="20"/>
          <w:szCs w:val="20"/>
          <w:color w:val="auto"/>
        </w:rPr>
      </w:pPr>
    </w:p>
    <w:p>
      <w:pPr>
        <w:spacing w:after="0" w:line="242" w:lineRule="exact"/>
        <w:rPr>
          <w:sz w:val="20"/>
          <w:szCs w:val="20"/>
          <w:color w:val="auto"/>
        </w:rPr>
      </w:pPr>
    </w:p>
    <w:p>
      <w:pPr>
        <w:jc w:val="both"/>
        <w:ind w:right="140"/>
        <w:spacing w:after="0" w:line="303"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6"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31" w:lineRule="exact"/>
        <w:rPr>
          <w:sz w:val="20"/>
          <w:szCs w:val="20"/>
          <w:color w:val="auto"/>
        </w:rPr>
      </w:pPr>
    </w:p>
    <w:p>
      <w:pPr>
        <w:ind w:right="60" w:firstLine="509"/>
        <w:spacing w:after="0" w:line="304"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78"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5" w:lineRule="exact"/>
        <w:rPr>
          <w:sz w:val="20"/>
          <w:szCs w:val="20"/>
          <w:color w:val="auto"/>
        </w:rPr>
      </w:pPr>
    </w:p>
    <w:p>
      <w:pPr>
        <w:ind w:right="140" w:firstLine="509"/>
        <w:spacing w:after="0" w:line="287" w:lineRule="auto"/>
        <w:rPr>
          <w:sz w:val="20"/>
          <w:szCs w:val="20"/>
          <w:color w:val="auto"/>
        </w:rPr>
      </w:pPr>
      <w:r>
        <w:rPr>
          <w:rFonts w:ascii="Arial" w:cs="Arial" w:eastAsia="Arial" w:hAnsi="Arial"/>
          <w:sz w:val="17"/>
          <w:szCs w:val="17"/>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recognition based on our trademarks and trade names, we may not be able to compete effectively and our business may be adversely affected.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31" w:lineRule="exact"/>
        <w:rPr>
          <w:sz w:val="20"/>
          <w:szCs w:val="20"/>
          <w:color w:val="auto"/>
        </w:rPr>
      </w:pPr>
    </w:p>
    <w:p>
      <w:pPr>
        <w:ind w:right="100" w:firstLine="509"/>
        <w:spacing w:after="0" w:line="309"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64"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9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1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1"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ind w:right="40"/>
        <w:spacing w:after="0" w:line="290" w:lineRule="auto"/>
        <w:rPr>
          <w:sz w:val="20"/>
          <w:szCs w:val="20"/>
          <w:color w:val="auto"/>
        </w:rPr>
      </w:pPr>
      <w:r>
        <w:rPr>
          <w:rFonts w:ascii="Arial" w:cs="Arial" w:eastAsia="Arial" w:hAnsi="Arial"/>
          <w:sz w:val="17"/>
          <w:szCs w:val="17"/>
          <w:color w:val="auto"/>
        </w:rPr>
        <w:t>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0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9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8"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9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77"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1" w:name="page62"/>
    <w:bookmarkEnd w:id="61"/>
    <w:p>
      <w:pPr>
        <w:ind w:right="40"/>
        <w:spacing w:after="0" w:line="285" w:lineRule="auto"/>
        <w:rPr>
          <w:sz w:val="20"/>
          <w:szCs w:val="20"/>
          <w:color w:val="auto"/>
        </w:rPr>
      </w:pPr>
      <w:r>
        <w:rPr>
          <w:rFonts w:ascii="Arial" w:cs="Arial" w:eastAsia="Arial" w:hAnsi="Arial"/>
          <w:sz w:val="17"/>
          <w:szCs w:val="17"/>
          <w:color w:val="auto"/>
        </w:rPr>
        <w:t xml:space="preserve">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79"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82" w:lineRule="exact"/>
        <w:rPr>
          <w:sz w:val="20"/>
          <w:szCs w:val="20"/>
          <w:color w:val="auto"/>
        </w:rPr>
      </w:pPr>
    </w:p>
    <w:p>
      <w:pPr>
        <w:ind w:right="740" w:firstLine="509"/>
        <w:spacing w:after="0" w:line="293"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62"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2" w:lineRule="exact"/>
        <w:rPr>
          <w:sz w:val="20"/>
          <w:szCs w:val="20"/>
          <w:color w:val="auto"/>
        </w:rPr>
      </w:pPr>
    </w:p>
    <w:p>
      <w:pPr>
        <w:jc w:val="both"/>
        <w:ind w:left="1100" w:right="280"/>
        <w:spacing w:after="0" w:line="279" w:lineRule="auto"/>
        <w:rPr>
          <w:sz w:val="20"/>
          <w:szCs w:val="20"/>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5" w:lineRule="exact"/>
        <w:rPr>
          <w:sz w:val="20"/>
          <w:szCs w:val="20"/>
          <w:color w:val="auto"/>
        </w:rPr>
      </w:pPr>
    </w:p>
    <w:p>
      <w:pPr>
        <w:ind w:left="1100"/>
        <w:spacing w:after="0" w:line="279" w:lineRule="auto"/>
        <w:rPr>
          <w:sz w:val="20"/>
          <w:szCs w:val="20"/>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spacing w:after="0" w:line="75" w:lineRule="exact"/>
        <w:rPr>
          <w:sz w:val="20"/>
          <w:szCs w:val="20"/>
          <w:color w:val="auto"/>
        </w:rPr>
      </w:pPr>
    </w:p>
    <w:p>
      <w:pPr>
        <w:ind w:left="1100" w:right="260"/>
        <w:spacing w:after="0" w:line="279" w:lineRule="auto"/>
        <w:rPr>
          <w:sz w:val="20"/>
          <w:szCs w:val="20"/>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5" w:lineRule="exact"/>
        <w:rPr>
          <w:sz w:val="20"/>
          <w:szCs w:val="20"/>
          <w:color w:val="auto"/>
        </w:rPr>
      </w:pPr>
    </w:p>
    <w:p>
      <w:pPr>
        <w:ind w:left="1100" w:right="240"/>
        <w:spacing w:after="0" w:line="293" w:lineRule="auto"/>
        <w:rPr>
          <w:sz w:val="20"/>
          <w:szCs w:val="20"/>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62" w:lineRule="exact"/>
        <w:rPr>
          <w:sz w:val="20"/>
          <w:szCs w:val="20"/>
          <w:color w:val="auto"/>
        </w:rPr>
      </w:pPr>
    </w:p>
    <w:p>
      <w:pPr>
        <w:ind w:left="1100" w:right="20"/>
        <w:spacing w:after="0" w:line="288" w:lineRule="auto"/>
        <w:rPr>
          <w:sz w:val="20"/>
          <w:szCs w:val="20"/>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ind w:right="20" w:firstLine="509"/>
        <w:spacing w:after="0" w:line="271"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91"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168"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9"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5"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ind w:right="20"/>
        <w:spacing w:after="0" w:line="272" w:lineRule="auto"/>
        <w:rPr>
          <w:sz w:val="20"/>
          <w:szCs w:val="20"/>
          <w:color w:val="auto"/>
        </w:rPr>
      </w:pPr>
      <w:r>
        <w:rPr>
          <w:rFonts w:ascii="Arial" w:cs="Arial" w:eastAsia="Arial" w:hAnsi="Arial"/>
          <w:sz w:val="18"/>
          <w:szCs w:val="18"/>
          <w:color w:val="auto"/>
        </w:rPr>
        <w:t>further, may export otherwise infringing products to territories where we have patent protection, but where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9"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93" w:lineRule="exact"/>
        <w:rPr>
          <w:sz w:val="20"/>
          <w:szCs w:val="20"/>
          <w:color w:val="auto"/>
        </w:rPr>
      </w:pPr>
    </w:p>
    <w:p>
      <w:pPr>
        <w:ind w:right="400"/>
        <w:spacing w:after="0" w:line="394"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63"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31"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1" w:lineRule="exact"/>
        <w:rPr>
          <w:sz w:val="20"/>
          <w:szCs w:val="20"/>
          <w:color w:val="auto"/>
        </w:rPr>
      </w:pPr>
    </w:p>
    <w:p>
      <w:pPr>
        <w:ind w:left="1100" w:right="380"/>
        <w:spacing w:after="0" w:line="293" w:lineRule="auto"/>
        <w:rPr>
          <w:sz w:val="20"/>
          <w:szCs w:val="20"/>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priority of invention of any patented technology; and</w:t>
      </w:r>
    </w:p>
    <w:p>
      <w:pPr>
        <w:spacing w:after="0" w:line="131" w:lineRule="exact"/>
        <w:rPr>
          <w:sz w:val="20"/>
          <w:szCs w:val="20"/>
          <w:color w:val="auto"/>
        </w:rPr>
      </w:pPr>
    </w:p>
    <w:p>
      <w:pPr>
        <w:ind w:left="1100" w:right="40"/>
        <w:spacing w:after="0" w:line="29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345"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35"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8"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post grant review and equivalent proceedings in foreign jurisdictions (such as opposition proceedings). Such proceedings could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right="40" w:firstLine="509"/>
        <w:spacing w:after="0" w:line="269" w:lineRule="auto"/>
        <w:rPr>
          <w:sz w:val="20"/>
          <w:szCs w:val="20"/>
          <w:color w:val="auto"/>
        </w:rPr>
      </w:pPr>
      <w:r>
        <w:rPr>
          <w:rFonts w:ascii="Arial" w:cs="Arial" w:eastAsia="Arial" w:hAnsi="Arial"/>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16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derivation proceedings. An adverse determination in any such submission or proceeding could reduce the scope or enforceability of, or</w:t>
      </w:r>
      <w:r>
        <w:rPr>
          <w:rFonts w:ascii="Arial" w:cs="Arial" w:eastAsia="Arial" w:hAnsi="Arial"/>
          <w:sz w:val="16"/>
          <w:szCs w:val="16"/>
          <w:i w:val="1"/>
          <w:iCs w:val="1"/>
          <w:color w:val="auto"/>
        </w:rPr>
        <w:t xml:space="preserve"> </w:t>
      </w:r>
      <w:r>
        <w:rPr>
          <w:rFonts w:ascii="Arial" w:cs="Arial" w:eastAsia="Arial" w:hAnsi="Arial"/>
          <w:sz w:val="16"/>
          <w:szCs w:val="16"/>
          <w:color w:val="auto"/>
        </w:rPr>
        <w:t>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0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10" w:lineRule="exact"/>
        <w:rPr>
          <w:sz w:val="20"/>
          <w:szCs w:val="20"/>
          <w:color w:val="auto"/>
        </w:rPr>
      </w:pPr>
    </w:p>
    <w:p>
      <w:pPr>
        <w:ind w:right="220" w:firstLine="509"/>
        <w:spacing w:after="0" w:line="290"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3" w:lineRule="exact"/>
        <w:rPr>
          <w:sz w:val="20"/>
          <w:szCs w:val="20"/>
          <w:color w:val="auto"/>
        </w:rPr>
      </w:pPr>
    </w:p>
    <w:p>
      <w:pPr>
        <w:ind w:right="380" w:firstLine="4"/>
        <w:spacing w:after="0" w:line="359"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ind w:right="220"/>
        <w:spacing w:after="0" w:line="270" w:lineRule="auto"/>
        <w:rPr>
          <w:sz w:val="20"/>
          <w:szCs w:val="20"/>
          <w:color w:val="auto"/>
        </w:rPr>
      </w:pPr>
      <w:r>
        <w:rPr>
          <w:rFonts w:ascii="Arial" w:cs="Arial" w:eastAsia="Arial" w:hAnsi="Arial"/>
          <w:sz w:val="18"/>
          <w:szCs w:val="18"/>
          <w:color w:val="auto"/>
        </w:rPr>
        <w:t>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25"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1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patent applications that we own or may in-license may not lead to issued patents;</w:t>
      </w:r>
    </w:p>
    <w:p>
      <w:pPr>
        <w:spacing w:after="0" w:line="131" w:lineRule="exact"/>
        <w:rPr>
          <w:sz w:val="20"/>
          <w:szCs w:val="20"/>
          <w:color w:val="auto"/>
        </w:rPr>
      </w:pPr>
    </w:p>
    <w:p>
      <w:pPr>
        <w:ind w:left="1100" w:right="140"/>
        <w:spacing w:after="0" w:line="293" w:lineRule="auto"/>
        <w:rPr>
          <w:sz w:val="20"/>
          <w:szCs w:val="20"/>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183" w:lineRule="exact"/>
        <w:rPr>
          <w:sz w:val="20"/>
          <w:szCs w:val="20"/>
          <w:color w:val="auto"/>
        </w:rPr>
      </w:pPr>
    </w:p>
    <w:p>
      <w:pPr>
        <w:ind w:left="1100" w:right="80"/>
        <w:spacing w:after="0" w:line="279" w:lineRule="auto"/>
        <w:rPr>
          <w:sz w:val="20"/>
          <w:szCs w:val="20"/>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31" w:lineRule="exact"/>
        <w:rPr>
          <w:sz w:val="20"/>
          <w:szCs w:val="20"/>
          <w:color w:val="auto"/>
        </w:rPr>
      </w:pPr>
    </w:p>
    <w:p>
      <w:pPr>
        <w:ind w:left="1100" w:right="20"/>
        <w:spacing w:after="0" w:line="293" w:lineRule="auto"/>
        <w:rPr>
          <w:sz w:val="20"/>
          <w:szCs w:val="20"/>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42" w:lineRule="exact"/>
        <w:rPr>
          <w:sz w:val="20"/>
          <w:szCs w:val="20"/>
          <w:color w:val="auto"/>
        </w:rPr>
      </w:pPr>
    </w:p>
    <w:p>
      <w:pPr>
        <w:ind w:left="1100" w:right="580"/>
        <w:spacing w:after="0" w:line="293" w:lineRule="auto"/>
        <w:rPr>
          <w:sz w:val="20"/>
          <w:szCs w:val="20"/>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62" w:lineRule="exact"/>
        <w:rPr>
          <w:sz w:val="20"/>
          <w:szCs w:val="20"/>
          <w:color w:val="auto"/>
        </w:rPr>
      </w:pPr>
    </w:p>
    <w:p>
      <w:pPr>
        <w:jc w:val="both"/>
        <w:ind w:left="1100" w:right="160"/>
        <w:spacing w:after="0" w:line="329" w:lineRule="auto"/>
        <w:rPr>
          <w:sz w:val="20"/>
          <w:szCs w:val="20"/>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not be able to obtain and/or maintain necessary licenses on reasonable terms or at all;</w:t>
      </w:r>
    </w:p>
    <w:p>
      <w:pPr>
        <w:spacing w:after="0" w:line="131" w:lineRule="exact"/>
        <w:rPr>
          <w:sz w:val="20"/>
          <w:szCs w:val="20"/>
          <w:color w:val="auto"/>
        </w:rPr>
      </w:pPr>
    </w:p>
    <w:p>
      <w:pPr>
        <w:jc w:val="both"/>
        <w:ind w:left="1100" w:right="180"/>
        <w:spacing w:after="0" w:line="293" w:lineRule="auto"/>
        <w:rPr>
          <w:sz w:val="20"/>
          <w:szCs w:val="20"/>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2" w:lineRule="exact"/>
        <w:rPr>
          <w:sz w:val="20"/>
          <w:szCs w:val="20"/>
          <w:color w:val="auto"/>
        </w:rPr>
      </w:pPr>
    </w:p>
    <w:p>
      <w:pPr>
        <w:ind w:left="1100" w:right="240"/>
        <w:spacing w:after="0" w:line="293"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62" w:lineRule="exact"/>
        <w:rPr>
          <w:sz w:val="20"/>
          <w:szCs w:val="20"/>
          <w:color w:val="auto"/>
        </w:rPr>
      </w:pPr>
    </w:p>
    <w:p>
      <w:pPr>
        <w:ind w:left="1100" w:right="2700"/>
        <w:spacing w:after="0" w:line="404" w:lineRule="auto"/>
        <w:rPr>
          <w:sz w:val="20"/>
          <w:szCs w:val="20"/>
          <w:color w:val="auto"/>
        </w:rPr>
      </w:pPr>
      <w:r>
        <w:rPr>
          <w:rFonts w:ascii="Arial" w:cs="Arial" w:eastAsia="Arial" w:hAnsi="Arial"/>
          <w:sz w:val="18"/>
          <w:szCs w:val="18"/>
          <w:color w:val="auto"/>
        </w:rPr>
        <w:t>we may not be able to maintain the confidentiality of our trade secrets or other proprietary information; we may not develop or in-license additional proprietary technologies that are patentable; and the patents of others may have an adverse effect on our business.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5"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93"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8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72"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8" w:name="page69"/>
    <w:bookmarkEnd w:id="68"/>
    <w:p>
      <w:pPr>
        <w:ind w:right="440"/>
        <w:spacing w:after="0" w:line="293" w:lineRule="auto"/>
        <w:rPr>
          <w:sz w:val="20"/>
          <w:szCs w:val="20"/>
          <w:color w:val="auto"/>
        </w:rPr>
      </w:pPr>
      <w:r>
        <w:rPr>
          <w:rFonts w:ascii="Arial" w:cs="Arial" w:eastAsia="Arial" w:hAnsi="Arial"/>
          <w:sz w:val="18"/>
          <w:szCs w:val="18"/>
          <w:color w:val="auto"/>
        </w:rPr>
        <w:t>Europe would be sufficient to justify the necessary investment in developing the drug. In Europe, orphan drug designation entitles a party to financial incentives such as reduction of fees or fee waivers.</w:t>
      </w:r>
    </w:p>
    <w:p>
      <w:pPr>
        <w:spacing w:after="0" w:line="170"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174"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Even if we obtain orphan drug exclusivity for one of our product candidates, that exclusivity may not effectively protect our product candidate from competition because different products can be approved for the same condition.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3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5"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73"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19" w:lineRule="exact"/>
        <w:rPr>
          <w:sz w:val="20"/>
          <w:szCs w:val="20"/>
          <w:color w:val="auto"/>
        </w:rPr>
      </w:pPr>
    </w:p>
    <w:p>
      <w:pPr>
        <w:ind w:right="440" w:firstLine="4"/>
        <w:spacing w:after="0" w:line="394" w:lineRule="auto"/>
        <w:rPr>
          <w:sz w:val="20"/>
          <w:szCs w:val="20"/>
          <w:color w:val="auto"/>
        </w:rPr>
      </w:pPr>
      <w:r>
        <w:rPr>
          <w:rFonts w:ascii="Arial" w:cs="Arial" w:eastAsia="Arial" w:hAnsi="Arial"/>
          <w:sz w:val="15"/>
          <w:szCs w:val="15"/>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9" w:name="page70"/>
    <w:bookmarkEnd w:id="69"/>
    <w:p>
      <w:pPr>
        <w:ind w:right="360"/>
        <w:spacing w:after="0" w:line="319" w:lineRule="auto"/>
        <w:rPr>
          <w:sz w:val="20"/>
          <w:szCs w:val="20"/>
          <w:color w:val="auto"/>
        </w:rPr>
      </w:pPr>
      <w:r>
        <w:rPr>
          <w:rFonts w:ascii="Arial" w:cs="Arial" w:eastAsia="Arial" w:hAnsi="Arial"/>
          <w:sz w:val="16"/>
          <w:szCs w:val="16"/>
          <w:color w:val="auto"/>
        </w:rPr>
        <w:t>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1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27"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2" w:lineRule="exact"/>
        <w:rPr>
          <w:sz w:val="20"/>
          <w:szCs w:val="20"/>
          <w:color w:val="auto"/>
        </w:rPr>
      </w:pPr>
    </w:p>
    <w:p>
      <w:pPr>
        <w:jc w:val="both"/>
        <w:ind w:right="40" w:firstLine="509"/>
        <w:spacing w:after="0" w:line="296"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enact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16" w:lineRule="exact"/>
        <w:rPr>
          <w:sz w:val="20"/>
          <w:szCs w:val="20"/>
          <w:color w:val="auto"/>
        </w:rPr>
      </w:pPr>
    </w:p>
    <w:p>
      <w:pPr>
        <w:ind w:right="280" w:firstLine="513"/>
        <w:spacing w:after="0" w:line="293"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02"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9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w:t>
      </w:r>
    </w:p>
    <w:p>
      <w:pPr>
        <w:spacing w:after="0" w:line="114"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Further, if there is inadequate information to make a determination on the acceptability of a facility, the FDA may defer action on the application until an inspection can be completed. Additionally, 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the FDA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0" w:name="page71"/>
    <w:bookmarkEnd w:id="70"/>
    <w:p>
      <w:pPr>
        <w:ind w:right="140"/>
        <w:spacing w:after="0" w:line="275" w:lineRule="auto"/>
        <w:rPr>
          <w:sz w:val="20"/>
          <w:szCs w:val="20"/>
          <w:color w:val="auto"/>
        </w:rPr>
      </w:pPr>
      <w:r>
        <w:rPr>
          <w:rFonts w:ascii="Arial" w:cs="Arial" w:eastAsia="Arial" w:hAnsi="Arial"/>
          <w:sz w:val="18"/>
          <w:szCs w:val="18"/>
          <w:color w:val="auto"/>
        </w:rPr>
        <w:t>quality standards. However, the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in 2021, a number of companies announced receipt of complete response letters due to the FDA’s inability to complete required inspections for their applications.</w:t>
      </w:r>
    </w:p>
    <w:p>
      <w:pPr>
        <w:spacing w:after="0" w:line="104"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31" w:lineRule="exact"/>
        <w:rPr>
          <w:sz w:val="20"/>
          <w:szCs w:val="20"/>
          <w:color w:val="auto"/>
        </w:rPr>
      </w:pPr>
    </w:p>
    <w:p>
      <w:pPr>
        <w:jc w:val="both"/>
        <w:ind w:right="300" w:firstLine="509"/>
        <w:spacing w:after="0" w:line="32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80" w:lineRule="exact"/>
        <w:rPr>
          <w:sz w:val="20"/>
          <w:szCs w:val="20"/>
          <w:color w:val="auto"/>
        </w:rPr>
      </w:pPr>
    </w:p>
    <w:p>
      <w:pPr>
        <w:ind w:right="80" w:firstLine="509"/>
        <w:spacing w:after="0" w:line="30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spacing w:after="0" w:line="173"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the Centers for Medicare &amp; Medicaid Services, or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We cannot predict what effect the healthcare reform measures of the Biden administration or other efforts, if any, to challenge, repeal or replace the ACA would have on our business.</w:t>
      </w:r>
    </w:p>
    <w:p>
      <w:pPr>
        <w:spacing w:after="0" w:line="185"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Proposed legislation, if passed, would extend this suspension until the end of the pandemic.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1" w:name="page72"/>
    <w:bookmarkEnd w:id="71"/>
    <w:p>
      <w:pPr>
        <w:ind w:right="160" w:firstLine="509"/>
        <w:spacing w:after="0" w:line="311"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78"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74"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0"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4"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2" w:name="page73"/>
    <w:bookmarkEnd w:id="72"/>
    <w:p>
      <w:pPr>
        <w:ind w:right="320"/>
        <w:spacing w:after="0" w:line="27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5" w:lineRule="exact"/>
        <w:rPr>
          <w:sz w:val="20"/>
          <w:szCs w:val="20"/>
          <w:color w:val="auto"/>
        </w:rPr>
      </w:pPr>
    </w:p>
    <w:p>
      <w:pPr>
        <w:ind w:left="1100" w:right="40"/>
        <w:spacing w:after="0" w:line="287" w:lineRule="auto"/>
        <w:rPr>
          <w:sz w:val="20"/>
          <w:szCs w:val="20"/>
          <w:color w:val="auto"/>
        </w:rPr>
      </w:pPr>
      <w:r>
        <w:rPr>
          <w:rFonts w:ascii="Arial" w:cs="Arial" w:eastAsia="Arial" w:hAnsi="Arial"/>
          <w:sz w:val="17"/>
          <w:szCs w:val="17"/>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0" w:lineRule="exact"/>
        <w:rPr>
          <w:sz w:val="20"/>
          <w:szCs w:val="20"/>
          <w:color w:val="auto"/>
        </w:rPr>
      </w:pPr>
    </w:p>
    <w:p>
      <w:pPr>
        <w:ind w:left="1100"/>
        <w:spacing w:after="0" w:line="288" w:lineRule="auto"/>
        <w:rPr>
          <w:sz w:val="20"/>
          <w:szCs w:val="20"/>
          <w:color w:val="auto"/>
        </w:rPr>
      </w:pPr>
      <w:r>
        <w:rPr>
          <w:rFonts w:ascii="Arial" w:cs="Arial" w:eastAsia="Arial" w:hAnsi="Arial"/>
          <w:sz w:val="17"/>
          <w:szCs w:val="17"/>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FCA;</w:t>
      </w:r>
    </w:p>
    <w:p>
      <w:pPr>
        <w:spacing w:after="0" w:line="73" w:lineRule="exact"/>
        <w:rPr>
          <w:sz w:val="20"/>
          <w:szCs w:val="20"/>
          <w:color w:val="auto"/>
        </w:rPr>
      </w:pPr>
    </w:p>
    <w:p>
      <w:pPr>
        <w:ind w:left="1100" w:right="20"/>
        <w:spacing w:after="0" w:line="272" w:lineRule="auto"/>
        <w:rPr>
          <w:sz w:val="20"/>
          <w:szCs w:val="20"/>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3" w:lineRule="exact"/>
        <w:rPr>
          <w:sz w:val="20"/>
          <w:szCs w:val="20"/>
          <w:color w:val="auto"/>
        </w:rPr>
      </w:pPr>
    </w:p>
    <w:p>
      <w:pPr>
        <w:ind w:left="1100"/>
        <w:spacing w:after="0" w:line="290" w:lineRule="auto"/>
        <w:rPr>
          <w:sz w:val="20"/>
          <w:szCs w:val="20"/>
          <w:color w:val="auto"/>
        </w:rPr>
      </w:pPr>
      <w:r>
        <w:rPr>
          <w:rFonts w:ascii="Arial" w:cs="Arial" w:eastAsia="Arial" w:hAnsi="Arial"/>
          <w:sz w:val="17"/>
          <w:szCs w:val="17"/>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68" w:lineRule="exact"/>
        <w:rPr>
          <w:sz w:val="20"/>
          <w:szCs w:val="20"/>
          <w:color w:val="auto"/>
        </w:rPr>
      </w:pPr>
    </w:p>
    <w:p>
      <w:pPr>
        <w:ind w:left="1100" w:right="80"/>
        <w:spacing w:after="0" w:line="269"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8" w:lineRule="exact"/>
        <w:rPr>
          <w:sz w:val="20"/>
          <w:szCs w:val="20"/>
          <w:color w:val="auto"/>
        </w:rPr>
      </w:pPr>
    </w:p>
    <w:p>
      <w:pPr>
        <w:ind w:left="1100" w:right="140"/>
        <w:spacing w:after="0" w:line="293"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3" w:name="page74"/>
    <w:bookmarkEnd w:id="73"/>
    <w:p>
      <w:pPr>
        <w:ind w:left="1100" w:right="220"/>
        <w:spacing w:after="0" w:line="324" w:lineRule="auto"/>
        <w:rPr>
          <w:sz w:val="20"/>
          <w:szCs w:val="20"/>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 and</w:t>
      </w:r>
    </w:p>
    <w:p>
      <w:pPr>
        <w:spacing w:after="0" w:line="39" w:lineRule="exact"/>
        <w:rPr>
          <w:sz w:val="20"/>
          <w:szCs w:val="20"/>
          <w:color w:val="auto"/>
        </w:rPr>
      </w:pPr>
    </w:p>
    <w:p>
      <w:pPr>
        <w:ind w:left="1100" w:right="20"/>
        <w:spacing w:after="0" w:line="270" w:lineRule="auto"/>
        <w:rPr>
          <w:sz w:val="20"/>
          <w:szCs w:val="20"/>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19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90"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6"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3"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ind w:left="1100"/>
        <w:spacing w:after="0"/>
        <w:rPr>
          <w:sz w:val="20"/>
          <w:szCs w:val="20"/>
          <w:color w:val="auto"/>
        </w:rPr>
      </w:pPr>
      <w:r>
        <w:rPr>
          <w:rFonts w:ascii="Arial" w:cs="Arial" w:eastAsia="Arial" w:hAnsi="Arial"/>
          <w:sz w:val="16"/>
          <w:szCs w:val="16"/>
          <w:color w:val="auto"/>
        </w:rPr>
        <w:t>manufacturing delays and supply disruptions where regulatory inspections identify observations of noncompliance requiring remediation;</w:t>
      </w:r>
    </w:p>
    <w:p>
      <w:pPr>
        <w:spacing w:after="0" w:line="154" w:lineRule="exact"/>
        <w:rPr>
          <w:sz w:val="20"/>
          <w:szCs w:val="20"/>
          <w:color w:val="auto"/>
        </w:rPr>
      </w:pPr>
    </w:p>
    <w:p>
      <w:pPr>
        <w:ind w:left="1100" w:right="400"/>
        <w:spacing w:after="0" w:line="293" w:lineRule="auto"/>
        <w:rPr>
          <w:sz w:val="20"/>
          <w:szCs w:val="20"/>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imposition of a REMS which may include distribution or use restrictions;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requirements to conduct additional post-market clinical trials to assess the safety of the product;</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clinical trial holds;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fines, warning letters or other regulatory enforcement action;</w:t>
      </w:r>
    </w:p>
    <w:p>
      <w:pPr>
        <w:spacing w:after="0" w:line="131" w:lineRule="exact"/>
        <w:rPr>
          <w:sz w:val="20"/>
          <w:szCs w:val="20"/>
          <w:color w:val="auto"/>
        </w:rPr>
      </w:pPr>
    </w:p>
    <w:p>
      <w:pPr>
        <w:ind w:left="1100" w:right="400"/>
        <w:spacing w:after="0" w:line="293"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sz w:val="20"/>
          <w:szCs w:val="20"/>
          <w:color w:val="auto"/>
        </w:rPr>
      </w:pPr>
    </w:p>
    <w:p>
      <w:pPr>
        <w:ind w:left="1100" w:right="3920"/>
        <w:spacing w:after="0" w:line="399" w:lineRule="auto"/>
        <w:rPr>
          <w:sz w:val="20"/>
          <w:szCs w:val="20"/>
          <w:color w:val="auto"/>
        </w:rPr>
      </w:pPr>
      <w:r>
        <w:rPr>
          <w:rFonts w:ascii="Arial" w:cs="Arial" w:eastAsia="Arial" w:hAnsi="Arial"/>
          <w:sz w:val="18"/>
          <w:szCs w:val="18"/>
          <w:color w:val="auto"/>
        </w:rPr>
        <w:t>product seizure or detention, or refusal to permit the import or export of products; and injunctions or the imposition of civil or criminal penalties.</w:t>
      </w:r>
    </w:p>
    <w:p>
      <w:pPr>
        <w:ind w:right="60" w:firstLine="509"/>
        <w:spacing w:after="0" w:line="27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54"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86"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9"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jc w:val="both"/>
        <w:ind w:right="20" w:firstLine="509"/>
        <w:spacing w:after="0" w:line="29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0"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5" w:name="page76"/>
    <w:bookmarkEnd w:id="75"/>
    <w:p>
      <w:pPr>
        <w:ind w:right="100"/>
        <w:spacing w:after="0" w:line="293" w:lineRule="auto"/>
        <w:rPr>
          <w:sz w:val="20"/>
          <w:szCs w:val="20"/>
          <w:color w:val="auto"/>
        </w:rPr>
      </w:pPr>
      <w:r>
        <w:rPr>
          <w:rFonts w:ascii="Arial" w:cs="Arial" w:eastAsia="Arial" w:hAnsi="Arial"/>
          <w:sz w:val="18"/>
          <w:szCs w:val="18"/>
          <w:color w:val="auto"/>
        </w:rPr>
        <w:t>comply with these laws, and these laws may preclude us from developing, manufacturing, or selling certain products and product candidates outside of the United States, which could limit our growth potential and increase our development costs.</w:t>
      </w:r>
    </w:p>
    <w:p>
      <w:pPr>
        <w:spacing w:after="0" w:line="170"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65"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94" w:lineRule="exact"/>
        <w:rPr>
          <w:sz w:val="20"/>
          <w:szCs w:val="20"/>
          <w:color w:val="auto"/>
        </w:rPr>
      </w:pPr>
    </w:p>
    <w:p>
      <w:pPr>
        <w:ind w:right="140" w:firstLine="509"/>
        <w:spacing w:after="0" w:line="314"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8"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39"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ind w:right="120"/>
        <w:spacing w:after="0" w:line="293" w:lineRule="auto"/>
        <w:rPr>
          <w:sz w:val="20"/>
          <w:szCs w:val="20"/>
          <w:color w:val="auto"/>
        </w:rPr>
      </w:pPr>
      <w:r>
        <w:rPr>
          <w:rFonts w:ascii="Arial" w:cs="Arial" w:eastAsia="Arial" w:hAnsi="Arial"/>
          <w:sz w:val="18"/>
          <w:szCs w:val="18"/>
          <w:color w:val="auto"/>
        </w:rPr>
        <w:t>HITECH), and international law (e.g., the GDPR) and may cause a material adverse impact to our reputation, affect our ability to conduct new studies and potentially disrupt our business.</w:t>
      </w:r>
    </w:p>
    <w:p>
      <w:pPr>
        <w:spacing w:after="0" w:line="170"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w:t>
      </w:r>
    </w:p>
    <w:p>
      <w:pPr>
        <w:spacing w:after="0" w:line="171"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84"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right="240" w:firstLine="509"/>
        <w:spacing w:after="0" w:line="309" w:lineRule="auto"/>
        <w:rPr>
          <w:sz w:val="20"/>
          <w:szCs w:val="20"/>
          <w:color w:val="auto"/>
        </w:rPr>
      </w:pPr>
      <w:r>
        <w:rPr>
          <w:rFonts w:ascii="Arial" w:cs="Arial" w:eastAsia="Arial" w:hAnsi="Arial"/>
          <w:sz w:val="16"/>
          <w:szCs w:val="16"/>
          <w:color w:val="auto"/>
        </w:rPr>
        <w:t>As of September 30, 2021, we had 83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4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5" w:lineRule="exact"/>
        <w:rPr>
          <w:sz w:val="20"/>
          <w:szCs w:val="20"/>
          <w:color w:val="auto"/>
        </w:rPr>
      </w:pPr>
    </w:p>
    <w:p>
      <w:pPr>
        <w:ind w:right="800"/>
        <w:spacing w:after="0" w:line="293"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Based on our common stock outstanding as of August 31, 2021,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7" w:name="page78"/>
    <w:bookmarkEnd w:id="77"/>
    <w:p>
      <w:pPr>
        <w:ind w:right="220"/>
        <w:spacing w:after="0" w:line="292" w:lineRule="auto"/>
        <w:rPr>
          <w:sz w:val="20"/>
          <w:szCs w:val="20"/>
          <w:color w:val="auto"/>
        </w:rPr>
      </w:pPr>
      <w:r>
        <w:rPr>
          <w:rFonts w:ascii="Arial" w:cs="Arial" w:eastAsia="Arial" w:hAnsi="Arial"/>
          <w:sz w:val="17"/>
          <w:szCs w:val="17"/>
          <w:color w:val="auto"/>
        </w:rPr>
        <w:t>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31"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As of December 31, 2020, we had federal net operating loss carryforwards of approximately $41.0 million, and our ability to utilize those net operating loss carryforwards could be limited by an “ownership change” as described above, which could result in increased tax liability to us. We have not yet conducted a study to assess whether a change of control has occurred as a result of the Business Combination. A study will be conducted in the near term. If we experience a change of control, as defined by Section 382 of the Code, as a result of the Business Combination or otherwise, utilization of net operating loss carryforwards or research and development tax credit carryforwards could be subject to an annual limitation under Sections 382 and 383 of the Code, as applicable. Any limitation may result in expiration of a portion of the net operating loss carryforwards or research and development tax credit carryforwards before utilization. Moreover, our ability to utilize our net operating loss carryforwards or credits is conditioned upon our attaining profitability and generating U.S. federal and state taxable income. As a result, the amount of the net operating loss and tax credit carryforwards presented in our financial statements could be limited and may expire unutilized.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generated after December 31, 2017. For these reasons, we may not be able to utilize some portion of our net operating loss carryforwards, none of which are currently reflected on our balance sheet, even if we attain profitability.</w:t>
      </w:r>
    </w:p>
    <w:p>
      <w:pPr>
        <w:spacing w:after="0" w:line="200" w:lineRule="exact"/>
        <w:rPr>
          <w:sz w:val="20"/>
          <w:szCs w:val="20"/>
          <w:color w:val="auto"/>
        </w:rPr>
      </w:pPr>
    </w:p>
    <w:p>
      <w:pPr>
        <w:spacing w:after="0" w:line="313" w:lineRule="exact"/>
        <w:rPr>
          <w:sz w:val="20"/>
          <w:szCs w:val="20"/>
          <w:color w:val="auto"/>
        </w:rPr>
      </w:pPr>
    </w:p>
    <w:p>
      <w:pPr>
        <w:ind w:right="840"/>
        <w:spacing w:after="0" w:line="359"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62" w:lineRule="exact"/>
        <w:rPr>
          <w:sz w:val="20"/>
          <w:szCs w:val="20"/>
          <w:color w:val="auto"/>
        </w:rPr>
      </w:pPr>
    </w:p>
    <w:p>
      <w:pPr>
        <w:ind w:left="1100" w:right="240"/>
        <w:spacing w:after="0" w:line="293" w:lineRule="auto"/>
        <w:rPr>
          <w:sz w:val="20"/>
          <w:szCs w:val="20"/>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sz w:val="20"/>
          <w:szCs w:val="20"/>
          <w:color w:val="auto"/>
        </w:rPr>
      </w:pPr>
    </w:p>
    <w:p>
      <w:pPr>
        <w:ind w:left="1100" w:right="680"/>
        <w:spacing w:after="0" w:line="293" w:lineRule="auto"/>
        <w:rPr>
          <w:sz w:val="20"/>
          <w:szCs w:val="20"/>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sz w:val="20"/>
          <w:szCs w:val="20"/>
          <w:color w:val="auto"/>
        </w:rPr>
      </w:pPr>
    </w:p>
    <w:p>
      <w:pPr>
        <w:ind w:left="1100" w:right="20"/>
        <w:spacing w:after="0" w:line="279" w:lineRule="auto"/>
        <w:rPr>
          <w:sz w:val="20"/>
          <w:szCs w:val="20"/>
          <w:color w:val="auto"/>
        </w:rPr>
      </w:pPr>
      <w:r>
        <w:rPr>
          <w:rFonts w:ascii="Arial" w:cs="Arial" w:eastAsia="Arial" w:hAnsi="Arial"/>
          <w:sz w:val="18"/>
          <w:szCs w:val="18"/>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31" w:lineRule="exact"/>
        <w:rPr>
          <w:sz w:val="20"/>
          <w:szCs w:val="20"/>
          <w:color w:val="auto"/>
        </w:rPr>
      </w:pPr>
    </w:p>
    <w:p>
      <w:pPr>
        <w:ind w:left="1100"/>
        <w:spacing w:after="0" w:line="279" w:lineRule="auto"/>
        <w:rPr>
          <w:sz w:val="20"/>
          <w:szCs w:val="20"/>
          <w:color w:val="auto"/>
        </w:rPr>
      </w:pPr>
      <w:r>
        <w:rPr>
          <w:rFonts w:ascii="Arial" w:cs="Arial" w:eastAsia="Arial" w:hAnsi="Arial"/>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75" w:lineRule="exact"/>
        <w:rPr>
          <w:sz w:val="20"/>
          <w:szCs w:val="20"/>
          <w:color w:val="auto"/>
        </w:rPr>
      </w:pPr>
    </w:p>
    <w:p>
      <w:pPr>
        <w:ind w:left="1100" w:right="80"/>
        <w:spacing w:after="0" w:line="293" w:lineRule="auto"/>
        <w:rPr>
          <w:sz w:val="20"/>
          <w:szCs w:val="20"/>
          <w:color w:val="auto"/>
        </w:rPr>
      </w:pPr>
      <w:r>
        <w:rPr>
          <w:rFonts w:ascii="Arial" w:cs="Arial" w:eastAsia="Arial" w:hAnsi="Arial"/>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62" w:lineRule="exact"/>
        <w:rPr>
          <w:sz w:val="20"/>
          <w:szCs w:val="20"/>
          <w:color w:val="auto"/>
        </w:rPr>
      </w:pPr>
    </w:p>
    <w:p>
      <w:pPr>
        <w:ind w:left="1100" w:right="200"/>
        <w:spacing w:after="0" w:line="293" w:lineRule="auto"/>
        <w:rPr>
          <w:sz w:val="20"/>
          <w:szCs w:val="20"/>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8" w:name="page79"/>
    <w:bookmarkEnd w:id="78"/>
    <w:p>
      <w:pPr>
        <w:ind w:right="60" w:firstLine="509"/>
        <w:spacing w:after="0" w:line="314" w:lineRule="auto"/>
        <w:rPr>
          <w:sz w:val="20"/>
          <w:szCs w:val="20"/>
          <w:color w:val="auto"/>
        </w:rPr>
      </w:pPr>
      <w:r>
        <w:rPr>
          <w:rFonts w:ascii="Arial" w:cs="Arial" w:eastAsia="Arial" w:hAnsi="Arial"/>
          <w:sz w:val="16"/>
          <w:szCs w:val="16"/>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68"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in this prospectus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in this prospectus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200" w:firstLine="509"/>
        <w:spacing w:after="0" w:line="306"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78"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spacing w:after="0" w:line="304" w:lineRule="auto"/>
        <w:rPr>
          <w:sz w:val="20"/>
          <w:szCs w:val="20"/>
          <w:color w:val="auto"/>
        </w:rPr>
      </w:pPr>
      <w:r>
        <w:rPr>
          <w:rFonts w:ascii="Arial" w:cs="Arial" w:eastAsia="Arial" w:hAnsi="Arial"/>
          <w:sz w:val="16"/>
          <w:szCs w:val="16"/>
          <w:color w:val="auto"/>
        </w:rPr>
        <w:t>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78"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1"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2" w:lineRule="exact"/>
        <w:rPr>
          <w:sz w:val="20"/>
          <w:szCs w:val="20"/>
          <w:color w:val="auto"/>
        </w:rPr>
      </w:pPr>
    </w:p>
    <w:p>
      <w:pPr>
        <w:ind w:right="20" w:firstLine="509"/>
        <w:spacing w:after="0" w:line="303"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success of competitive products or technologies;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advancement of our preclinical programs, such as our targeted oncology programs, into clinical testing;</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results of clinical trials of our product candidates or those of our competitors;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general economic, industry and market conditions; and</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80" w:name="page81"/>
    <w:bookmarkEnd w:id="80"/>
    <w:p>
      <w:pPr>
        <w:ind w:right="420"/>
        <w:spacing w:after="0" w:line="29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3"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38"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 and you may not be able to resell your shares at the price you paid.</w:t>
      </w:r>
    </w:p>
    <w:p>
      <w:pPr>
        <w:spacing w:after="0" w:line="142"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Concurrently with the execution of the Business Combination, we entered into subscription agreements, or the “Subscription Agreements”, with each of the PIPE Investors, pursuant to which the PIPE Investors subscribed for and purchased an aggregate of 18,610,000 shares of Common Stock at a price of $10.00 per share for aggregate gross proceeds of $186,100,000. These shares were issued to the PIPE Investors immediately following the closing of the Business Combination on August 10, 2021.</w:t>
      </w:r>
    </w:p>
    <w:p>
      <w:pPr>
        <w:spacing w:after="0" w:line="7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Originally, the shares of Common Stock issued pursuant to the Subscription Agreements, or the “PIPE Financing Shares”, had not been registered under the Securities Act in reliance upon the exemption provided in Section 4(a)(2) of the Securities Act. Pursuant to the Subscription Agreements, on September 9, 2021, we filed with the SEC (at our sole cost and expense) a registration statement, or the “Resale Registration Statement”, registering the resale of the PIPE Financing Shares.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our Initial Public Offering</w:t>
      </w:r>
    </w:p>
    <w:p>
      <w:pPr>
        <w:spacing w:after="0" w:line="360"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9980" w:type="dxa"/>
            <w:vAlign w:val="bottom"/>
          </w:tcPr>
          <w:p>
            <w:pPr>
              <w:spacing w:after="0"/>
              <w:rPr>
                <w:sz w:val="15"/>
                <w:szCs w:val="15"/>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998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1140" w:type="dxa"/>
            <w:vAlign w:val="bottom"/>
          </w:tcPr>
          <w:p>
            <w:pPr>
              <w:ind w:lef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3"/>
              </w:rPr>
              <w:t>Agreement and Plan of Merger, dated as of April 13, 2021, by and among BCTG Acquisition Corp., BCTG Merger Sub Inc. and Tango</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Therapeutics, Inc. (incorporated by reference to Annex A to the Proxy Statement/ Prospectus).</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2"/>
              </w:rPr>
              <w:t>Second Amended and Restated Certificate of Incorporation of Tango Therapeutics, Inc. (incorporated by reference to Exhibit 3.1 to the</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Registrant’s registration statement on Form S-1 filed with the SEC on September 10,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Amended and Restated By-laws of Tango Therapeutics, Inc. (incorporated by reference to Exhibit 4.2 to the Registrant’s registration</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statement on Form S-8 filed with the SEC on October 14, 2021).</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Form of Lock-Up Agreement (incorporated by reference to Exhibit D to Exhibit 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0"/>
              </w:rPr>
              <w:t>Amended and Restated Registration and Stockholder Rights Agreement, dated August 10, 2021, by and among Tango Therapeutics, Inc.</w:t>
            </w:r>
          </w:p>
        </w:tc>
      </w:tr>
      <w:tr>
        <w:trPr>
          <w:trHeight w:val="23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1"/>
              </w:rPr>
              <w:t>and the stockholders party thereto (incorporated by reference to Exhibit 10.2 to the Current Report on Form 8-K filed by the Registrant on</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1"/>
              </w:rPr>
              <w:t>Tango Therapeutics, Inc. 2021 Stock Option and Incentive Plan (incorporated by reference to Exhibit 10.4 to the Current Report on Form</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8-K filed by the 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Forms of Award Agreements under the Tango Therapeutics, Inc. 2021 Stock Option and Incentive Plan (incorporated by reference to</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Exhibit 10.5 to the Current Report on Form 8-K filed by the 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1"/>
              </w:rPr>
              <w:t>Tango Therapeutics, Inc. 2021 Employee Stock Purchase Plan (incorporated by reference to Exhibit 10.6 to the Current Report on Form</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8-K filed by the 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Form of Executive Employment Agreement (incorporated by reference to Exhibit 10.7 to the Current Report on Form 8-K filed by the</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3"/>
              </w:rPr>
              <w:t>Non-Employee Director Compensation Policy (incorporated by reference to Exhibit 10.8 to the Current Report on Form 8-K filed by the</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(Directors) (incorporated by reference to Exhibit 10.9 to the Current Report on Form 8-K filed by</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the 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(Officers) (incorporated by reference to Exhibit 10.10 to the Current Report on Form 8-K filed by</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the 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2"/>
              </w:rPr>
              <w:t>Senior Executive Cash Annual Incentive Plan (incorporated by reference to Exhibit 10.11 to the Current Report on Form 8-K filed by the</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Registrant on August 13, 2021).</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Certification of Principal Executive Officer Pursuant to Rules 13a-14(a) and 15d-14(a) under the Securities Exchange Act of 1934, as</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Certification of Principal Financial Officer Pursuant to Rules 13a-14(a) and 15d-14(a) under the Securities Exchange Act of 1934, as</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Certification of Principal Executive Officer Pursuant to 18 U.S.C. Section 1350, as Adopted Pursuant to Section 906 of the Sarbanes-</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4"/>
              </w:rPr>
              <w:t>Certification of Principal Financial Officer Pursuant to 18 U.S.C. Section 1350, as Adopted Pursuant to Section 906 of the Sarbanes-</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242"/>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1"/>
                <w:szCs w:val="21"/>
                <w:color w:val="auto"/>
              </w:rPr>
            </w:pPr>
          </w:p>
        </w:tc>
        <w:tc>
          <w:tcPr>
            <w:tcW w:w="998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right="4180" w:firstLine="21"/>
        <w:spacing w:after="0" w:line="430" w:lineRule="auto"/>
        <w:tabs>
          <w:tab w:leader="none" w:pos="12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Furnished herewith.</w:t>
      </w:r>
    </w:p>
    <w:p>
      <w:pPr>
        <w:spacing w:after="0" w:line="1" w:lineRule="exact"/>
        <w:rPr>
          <w:rFonts w:ascii="Arial" w:cs="Arial" w:eastAsia="Arial" w:hAnsi="Arial"/>
          <w:sz w:val="18"/>
          <w:szCs w:val="18"/>
          <w:color w:val="auto"/>
        </w:rPr>
      </w:pPr>
    </w:p>
    <w:p>
      <w:pPr>
        <w:ind w:left="520" w:right="100" w:hanging="512"/>
        <w:spacing w:after="0" w:line="279" w:lineRule="auto"/>
        <w:tabs>
          <w:tab w:leader="none" w:pos="4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9512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5" w:lineRule="exact"/>
        <w:rPr>
          <w:sz w:val="20"/>
          <w:szCs w:val="20"/>
          <w:color w:val="auto"/>
        </w:rPr>
      </w:pPr>
    </w:p>
    <w:p>
      <w:pPr>
        <w:ind w:left="520" w:right="20" w:hanging="512"/>
        <w:spacing w:after="0" w:line="293" w:lineRule="auto"/>
        <w:tabs>
          <w:tab w:leader="none" w:pos="4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601(b)(2) of Regulation S-K. A copy of any omitted schedule and/or exhibit will be furnished to the SEC upon request.</w:t>
      </w:r>
    </w:p>
    <w:p>
      <w:pPr>
        <w:spacing w:after="0" w:line="18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Tango Therapeutics, Inc.</w:t>
      </w:r>
    </w:p>
    <w:p>
      <w:pPr>
        <w:spacing w:after="0" w:line="279"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Barbara Weber, MD</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Tango Therapeutics, Inc.</w:t>
      </w:r>
    </w:p>
    <w:p>
      <w:pPr>
        <w:spacing w:after="0" w:line="279"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Daniella Beckman</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2"/>
    </w:lvl>
  </w:abstractNum>
  <w:abstractNum w:abstractNumId="8">
    <w:nsid w:val="25E45D32"/>
    <w:multiLevelType w:val="hybridMultilevel"/>
    <w:lvl w:ilvl="0">
      <w:lvlJc w:val="left"/>
      <w:lvlText w:val="\emdash "/>
      <w:numFmt w:val="bullet"/>
      <w:start w:val="1"/>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decimal"/>
      <w:start w:val="6"/>
    </w:lvl>
  </w:abstractNum>
  <w:abstractNum w:abstractNumId="13">
    <w:nsid w:val="257130A3"/>
    <w:multiLevelType w:val="hybridMultilevel"/>
    <w:lvl w:ilvl="0">
      <w:lvlJc w:val="left"/>
      <w:lvlText w:val="%1."/>
      <w:numFmt w:val="decimal"/>
      <w:start w:val="7"/>
    </w:lvl>
  </w:abstractNum>
  <w:abstractNum w:abstractNumId="14">
    <w:nsid w:val="62BBD95A"/>
    <w:multiLevelType w:val="hybridMultilevel"/>
    <w:lvl w:ilvl="0">
      <w:lvlJc w:val="left"/>
      <w:lvlText w:val="%1."/>
      <w:numFmt w:val="decimal"/>
      <w:start w:val="8"/>
    </w:lvl>
  </w:abstractNum>
  <w:abstractNum w:abstractNumId="15">
    <w:nsid w:val="436C6125"/>
    <w:multiLevelType w:val="hybridMultilevel"/>
    <w:lvl w:ilvl="0">
      <w:lvlJc w:val="left"/>
      <w:lvlText w:val="%1."/>
      <w:numFmt w:val="decimal"/>
      <w:start w:val="9"/>
    </w:lvl>
  </w:abstractNum>
  <w:abstractNum w:abstractNumId="16">
    <w:nsid w:val="628C895D"/>
    <w:multiLevelType w:val="hybridMultilevel"/>
    <w:lvl w:ilvl="0">
      <w:lvlJc w:val="left"/>
      <w:lvlText w:val="%1."/>
      <w:numFmt w:val="decimal"/>
      <w:start w:val="10"/>
    </w:lvl>
  </w:abstractNum>
  <w:abstractNum w:abstractNumId="17">
    <w:nsid w:val="333AB105"/>
    <w:multiLevelType w:val="hybridMultilevel"/>
    <w:lvl w:ilvl="0">
      <w:lvlJc w:val="left"/>
      <w:lvlText w:val="%1."/>
      <w:numFmt w:val="decimal"/>
      <w:start w:val="11"/>
    </w:lvl>
  </w:abstractNum>
  <w:abstractNum w:abstractNumId="18">
    <w:nsid w:val="721DA317"/>
    <w:multiLevelType w:val="hybridMultilevel"/>
    <w:lvl w:ilvl="0">
      <w:lvlJc w:val="left"/>
      <w:lvlText w:val="%1."/>
      <w:numFmt w:val="decimal"/>
      <w:start w:val="12"/>
    </w:lvl>
  </w:abstractNum>
  <w:abstractNum w:abstractNumId="19">
    <w:nsid w:val="2443A858"/>
    <w:multiLevelType w:val="hybridMultilevel"/>
    <w:lvl w:ilvl="0">
      <w:lvlJc w:val="left"/>
      <w:lvlText w:val="%1."/>
      <w:numFmt w:val="decimal"/>
      <w:start w:val="13"/>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
      <w:numFmt w:val="bullet"/>
      <w:start w:val="1"/>
    </w:lvl>
    <w:lvl w:ilvl="1">
      <w:lvlJc w:val="left"/>
      <w:lvlText w:val="%2"/>
      <w:numFmt w:val="decimal"/>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2021-11-09T16:25:01Z</dcterms:created>
  <dcterms:modified xsi:type="dcterms:W3CDTF">2021-11-09T16:25:01Z</dcterms:modified>
</cp:coreProperties>
</file>