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137160</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162560</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158115</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TANGO THERAPEUTICS,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142875</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960" w:type="dxa"/>
        <w:tblCellMar>
          <w:top w:w="0" w:type="dxa"/>
          <w:left w:w="0" w:type="dxa"/>
          <w:bottom w:w="0" w:type="dxa"/>
          <w:right w:w="0" w:type="dxa"/>
        </w:tblCellMar>
      </w:tblPr>
      <w:tr>
        <w:trPr>
          <w:trHeight w:val="169"/>
        </w:trPr>
        <w:tc>
          <w:tcPr>
            <w:tcW w:w="2300" w:type="dxa"/>
            <w:vAlign w:val="bottom"/>
          </w:tcPr>
          <w:p>
            <w:pPr>
              <w:jc w:val="center"/>
              <w:ind w:right="93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001-39485</w:t>
            </w:r>
          </w:p>
        </w:tc>
        <w:tc>
          <w:tcPr>
            <w:tcW w:w="196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rPr>
              <w:t>85-1195036</w:t>
            </w:r>
          </w:p>
        </w:tc>
      </w:tr>
      <w:tr>
        <w:trPr>
          <w:trHeight w:val="118"/>
        </w:trPr>
        <w:tc>
          <w:tcPr>
            <w:tcW w:w="2300" w:type="dxa"/>
            <w:vAlign w:val="bottom"/>
          </w:tcPr>
          <w:p>
            <w:pPr>
              <w:jc w:val="center"/>
              <w:ind w:right="938"/>
              <w:spacing w:after="0" w:line="119"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2720" w:type="dxa"/>
            <w:vAlign w:val="bottom"/>
          </w:tcPr>
          <w:p>
            <w:pPr>
              <w:ind w:left="1020"/>
              <w:spacing w:after="0" w:line="119"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1960" w:type="dxa"/>
            <w:vAlign w:val="bottom"/>
          </w:tcPr>
          <w:p>
            <w:pPr>
              <w:jc w:val="center"/>
              <w:ind w:left="998"/>
              <w:spacing w:after="0" w:line="119"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2300" w:type="dxa"/>
            <w:vAlign w:val="bottom"/>
          </w:tcPr>
          <w:p>
            <w:pPr>
              <w:jc w:val="center"/>
              <w:ind w:right="958"/>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2720" w:type="dxa"/>
            <w:vAlign w:val="bottom"/>
          </w:tcPr>
          <w:p>
            <w:pPr>
              <w:ind w:left="10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960" w:type="dxa"/>
            <w:vAlign w:val="bottom"/>
          </w:tcPr>
          <w:p>
            <w:pPr>
              <w:jc w:val="center"/>
              <w:ind w:left="99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54" w:lineRule="exact"/>
        <w:rPr>
          <w:sz w:val="24"/>
          <w:szCs w:val="24"/>
          <w:color w:val="auto"/>
        </w:rPr>
      </w:pPr>
    </w:p>
    <w:tbl>
      <w:tblPr>
        <w:tblLayout w:type="fixed"/>
        <w:tblInd w:w="1380" w:type="dxa"/>
        <w:tblCellMar>
          <w:top w:w="0" w:type="dxa"/>
          <w:left w:w="0" w:type="dxa"/>
          <w:bottom w:w="0" w:type="dxa"/>
          <w:right w:w="0" w:type="dxa"/>
        </w:tblCellMar>
      </w:tblPr>
      <w:tr>
        <w:trPr>
          <w:trHeight w:val="172"/>
        </w:trPr>
        <w:tc>
          <w:tcPr>
            <w:tcW w:w="3520" w:type="dxa"/>
            <w:vAlign w:val="bottom"/>
          </w:tcPr>
          <w:p>
            <w:pPr>
              <w:jc w:val="center"/>
              <w:ind w:right="1553"/>
              <w:spacing w:after="0"/>
              <w:rPr>
                <w:sz w:val="20"/>
                <w:szCs w:val="20"/>
                <w:color w:val="auto"/>
              </w:rPr>
            </w:pPr>
            <w:r>
              <w:rPr>
                <w:rFonts w:ascii="Times New Roman" w:cs="Times New Roman" w:eastAsia="Times New Roman" w:hAnsi="Times New Roman"/>
                <w:sz w:val="14"/>
                <w:szCs w:val="14"/>
                <w:b w:val="1"/>
                <w:bCs w:val="1"/>
                <w:color w:val="auto"/>
              </w:rPr>
              <w:t>201 Brookline Ave., Suite 901</w:t>
            </w:r>
          </w:p>
        </w:tc>
        <w:tc>
          <w:tcPr>
            <w:tcW w:w="2120" w:type="dxa"/>
            <w:vAlign w:val="bottom"/>
          </w:tcPr>
          <w:p>
            <w:pPr>
              <w:spacing w:after="0"/>
              <w:rPr>
                <w:sz w:val="14"/>
                <w:szCs w:val="14"/>
                <w:color w:val="auto"/>
              </w:rPr>
            </w:pPr>
          </w:p>
        </w:tc>
      </w:tr>
      <w:tr>
        <w:trPr>
          <w:trHeight w:val="180"/>
        </w:trPr>
        <w:tc>
          <w:tcPr>
            <w:tcW w:w="3520" w:type="dxa"/>
            <w:vAlign w:val="bottom"/>
          </w:tcPr>
          <w:p>
            <w:pPr>
              <w:jc w:val="center"/>
              <w:ind w:right="1553"/>
              <w:spacing w:after="0"/>
              <w:rPr>
                <w:sz w:val="20"/>
                <w:szCs w:val="20"/>
                <w:color w:val="auto"/>
              </w:rPr>
            </w:pPr>
            <w:r>
              <w:rPr>
                <w:rFonts w:ascii="Times New Roman" w:cs="Times New Roman" w:eastAsia="Times New Roman" w:hAnsi="Times New Roman"/>
                <w:sz w:val="14"/>
                <w:szCs w:val="14"/>
                <w:b w:val="1"/>
                <w:bCs w:val="1"/>
                <w:color w:val="auto"/>
              </w:rPr>
              <w:t>Boston, MA</w:t>
            </w:r>
          </w:p>
        </w:tc>
        <w:tc>
          <w:tcPr>
            <w:tcW w:w="21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02215</w:t>
            </w:r>
          </w:p>
        </w:tc>
      </w:tr>
      <w:tr>
        <w:trPr>
          <w:trHeight w:val="150"/>
        </w:trPr>
        <w:tc>
          <w:tcPr>
            <w:tcW w:w="3520" w:type="dxa"/>
            <w:vAlign w:val="bottom"/>
          </w:tcPr>
          <w:p>
            <w:pPr>
              <w:jc w:val="center"/>
              <w:ind w:right="155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120" w:type="dxa"/>
            <w:vAlign w:val="bottom"/>
          </w:tcPr>
          <w:p>
            <w:pPr>
              <w:jc w:val="center"/>
              <w:ind w:left="1555"/>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857-320-4900</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143510</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42" w:lineRule="exact"/>
        <w:rPr>
          <w:sz w:val="24"/>
          <w:szCs w:val="24"/>
          <w:color w:val="auto"/>
        </w:rPr>
      </w:pPr>
    </w:p>
    <w:p>
      <w:pPr>
        <w:ind w:left="120" w:right="499"/>
        <w:spacing w:after="0" w:line="29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0"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77"/>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00" w:type="dxa"/>
            <w:vAlign w:val="bottom"/>
          </w:tcPr>
          <w:p>
            <w:pPr>
              <w:spacing w:after="0"/>
              <w:rPr>
                <w:sz w:val="15"/>
                <w:szCs w:val="15"/>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TNGX</w:t>
            </w:r>
          </w:p>
        </w:tc>
        <w:tc>
          <w:tcPr>
            <w:tcW w:w="8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120" w:right="359"/>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0" w:lineRule="exact"/>
        <w:rPr>
          <w:sz w:val="24"/>
          <w:szCs w:val="24"/>
          <w:color w:val="auto"/>
        </w:rPr>
      </w:pPr>
    </w:p>
    <w:p>
      <w:pPr>
        <w:ind w:left="7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3" w:lineRule="exact"/>
        <w:rPr>
          <w:sz w:val="24"/>
          <w:szCs w:val="24"/>
          <w:color w:val="auto"/>
        </w:rPr>
      </w:pPr>
    </w:p>
    <w:p>
      <w:pPr>
        <w:ind w:left="120" w:right="35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102235</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136525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 w:name="page2"/>
    <w:bookmarkEnd w:id="1"/>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99" w:lineRule="exact"/>
        <w:rPr>
          <w:sz w:val="20"/>
          <w:szCs w:val="20"/>
          <w:color w:val="auto"/>
        </w:rPr>
      </w:pPr>
    </w:p>
    <w:p>
      <w:pPr>
        <w:ind w:left="120" w:right="299"/>
        <w:spacing w:after="0" w:line="293" w:lineRule="auto"/>
        <w:rPr>
          <w:sz w:val="20"/>
          <w:szCs w:val="20"/>
          <w:color w:val="auto"/>
        </w:rPr>
      </w:pPr>
      <w:r>
        <w:rPr>
          <w:rFonts w:ascii="Times New Roman" w:cs="Times New Roman" w:eastAsia="Times New Roman" w:hAnsi="Times New Roman"/>
          <w:sz w:val="14"/>
          <w:szCs w:val="14"/>
          <w:color w:val="auto"/>
        </w:rPr>
        <w:t>On June 8, 2026, Tango Therapeutics, Inc. (the “Company” or “Tango”) issued a press release announcing the initial safety and efficacy data from the Company’s Phase 1/2 combination trial evaluating vopimetostat in combination with RAS(ON) inhibitors from Revolution Medicines, Inc.</w:t>
      </w:r>
    </w:p>
    <w:p>
      <w:pPr>
        <w:spacing w:after="0" w:line="123" w:lineRule="exact"/>
        <w:rPr>
          <w:sz w:val="20"/>
          <w:szCs w:val="20"/>
          <w:color w:val="auto"/>
        </w:rPr>
      </w:pPr>
    </w:p>
    <w:p>
      <w:pPr>
        <w:ind w:left="120" w:right="219"/>
        <w:spacing w:after="0" w:line="293" w:lineRule="auto"/>
        <w:rPr>
          <w:sz w:val="20"/>
          <w:szCs w:val="20"/>
          <w:color w:val="auto"/>
        </w:rPr>
      </w:pPr>
      <w:r>
        <w:rPr>
          <w:rFonts w:ascii="Times New Roman" w:cs="Times New Roman" w:eastAsia="Times New Roman" w:hAnsi="Times New Roman"/>
          <w:sz w:val="14"/>
          <w:szCs w:val="14"/>
          <w:color w:val="auto"/>
        </w:rPr>
        <w:t>A copy of the full press release is attached as Exhibit 99.1 to this Current Report on Form 8-K. A copy of the presentation relating to the Phase 1/2 data is attached as Exhibit 99.2 to this Current Report on Form 8-K.</w:t>
      </w:r>
    </w:p>
    <w:p>
      <w:pPr>
        <w:spacing w:after="0" w:line="123"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The information in this Item 7.01 and Exhibits 99.1 and 99.2 of this Current Report on Form 8-K are furnished and shall not be deemed to be “filed” for the purposes of Section 18 of the Securities Exchange Act of 1934, as amended (the “Exchange Act”), or otherwise subject to the liabilities of that section. The information in this Item 7.01 and Exhibits 99.1 and 99.2 of this Current Report on Form 8-K shall not be incorporated by reference into any filing under the Securities Act of 1933, as amended, or the Exchange Act, whether made before or after the date of this Current Report on Form 8-K, regardless of any general incorporation language in any such filing.</w:t>
      </w:r>
    </w:p>
    <w:p>
      <w:pPr>
        <w:spacing w:after="0" w:line="260"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99" w:lineRule="exact"/>
        <w:rPr>
          <w:sz w:val="20"/>
          <w:szCs w:val="20"/>
          <w:color w:val="auto"/>
        </w:rPr>
      </w:pPr>
    </w:p>
    <w:p>
      <w:pPr>
        <w:ind w:left="120" w:right="379"/>
        <w:spacing w:after="0" w:line="275" w:lineRule="auto"/>
        <w:rPr>
          <w:sz w:val="20"/>
          <w:szCs w:val="20"/>
          <w:color w:val="auto"/>
        </w:rPr>
      </w:pPr>
      <w:r>
        <w:rPr>
          <w:rFonts w:ascii="Times New Roman" w:cs="Times New Roman" w:eastAsia="Times New Roman" w:hAnsi="Times New Roman"/>
          <w:sz w:val="14"/>
          <w:szCs w:val="14"/>
          <w:color w:val="auto"/>
        </w:rPr>
        <w:t>On June 8, 2026, the Company disclosed initial safety and efficacy data from its Phase 1/2 combination trial evaluating vopimetostat in combination with RAS(ON) inhibitors from Revolution Medicines, Inc. in patients with MTAP-deleted and RAS-mutant metastatic pancreatic ductal adenocarcinoma (“PDAC”).</w:t>
      </w:r>
    </w:p>
    <w:p>
      <w:pPr>
        <w:spacing w:after="0" w:line="135" w:lineRule="exact"/>
        <w:rPr>
          <w:sz w:val="20"/>
          <w:szCs w:val="20"/>
          <w:color w:val="auto"/>
        </w:rPr>
      </w:pPr>
    </w:p>
    <w:p>
      <w:pPr>
        <w:ind w:left="120" w:right="159"/>
        <w:spacing w:after="0" w:line="268" w:lineRule="auto"/>
        <w:rPr>
          <w:sz w:val="20"/>
          <w:szCs w:val="20"/>
          <w:color w:val="auto"/>
        </w:rPr>
      </w:pPr>
      <w:r>
        <w:rPr>
          <w:rFonts w:ascii="Times New Roman" w:cs="Times New Roman" w:eastAsia="Times New Roman" w:hAnsi="Times New Roman"/>
          <w:sz w:val="14"/>
          <w:szCs w:val="14"/>
          <w:color w:val="auto"/>
        </w:rPr>
        <w:t>As of the cutoff date of May 28, 2026, 59 patients with previously treated MTAP-deleted and RAS-mutant PDAC or non-small cell lung cancer (“NSCLC”), were treated with a vopimetostat-based combination with either daraxonrasib (n=20 PDAC; n=5 NSCLC) or zoldonrasib (n=34 PDAC). All patients had advanced disease, including 70% with liver metastases in the daraxonrasib PDAC arm and 77% with liver metastases in the zoldonrasib arm, and were generally heavily pre-treated, with more than half receiving the combinations as third-line treatment.</w:t>
      </w:r>
    </w:p>
    <w:p>
      <w:pPr>
        <w:spacing w:after="0" w:line="142"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In the vopimetostat plus daraxonrasib dose escalation arm, patients received either vopimetostat 200 mg or 250 mg once daily (“QD”) plus daraxonrasib 100 mg QD. As of the data cutoff date of May 28, 2026, 12 patients with PDAC and three patients with NSCLC were response-evaluable with at least 14 weeks of follow up. In PDAC patients, the Company observed an objective response rate (“ORR”) of 92% (11 of 12 patients, with nine of 11 responses confirmed as of the data cutoff date). In PDAC patients, the Company observed a 90% six-month progression free survival rate and 100% disease control rate (“DCR”). In NSCLC patients, the Company observed an ORR of 100%, with three of three responses (all responses confirmed).</w:t>
      </w:r>
    </w:p>
    <w:p>
      <w:pPr>
        <w:spacing w:after="0" w:line="144" w:lineRule="exact"/>
        <w:rPr>
          <w:sz w:val="20"/>
          <w:szCs w:val="20"/>
          <w:color w:val="auto"/>
        </w:rPr>
      </w:pPr>
    </w:p>
    <w:p>
      <w:pPr>
        <w:ind w:left="120" w:right="119"/>
        <w:spacing w:after="0" w:line="268" w:lineRule="auto"/>
        <w:rPr>
          <w:sz w:val="20"/>
          <w:szCs w:val="20"/>
          <w:color w:val="auto"/>
        </w:rPr>
      </w:pPr>
      <w:r>
        <w:rPr>
          <w:rFonts w:ascii="Times New Roman" w:cs="Times New Roman" w:eastAsia="Times New Roman" w:hAnsi="Times New Roman"/>
          <w:sz w:val="14"/>
          <w:szCs w:val="14"/>
          <w:color w:val="auto"/>
        </w:rPr>
        <w:t>The vopimetostat plus daraxonrasib combination was generally well tolerated across dose levels. Most adverse events were grade one or two in severity, and grade three adverse events were observed and included thrombocytopenia, acneiform rash, stomatitis/mucositis and fatigue. There were no related grade four or five adverse events. There were no dose-limiting toxicities (“DLTs”) at the vopimetostat 200mg/ daraxonrasib 100 mg dose level, and three DLTs in two patients at the voimetostat 250mg/daraxonrasib 100 mg dose level. There were no discontinuations due to adverse events.</w:t>
      </w:r>
    </w:p>
    <w:p>
      <w:pPr>
        <w:spacing w:after="0" w:line="142" w:lineRule="exact"/>
        <w:rPr>
          <w:sz w:val="20"/>
          <w:szCs w:val="20"/>
          <w:color w:val="auto"/>
        </w:rPr>
      </w:pPr>
    </w:p>
    <w:p>
      <w:pPr>
        <w:ind w:left="120" w:right="279"/>
        <w:spacing w:after="0" w:line="275" w:lineRule="auto"/>
        <w:rPr>
          <w:sz w:val="20"/>
          <w:szCs w:val="20"/>
          <w:color w:val="auto"/>
        </w:rPr>
      </w:pPr>
      <w:r>
        <w:rPr>
          <w:rFonts w:ascii="Times New Roman" w:cs="Times New Roman" w:eastAsia="Times New Roman" w:hAnsi="Times New Roman"/>
          <w:sz w:val="14"/>
          <w:szCs w:val="14"/>
          <w:color w:val="auto"/>
        </w:rPr>
        <w:t>Based on these data, the Company intends to advance this combination approach into Phase 3 development for patients with MTAP-deleted pancreatic cancer. Subject to feedback from regulatory authorities, the Company plans to initiate a Phase 3 randomized-controlled trial in front-line pancreatic cancer and evaluate opportunities to advance the second line combination towards registration phase.</w:t>
      </w:r>
    </w:p>
    <w:p>
      <w:pPr>
        <w:spacing w:after="0" w:line="135"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On June 8, 2026, the Company also reported initial data from the vopimetostat plus zoldonrasib dose escalation arm in PDAC patients. Patients received vopimetostat 200 mg or 250 mg QD plus zoldonrasib 600 mg or 1200 mg QD. As of the data cutoff date of May 28, 2026, 27 patients were response evaluable with at least 14 weeks of follow-up. The Company observed an ORR of 52%, a 74% six-month progression free survival rate, and 96% DCR in these patients. The vopimetostat plus zoldonrasib combinaton was generally well tolerated across dose levels. Most adverse events were grade one or two in severity, and there were no related grade four or five adverse events or DLTs. There were no discontinuations due to adverse events.</w:t>
      </w:r>
    </w:p>
    <w:p>
      <w:pPr>
        <w:sectPr>
          <w:pgSz w:w="11900" w:h="16838" w:orient="portrait"/>
          <w:cols w:equalWidth="0" w:num="1">
            <w:col w:w="9019"/>
          </w:cols>
          <w:pgMar w:left="1440" w:top="263" w:right="1440" w:bottom="1440" w:gutter="0" w:footer="0" w:header="0"/>
        </w:sectPr>
      </w:pPr>
    </w:p>
    <w:bookmarkStart w:id="2" w:name="page3"/>
    <w:bookmarkEnd w:id="2"/>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Forward-Looking Statements</w:t>
      </w:r>
    </w:p>
    <w:p>
      <w:pPr>
        <w:spacing w:after="0" w:line="99" w:lineRule="exact"/>
        <w:rPr>
          <w:sz w:val="20"/>
          <w:szCs w:val="20"/>
          <w:color w:val="auto"/>
        </w:rPr>
      </w:pPr>
    </w:p>
    <w:p>
      <w:pPr>
        <w:ind w:left="120" w:right="139"/>
        <w:spacing w:after="0" w:line="265" w:lineRule="auto"/>
        <w:rPr>
          <w:sz w:val="20"/>
          <w:szCs w:val="20"/>
          <w:color w:val="auto"/>
        </w:rPr>
      </w:pPr>
      <w:r>
        <w:rPr>
          <w:rFonts w:ascii="Times New Roman" w:cs="Times New Roman" w:eastAsia="Times New Roman" w:hAnsi="Times New Roman"/>
          <w:sz w:val="14"/>
          <w:szCs w:val="14"/>
          <w:color w:val="auto"/>
        </w:rPr>
        <w:t>This Current Report on Form 8-K and certain materials furnished or filed herewith contain forward-looking statements within the meaning of the Private Securities Litigation Reform Act of 1995, as amended, including, without limitation, implied and express statements regarding: the Company’s future plans or expectations for vopimetostat in combination with RAS(ON) inhibitors, including the anticipated or potential effects of vopimetostat in combination with RAS(ON) inhibitors, as well as the safety and tolerability of vopimetostat in combination with RAS(ON) inhibitors; and the Company’s plans and timing with respect to current and future studies and strategies.</w:t>
      </w:r>
    </w:p>
    <w:p>
      <w:pPr>
        <w:spacing w:after="0" w:line="144" w:lineRule="exact"/>
        <w:rPr>
          <w:sz w:val="20"/>
          <w:szCs w:val="20"/>
          <w:color w:val="auto"/>
        </w:rPr>
      </w:pPr>
    </w:p>
    <w:p>
      <w:pPr>
        <w:ind w:left="120" w:right="139"/>
        <w:spacing w:after="0" w:line="259" w:lineRule="auto"/>
        <w:rPr>
          <w:sz w:val="20"/>
          <w:szCs w:val="20"/>
          <w:color w:val="auto"/>
        </w:rPr>
      </w:pPr>
      <w:r>
        <w:rPr>
          <w:rFonts w:ascii="Times New Roman" w:cs="Times New Roman" w:eastAsia="Times New Roman" w:hAnsi="Times New Roman"/>
          <w:sz w:val="14"/>
          <w:szCs w:val="14"/>
          <w:color w:val="auto"/>
        </w:rPr>
        <w:t>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benefits of product candidates seen in preclinical tests and analyses may not be evident when tested in later preclinical studies or in clinical trials or when used in broader patient populations (if approved for commercial sale);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regulatory developments in the United States and foreign countries; the Company’s ability to fund operations. For a discussion of these and other risks and uncertainties, and other important factors, any of which could cause the Company’s actual results to differ from those contained in the forward-looking statements, see the section entitled “Risk Factors” in the Company’s annual report on Form 10-K filed, with the United States Securities and Exchange Commission (“SEC”) and quarterly reports on Form 10-Q filed with the SEC, as well as discussions of potential risks, uncertainties, and other important factors in the Company’s other filings with the SEC. All forward-looking statements contained in this 8-K speak only as of the date on which they were made. The Company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42"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 Exhibits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Exhibit</w:t>
      </w:r>
    </w:p>
    <w:p>
      <w:pPr>
        <w:spacing w:after="0" w:line="4" w:lineRule="exact"/>
        <w:rPr>
          <w:sz w:val="20"/>
          <w:szCs w:val="20"/>
          <w:color w:val="auto"/>
        </w:rPr>
      </w:pPr>
    </w:p>
    <w:p>
      <w:pPr>
        <w:ind w:left="200"/>
        <w:spacing w:after="0"/>
        <w:tabs>
          <w:tab w:leader="none" w:pos="780" w:val="left"/>
        </w:tabs>
        <w:rPr>
          <w:sz w:val="20"/>
          <w:szCs w:val="20"/>
          <w:color w:val="auto"/>
        </w:rPr>
      </w:pPr>
      <w:r>
        <w:rPr>
          <w:rFonts w:ascii="Times New Roman" w:cs="Times New Roman" w:eastAsia="Times New Roman" w:hAnsi="Times New Roman"/>
          <w:sz w:val="11"/>
          <w:szCs w:val="11"/>
          <w:color w:val="auto"/>
        </w:rPr>
        <w:t>No.</w:t>
      </w:r>
      <w:r>
        <w:rPr>
          <w:sz w:val="20"/>
          <w:szCs w:val="20"/>
          <w:color w:val="auto"/>
        </w:rPr>
        <w:tab/>
      </w:r>
      <w:r>
        <w:rPr>
          <w:rFonts w:ascii="Times New Roman" w:cs="Times New Roman" w:eastAsia="Times New Roman" w:hAnsi="Times New Roman"/>
          <w:sz w:val="11"/>
          <w:szCs w:val="11"/>
          <w:color w:val="auto"/>
        </w:rPr>
        <w:t>Description</w:t>
      </w:r>
    </w:p>
    <w:p>
      <w:pPr>
        <w:spacing w:after="0" w:line="79" w:lineRule="exact"/>
        <w:rPr>
          <w:sz w:val="20"/>
          <w:szCs w:val="20"/>
          <w:color w:val="auto"/>
        </w:rPr>
      </w:pPr>
    </w:p>
    <w:p>
      <w:pPr>
        <w:ind w:left="120"/>
        <w:spacing w:after="0"/>
        <w:tabs>
          <w:tab w:leader="none" w:pos="78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EE"/>
        </w:rPr>
        <w:t>Press Release of Tango Therapeutics, Inc., dated June 8, 2026</w:t>
      </w:r>
    </w:p>
    <w:p>
      <w:pPr>
        <w:spacing w:after="0" w:line="97" w:lineRule="exact"/>
        <w:rPr>
          <w:sz w:val="20"/>
          <w:szCs w:val="20"/>
          <w:color w:val="auto"/>
        </w:rPr>
      </w:pPr>
    </w:p>
    <w:p>
      <w:pPr>
        <w:ind w:left="120"/>
        <w:spacing w:after="0"/>
        <w:tabs>
          <w:tab w:leader="none" w:pos="780" w:val="left"/>
        </w:tabs>
        <w:rPr>
          <w:sz w:val="20"/>
          <w:szCs w:val="20"/>
          <w:color w:val="auto"/>
        </w:rPr>
      </w:pPr>
      <w:r>
        <w:rPr>
          <w:rFonts w:ascii="Times New Roman" w:cs="Times New Roman" w:eastAsia="Times New Roman" w:hAnsi="Times New Roman"/>
          <w:sz w:val="14"/>
          <w:szCs w:val="14"/>
          <w:color w:val="auto"/>
        </w:rPr>
        <w:t>99.2</w:t>
      </w:r>
      <w:r>
        <w:rPr>
          <w:sz w:val="20"/>
          <w:szCs w:val="20"/>
          <w:color w:val="auto"/>
        </w:rPr>
        <w:tab/>
      </w:r>
      <w:r>
        <w:rPr>
          <w:rFonts w:ascii="Times New Roman" w:cs="Times New Roman" w:eastAsia="Times New Roman" w:hAnsi="Times New Roman"/>
          <w:sz w:val="14"/>
          <w:szCs w:val="14"/>
          <w:u w:val="single" w:color="auto"/>
          <w:color w:val="0000EE"/>
        </w:rPr>
        <w:t>Presentation of Tango Therapeutics, Inc.</w:t>
      </w:r>
    </w:p>
    <w:p>
      <w:pPr>
        <w:spacing w:after="0" w:line="97" w:lineRule="exact"/>
        <w:rPr>
          <w:sz w:val="20"/>
          <w:szCs w:val="20"/>
          <w:color w:val="auto"/>
        </w:rPr>
      </w:pPr>
    </w:p>
    <w:p>
      <w:pPr>
        <w:ind w:left="120"/>
        <w:spacing w:after="0"/>
        <w:tabs>
          <w:tab w:leader="none" w:pos="7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Inline XBRL document)</w:t>
      </w:r>
    </w:p>
    <w:p>
      <w:pPr>
        <w:sectPr>
          <w:pgSz w:w="11900" w:h="16838" w:orient="portrait"/>
          <w:cols w:equalWidth="0" w:num="1">
            <w:col w:w="9019"/>
          </w:cols>
          <w:pgMar w:left="1440" w:top="26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602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TANGO THERAPEUTICS, INC.</w:t>
            </w:r>
          </w:p>
        </w:tc>
      </w:tr>
      <w:tr>
        <w:trPr>
          <w:trHeight w:val="345"/>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Dated: June 8, 2026</w:t>
            </w:r>
          </w:p>
        </w:tc>
        <w:tc>
          <w:tcPr>
            <w:tcW w:w="216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Matthew Gall</w:t>
            </w:r>
          </w:p>
        </w:tc>
      </w:tr>
      <w:tr>
        <w:trPr>
          <w:trHeight w:val="159"/>
        </w:trPr>
        <w:tc>
          <w:tcPr>
            <w:tcW w:w="2760" w:type="dxa"/>
            <w:vAlign w:val="bottom"/>
          </w:tcPr>
          <w:p>
            <w:pPr>
              <w:spacing w:after="0"/>
              <w:rPr>
                <w:sz w:val="13"/>
                <w:szCs w:val="13"/>
                <w:color w:val="auto"/>
              </w:rPr>
            </w:pPr>
          </w:p>
        </w:tc>
        <w:tc>
          <w:tcPr>
            <w:tcW w:w="2160" w:type="dxa"/>
            <w:vAlign w:val="bottom"/>
          </w:tcPr>
          <w:p>
            <w:pPr>
              <w:ind w:left="1640"/>
              <w:spacing w:after="0" w:line="159" w:lineRule="exact"/>
              <w:rPr>
                <w:sz w:val="20"/>
                <w:szCs w:val="20"/>
                <w:color w:val="auto"/>
              </w:rPr>
            </w:pPr>
            <w:r>
              <w:rPr>
                <w:rFonts w:ascii="Times New Roman" w:cs="Times New Roman" w:eastAsia="Times New Roman" w:hAnsi="Times New Roman"/>
                <w:sz w:val="14"/>
                <w:szCs w:val="14"/>
                <w:color w:val="auto"/>
              </w:rPr>
              <w:t>Name:</w:t>
            </w:r>
          </w:p>
        </w:tc>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Matthew Gall</w:t>
            </w:r>
          </w:p>
        </w:tc>
      </w:tr>
      <w:tr>
        <w:trPr>
          <w:trHeight w:val="186"/>
        </w:trPr>
        <w:tc>
          <w:tcPr>
            <w:tcW w:w="2760" w:type="dxa"/>
            <w:vAlign w:val="bottom"/>
          </w:tcPr>
          <w:p>
            <w:pPr>
              <w:spacing w:after="0"/>
              <w:rPr>
                <w:sz w:val="16"/>
                <w:szCs w:val="16"/>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9019"/>
          </w:cols>
          <w:pgMar w:left="1440" w:top="263" w:right="1440" w:bottom="1440" w:gutter="0" w:footer="0" w:header="0"/>
        </w:sectPr>
      </w:pPr>
    </w:p>
    <w:bookmarkStart w:id="4" w:name="page5"/>
    <w:bookmarkEnd w:id="4"/>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140970</wp:posOffset>
            </wp:positionV>
            <wp:extent cx="1967865"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78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20" w:right="119"/>
        <w:spacing w:after="0" w:line="296" w:lineRule="auto"/>
        <w:rPr>
          <w:sz w:val="20"/>
          <w:szCs w:val="20"/>
          <w:color w:val="auto"/>
        </w:rPr>
      </w:pPr>
      <w:r>
        <w:rPr>
          <w:rFonts w:ascii="Times New Roman" w:cs="Times New Roman" w:eastAsia="Times New Roman" w:hAnsi="Times New Roman"/>
          <w:sz w:val="14"/>
          <w:szCs w:val="14"/>
          <w:b w:val="1"/>
          <w:bCs w:val="1"/>
          <w:color w:val="auto"/>
        </w:rPr>
        <w:t>Tango Therapeutics Announces Combination of Vopimetostat and Daraxonrasib Demonstrated 92% Objective Response Rate in Pancreatic Cancer</w:t>
      </w:r>
    </w:p>
    <w:p>
      <w:pPr>
        <w:spacing w:after="0" w:line="119" w:lineRule="exact"/>
        <w:rPr>
          <w:sz w:val="20"/>
          <w:szCs w:val="20"/>
          <w:color w:val="auto"/>
        </w:rPr>
      </w:pPr>
    </w:p>
    <w:p>
      <w:pPr>
        <w:jc w:val="center"/>
        <w:ind w:left="120" w:right="139"/>
        <w:spacing w:after="0" w:line="296" w:lineRule="auto"/>
        <w:rPr>
          <w:sz w:val="20"/>
          <w:szCs w:val="20"/>
          <w:color w:val="auto"/>
        </w:rPr>
      </w:pPr>
      <w:r>
        <w:rPr>
          <w:rFonts w:ascii="Times New Roman" w:cs="Times New Roman" w:eastAsia="Times New Roman" w:hAnsi="Times New Roman"/>
          <w:sz w:val="14"/>
          <w:szCs w:val="14"/>
          <w:i w:val="1"/>
          <w:iCs w:val="1"/>
          <w:color w:val="auto"/>
        </w:rPr>
        <w:t>Initial data from ongoing Phase 1/2 trial in patients with second and third line PDAC treated with vopimetostat and daraxonrasib showed 6-month PFS rate of 90% (median PFS not yet reached) suggesting durability of clinical benefit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Vopimetostat combinations with Revolution Medicines’ RAS(ON) inhibitors daraxonrasib or zoldonrasib were generally well-tolerated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Data support rapid advancement of vopimetostat plus daraxonrasib combination into Phase 3 development in first-line MTAP deleted pancreatic cancer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Conference call today, June 8, 2026, at 8:00am ET</w:t>
      </w:r>
    </w:p>
    <w:p>
      <w:pPr>
        <w:spacing w:after="0" w:line="185" w:lineRule="exact"/>
        <w:rPr>
          <w:sz w:val="20"/>
          <w:szCs w:val="20"/>
          <w:color w:val="auto"/>
        </w:rPr>
      </w:pPr>
    </w:p>
    <w:p>
      <w:pPr>
        <w:ind w:left="120" w:right="239"/>
        <w:spacing w:after="0" w:line="268" w:lineRule="auto"/>
        <w:rPr>
          <w:sz w:val="20"/>
          <w:szCs w:val="20"/>
          <w:color w:val="auto"/>
        </w:rPr>
      </w:pPr>
      <w:r>
        <w:rPr>
          <w:rFonts w:ascii="Times New Roman" w:cs="Times New Roman" w:eastAsia="Times New Roman" w:hAnsi="Times New Roman"/>
          <w:sz w:val="14"/>
          <w:szCs w:val="14"/>
          <w:color w:val="auto"/>
        </w:rPr>
        <w:t>BOSTON, June 8, 2026 (GLOBE NEWSWIRE) — Tango Therapeutics, Inc. (NASDAQ: TNGX), a clinical-stage biotechnology company committed to discovering and delivering the next generation of precision cancer medicines, today announced positive initial data from its ongoing Phase 1/2 study of vopimetostat, an investigational PRMT5 inhibitor with first- and best-in-class potential, in combination with Revolution Medicines’ RAS(ON) inhibitors in patients with MTAP-deleted and RAS-mutant metastatic pancreatic ductal adenocarcinoma (PDAC).</w:t>
      </w:r>
    </w:p>
    <w:p>
      <w:pPr>
        <w:spacing w:after="0" w:line="142" w:lineRule="exact"/>
        <w:rPr>
          <w:sz w:val="20"/>
          <w:szCs w:val="20"/>
          <w:color w:val="auto"/>
        </w:rPr>
      </w:pPr>
    </w:p>
    <w:p>
      <w:pPr>
        <w:ind w:left="120" w:right="179"/>
        <w:spacing w:after="0" w:line="262" w:lineRule="auto"/>
        <w:rPr>
          <w:sz w:val="20"/>
          <w:szCs w:val="20"/>
          <w:color w:val="auto"/>
        </w:rPr>
      </w:pPr>
      <w:r>
        <w:rPr>
          <w:rFonts w:ascii="Times New Roman" w:cs="Times New Roman" w:eastAsia="Times New Roman" w:hAnsi="Times New Roman"/>
          <w:sz w:val="14"/>
          <w:szCs w:val="14"/>
          <w:color w:val="auto"/>
        </w:rPr>
        <w:t>“In the first reported data from the clinical combinations of our PRMT5 inhibitor vopimetostat and RAS(ON) inhibitors, we saw extremely encouraging early results, with 92% of patients with PDAC in the vopimetostat plus daraxonrasib arm achieving an objective response, supporting the preclinical data showing synergistic activity of PRMT5 + RAS inhibition,” said Malte Peters, MD, Chief Executive Officer of Tango Therapeutics. “Equally important, we are seeing encouraging signals of durability, with 90% of PDAC patients still progression free at 6 months of follow up. In addition, both combinations were generally well tolerated. Our primary focus is now to bring forward the PRMT5 plus RAS inhibitor combination approach in pancreatic cancer, while also looking toward important upcoming data readouts for vopimetostat single agent in lung cancer and TNG456 in GBM which we believe represents significant long-term opportunity for our company.”</w:t>
      </w:r>
    </w:p>
    <w:p>
      <w:pPr>
        <w:spacing w:after="0" w:line="147" w:lineRule="exact"/>
        <w:rPr>
          <w:sz w:val="20"/>
          <w:szCs w:val="20"/>
          <w:color w:val="auto"/>
        </w:rPr>
      </w:pPr>
    </w:p>
    <w:p>
      <w:pPr>
        <w:ind w:left="120" w:right="219"/>
        <w:spacing w:after="0" w:line="275" w:lineRule="auto"/>
        <w:rPr>
          <w:sz w:val="20"/>
          <w:szCs w:val="20"/>
          <w:color w:val="auto"/>
        </w:rPr>
      </w:pPr>
      <w:r>
        <w:rPr>
          <w:rFonts w:ascii="Times New Roman" w:cs="Times New Roman" w:eastAsia="Times New Roman" w:hAnsi="Times New Roman"/>
          <w:sz w:val="14"/>
          <w:szCs w:val="14"/>
          <w:color w:val="auto"/>
        </w:rPr>
        <w:t>Dr. Peters continued, “These compelling results reinforce our belief that a vopimetostat-based combination with RAS inhibitors may be a path to a chemotherapy-free option for patients with MTAP-deleted pancreatic cancer. Given these data, we intend to prioritize advancement of the vopimetostat plus daraxonrasib combination into Phase 3 development in first-line, MTAP- deleted pancreatic cancer.”</w:t>
      </w:r>
    </w:p>
    <w:p>
      <w:pPr>
        <w:spacing w:after="0" w:line="135"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“Pancreatic cancer remains a largely intractable disease and an area where patients desperately need new therapies,” said Brian Wolpin, MD, Director of the Hale Family Center for Pancreatic Cancer Research, Dana-Farber Cancer Institute. “In the front-line setting, chemotherapy has long been the standard of care, yet it presents significant tolerability challenges and overall limited efficacy against this aggressive disease. Building on the monotherapy activity already shown by these investigational PRMT5 and RAS(ON) targeted therapies, these early combination data demonstrated the potential to meaningfully reshape how we treat this disease with a precision-guided, chemotherapy-free approach.”</w:t>
      </w:r>
    </w:p>
    <w:p>
      <w:pPr>
        <w:sectPr>
          <w:pgSz w:w="11900" w:h="16838" w:orient="portrait"/>
          <w:cols w:equalWidth="0" w:num="1">
            <w:col w:w="9019"/>
          </w:cols>
          <w:pgMar w:left="1440" w:top="123" w:right="1440" w:bottom="1440" w:gutter="0" w:footer="0" w:header="0"/>
        </w:sectPr>
      </w:pPr>
    </w:p>
    <w:bookmarkStart w:id="5" w:name="page6"/>
    <w:bookmarkEnd w:id="5"/>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648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648970"/>
                    </a:xfrm>
                    <a:prstGeom prst="rect">
                      <a:avLst/>
                    </a:prstGeom>
                    <a:noFill/>
                  </pic:spPr>
                </pic:pic>
              </a:graphicData>
            </a:graphic>
          </wp:anchor>
        </w:drawing>
        <w:t>Topline Phase 1/2 Clinical Data Highlights</w:t>
      </w:r>
    </w:p>
    <w:p>
      <w:pPr>
        <w:spacing w:after="0" w:line="99" w:lineRule="exact"/>
        <w:rPr>
          <w:sz w:val="20"/>
          <w:szCs w:val="20"/>
          <w:color w:val="auto"/>
        </w:rPr>
      </w:pPr>
    </w:p>
    <w:p>
      <w:pPr>
        <w:ind w:left="120" w:right="139"/>
        <w:spacing w:after="0" w:line="268" w:lineRule="auto"/>
        <w:rPr>
          <w:sz w:val="20"/>
          <w:szCs w:val="20"/>
          <w:color w:val="auto"/>
        </w:rPr>
      </w:pPr>
      <w:r>
        <w:rPr>
          <w:rFonts w:ascii="Times New Roman" w:cs="Times New Roman" w:eastAsia="Times New Roman" w:hAnsi="Times New Roman"/>
          <w:sz w:val="14"/>
          <w:szCs w:val="14"/>
          <w:color w:val="auto"/>
        </w:rPr>
        <w:t>As of a data cutoff date of May 28, 2026, 59 patients with previously treated MTAP-deleted and RAS-mutant pancreatic ductal adenocarcinoma (PDAC) or non-small cell lung cancer (NSCLC) were treated with a vopimetostat-based combination with either daraxonrasib (n=20 PDAC; n=5 NSCLC) or zoldonrasib (n=34 PDAC). All patients had advanced disease, including 70% with liver metastases in the daraxonrasib PDAC arm and 77% with liver metastases in the zoldonrasib arm, and were generally heavily pre-treated, with more than half receiving the combinations as third-line treatment.</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Vopimetostat plus daraxonrasib combination</w:t>
      </w:r>
    </w:p>
    <w:p>
      <w:pPr>
        <w:spacing w:after="0" w:line="101" w:lineRule="exact"/>
        <w:rPr>
          <w:sz w:val="20"/>
          <w:szCs w:val="20"/>
          <w:color w:val="auto"/>
        </w:rPr>
      </w:pPr>
    </w:p>
    <w:p>
      <w:pPr>
        <w:ind w:left="120" w:right="279"/>
        <w:spacing w:after="0" w:line="293" w:lineRule="auto"/>
        <w:rPr>
          <w:sz w:val="20"/>
          <w:szCs w:val="20"/>
          <w:color w:val="auto"/>
        </w:rPr>
      </w:pPr>
      <w:r>
        <w:rPr>
          <w:rFonts w:ascii="Times New Roman" w:cs="Times New Roman" w:eastAsia="Times New Roman" w:hAnsi="Times New Roman"/>
          <w:sz w:val="14"/>
          <w:szCs w:val="14"/>
          <w:color w:val="auto"/>
        </w:rPr>
        <w:t>In the vopimetostat plus daraxonrasib dose escalation arm, patients received either vopimetostat 200 mg or 250 mg once daily (QD) plus daraxonrasib 100 mg QD. As of the data cutoff, 12 patients with PDAC and 3 patients with NSCLC were response evaluable with at least 14 weeks of follow up.</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Data highlights include:</w:t>
      </w:r>
    </w:p>
    <w:p>
      <w:pPr>
        <w:spacing w:after="0" w:line="108" w:lineRule="exact"/>
        <w:rPr>
          <w:sz w:val="20"/>
          <w:szCs w:val="20"/>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PDAC:</w:t>
      </w:r>
    </w:p>
    <w:p>
      <w:pPr>
        <w:spacing w:after="0" w:line="107" w:lineRule="exact"/>
        <w:rPr>
          <w:rFonts w:ascii="Times New Roman" w:cs="Times New Roman" w:eastAsia="Times New Roman" w:hAnsi="Times New Roman"/>
          <w:sz w:val="14"/>
          <w:szCs w:val="14"/>
          <w:color w:val="auto"/>
        </w:rPr>
      </w:pPr>
    </w:p>
    <w:p>
      <w:pPr>
        <w:ind w:left="1240" w:hanging="254"/>
        <w:spacing w:after="0"/>
        <w:tabs>
          <w:tab w:leader="none" w:pos="124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 objective response rate (ORR) (11/12; 9 of 11 responses confirmed)</w:t>
      </w:r>
    </w:p>
    <w:p>
      <w:pPr>
        <w:spacing w:after="0" w:line="108" w:lineRule="exact"/>
        <w:rPr>
          <w:rFonts w:ascii="Times New Roman" w:cs="Times New Roman" w:eastAsia="Times New Roman" w:hAnsi="Times New Roman"/>
          <w:sz w:val="14"/>
          <w:szCs w:val="14"/>
          <w:color w:val="auto"/>
        </w:rPr>
      </w:pPr>
    </w:p>
    <w:p>
      <w:pPr>
        <w:ind w:left="1240" w:hanging="254"/>
        <w:spacing w:after="0"/>
        <w:tabs>
          <w:tab w:leader="none" w:pos="124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6-month PFS rate</w:t>
      </w:r>
    </w:p>
    <w:p>
      <w:pPr>
        <w:spacing w:after="0" w:line="107" w:lineRule="exact"/>
        <w:rPr>
          <w:rFonts w:ascii="Times New Roman" w:cs="Times New Roman" w:eastAsia="Times New Roman" w:hAnsi="Times New Roman"/>
          <w:sz w:val="14"/>
          <w:szCs w:val="14"/>
          <w:color w:val="auto"/>
        </w:rPr>
      </w:pPr>
    </w:p>
    <w:p>
      <w:pPr>
        <w:ind w:left="1240" w:hanging="254"/>
        <w:spacing w:after="0"/>
        <w:tabs>
          <w:tab w:leader="none" w:pos="124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disease control rate (DCR)</w:t>
      </w:r>
    </w:p>
    <w:p>
      <w:pPr>
        <w:spacing w:after="0" w:line="10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NSCLC: 100% ORR, 3 of 3 responses confirmed</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vopimetostat + daraxonrasib was generally well tolerated across all dose levels with no new safety signals observed</w:t>
      </w:r>
    </w:p>
    <w:p>
      <w:pPr>
        <w:spacing w:after="0" w:line="108" w:lineRule="exact"/>
        <w:rPr>
          <w:rFonts w:ascii="Times New Roman" w:cs="Times New Roman" w:eastAsia="Times New Roman" w:hAnsi="Times New Roman"/>
          <w:sz w:val="14"/>
          <w:szCs w:val="14"/>
          <w:color w:val="auto"/>
        </w:rPr>
      </w:pPr>
    </w:p>
    <w:p>
      <w:pPr>
        <w:ind w:left="880" w:right="1039" w:hanging="335"/>
        <w:spacing w:after="0" w:line="293" w:lineRule="auto"/>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 adverse events were Grade 1 or 2 in severity. The most common treatment-related adverse events (TRAEs) were rash, stomatitis/mucositis and diarrhea.</w:t>
      </w:r>
    </w:p>
    <w:p>
      <w:pPr>
        <w:spacing w:after="0" w:line="4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related Grade 4 or 5 adverse events</w:t>
      </w:r>
    </w:p>
    <w:p>
      <w:pPr>
        <w:spacing w:after="0" w:line="107" w:lineRule="exact"/>
        <w:rPr>
          <w:rFonts w:ascii="Times New Roman" w:cs="Times New Roman" w:eastAsia="Times New Roman" w:hAnsi="Times New Roman"/>
          <w:sz w:val="14"/>
          <w:szCs w:val="14"/>
          <w:color w:val="auto"/>
        </w:rPr>
      </w:pPr>
    </w:p>
    <w:p>
      <w:pPr>
        <w:ind w:left="880" w:right="319" w:hanging="335"/>
        <w:spacing w:after="0" w:line="275" w:lineRule="auto"/>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dose-limiting toxicities (DLTs) at dose level 1 (vopimetostat 200 mg/daraxonrasib 100 mg). Three DLTs were reported in two patients at dose level 2 (vopimetostat 250 mg/daraxonrasib 100 mg), including one case of Grade 3 rash and one case of Grade 3 stomatitis and fatigue.</w:t>
      </w:r>
    </w:p>
    <w:p>
      <w:pPr>
        <w:spacing w:after="0" w:line="59"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two dose reductions at dose level 1 and one dose reduction at dose level 2</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discontinuations due to adverse events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Development strategy:</w:t>
      </w:r>
    </w:p>
    <w:p>
      <w:pPr>
        <w:spacing w:after="0" w:line="97" w:lineRule="exact"/>
        <w:rPr>
          <w:sz w:val="20"/>
          <w:szCs w:val="20"/>
          <w:color w:val="auto"/>
        </w:rPr>
      </w:pPr>
    </w:p>
    <w:p>
      <w:pPr>
        <w:ind w:left="120" w:right="239"/>
        <w:spacing w:after="0" w:line="275" w:lineRule="auto"/>
        <w:rPr>
          <w:sz w:val="20"/>
          <w:szCs w:val="20"/>
          <w:color w:val="auto"/>
        </w:rPr>
      </w:pPr>
      <w:r>
        <w:rPr>
          <w:rFonts w:ascii="Times New Roman" w:cs="Times New Roman" w:eastAsia="Times New Roman" w:hAnsi="Times New Roman"/>
          <w:sz w:val="14"/>
          <w:szCs w:val="14"/>
          <w:color w:val="auto"/>
        </w:rPr>
        <w:t>Based on these data, Tango intends to rapidly advance this combination approach into Phase 3 development for patients with MTAP-deleted pancreatic cancer. Subject to feedback from regulatory authorities, the Company plans to initiate a Phase 3 randomized-controlled trial in front-line pancreatic cancer and evaluate opportunities to advance the second line combination towards registration phase.</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Vopimetostat plus zoldonrasib combination (PDAC with MTAP deletion and KRAS G12D mutation)</w:t>
      </w:r>
    </w:p>
    <w:p>
      <w:pPr>
        <w:spacing w:after="0" w:line="101" w:lineRule="exact"/>
        <w:rPr>
          <w:sz w:val="20"/>
          <w:szCs w:val="20"/>
          <w:color w:val="auto"/>
        </w:rPr>
      </w:pPr>
    </w:p>
    <w:p>
      <w:pPr>
        <w:ind w:left="120" w:right="179"/>
        <w:spacing w:after="0" w:line="293" w:lineRule="auto"/>
        <w:rPr>
          <w:sz w:val="20"/>
          <w:szCs w:val="20"/>
          <w:color w:val="auto"/>
        </w:rPr>
      </w:pPr>
      <w:r>
        <w:rPr>
          <w:rFonts w:ascii="Times New Roman" w:cs="Times New Roman" w:eastAsia="Times New Roman" w:hAnsi="Times New Roman"/>
          <w:sz w:val="14"/>
          <w:szCs w:val="14"/>
          <w:color w:val="auto"/>
        </w:rPr>
        <w:t>In the vopimetostat plus zoldonrasib dose escalation arm, patients with PDAC received vopimetostat 200 mg or 250 mg QD plus zoldonrasib 600 mg or 1200 mg QD. As of the data cutoff date of May 28, 2026, 27 patients were response evaluable with at least 14 weeks of follow-up.</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Data highlights include:</w:t>
      </w:r>
    </w:p>
    <w:p>
      <w:pPr>
        <w:spacing w:after="0" w:line="108" w:lineRule="exact"/>
        <w:rPr>
          <w:sz w:val="20"/>
          <w:szCs w:val="20"/>
          <w:color w:val="auto"/>
        </w:rPr>
      </w:pPr>
    </w:p>
    <w:p>
      <w:pPr>
        <w:ind w:left="880" w:hanging="335"/>
        <w:spacing w:after="0"/>
        <w:tabs>
          <w:tab w:leader="none" w:pos="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 ORR (14/27; 10 of 14 responses confirmed)</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74% 6-month PFS rate</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 DCR</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vopimetostat plus zoldonrasib combination was generally well tolerated at all dose levels with no new safety signals observed</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 adverse events were Grade 1 or 2. The most common TRAEs were nausea and vomiting.</w:t>
      </w:r>
    </w:p>
    <w:p>
      <w:pPr>
        <w:sectPr>
          <w:pgSz w:w="11900" w:h="16838" w:orient="portrait"/>
          <w:cols w:equalWidth="0" w:num="1">
            <w:col w:w="9019"/>
          </w:cols>
          <w:pgMar w:left="1440" w:top="1263" w:right="1440" w:bottom="1440" w:gutter="0" w:footer="0" w:header="0"/>
        </w:sectPr>
      </w:pPr>
    </w:p>
    <w:bookmarkStart w:id="6" w:name="page7"/>
    <w:bookmarkEnd w:id="6"/>
    <w:p>
      <w:pPr>
        <w:ind w:left="880" w:hanging="335"/>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648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648970"/>
                    </a:xfrm>
                    <a:prstGeom prst="rect">
                      <a:avLst/>
                    </a:prstGeom>
                    <a:noFill/>
                  </pic:spPr>
                </pic:pic>
              </a:graphicData>
            </a:graphic>
          </wp:anchor>
        </w:drawing>
        <w:t>There were no related Grade 4 or 5 adverse events</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DLTs</w:t>
      </w:r>
    </w:p>
    <w:p>
      <w:pPr>
        <w:spacing w:after="0" w:line="10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one dose reduction</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discontinuations due to adverse events</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Upcoming Anticipated Milestones</w:t>
      </w:r>
    </w:p>
    <w:p>
      <w:pPr>
        <w:spacing w:after="0" w:line="110" w:lineRule="exact"/>
        <w:rPr>
          <w:sz w:val="20"/>
          <w:szCs w:val="20"/>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Finalize design of Phase 3 randomized-controlled trial of the combination approach in front-line pancreatic cancer in 2H 2026</w:t>
      </w:r>
    </w:p>
    <w:p>
      <w:pPr>
        <w:spacing w:after="0" w:line="10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 vopimetostat lung cancer monotherapy data in 2H 2026</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initial TNG456 glioblastoma data 2H 2026</w:t>
      </w:r>
    </w:p>
    <w:p>
      <w:pPr>
        <w:spacing w:after="0" w:line="10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 2/3L PDAC vopimetostat + RAS(ON) inhibitors combination data at a scientific conference 2H 2026</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Phase 1/2 vopimetostat + ERAS-0015 combination study 2H 2026</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Investor Webcast and Conference Call Information</w:t>
      </w:r>
    </w:p>
    <w:p>
      <w:pPr>
        <w:spacing w:after="0" w:line="99" w:lineRule="exact"/>
        <w:rPr>
          <w:sz w:val="20"/>
          <w:szCs w:val="20"/>
          <w:color w:val="auto"/>
        </w:rPr>
      </w:pPr>
    </w:p>
    <w:p>
      <w:pPr>
        <w:jc w:val="both"/>
        <w:ind w:left="120" w:right="279"/>
        <w:spacing w:after="0" w:line="275" w:lineRule="auto"/>
        <w:rPr>
          <w:sz w:val="20"/>
          <w:szCs w:val="20"/>
          <w:color w:val="auto"/>
        </w:rPr>
      </w:pPr>
      <w:r>
        <w:rPr>
          <w:rFonts w:ascii="Times New Roman" w:cs="Times New Roman" w:eastAsia="Times New Roman" w:hAnsi="Times New Roman"/>
          <w:sz w:val="14"/>
          <w:szCs w:val="14"/>
          <w:color w:val="auto"/>
        </w:rPr>
        <w:t>The Company will host a conference call to discuss these data at 8:00 a.m. ET today, June 8, 2026. The live webcast can be accessed under “Events &amp; Presentations” in the Investors section of the company’s website at www.tangotx.com. The webcast will be available for replay for at least 30 days on the company website. Analysts who wish to join the teleconference and participate in Q&amp;A should register here.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Vopimetostat</w:t>
      </w:r>
    </w:p>
    <w:p>
      <w:pPr>
        <w:spacing w:after="0" w:line="99" w:lineRule="exact"/>
        <w:rPr>
          <w:sz w:val="20"/>
          <w:szCs w:val="20"/>
          <w:color w:val="auto"/>
        </w:rPr>
      </w:pPr>
    </w:p>
    <w:p>
      <w:pPr>
        <w:ind w:left="120" w:right="459"/>
        <w:spacing w:after="0" w:line="268" w:lineRule="auto"/>
        <w:rPr>
          <w:sz w:val="20"/>
          <w:szCs w:val="20"/>
          <w:color w:val="auto"/>
        </w:rPr>
      </w:pPr>
      <w:r>
        <w:rPr>
          <w:rFonts w:ascii="Times New Roman" w:cs="Times New Roman" w:eastAsia="Times New Roman" w:hAnsi="Times New Roman"/>
          <w:sz w:val="14"/>
          <w:szCs w:val="14"/>
          <w:color w:val="auto"/>
        </w:rPr>
        <w:t>Vopimetostat is a potentially best-in-class oral, once-daily, MTA-cooperative PRMT5 inhibitor that works selectively in cancer cells with MTAP (methylthioadenosine phosphorylase) deletion. MTAP deletions occur in 10-15% of all human cancers, including approximately 40% of pancreatic cancer and 15% of lung cancer. Vopimetostat is being evaluated as monotherapy and in combination clinical studies. In ongoing clinical studies, vopimetostat has demonstrated a favorable safety and tolerability profile to date and shown durable activity in multiple tumor types.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Tango Therapeutics</w:t>
      </w:r>
    </w:p>
    <w:p>
      <w:pPr>
        <w:spacing w:after="0" w:line="99" w:lineRule="exact"/>
        <w:rPr>
          <w:sz w:val="20"/>
          <w:szCs w:val="20"/>
          <w:color w:val="auto"/>
        </w:rPr>
      </w:pPr>
    </w:p>
    <w:p>
      <w:pPr>
        <w:ind w:left="120" w:right="299"/>
        <w:spacing w:after="0" w:line="275" w:lineRule="auto"/>
        <w:rPr>
          <w:sz w:val="20"/>
          <w:szCs w:val="20"/>
          <w:color w:val="auto"/>
        </w:rPr>
      </w:pPr>
      <w:r>
        <w:rPr>
          <w:rFonts w:ascii="Times New Roman" w:cs="Times New Roman" w:eastAsia="Times New Roman" w:hAnsi="Times New Roman"/>
          <w:sz w:val="14"/>
          <w:szCs w:val="14"/>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For more information, please visit www.tangotx.com.</w:t>
      </w:r>
    </w:p>
    <w:p>
      <w:pPr>
        <w:sectPr>
          <w:pgSz w:w="11900" w:h="16838" w:orient="portrait"/>
          <w:cols w:equalWidth="0" w:num="1">
            <w:col w:w="9019"/>
          </w:cols>
          <w:pgMar w:left="1440" w:top="1265" w:right="1440" w:bottom="1440" w:gutter="0" w:footer="0" w:header="0"/>
        </w:sectPr>
      </w:pPr>
    </w:p>
    <w:bookmarkStart w:id="7" w:name="page8"/>
    <w:bookmarkEnd w:id="7"/>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648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648970"/>
                    </a:xfrm>
                    <a:prstGeom prst="rect">
                      <a:avLst/>
                    </a:prstGeom>
                    <a:noFill/>
                  </pic:spPr>
                </pic:pic>
              </a:graphicData>
            </a:graphic>
          </wp:anchor>
        </w:drawing>
        <w:t>Forward-Looking Statements</w:t>
      </w:r>
    </w:p>
    <w:p>
      <w:pPr>
        <w:spacing w:after="0" w:line="99" w:lineRule="exact"/>
        <w:rPr>
          <w:sz w:val="20"/>
          <w:szCs w:val="20"/>
          <w:color w:val="auto"/>
        </w:rPr>
      </w:pPr>
    </w:p>
    <w:p>
      <w:pPr>
        <w:ind w:left="120" w:right="139"/>
        <w:spacing w:after="0" w:line="257" w:lineRule="auto"/>
        <w:rPr>
          <w:sz w:val="20"/>
          <w:szCs w:val="20"/>
          <w:color w:val="auto"/>
        </w:rPr>
      </w:pPr>
      <w:r>
        <w:rPr>
          <w:rFonts w:ascii="Times New Roman" w:cs="Times New Roman" w:eastAsia="Times New Roman" w:hAnsi="Times New Roman"/>
          <w:sz w:val="14"/>
          <w:szCs w:val="14"/>
          <w:color w:val="auto"/>
        </w:rPr>
        <w:t>Certain statements in this press release may be considered forward-looking statements. All statements other than statements of historical fact are statements that could be deemed forward-looking statements, including all statements regarding the intent, belief, or current expectation of Tango and members of the Tango senior management team. Forward-looking statements are not purely historical and may be accompanied by words such as “may”, “should”, “expect”, “intend”, “plan”, “will”, “goal”, “estimate”, “anticipate”, “believe”, “predict”, “designed,” “potential” or “continue”, or the negatives of these terms or variations of them or similar terminology. For example, implicit or explicit statements concerning the following include or constitute forward-looking statements. Statements regarding: (i) the potential anticipated benefits, tolerability, efficacy and therapeutic profile of the Company’s PRMT5 inhibitors, as both standalone treatments and in combination with RAS(ON)-inhibitors; (ii) the potential of vopimetostat to be a best-in-class PRMT5 inhibitor for the treatment of MTAP-del pancreatic and lung cancers; (iii) the Company’s development strategies and plans for vopimetostat, including ongoing and planned combination studies and potential advancement into Phase 3 development; (iv) the expected timing, design, conduct and results of current and future clinical trials, including clinical trial initiation, enrollment; and data disclosure; (v) the potential anticipated benefits, tolerability, efficacy and therapeutic profile of the Company’s PRMT5 inhibitors, as both standalone treatments and in combination with RAS(ON)-inhibitors; (vi) the Company’s beliefs regarding the strength of the Phase 1/2 study data and the possibility that such data may not be replicated in future studies.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 able to commence or progress its clinical trials when expected, may not be able to continue dosing, initiate dose escalation and/or dose expansion on anticipated timelines, and may not generate or report clinical trial results (including final, initial, interim,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Tango’s pipeline products may not be safe and/or effective in humans; Tango will need to raise capital in the future and if it is unable to raise capital when needed or on attractive terms, it would be forced to delay, scale back or discontinue some of its development programs or future commercialization efforts (which may delay filing of INDs, dosing patients, initiation of dose expansion, reporting clinical trial results and filing new drug applications); the expected benefits of Tango’s product candidates in patients as single agents and/or in combination may not be realized; Tango may experience delays or difficulties in the initiation, enrollment, or dosing of patients in clinical trials or the announcement of clinical trial results; Tango’s product candidates may cause adverse or other undesirable side effects (or may not show requisite efficacy) that could, among other things, delay or prevent regulatory approval; Tango’s dependence on one or a limited number third parties for conducting clinical trials and supplying and producing drug substance and drug product (including drug substance, which is currently sole sourced); government regulation may negatively impact Tango’s business, including the potential approval of the BIOSECURE Act; the impact of trade restrictions such as sanctions or tariffs, legal actions or enforcement and inflation rates on Tango’s business, financial condition, and results of operations;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its business). Additional information concerning risks, uncertainties and assumptions can be found in Tango’s filings with the Securities and Exchange Commission (SEC), including the risk factors referenced in Tango’s Annual Report on Form 10-K for the fiscal year ended December 31, 2025,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Elizabeth Hickin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ehickin@tangotx.com</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Media: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1AB</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Amanda Lazaro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amanda@1abmedia.com</w:t>
      </w:r>
    </w:p>
    <w:p>
      <w:pPr>
        <w:sectPr>
          <w:pgSz w:w="11900" w:h="16838" w:orient="portrait"/>
          <w:cols w:equalWidth="0" w:num="1">
            <w:col w:w="9019"/>
          </w:cols>
          <w:pgMar w:left="1440" w:top="1263"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2026-06-08T06:20:33Z</dcterms:created>
  <dcterms:modified xsi:type="dcterms:W3CDTF">2026-06-08T06:20:33Z</dcterms:modified>
</cp:coreProperties>
</file>