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748665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73"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140" w:right="1600" w:hanging="3119"/>
        <w:spacing w:after="0" w:line="383" w:lineRule="auto"/>
        <w:tabs>
          <w:tab w:leader="none" w:pos="471"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 to 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001-39485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43"/>
          <w:szCs w:val="43"/>
          <w:b w:val="1"/>
          <w:bCs w:val="1"/>
          <w:color w:val="auto"/>
        </w:rPr>
        <w:t>TANGO THERAPEUTICS, INC.</w:t>
      </w:r>
    </w:p>
    <w:p>
      <w:pPr>
        <w:sectPr>
          <w:pgSz w:w="11900" w:h="16838" w:orient="portrait"/>
          <w:cols w:equalWidth="0" w:num="1">
            <w:col w:w="11240"/>
          </w:cols>
          <w:pgMar w:left="320" w:top="1307" w:right="339" w:bottom="1440" w:gutter="0" w:footer="0" w:header="0"/>
        </w:sectPr>
      </w:pPr>
    </w:p>
    <w:p>
      <w:pPr>
        <w:spacing w:after="0" w:line="5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2"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85-1195036</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700" w:space="240"/>
            <w:col w:w="3300"/>
          </w:cols>
          <w:pgMar w:left="320" w:top="1307"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201 Brookline Ave., Suite 901</w:t>
            </w:r>
          </w:p>
        </w:tc>
        <w:tc>
          <w:tcPr>
            <w:tcW w:w="1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1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580" w:type="dxa"/>
            <w:vAlign w:val="bottom"/>
          </w:tcPr>
          <w:p>
            <w:pPr>
              <w:jc w:val="right"/>
              <w:ind w:right="2501"/>
              <w:spacing w:after="0"/>
              <w:rPr>
                <w:sz w:val="20"/>
                <w:szCs w:val="20"/>
                <w:color w:val="auto"/>
              </w:rPr>
            </w:pPr>
            <w:r>
              <w:rPr>
                <w:rFonts w:ascii="Times New Roman" w:cs="Times New Roman" w:eastAsia="Times New Roman" w:hAnsi="Times New Roman"/>
                <w:sz w:val="18"/>
                <w:szCs w:val="18"/>
                <w:b w:val="1"/>
                <w:bCs w:val="1"/>
                <w:color w:val="auto"/>
              </w:rPr>
              <w:t>02215</w:t>
            </w:r>
          </w:p>
        </w:tc>
        <w:tc>
          <w:tcPr>
            <w:tcW w:w="0" w:type="dxa"/>
            <w:vAlign w:val="bottom"/>
          </w:tcPr>
          <w:p>
            <w:pPr>
              <w:spacing w:after="0"/>
              <w:rPr>
                <w:sz w:val="1"/>
                <w:szCs w:val="1"/>
                <w:color w:val="auto"/>
              </w:rPr>
            </w:pPr>
          </w:p>
        </w:tc>
      </w:tr>
      <w:tr>
        <w:trPr>
          <w:trHeight w:val="173"/>
        </w:trPr>
        <w:tc>
          <w:tcPr>
            <w:tcW w:w="4500" w:type="dxa"/>
            <w:vAlign w:val="bottom"/>
          </w:tcPr>
          <w:p>
            <w:pPr>
              <w:jc w:val="center"/>
              <w:ind w:left="105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140" w:type="dxa"/>
            <w:vAlign w:val="bottom"/>
            <w:gridSpan w:val="2"/>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(857) 320-4900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580" w:type="dxa"/>
            <w:vAlign w:val="bottom"/>
          </w:tcPr>
          <w:p>
            <w:pPr>
              <w:jc w:val="center"/>
              <w:ind w:right="1961"/>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r>
        <w:trPr>
          <w:trHeight w:val="196"/>
        </w:trPr>
        <w:tc>
          <w:tcPr>
            <w:tcW w:w="450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660" w:type="dxa"/>
            <w:vAlign w:val="bottom"/>
            <w:gridSpan w:val="6"/>
          </w:tcPr>
          <w:p>
            <w:pPr>
              <w:jc w:val="center"/>
              <w:ind w:left="351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4500" w:type="dxa"/>
            <w:vAlign w:val="bottom"/>
            <w:vMerge w:val="restart"/>
          </w:tcPr>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2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45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5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9"/>
                <w:szCs w:val="19"/>
                <w:color w:val="auto"/>
              </w:rPr>
            </w:pPr>
          </w:p>
        </w:tc>
        <w:tc>
          <w:tcPr>
            <w:tcW w:w="3040" w:type="dxa"/>
            <w:vAlign w:val="bottom"/>
            <w:gridSpan w:val="4"/>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80" w:type="dxa"/>
            <w:vAlign w:val="bottom"/>
            <w:vMerge w:val="restart"/>
          </w:tcPr>
          <w:p>
            <w:pPr>
              <w:jc w:val="center"/>
              <w:ind w:right="82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5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4"/>
          </w:tcPr>
          <w:p>
            <w:pPr>
              <w:jc w:val="center"/>
              <w:ind w:right="10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stock, par value $0.001 per share</w:t>
            </w:r>
          </w:p>
        </w:tc>
        <w:tc>
          <w:tcPr>
            <w:tcW w:w="120" w:type="dxa"/>
            <w:vAlign w:val="bottom"/>
          </w:tcPr>
          <w:p>
            <w:pPr>
              <w:spacing w:after="0"/>
              <w:rPr>
                <w:sz w:val="19"/>
                <w:szCs w:val="19"/>
                <w:color w:val="auto"/>
              </w:rPr>
            </w:pPr>
          </w:p>
        </w:tc>
        <w:tc>
          <w:tcPr>
            <w:tcW w:w="2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TNGX</w:t>
            </w:r>
          </w:p>
        </w:tc>
        <w:tc>
          <w:tcPr>
            <w:tcW w:w="120" w:type="dxa"/>
            <w:vAlign w:val="bottom"/>
            <w:gridSpan w:val="2"/>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580" w:type="dxa"/>
            <w:vAlign w:val="bottom"/>
            <w:tcBorders>
              <w:top w:val="single" w:sz="8" w:color="auto"/>
            </w:tcBorders>
          </w:tcPr>
          <w:p>
            <w:pPr>
              <w:jc w:val="center"/>
              <w:ind w:right="821"/>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03"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ind w:right="26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20"/>
        <w:spacing w:after="0" w:line="25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November 1, 2024, the registrant had 107,417,818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1156970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9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6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vMerge w:val="continue"/>
          </w:tcPr>
          <w:p>
            <w:pPr>
              <w:spacing w:after="0"/>
              <w:rPr>
                <w:sz w:val="24"/>
                <w:szCs w:val="24"/>
                <w:color w:val="auto"/>
              </w:rPr>
            </w:pP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8"/>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Summary of Material Risks Associated with Our Business</w:t>
      </w:r>
    </w:p>
    <w:p>
      <w:pPr>
        <w:spacing w:after="0" w:line="229" w:lineRule="exact"/>
        <w:rPr>
          <w:sz w:val="20"/>
          <w:szCs w:val="20"/>
          <w:color w:val="auto"/>
        </w:rPr>
      </w:pPr>
    </w:p>
    <w:p>
      <w:pPr>
        <w:jc w:val="both"/>
        <w:ind w:right="40" w:firstLine="599"/>
        <w:spacing w:after="0" w:line="266" w:lineRule="auto"/>
        <w:rPr>
          <w:sz w:val="20"/>
          <w:szCs w:val="20"/>
          <w:color w:val="auto"/>
        </w:rPr>
      </w:pPr>
      <w:r>
        <w:rPr>
          <w:rFonts w:ascii="Times New Roman" w:cs="Times New Roman" w:eastAsia="Times New Roman" w:hAnsi="Times New Roman"/>
          <w:sz w:val="18"/>
          <w:szCs w:val="18"/>
          <w:color w:val="auto"/>
        </w:rPr>
        <w:t>Our business is subject to numerous material and other risks that you should be aware of before making an investment decision with respect to our securities. These risks are described more fully in Part I, Item 1A of our Annual Report on Form 10-K for the year ended December 31, 2023. These risks include, among others, the following (which is not an exhaustive list of all such risks):</w:t>
      </w:r>
    </w:p>
    <w:p>
      <w:pPr>
        <w:spacing w:after="0" w:line="68" w:lineRule="exact"/>
        <w:rPr>
          <w:sz w:val="20"/>
          <w:szCs w:val="20"/>
          <w:color w:val="auto"/>
        </w:rPr>
      </w:pPr>
    </w:p>
    <w:p>
      <w:pPr>
        <w:ind w:left="1040" w:right="220" w:hanging="465"/>
        <w:spacing w:after="0" w:line="266"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p>
    <w:p>
      <w:pPr>
        <w:spacing w:after="0" w:line="189" w:lineRule="exact"/>
        <w:rPr>
          <w:rFonts w:ascii="Times New Roman" w:cs="Times New Roman" w:eastAsia="Times New Roman" w:hAnsi="Times New Roman"/>
          <w:sz w:val="18"/>
          <w:szCs w:val="18"/>
          <w:color w:val="auto"/>
        </w:rPr>
      </w:pPr>
    </w:p>
    <w:p>
      <w:pPr>
        <w:ind w:left="1040" w:right="8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net losses since our inception and anticipate that we will continue to incur losses for the foreseeable future. We expect our operating results to fluctuate significantly in the future as our business advances.</w:t>
      </w:r>
    </w:p>
    <w:p>
      <w:pPr>
        <w:spacing w:after="0" w:line="175" w:lineRule="exact"/>
        <w:rPr>
          <w:rFonts w:ascii="Times New Roman" w:cs="Times New Roman" w:eastAsia="Times New Roman" w:hAnsi="Times New Roman"/>
          <w:sz w:val="18"/>
          <w:szCs w:val="18"/>
          <w:color w:val="auto"/>
        </w:rPr>
      </w:pPr>
    </w:p>
    <w:p>
      <w:pPr>
        <w:jc w:val="both"/>
        <w:ind w:left="1040" w:right="4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p>
    <w:p>
      <w:pPr>
        <w:spacing w:after="0" w:line="189" w:lineRule="exact"/>
        <w:rPr>
          <w:rFonts w:ascii="Times New Roman" w:cs="Times New Roman" w:eastAsia="Times New Roman" w:hAnsi="Times New Roman"/>
          <w:sz w:val="18"/>
          <w:szCs w:val="18"/>
          <w:color w:val="auto"/>
        </w:rPr>
      </w:pPr>
    </w:p>
    <w:p>
      <w:pPr>
        <w:ind w:left="1040" w:right="18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175" w:lineRule="exact"/>
        <w:rPr>
          <w:rFonts w:ascii="Times New Roman" w:cs="Times New Roman" w:eastAsia="Times New Roman" w:hAnsi="Times New Roman"/>
          <w:sz w:val="18"/>
          <w:szCs w:val="18"/>
          <w:color w:val="auto"/>
        </w:rPr>
      </w:pPr>
    </w:p>
    <w:p>
      <w:pPr>
        <w:ind w:left="1040" w:right="24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189" w:lineRule="exact"/>
        <w:rPr>
          <w:rFonts w:ascii="Times New Roman" w:cs="Times New Roman" w:eastAsia="Times New Roman" w:hAnsi="Times New Roman"/>
          <w:sz w:val="18"/>
          <w:szCs w:val="18"/>
          <w:color w:val="auto"/>
        </w:rPr>
      </w:pPr>
    </w:p>
    <w:p>
      <w:pPr>
        <w:ind w:left="1040" w:right="160" w:hanging="452"/>
        <w:spacing w:after="0" w:line="261"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successfully validate, develop and obtain regulatory approval for screening tests and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trials.</w:t>
      </w:r>
    </w:p>
    <w:p>
      <w:pPr>
        <w:spacing w:after="0" w:line="193" w:lineRule="exact"/>
        <w:rPr>
          <w:rFonts w:ascii="Times New Roman" w:cs="Times New Roman" w:eastAsia="Times New Roman" w:hAnsi="Times New Roman"/>
          <w:sz w:val="18"/>
          <w:szCs w:val="18"/>
          <w:color w:val="auto"/>
        </w:rPr>
      </w:pPr>
    </w:p>
    <w:p>
      <w:pPr>
        <w:ind w:left="1040" w:right="6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product development involves a lengthy and expensive process, with an uncertain outcome. Further, our current and potential future collaborations may not realize the anticipated benefits.</w:t>
      </w:r>
    </w:p>
    <w:p>
      <w:pPr>
        <w:spacing w:after="0" w:line="175" w:lineRule="exact"/>
        <w:rPr>
          <w:rFonts w:ascii="Times New Roman" w:cs="Times New Roman" w:eastAsia="Times New Roman" w:hAnsi="Times New Roman"/>
          <w:sz w:val="18"/>
          <w:szCs w:val="18"/>
          <w:color w:val="auto"/>
        </w:rPr>
      </w:pPr>
    </w:p>
    <w:p>
      <w:pPr>
        <w:ind w:left="1040" w:right="300" w:hanging="452"/>
        <w:spacing w:after="0" w:line="312" w:lineRule="auto"/>
        <w:tabs>
          <w:tab w:leader="none" w:pos="10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interim and top-line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3" w:lineRule="exact"/>
        <w:rPr>
          <w:rFonts w:ascii="Times New Roman" w:cs="Times New Roman" w:eastAsia="Times New Roman" w:hAnsi="Times New Roman"/>
          <w:sz w:val="17"/>
          <w:szCs w:val="17"/>
          <w:color w:val="auto"/>
        </w:rPr>
      </w:pPr>
    </w:p>
    <w:p>
      <w:pPr>
        <w:ind w:left="1040" w:hanging="452"/>
        <w:spacing w:after="0" w:line="261"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193" w:lineRule="exact"/>
        <w:rPr>
          <w:rFonts w:ascii="Times New Roman" w:cs="Times New Roman" w:eastAsia="Times New Roman" w:hAnsi="Times New Roman"/>
          <w:sz w:val="18"/>
          <w:szCs w:val="18"/>
          <w:color w:val="auto"/>
        </w:rPr>
      </w:pPr>
    </w:p>
    <w:p>
      <w:pPr>
        <w:ind w:left="1040" w:right="240" w:hanging="46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initiation, enrollment or dosing of patients in clinical trials, the announcement of clinical trial results and our receipt of necessary regulatory approvals (if any) could be delayed or prevented.</w:t>
      </w:r>
    </w:p>
    <w:p>
      <w:pPr>
        <w:spacing w:after="0" w:line="175" w:lineRule="exact"/>
        <w:rPr>
          <w:rFonts w:ascii="Times New Roman" w:cs="Times New Roman" w:eastAsia="Times New Roman" w:hAnsi="Times New Roman"/>
          <w:sz w:val="18"/>
          <w:szCs w:val="18"/>
          <w:color w:val="auto"/>
        </w:rPr>
      </w:pPr>
    </w:p>
    <w:p>
      <w:pPr>
        <w:ind w:left="1040" w:right="52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189" w:lineRule="exact"/>
        <w:rPr>
          <w:rFonts w:ascii="Times New Roman" w:cs="Times New Roman" w:eastAsia="Times New Roman" w:hAnsi="Times New Roman"/>
          <w:sz w:val="18"/>
          <w:szCs w:val="18"/>
          <w:color w:val="auto"/>
        </w:rPr>
      </w:pPr>
    </w:p>
    <w:p>
      <w:pPr>
        <w:ind w:left="1040" w:right="6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189" w:lineRule="exact"/>
        <w:rPr>
          <w:rFonts w:ascii="Times New Roman" w:cs="Times New Roman" w:eastAsia="Times New Roman" w:hAnsi="Times New Roman"/>
          <w:sz w:val="18"/>
          <w:szCs w:val="18"/>
          <w:color w:val="auto"/>
        </w:rPr>
      </w:pPr>
    </w:p>
    <w:p>
      <w:pPr>
        <w:ind w:left="1040" w:right="140" w:hanging="452"/>
        <w:spacing w:after="0" w:line="266" w:lineRule="auto"/>
        <w:tabs>
          <w:tab w:leader="none" w:pos="104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3" w:name="page4"/>
    <w:bookmarkEnd w:id="3"/>
    <w:p>
      <w:pPr>
        <w:ind w:left="1040" w:right="900" w:hanging="465"/>
        <w:spacing w:after="0" w:line="282"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crises may materially and adversely affect our business and our financial results and could cause a disruption to the development of our product candidates and the initiation and completion of clinical trials.</w:t>
      </w:r>
    </w:p>
    <w:p>
      <w:pPr>
        <w:spacing w:after="0" w:line="175" w:lineRule="exact"/>
        <w:rPr>
          <w:rFonts w:ascii="Times New Roman" w:cs="Times New Roman" w:eastAsia="Times New Roman" w:hAnsi="Times New Roman"/>
          <w:sz w:val="18"/>
          <w:szCs w:val="18"/>
          <w:color w:val="auto"/>
        </w:rPr>
      </w:pPr>
    </w:p>
    <w:p>
      <w:pPr>
        <w:ind w:left="1040" w:right="80" w:hanging="452"/>
        <w:spacing w:after="0" w:line="261"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and expect to continue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193" w:lineRule="exact"/>
        <w:rPr>
          <w:rFonts w:ascii="Times New Roman" w:cs="Times New Roman" w:eastAsia="Times New Roman" w:hAnsi="Times New Roman"/>
          <w:sz w:val="18"/>
          <w:szCs w:val="18"/>
          <w:color w:val="auto"/>
        </w:rPr>
      </w:pPr>
    </w:p>
    <w:p>
      <w:pPr>
        <w:ind w:left="1040" w:right="100" w:hanging="452"/>
        <w:spacing w:after="0" w:line="261"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93" w:lineRule="exact"/>
        <w:rPr>
          <w:rFonts w:ascii="Times New Roman" w:cs="Times New Roman" w:eastAsia="Times New Roman" w:hAnsi="Times New Roman"/>
          <w:sz w:val="18"/>
          <w:szCs w:val="18"/>
          <w:color w:val="auto"/>
        </w:rPr>
      </w:pPr>
    </w:p>
    <w:p>
      <w:pPr>
        <w:ind w:left="1040" w:right="40" w:hanging="452"/>
        <w:spacing w:after="0" w:line="258"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a very limited number of third parties for the supply of the active pharmaceutical ingredients ("API") and drug product to be used in our product candidates (for the active pharmaceutical ingredient for all of our clinical trial products, an affiliate of WuXi AppTec is the sole source of all of such supply), and WuXi AppTec has been the subject of recently proposed Congressional legislation that, if approved, could materially restrict our ability to conduct business with, and obtain API from WuXi AppTec, and the loss of any of these suppliers, including WuXi AppTec, could significantly harm our business.</w:t>
      </w:r>
    </w:p>
    <w:p>
      <w:pPr>
        <w:spacing w:after="0" w:line="196" w:lineRule="exact"/>
        <w:rPr>
          <w:rFonts w:ascii="Times New Roman" w:cs="Times New Roman" w:eastAsia="Times New Roman" w:hAnsi="Times New Roman"/>
          <w:sz w:val="18"/>
          <w:szCs w:val="18"/>
          <w:color w:val="auto"/>
        </w:rPr>
      </w:pPr>
    </w:p>
    <w:p>
      <w:pPr>
        <w:ind w:left="1040" w:right="140" w:hanging="452"/>
        <w:spacing w:after="0" w:line="282"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cannot obtain new patents, maintain our existing patents and protect the confidentiality and proprietary nature of our trade secrets and other intellectual property, our business and competitive position may be harmed.</w:t>
      </w:r>
    </w:p>
    <w:p>
      <w:pPr>
        <w:spacing w:after="0" w:line="175" w:lineRule="exact"/>
        <w:rPr>
          <w:rFonts w:ascii="Times New Roman" w:cs="Times New Roman" w:eastAsia="Times New Roman" w:hAnsi="Times New Roman"/>
          <w:sz w:val="18"/>
          <w:szCs w:val="18"/>
          <w:color w:val="auto"/>
        </w:rPr>
      </w:pPr>
    </w:p>
    <w:p>
      <w:pPr>
        <w:ind w:left="1040" w:right="80" w:hanging="452"/>
        <w:spacing w:after="0" w:line="266" w:lineRule="auto"/>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p>
      <w:pPr>
        <w:spacing w:after="0" w:line="189" w:lineRule="exact"/>
        <w:rPr>
          <w:rFonts w:ascii="Times New Roman" w:cs="Times New Roman" w:eastAsia="Times New Roman" w:hAnsi="Times New Roman"/>
          <w:sz w:val="18"/>
          <w:szCs w:val="18"/>
          <w:color w:val="auto"/>
        </w:rPr>
      </w:pPr>
    </w:p>
    <w:p>
      <w:pPr>
        <w:ind w:left="1040" w:hanging="452"/>
        <w:spacing w:after="0"/>
        <w:tabs>
          <w:tab w:leader="none" w:pos="10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combination therapies may present more or different challenges than development of single agent therapies.</w:t>
      </w: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ind w:firstLine="495"/>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p>
      <w:pPr>
        <w:spacing w:after="0" w:line="84" w:lineRule="exact"/>
        <w:rPr>
          <w:sz w:val="20"/>
          <w:szCs w:val="20"/>
          <w:color w:val="auto"/>
        </w:rPr>
      </w:pPr>
    </w:p>
    <w:p>
      <w:pPr>
        <w:ind w:left="1040" w:right="60" w:hanging="452"/>
        <w:spacing w:after="0" w:line="277" w:lineRule="auto"/>
        <w:tabs>
          <w:tab w:leader="none" w:pos="10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initiation, timing, progress, results, and cost of our research and development programs and our current and future preclinical studies and clinical trials and combination clinical trials, including statements regarding the timing of IND filings and acceptance, active enrollment in clinical trials (including combination clinical trials), dosing in clinical trials, future plans for dose expansions, and initiation and completion of studies or clinical trials and related preparatory work, and the period during which the results of the clinical trials (including initial and final trial results) will become available (such as additional clinical data from the ongoing TNG462 clinical trial expected in 2025);</w:t>
      </w:r>
    </w:p>
    <w:p>
      <w:pPr>
        <w:spacing w:after="0" w:line="181" w:lineRule="exact"/>
        <w:rPr>
          <w:rFonts w:ascii="Times New Roman" w:cs="Times New Roman" w:eastAsia="Times New Roman" w:hAnsi="Times New Roman"/>
          <w:sz w:val="17"/>
          <w:szCs w:val="17"/>
          <w:color w:val="auto"/>
        </w:rPr>
      </w:pPr>
    </w:p>
    <w:p>
      <w:pPr>
        <w:ind w:left="1040" w:right="300" w:hanging="452"/>
        <w:spacing w:after="0" w:line="312" w:lineRule="auto"/>
        <w:tabs>
          <w:tab w:leader="none" w:pos="10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discover and develop product candidates efficiently (including the advancement of development candidates on the timelines identified and the ability to identify and contract with clinical trial sites and investigators to use our product candidates in trials);</w:t>
      </w:r>
    </w:p>
    <w:p>
      <w:pPr>
        <w:spacing w:after="0" w:line="153" w:lineRule="exact"/>
        <w:rPr>
          <w:rFonts w:ascii="Times New Roman" w:cs="Times New Roman" w:eastAsia="Times New Roman" w:hAnsi="Times New Roman"/>
          <w:sz w:val="17"/>
          <w:szCs w:val="17"/>
          <w:color w:val="auto"/>
        </w:rPr>
      </w:pPr>
    </w:p>
    <w:p>
      <w:pPr>
        <w:ind w:left="1040" w:right="180" w:hanging="452"/>
        <w:spacing w:after="0" w:line="282" w:lineRule="auto"/>
        <w:tabs>
          <w:tab w:leader="none" w:pos="10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potential (or those of third parties) to manufacture our drug product, drug substance and product candidates successfully for preclinical use, for clinical trials and on a larger scale for commercial use, if approved;</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 w:name="page5"/>
    <w:bookmarkEnd w:id="4"/>
    <w:p>
      <w:pPr>
        <w:ind w:left="452" w:right="8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and willingness of our third-party strategic collaborators to license and to continue research and development activities relating to our development candidates and product candidates;</w:t>
      </w:r>
    </w:p>
    <w:p>
      <w:pPr>
        <w:spacing w:after="0" w:line="175" w:lineRule="exact"/>
        <w:rPr>
          <w:rFonts w:ascii="Times New Roman" w:cs="Times New Roman" w:eastAsia="Times New Roman" w:hAnsi="Times New Roman"/>
          <w:sz w:val="18"/>
          <w:szCs w:val="18"/>
          <w:color w:val="auto"/>
        </w:rPr>
      </w:pPr>
    </w:p>
    <w:p>
      <w:pPr>
        <w:ind w:left="452" w:right="220" w:hanging="452"/>
        <w:spacing w:after="0" w:line="266"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the third quarter of 2026);</w:t>
      </w:r>
    </w:p>
    <w:p>
      <w:pPr>
        <w:spacing w:after="0" w:line="189" w:lineRule="exact"/>
        <w:rPr>
          <w:rFonts w:ascii="Times New Roman" w:cs="Times New Roman" w:eastAsia="Times New Roman" w:hAnsi="Times New Roman"/>
          <w:sz w:val="18"/>
          <w:szCs w:val="18"/>
          <w:color w:val="auto"/>
        </w:rPr>
      </w:pPr>
    </w:p>
    <w:p>
      <w:pPr>
        <w:ind w:left="452" w:right="400" w:hanging="452"/>
        <w:spacing w:after="0" w:line="266"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if approved, maintain regulatory approval of our product candidates (as well as approval of screening tests and companion diagnostic tests for our product candidates) and the potential paths to approval in the first line setting for TNG462 in combination;</w:t>
      </w:r>
    </w:p>
    <w:p>
      <w:pPr>
        <w:spacing w:after="0" w:line="189"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if approved;</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product candidates, if approved;</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and product candidates;</w:t>
      </w:r>
    </w:p>
    <w:p>
      <w:pPr>
        <w:spacing w:after="0" w:line="238" w:lineRule="exact"/>
        <w:rPr>
          <w:rFonts w:ascii="Times New Roman" w:cs="Times New Roman" w:eastAsia="Times New Roman" w:hAnsi="Times New Roman"/>
          <w:sz w:val="18"/>
          <w:szCs w:val="18"/>
          <w:color w:val="auto"/>
        </w:rPr>
      </w:pPr>
    </w:p>
    <w:p>
      <w:pPr>
        <w:ind w:left="452"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 candidates and our ability to enforce our intellectual property rights;</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expenses, capital requirements, and our need for additional financing;</w:t>
      </w:r>
    </w:p>
    <w:p>
      <w:pPr>
        <w:spacing w:after="0" w:line="238" w:lineRule="exact"/>
        <w:rPr>
          <w:rFonts w:ascii="Times New Roman" w:cs="Times New Roman" w:eastAsia="Times New Roman" w:hAnsi="Times New Roman"/>
          <w:sz w:val="18"/>
          <w:szCs w:val="18"/>
          <w:color w:val="auto"/>
        </w:rPr>
      </w:pPr>
    </w:p>
    <w:p>
      <w:pPr>
        <w:ind w:left="452" w:right="1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75" w:lineRule="exact"/>
        <w:rPr>
          <w:rFonts w:ascii="Times New Roman" w:cs="Times New Roman" w:eastAsia="Times New Roman" w:hAnsi="Times New Roman"/>
          <w:sz w:val="18"/>
          <w:szCs w:val="18"/>
          <w:color w:val="auto"/>
        </w:rPr>
      </w:pPr>
    </w:p>
    <w:p>
      <w:pPr>
        <w:ind w:left="452" w:right="2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product candidates (if approved) and any other approved products;</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including the expectation that we will continue to incur operating losses and negative cash flow;</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 if approved;</w:t>
      </w:r>
    </w:p>
    <w:p>
      <w:pPr>
        <w:spacing w:after="0" w:line="238" w:lineRule="exact"/>
        <w:rPr>
          <w:rFonts w:ascii="Times New Roman" w:cs="Times New Roman" w:eastAsia="Times New Roman" w:hAnsi="Times New Roman"/>
          <w:sz w:val="18"/>
          <w:szCs w:val="18"/>
          <w:color w:val="auto"/>
        </w:rPr>
      </w:pPr>
    </w:p>
    <w:p>
      <w:pPr>
        <w:ind w:left="452" w:right="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foreign countries, including product approval requirements and pricing regulations by U.S. regulators (such as Centers for Medicare &amp; Medicaid Services) and foreign regulatory authorities;</w:t>
      </w:r>
    </w:p>
    <w:p>
      <w:pPr>
        <w:spacing w:after="0" w:line="175"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w:t>
      </w:r>
    </w:p>
    <w:p>
      <w:pPr>
        <w:spacing w:after="0" w:line="238" w:lineRule="exact"/>
        <w:rPr>
          <w:rFonts w:ascii="Times New Roman" w:cs="Times New Roman" w:eastAsia="Times New Roman" w:hAnsi="Times New Roman"/>
          <w:sz w:val="18"/>
          <w:szCs w:val="18"/>
          <w:color w:val="auto"/>
        </w:rPr>
      </w:pPr>
    </w:p>
    <w:p>
      <w:pPr>
        <w:ind w:left="452" w:right="76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the ability of third parties with whom we contract) to produce our products or product candidates with advantages in turnaround times or manufacturing cost;</w:t>
      </w:r>
    </w:p>
    <w:p>
      <w:pPr>
        <w:spacing w:after="0" w:line="175" w:lineRule="exact"/>
        <w:rPr>
          <w:rFonts w:ascii="Times New Roman" w:cs="Times New Roman" w:eastAsia="Times New Roman" w:hAnsi="Times New Roman"/>
          <w:sz w:val="18"/>
          <w:szCs w:val="18"/>
          <w:color w:val="auto"/>
        </w:rPr>
      </w:pPr>
    </w:p>
    <w:p>
      <w:pPr>
        <w:ind w:left="452" w:right="180" w:hanging="452"/>
        <w:spacing w:after="0" w:line="312" w:lineRule="auto"/>
        <w:tabs>
          <w:tab w:leader="none" w:pos="45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p>
      <w:pPr>
        <w:spacing w:after="0" w:line="153" w:lineRule="exact"/>
        <w:rPr>
          <w:rFonts w:ascii="Times New Roman" w:cs="Times New Roman" w:eastAsia="Times New Roman" w:hAnsi="Times New Roman"/>
          <w:sz w:val="17"/>
          <w:szCs w:val="17"/>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or management personnel;</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laws and regulations;</w:t>
      </w:r>
    </w:p>
    <w:p>
      <w:pPr>
        <w:spacing w:after="0" w:line="238" w:lineRule="exact"/>
        <w:rPr>
          <w:rFonts w:ascii="Times New Roman" w:cs="Times New Roman" w:eastAsia="Times New Roman" w:hAnsi="Times New Roman"/>
          <w:sz w:val="18"/>
          <w:szCs w:val="18"/>
          <w:color w:val="auto"/>
        </w:rPr>
      </w:pPr>
    </w:p>
    <w:p>
      <w:pPr>
        <w:ind w:left="452" w:hanging="452"/>
        <w:spacing w:after="0"/>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industry;</w:t>
      </w:r>
    </w:p>
    <w:p>
      <w:pPr>
        <w:spacing w:after="0" w:line="238" w:lineRule="exact"/>
        <w:rPr>
          <w:rFonts w:ascii="Times New Roman" w:cs="Times New Roman" w:eastAsia="Times New Roman" w:hAnsi="Times New Roman"/>
          <w:sz w:val="18"/>
          <w:szCs w:val="18"/>
          <w:color w:val="auto"/>
        </w:rPr>
      </w:pPr>
    </w:p>
    <w:p>
      <w:pPr>
        <w:ind w:left="452" w:right="340" w:hanging="452"/>
        <w:spacing w:after="0" w:line="282" w:lineRule="auto"/>
        <w:tabs>
          <w:tab w:leader="none" w:pos="4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on our business operations, including but not limited to our preclinical studies and clinical trials and any future studies or trials;</w:t>
      </w:r>
    </w:p>
    <w:p>
      <w:pPr>
        <w:spacing w:after="0" w:line="391" w:lineRule="exact"/>
        <w:rPr>
          <w:sz w:val="20"/>
          <w:szCs w:val="20"/>
          <w:color w:val="auto"/>
        </w:rPr>
      </w:pPr>
    </w:p>
    <w:p>
      <w:pPr>
        <w:ind w:left="497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32"/>
          </w:cols>
          <w:pgMar w:left="908" w:top="985" w:right="359" w:bottom="1440" w:gutter="0" w:footer="0" w:header="0"/>
        </w:sectPr>
      </w:pPr>
    </w:p>
    <w:bookmarkStart w:id="5" w:name="page6"/>
    <w:bookmarkEnd w:id="5"/>
    <w:p>
      <w:pPr>
        <w:ind w:left="1040" w:right="260" w:hanging="452"/>
        <w:spacing w:after="0" w:line="266"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use of our drugs in patients as single agents and/or in combination, including our belief that TNG260 could be among the first oncology molecules to leverage the benefits of genetically-based patient selection (STK11-mutation) with checkpoint inhibitor therapy; and</w:t>
      </w:r>
    </w:p>
    <w:p>
      <w:pPr>
        <w:spacing w:after="0" w:line="189" w:lineRule="exact"/>
        <w:rPr>
          <w:rFonts w:ascii="Times New Roman" w:cs="Times New Roman" w:eastAsia="Times New Roman" w:hAnsi="Times New Roman"/>
          <w:sz w:val="18"/>
          <w:szCs w:val="18"/>
          <w:color w:val="auto"/>
        </w:rPr>
      </w:pPr>
    </w:p>
    <w:p>
      <w:pPr>
        <w:ind w:left="1040" w:right="240" w:hanging="452"/>
        <w:spacing w:after="0" w:line="282" w:lineRule="auto"/>
        <w:tabs>
          <w:tab w:leader="none" w:pos="10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identified in Part II, Item 1A of this Quarterly Report on Form 10-Q and in Part I, Item 1A of our Annual Report on Form 10-K for the year ended December 31, 2023 - in both cases, see section titled “Risk Factors.”</w:t>
      </w:r>
    </w:p>
    <w:p>
      <w:pPr>
        <w:spacing w:after="0" w:line="391" w:lineRule="exact"/>
        <w:rPr>
          <w:sz w:val="20"/>
          <w:szCs w:val="20"/>
          <w:color w:val="auto"/>
        </w:rPr>
      </w:pPr>
    </w:p>
    <w:p>
      <w:pPr>
        <w:ind w:right="20" w:firstLine="495"/>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Part I, Item 1A of our Annual Report on Form 10-K for the year ended December 31, 2023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1A of our Annual Report on Form 10-K for the year ended December 31, 2023. Should one or more of these risks or uncertainties materialize, or should any of our assumptions prove incorrect, actual results may vary in material respects from those projected in these forward-looking statements. There may be additional risks that we currently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DEFINED TERMS IN THIS QUARTERLY REPORT ON FORM 10-Q</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in this Quarterly Report on Form 10-Q for the quarter ended September 30, 2024, we use the following defined terms:</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“we”, “our” and “us” mean Tango Therapeutics, Inc. and its wholly-owned subsidiaries;</w:t>
      </w:r>
    </w:p>
    <w:p>
      <w:pPr>
        <w:spacing w:after="0" w:line="117" w:lineRule="exact"/>
        <w:rPr>
          <w:rFonts w:ascii="Times New Roman" w:cs="Times New Roman" w:eastAsia="Times New Roman" w:hAnsi="Times New Roman"/>
          <w:sz w:val="18"/>
          <w:szCs w:val="18"/>
          <w:color w:val="auto"/>
        </w:rPr>
      </w:pPr>
    </w:p>
    <w:p>
      <w:pPr>
        <w:ind w:left="1020" w:right="54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as Tango Therapeutics, Inc.);</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“CoREST” means Co-repressor of Repressor Element-1 Silencing Transcription;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means Gilead Sciences, Inc.;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“GBM” means glioblastoma;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“HRD+” means homologous recombination deficient;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 means methylthioadenosine;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“MTAP” means methylthioadenosine phosphorylase;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“NSCLC” means non-small cell lung cancer;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“PRMT5” means protein arginine methyltransferase 5;</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Report” means this Quarterly Report on Form 10-Q for the quarter ended September 30,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“SDMA” means symmetric di-methylation of specific arginine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“STK11” means serine-threonine kinase 11;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“USP1” means ubiquitin-specific protease 1.</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We were formerly known as BCTG Acquisition Corp. (“BCTG”) and were incorporated in Delaware in May 2020 as a special purpose acquisition company, formed for the purpose of effecting a merger, capital stock exchange, asset acquisition, stock purchase, reorganization or other similar business combination.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Times New Roman" w:cs="Times New Roman" w:eastAsia="Times New Roman" w:hAnsi="Times New Roman"/>
          <w:sz w:val="19"/>
          <w:szCs w:val="19"/>
          <w:color w:val="auto"/>
        </w:rPr>
        <w:t>W</w:t>
      </w:r>
      <w:r>
        <w:rPr>
          <w:rFonts w:ascii="Times New Roman" w:cs="Times New Roman" w:eastAsia="Times New Roman" w:hAnsi="Times New Roman"/>
          <w:sz w:val="18"/>
          <w:szCs w:val="18"/>
          <w:color w:val="auto"/>
        </w:rPr>
        <w:t>e also make available, free of charge on our website, the reports filed with the SEC by our executive officers, directors and 10% stockholders pursuant to Section 16 under the Exchange Act as soon as reasonably practicable a</w:t>
      </w:r>
      <w:r>
        <w:rPr>
          <w:rFonts w:ascii="Times New Roman" w:cs="Times New Roman" w:eastAsia="Times New Roman" w:hAnsi="Times New Roman"/>
          <w:sz w:val="19"/>
          <w:szCs w:val="19"/>
          <w:color w:val="auto"/>
        </w:rPr>
        <w:t>f</w:t>
      </w:r>
      <w:r>
        <w:rPr>
          <w:rFonts w:ascii="Times New Roman" w:cs="Times New Roman" w:eastAsia="Times New Roman" w:hAnsi="Times New Roman"/>
          <w:sz w:val="18"/>
          <w:szCs w:val="18"/>
          <w:color w:val="auto"/>
        </w:rPr>
        <w:t>ter copies of those filings are provided to us by those persons</w:t>
      </w:r>
      <w:r>
        <w:rPr>
          <w:rFonts w:ascii="Times New Roman" w:cs="Times New Roman" w:eastAsia="Times New Roman" w:hAnsi="Times New Roman"/>
          <w:sz w:val="19"/>
          <w:szCs w:val="19"/>
          <w:color w:val="auto"/>
        </w:rPr>
        <w:t>. A</w:t>
      </w:r>
      <w:r>
        <w:rPr>
          <w:rFonts w:ascii="Times New Roman" w:cs="Times New Roman" w:eastAsia="Times New Roman" w:hAnsi="Times New Roman"/>
          <w:sz w:val="18"/>
          <w:szCs w:val="18"/>
          <w:color w:val="auto"/>
        </w:rPr>
        <w:t>ccordingly, investors should monitor such portions of the Company’s website, in addition to following the Company’s press releases, SEC filings and public conference calls and webcasts (if any). 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spacing w:after="0" w:line="192"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Further, the Company intends to use its website at http://www.tangotx.com as a means of disclosing material non-public information and for complying with its disclosure obligations under the SEC Regulation FD. Such disclosures will be included on the 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 is located at 201 Brookline Avenue, Suite 901, Boston, Massachusetts 02215.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ind w:left="40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53,148</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66,385</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7,537</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300,815</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346,538</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40,430</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43,508</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net of current portion</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352,415</w:t>
            </w:r>
          </w:p>
        </w:tc>
        <w:tc>
          <w:tcPr>
            <w:tcW w:w="30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15,602</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25,670</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37,583</w:t>
            </w: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34,763</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36,838</w:t>
            </w:r>
          </w:p>
        </w:tc>
        <w:tc>
          <w:tcPr>
            <w:tcW w:w="100" w:type="dxa"/>
            <w:vAlign w:val="bottom"/>
          </w:tcPr>
          <w:p>
            <w:pPr>
              <w:spacing w:after="0"/>
              <w:rPr>
                <w:sz w:val="20"/>
                <w:szCs w:val="20"/>
                <w:color w:val="auto"/>
              </w:rPr>
            </w:pPr>
          </w:p>
        </w:tc>
      </w:tr>
      <w:tr>
        <w:trPr>
          <w:trHeight w:val="243"/>
        </w:trPr>
        <w:tc>
          <w:tcPr>
            <w:tcW w:w="6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50,899</w:t>
            </w:r>
          </w:p>
        </w:tc>
        <w:tc>
          <w:tcPr>
            <w:tcW w:w="3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123,245</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149,459</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$0.001 par value; 10,000,000 shares authorized; no shares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as of September 30, 2024 and December 31, 2023, respectively</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$0.001 par value; 200,000,000 shares</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authorized at September 30, 2024 and December 31, 2023, respectively;</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107,414,636 and 102,202,759 shares issued and outstanding as of</w:t>
            </w: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September 30, 2024 and December 31, 2023, respectively</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r>
      <w:tr>
        <w:trPr>
          <w:trHeight w:val="250"/>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692,201</w:t>
            </w:r>
          </w:p>
        </w:tc>
        <w:tc>
          <w:tcPr>
            <w:tcW w:w="3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624,076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(463,888 )</w:t>
            </w:r>
          </w:p>
        </w:tc>
        <w:tc>
          <w:tcPr>
            <w:tcW w:w="22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(371,256 )</w:t>
            </w:r>
          </w:p>
        </w:tc>
      </w:tr>
      <w:tr>
        <w:trPr>
          <w:trHeight w:val="236"/>
        </w:trPr>
        <w:tc>
          <w:tcPr>
            <w:tcW w:w="66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229,170</w:t>
            </w:r>
          </w:p>
        </w:tc>
        <w:tc>
          <w:tcPr>
            <w:tcW w:w="30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253,108</w:t>
            </w:r>
          </w:p>
        </w:tc>
        <w:tc>
          <w:tcPr>
            <w:tcW w:w="100" w:type="dxa"/>
            <w:vAlign w:val="bottom"/>
            <w:tcBorders>
              <w:top w:val="single" w:sz="8" w:color="CFF0FC"/>
            </w:tcBorders>
          </w:tcPr>
          <w:p>
            <w:pPr>
              <w:spacing w:after="0"/>
              <w:rPr>
                <w:sz w:val="20"/>
                <w:szCs w:val="20"/>
                <w:color w:val="auto"/>
              </w:rPr>
            </w:pPr>
          </w:p>
        </w:tc>
      </w:tr>
      <w:tr>
        <w:trPr>
          <w:trHeight w:val="277"/>
        </w:trPr>
        <w:tc>
          <w:tcPr>
            <w:tcW w:w="6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352,415</w:t>
            </w:r>
          </w:p>
        </w:tc>
        <w:tc>
          <w:tcPr>
            <w:tcW w:w="3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402,567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-3710940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-3710940</wp:posOffset>
            </wp:positionV>
            <wp:extent cx="603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-2142490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-2142490</wp:posOffset>
            </wp:positionV>
            <wp:extent cx="603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-350520</wp:posOffset>
            </wp:positionV>
            <wp:extent cx="603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8" w:name="page9"/>
    <w:bookmarkEnd w:id="8"/>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3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50"/>
        </w:trPr>
        <w:tc>
          <w:tcPr>
            <w:tcW w:w="490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21"/>
                <w:szCs w:val="21"/>
                <w:color w:val="auto"/>
              </w:rPr>
            </w:pPr>
          </w:p>
        </w:tc>
      </w:tr>
      <w:tr>
        <w:trPr>
          <w:trHeight w:val="23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26,096</w:t>
            </w:r>
          </w:p>
        </w:tc>
        <w:tc>
          <w:tcPr>
            <w:tcW w:w="100" w:type="dxa"/>
            <w:vAlign w:val="bottom"/>
            <w:shd w:val="clear" w:color="auto" w:fill="CFF0FC"/>
          </w:tcPr>
          <w:p>
            <w:pPr>
              <w:spacing w:after="0"/>
              <w:rPr>
                <w:sz w:val="20"/>
                <w:szCs w:val="20"/>
                <w:color w:val="auto"/>
              </w:rPr>
            </w:pPr>
          </w:p>
        </w:tc>
      </w:tr>
      <w:tr>
        <w:trPr>
          <w:trHeight w:val="23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tcPr>
          <w:p>
            <w:pPr>
              <w:spacing w:after="0"/>
              <w:rPr>
                <w:sz w:val="20"/>
                <w:szCs w:val="20"/>
                <w:color w:val="auto"/>
              </w:rPr>
            </w:pPr>
          </w:p>
        </w:tc>
      </w:tr>
      <w:tr>
        <w:trPr>
          <w:trHeight w:val="237"/>
        </w:trPr>
        <w:tc>
          <w:tcPr>
            <w:tcW w:w="4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shd w:val="clear" w:color="auto" w:fill="CFF0FC"/>
          </w:tcPr>
          <w:p>
            <w:pPr>
              <w:spacing w:after="0"/>
              <w:rPr>
                <w:sz w:val="20"/>
                <w:szCs w:val="20"/>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109,981</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83,859</w:t>
            </w:r>
          </w:p>
        </w:tc>
        <w:tc>
          <w:tcPr>
            <w:tcW w:w="100" w:type="dxa"/>
            <w:vAlign w:val="bottom"/>
            <w:shd w:val="clear" w:color="auto" w:fill="CFF0FC"/>
          </w:tcPr>
          <w:p>
            <w:pPr>
              <w:spacing w:after="0"/>
              <w:rPr>
                <w:sz w:val="21"/>
                <w:szCs w:val="21"/>
                <w:color w:val="auto"/>
              </w:rPr>
            </w:pPr>
          </w:p>
        </w:tc>
      </w:tr>
      <w:tr>
        <w:trPr>
          <w:trHeight w:val="23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26,397</w:t>
            </w:r>
          </w:p>
        </w:tc>
        <w:tc>
          <w:tcPr>
            <w:tcW w:w="100" w:type="dxa"/>
            <w:vAlign w:val="bottom"/>
          </w:tcPr>
          <w:p>
            <w:pPr>
              <w:spacing w:after="0"/>
              <w:rPr>
                <w:sz w:val="20"/>
                <w:szCs w:val="20"/>
                <w:color w:val="auto"/>
              </w:rPr>
            </w:pPr>
          </w:p>
        </w:tc>
      </w:tr>
      <w:tr>
        <w:trPr>
          <w:trHeight w:val="237"/>
        </w:trPr>
        <w:tc>
          <w:tcPr>
            <w:tcW w:w="49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44,485</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36,358</w:t>
            </w: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(32,878 )</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(25,626 )</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(104,685 )</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(79,160 )</w:t>
            </w:r>
          </w:p>
        </w:tc>
      </w:tr>
      <w:tr>
        <w:trPr>
          <w:trHeight w:val="24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20"/>
                <w:szCs w:val="20"/>
                <w:color w:val="auto"/>
              </w:rPr>
            </w:pPr>
          </w:p>
        </w:tc>
      </w:tr>
      <w:tr>
        <w:trPr>
          <w:trHeight w:val="243"/>
        </w:trPr>
        <w:tc>
          <w:tcPr>
            <w:tcW w:w="4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net</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100" w:type="dxa"/>
            <w:vAlign w:val="bottom"/>
          </w:tcPr>
          <w:p>
            <w:pPr>
              <w:spacing w:after="0"/>
              <w:rPr>
                <w:sz w:val="20"/>
                <w:szCs w:val="20"/>
                <w:color w:val="auto"/>
              </w:rPr>
            </w:pPr>
          </w:p>
        </w:tc>
      </w:tr>
      <w:tr>
        <w:trPr>
          <w:trHeight w:val="241"/>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(29,113 )</w:t>
            </w:r>
          </w:p>
        </w:tc>
        <w:tc>
          <w:tcPr>
            <w:tcW w:w="2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(22,240 )</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(92,473 )</w:t>
            </w:r>
          </w:p>
        </w:tc>
        <w:tc>
          <w:tcPr>
            <w:tcW w:w="18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(70,894 )</w:t>
            </w:r>
          </w:p>
        </w:tc>
      </w:tr>
      <w:tr>
        <w:trPr>
          <w:trHeight w:val="23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(54 )</w:t>
            </w:r>
          </w:p>
        </w:tc>
        <w:tc>
          <w:tcPr>
            <w:tcW w:w="2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(159 )</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r>
      <w:tr>
        <w:trPr>
          <w:trHeight w:val="20"/>
        </w:trPr>
        <w:tc>
          <w:tcPr>
            <w:tcW w:w="49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(29,167 )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(22,263 )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(92,632 )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(70,981 )</w:t>
            </w:r>
          </w:p>
        </w:tc>
      </w:tr>
      <w:tr>
        <w:trPr>
          <w:trHeight w:val="241"/>
        </w:trPr>
        <w:tc>
          <w:tcPr>
            <w:tcW w:w="490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(0.27 )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(0.23 )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(0.85 )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(0.78 )</w:t>
            </w:r>
          </w:p>
        </w:tc>
      </w:tr>
      <w:tr>
        <w:trPr>
          <w:trHeight w:val="211"/>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and diluted</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108,507,390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97,033,273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108,990,011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91,268,133</w:t>
            </w:r>
          </w:p>
        </w:tc>
        <w:tc>
          <w:tcPr>
            <w:tcW w:w="100" w:type="dxa"/>
            <w:vAlign w:val="bottom"/>
          </w:tcPr>
          <w:p>
            <w:pPr>
              <w:spacing w:after="0"/>
              <w:rPr>
                <w:sz w:val="20"/>
                <w:szCs w:val="20"/>
                <w:color w:val="auto"/>
              </w:rPr>
            </w:pPr>
          </w:p>
        </w:tc>
      </w:tr>
      <w:tr>
        <w:trPr>
          <w:trHeight w:val="250"/>
        </w:trPr>
        <w:tc>
          <w:tcPr>
            <w:tcW w:w="4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(29,167 )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(22,263 )</w:t>
            </w:r>
          </w:p>
        </w:tc>
        <w:tc>
          <w:tcPr>
            <w:tcW w:w="120" w:type="dxa"/>
            <w:vAlign w:val="bottom"/>
          </w:tcPr>
          <w:p>
            <w:pPr>
              <w:spacing w:after="0"/>
              <w:rPr>
                <w:sz w:val="20"/>
                <w:szCs w:val="20"/>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(92,632 )</w:t>
            </w:r>
          </w:p>
        </w:tc>
        <w:tc>
          <w:tcPr>
            <w:tcW w:w="1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(70,981 )</w:t>
            </w:r>
          </w:p>
        </w:tc>
      </w:tr>
      <w:tr>
        <w:trPr>
          <w:trHeight w:val="24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100" w:type="dxa"/>
            <w:vAlign w:val="bottom"/>
          </w:tcPr>
          <w:p>
            <w:pPr>
              <w:spacing w:after="0"/>
              <w:rPr>
                <w:sz w:val="20"/>
                <w:szCs w:val="20"/>
                <w:color w:val="auto"/>
              </w:rPr>
            </w:pPr>
          </w:p>
        </w:tc>
      </w:tr>
      <w:tr>
        <w:trPr>
          <w:trHeight w:val="257"/>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(28,083 )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(21,427 )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(92,068 )</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(67,957 )</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-3316605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-3316605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-3316605</wp:posOffset>
            </wp:positionV>
            <wp:extent cx="603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-3316605</wp:posOffset>
            </wp:positionV>
            <wp:extent cx="603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-2682240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-2682240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-2682240</wp:posOffset>
            </wp:positionV>
            <wp:extent cx="603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-2682240</wp:posOffset>
            </wp:positionV>
            <wp:extent cx="603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-2056765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-2056765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-2056765</wp:posOffset>
            </wp:positionV>
            <wp:extent cx="603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-2056765</wp:posOffset>
            </wp:positionV>
            <wp:extent cx="603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-1414145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-1414145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-1414145</wp:posOffset>
            </wp:positionV>
            <wp:extent cx="603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-1414145</wp:posOffset>
            </wp:positionV>
            <wp:extent cx="603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-24765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-7620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603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603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603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603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5"/>
              </w:rPr>
              <w:t>Additional</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3"/>
          </w:tcPr>
          <w:p>
            <w:pPr>
              <w:jc w:val="center"/>
              <w:ind w:right="500"/>
              <w:spacing w:after="0"/>
              <w:rPr>
                <w:sz w:val="20"/>
                <w:szCs w:val="20"/>
                <w:color w:val="auto"/>
              </w:rPr>
            </w:pPr>
            <w:r>
              <w:rPr>
                <w:rFonts w:ascii="Times New Roman" w:cs="Times New Roman" w:eastAsia="Times New Roman" w:hAnsi="Times New Roman"/>
                <w:sz w:val="12"/>
                <w:szCs w:val="12"/>
                <w:b w:val="1"/>
                <w:bCs w:val="1"/>
                <w:color w:val="auto"/>
                <w:w w:val="97"/>
              </w:rPr>
              <w:t>Other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68"/>
        </w:trPr>
        <w:tc>
          <w:tcPr>
            <w:tcW w:w="3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535"/>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Times New Roman" w:cs="Times New Roman" w:eastAsia="Times New Roman" w:hAnsi="Times New Roman"/>
                <w:sz w:val="12"/>
                <w:szCs w:val="12"/>
                <w:b w:val="1"/>
                <w:bCs w:val="1"/>
                <w:color w:val="auto"/>
                <w:w w:val="96"/>
              </w:rPr>
              <w:t>Paid-in</w:t>
            </w:r>
          </w:p>
        </w:tc>
        <w:tc>
          <w:tcPr>
            <w:tcW w:w="180" w:type="dxa"/>
            <w:vAlign w:val="bottom"/>
          </w:tcPr>
          <w:p>
            <w:pPr>
              <w:spacing w:after="0"/>
              <w:rPr>
                <w:sz w:val="14"/>
                <w:szCs w:val="14"/>
                <w:color w:val="auto"/>
              </w:rPr>
            </w:pPr>
          </w:p>
        </w:tc>
        <w:tc>
          <w:tcPr>
            <w:tcW w:w="1300" w:type="dxa"/>
            <w:vAlign w:val="bottom"/>
            <w:gridSpan w:val="4"/>
          </w:tcPr>
          <w:p>
            <w:pPr>
              <w:jc w:val="center"/>
              <w:ind w:right="400"/>
              <w:spacing w:after="0"/>
              <w:rPr>
                <w:sz w:val="20"/>
                <w:szCs w:val="20"/>
                <w:color w:val="auto"/>
              </w:rPr>
            </w:pPr>
            <w:r>
              <w:rPr>
                <w:rFonts w:ascii="Times New Roman" w:cs="Times New Roman" w:eastAsia="Times New Roman" w:hAnsi="Times New Roman"/>
                <w:sz w:val="12"/>
                <w:szCs w:val="12"/>
                <w:b w:val="1"/>
                <w:bCs w:val="1"/>
                <w:color w:val="auto"/>
                <w:w w:val="97"/>
              </w:rPr>
              <w:t>Comprehensive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152"/>
        </w:trPr>
        <w:tc>
          <w:tcPr>
            <w:tcW w:w="30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40" w:type="dxa"/>
            <w:vAlign w:val="bottom"/>
            <w:gridSpan w:val="2"/>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2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2"/>
                <w:szCs w:val="12"/>
                <w:b w:val="1"/>
                <w:bCs w:val="1"/>
                <w:color w:val="auto"/>
                <w:w w:val="94"/>
              </w:rPr>
              <w:t>Capital</w:t>
            </w:r>
          </w:p>
        </w:tc>
        <w:tc>
          <w:tcPr>
            <w:tcW w:w="220" w:type="dxa"/>
            <w:vAlign w:val="bottom"/>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2"/>
                <w:szCs w:val="12"/>
                <w:b w:val="1"/>
                <w:bCs w:val="1"/>
                <w:color w:val="auto"/>
                <w:w w:val="96"/>
              </w:rPr>
              <w:t>(Loss) Income</w:t>
            </w:r>
          </w:p>
        </w:tc>
        <w:tc>
          <w:tcPr>
            <w:tcW w:w="22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102,202,759</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4"/>
                <w:szCs w:val="14"/>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102</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624,076</w:t>
            </w:r>
          </w:p>
        </w:tc>
        <w:tc>
          <w:tcPr>
            <w:tcW w:w="1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(371,256 )</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253,108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526,826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At-the-market offerings, net of issuance costs</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4,001,200</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41,719</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41,723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tcPr>
          <w:p>
            <w:pPr>
              <w:spacing w:after="0"/>
              <w:rPr>
                <w:sz w:val="15"/>
                <w:szCs w:val="15"/>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(443 )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(443 )</w:t>
            </w: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(37,914 )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(37,914 )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106,730,785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107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673,772</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(257 )</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(409,170 )</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264,452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313,455</w:t>
            </w: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CFF0FC"/>
            </w:tcBorders>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180" w:type="dxa"/>
            <w:vAlign w:val="bottom"/>
            <w:tcBorders>
              <w:top w:val="single" w:sz="8" w:color="CFF0FC"/>
            </w:tcBorders>
          </w:tcPr>
          <w:p>
            <w:pPr>
              <w:spacing w:after="0"/>
              <w:rPr>
                <w:sz w:val="13"/>
                <w:szCs w:val="13"/>
                <w:color w:val="auto"/>
              </w:rPr>
            </w:pPr>
          </w:p>
        </w:tc>
        <w:tc>
          <w:tcPr>
            <w:tcW w:w="4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gridSpan w:val="2"/>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3"/>
                <w:szCs w:val="13"/>
                <w:color w:val="auto"/>
              </w:rPr>
            </w:pPr>
          </w:p>
        </w:tc>
        <w:tc>
          <w:tcPr>
            <w:tcW w:w="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7,538</w:t>
            </w:r>
          </w:p>
        </w:tc>
        <w:tc>
          <w:tcPr>
            <w:tcW w:w="18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7,538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80" w:type="dxa"/>
            <w:vAlign w:val="bottom"/>
          </w:tcPr>
          <w:p>
            <w:pPr>
              <w:spacing w:after="0"/>
              <w:rPr>
                <w:sz w:val="15"/>
                <w:szCs w:val="15"/>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(77 )</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(77 )</w:t>
            </w: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(25,551 )</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(25,551 )</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107,044,240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682,621</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4"/>
                <w:szCs w:val="14"/>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(334 )</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tcPr>
          <w:p>
            <w:pPr>
              <w:spacing w:after="0"/>
              <w:rPr>
                <w:sz w:val="14"/>
                <w:szCs w:val="14"/>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(434,721 )</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247,673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370,396</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2,402</w:t>
            </w:r>
          </w:p>
        </w:tc>
        <w:tc>
          <w:tcPr>
            <w:tcW w:w="180" w:type="dxa"/>
            <w:vAlign w:val="bottom"/>
            <w:shd w:val="clear" w:color="auto" w:fill="CFF0FC"/>
          </w:tcPr>
          <w:p>
            <w:pPr>
              <w:spacing w:after="0"/>
              <w:rPr>
                <w:sz w:val="13"/>
                <w:szCs w:val="13"/>
                <w:color w:val="auto"/>
              </w:rPr>
            </w:pP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tcPr>
          <w:p>
            <w:pPr>
              <w:spacing w:after="0"/>
              <w:rPr>
                <w:sz w:val="15"/>
                <w:szCs w:val="15"/>
                <w:color w:val="auto"/>
              </w:rPr>
            </w:pPr>
          </w:p>
        </w:tc>
        <w:tc>
          <w:tcPr>
            <w:tcW w:w="120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7,178</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8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(29,167 )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(29,167 )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107,414,636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2"/>
              </w:rPr>
              <w:t>107</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692,201</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(463,888 )</w:t>
            </w:r>
          </w:p>
        </w:tc>
        <w:tc>
          <w:tcPr>
            <w:tcW w:w="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229,170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595"/>
        </w:trPr>
        <w:tc>
          <w:tcPr>
            <w:tcW w:w="30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220" w:type="dxa"/>
            <w:vAlign w:val="bottom"/>
            <w:tcBorders>
              <w:top w:val="single" w:sz="8" w:color="CFF0FC"/>
            </w:tcBorders>
            <w:gridSpan w:val="2"/>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vMerge w:val="restart"/>
          </w:tcPr>
          <w:p>
            <w:pPr>
              <w:jc w:val="right"/>
              <w:ind w:right="415"/>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4"/>
              </w:rPr>
              <w:t>Additional</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87"/>
              </w:rPr>
              <w:t>Total</w:t>
            </w:r>
          </w:p>
        </w:tc>
        <w:tc>
          <w:tcPr>
            <w:tcW w:w="0" w:type="dxa"/>
            <w:vAlign w:val="bottom"/>
          </w:tcPr>
          <w:p>
            <w:pPr>
              <w:spacing w:after="0"/>
              <w:rPr>
                <w:sz w:val="1"/>
                <w:szCs w:val="1"/>
                <w:color w:val="auto"/>
              </w:rPr>
            </w:pPr>
          </w:p>
        </w:tc>
      </w:tr>
      <w:tr>
        <w:trPr>
          <w:trHeight w:val="165"/>
        </w:trPr>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tcBorders>
              <w:bottom w:val="single" w:sz="8" w:color="auto"/>
            </w:tcBorders>
            <w:gridSpan w:val="5"/>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8"/>
              </w:rPr>
              <w:t>Paid-in</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Comprehensive</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center"/>
              <w:ind w:right="53"/>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Loss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88,179,374</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55"/>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522,605</w:t>
            </w:r>
          </w:p>
        </w:tc>
        <w:tc>
          <w:tcPr>
            <w:tcW w:w="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(3,705 )</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(269,512 )</w:t>
            </w: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249,476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30,590</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4,219</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1,504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(28,008 )</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(28,008 )</w:t>
            </w:r>
          </w:p>
        </w:tc>
        <w:tc>
          <w:tcPr>
            <w:tcW w:w="0" w:type="dxa"/>
            <w:vAlign w:val="bottom"/>
          </w:tcPr>
          <w:p>
            <w:pPr>
              <w:spacing w:after="0"/>
              <w:rPr>
                <w:sz w:val="1"/>
                <w:szCs w:val="1"/>
                <w:color w:val="auto"/>
              </w:rPr>
            </w:pPr>
          </w:p>
        </w:tc>
      </w:tr>
      <w:tr>
        <w:trPr>
          <w:trHeight w:val="20"/>
        </w:trPr>
        <w:tc>
          <w:tcPr>
            <w:tcW w:w="30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2023</w:t>
            </w:r>
          </w:p>
        </w:tc>
        <w:tc>
          <w:tcPr>
            <w:tcW w:w="80" w:type="dxa"/>
            <w:vAlign w:val="bottom"/>
          </w:tcPr>
          <w:p>
            <w:pPr>
              <w:spacing w:after="0"/>
              <w:rPr>
                <w:sz w:val="14"/>
                <w:szCs w:val="1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88,209,964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655"/>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526,897</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(2,201 )</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(297,520 )</w:t>
            </w: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227,264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252,880</w:t>
            </w:r>
          </w:p>
        </w:tc>
        <w:tc>
          <w:tcPr>
            <w:tcW w:w="1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5,121</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684</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(20,710 )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(20,710 )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88,462,844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532,604</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(1,517 )</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(318,230 )</w:t>
            </w: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212,945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3"/>
                <w:szCs w:val="13"/>
                <w:color w:val="auto"/>
              </w:rPr>
              <w:t>Issuance of common stock under stock plans</w:t>
            </w:r>
          </w:p>
        </w:tc>
        <w:tc>
          <w:tcPr>
            <w:tcW w:w="80" w:type="dxa"/>
            <w:vAlign w:val="bottom"/>
            <w:tcBorders>
              <w:top w:val="single" w:sz="8" w:color="CFF0FC"/>
            </w:tcBorders>
          </w:tcPr>
          <w:p>
            <w:pPr>
              <w:spacing w:after="0"/>
              <w:rPr>
                <w:sz w:val="13"/>
                <w:szCs w:val="13"/>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187,639</w:t>
            </w:r>
          </w:p>
        </w:tc>
        <w:tc>
          <w:tcPr>
            <w:tcW w:w="14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40" w:type="dxa"/>
            <w:vAlign w:val="bottom"/>
            <w:tcBorders>
              <w:top w:val="single" w:sz="8" w:color="CFF0FC"/>
            </w:tcBorders>
          </w:tcPr>
          <w:p>
            <w:pPr>
              <w:spacing w:after="0"/>
              <w:rPr>
                <w:sz w:val="13"/>
                <w:szCs w:val="13"/>
                <w:color w:val="auto"/>
              </w:rPr>
            </w:pPr>
          </w:p>
        </w:tc>
        <w:tc>
          <w:tcPr>
            <w:tcW w:w="18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FF0FC"/>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common stock from private placement</w:t>
            </w:r>
          </w:p>
        </w:tc>
        <w:tc>
          <w:tcPr>
            <w:tcW w:w="8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tcBorders>
              <w:lef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financing, net</w:t>
            </w: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13,196,671</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79,762</w:t>
            </w:r>
          </w:p>
        </w:tc>
        <w:tc>
          <w:tcPr>
            <w:tcW w:w="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79,776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80" w:type="dxa"/>
            <w:vAlign w:val="bottom"/>
          </w:tcPr>
          <w:p>
            <w:pPr>
              <w:spacing w:after="0"/>
              <w:rPr>
                <w:sz w:val="15"/>
                <w:szCs w:val="15"/>
                <w:color w:val="auto"/>
              </w:rPr>
            </w:pPr>
          </w:p>
        </w:tc>
        <w:tc>
          <w:tcPr>
            <w:tcW w:w="12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4,860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80" w:type="dxa"/>
            <w:vAlign w:val="bottom"/>
            <w:shd w:val="clear" w:color="auto" w:fill="CFF0FC"/>
          </w:tcPr>
          <w:p>
            <w:pPr>
              <w:spacing w:after="0"/>
              <w:rPr>
                <w:sz w:val="15"/>
                <w:szCs w:val="15"/>
                <w:color w:val="auto"/>
              </w:rPr>
            </w:pPr>
          </w:p>
        </w:tc>
        <w:tc>
          <w:tcPr>
            <w:tcW w:w="12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46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836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836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8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(22,263 )</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(22,263 )</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80" w:type="dxa"/>
            <w:vAlign w:val="bottom"/>
            <w:shd w:val="clear" w:color="auto" w:fill="CFF0FC"/>
          </w:tcPr>
          <w:p>
            <w:pPr>
              <w:spacing w:after="0"/>
              <w:rPr>
                <w:sz w:val="16"/>
                <w:szCs w:val="16"/>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101,847,154</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55"/>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617,667</w:t>
            </w:r>
          </w:p>
        </w:tc>
        <w:tc>
          <w:tcPr>
            <w:tcW w:w="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3"/>
                <w:szCs w:val="13"/>
                <w:color w:val="auto"/>
              </w:rPr>
              <w:t>(681 )</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(340,493 )</w:t>
            </w: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276,595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-4019550</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-4002405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-4019550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-4002405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-4019550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-4002405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-4019550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-4002405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-4019550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-4002405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-4019550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-4002405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-3548380</wp:posOffset>
            </wp:positionV>
            <wp:extent cx="768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-3548380</wp:posOffset>
            </wp:positionV>
            <wp:extent cx="768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-3548380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-3548380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-3548380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-2836545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-2819400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-2836545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-2819400</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-2836545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-2819400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-2836545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-2819400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-2836545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-2819400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-1533525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-1533525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-1533525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-1533525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-1533525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-822325</wp:posOffset>
            </wp:positionV>
            <wp:extent cx="7683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-805180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-822325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-805180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-822325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-805180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-822325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-805180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-822325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-805180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80" w:type="dxa"/>
            <w:vAlign w:val="bottom"/>
          </w:tcPr>
          <w:p>
            <w:pPr>
              <w:spacing w:after="0"/>
              <w:rPr>
                <w:sz w:val="16"/>
                <w:szCs w:val="16"/>
                <w:color w:val="auto"/>
              </w:rPr>
            </w:pPr>
          </w:p>
        </w:tc>
        <w:tc>
          <w:tcPr>
            <w:tcW w:w="36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64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(92,632 )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(70,981 )</w:t>
            </w:r>
          </w:p>
        </w:tc>
        <w:tc>
          <w:tcPr>
            <w:tcW w:w="0" w:type="dxa"/>
            <w:vAlign w:val="bottom"/>
          </w:tcPr>
          <w:p>
            <w:pPr>
              <w:spacing w:after="0"/>
              <w:rPr>
                <w:sz w:val="1"/>
                <w:szCs w:val="1"/>
                <w:color w:val="auto"/>
              </w:rPr>
            </w:pPr>
          </w:p>
        </w:tc>
      </w:tr>
      <w:tr>
        <w:trPr>
          <w:trHeight w:val="215"/>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from</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Accretion on marketable securities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(3,761 )</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(1,030 )</w:t>
            </w: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(3,582 )</w:t>
            </w:r>
          </w:p>
        </w:tc>
        <w:tc>
          <w:tcPr>
            <w:tcW w:w="0" w:type="dxa"/>
            <w:vAlign w:val="bottom"/>
          </w:tcPr>
          <w:p>
            <w:pPr>
              <w:spacing w:after="0"/>
              <w:rPr>
                <w:sz w:val="1"/>
                <w:szCs w:val="1"/>
                <w:color w:val="auto"/>
              </w:rPr>
            </w:pPr>
          </w:p>
        </w:tc>
      </w:tr>
      <w:tr>
        <w:trPr>
          <w:trHeight w:val="23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long-term assets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(42 )</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(1,617 )</w:t>
            </w:r>
          </w:p>
        </w:tc>
        <w:tc>
          <w:tcPr>
            <w:tcW w:w="0" w:type="dxa"/>
            <w:vAlign w:val="bottom"/>
          </w:tcPr>
          <w:p>
            <w:pPr>
              <w:spacing w:after="0"/>
              <w:rPr>
                <w:sz w:val="1"/>
                <w:szCs w:val="1"/>
                <w:color w:val="auto"/>
              </w:rPr>
            </w:pPr>
          </w:p>
        </w:tc>
      </w:tr>
      <w:tr>
        <w:trPr>
          <w:trHeight w:val="23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(357 )</w:t>
            </w: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(6,026 )</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(1,006 )</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(1,853 )</w:t>
            </w:r>
          </w:p>
        </w:tc>
        <w:tc>
          <w:tcPr>
            <w:tcW w:w="0" w:type="dxa"/>
            <w:vAlign w:val="bottom"/>
          </w:tcPr>
          <w:p>
            <w:pPr>
              <w:spacing w:after="0"/>
              <w:rPr>
                <w:sz w:val="1"/>
                <w:szCs w:val="1"/>
                <w:color w:val="auto"/>
              </w:rPr>
            </w:pPr>
          </w:p>
        </w:tc>
      </w:tr>
      <w:tr>
        <w:trPr>
          <w:trHeight w:val="239"/>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(25,852 )</w:t>
            </w: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(26,096 )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4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(94,854 )</w:t>
            </w:r>
          </w:p>
        </w:tc>
        <w:tc>
          <w:tcPr>
            <w:tcW w:w="3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(90,515 )</w:t>
            </w:r>
          </w:p>
        </w:tc>
        <w:tc>
          <w:tcPr>
            <w:tcW w:w="0" w:type="dxa"/>
            <w:vAlign w:val="bottom"/>
          </w:tcPr>
          <w:p>
            <w:pPr>
              <w:spacing w:after="0"/>
              <w:rPr>
                <w:sz w:val="1"/>
                <w:szCs w:val="1"/>
                <w:color w:val="auto"/>
              </w:rPr>
            </w:pPr>
          </w:p>
        </w:tc>
      </w:tr>
      <w:tr>
        <w:trPr>
          <w:trHeight w:val="241"/>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(630 )</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(1,300 )</w:t>
            </w: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243,035</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5"/>
              </w:rPr>
              <w:t>(208,339 )</w:t>
            </w:r>
          </w:p>
        </w:tc>
        <w:tc>
          <w:tcPr>
            <w:tcW w:w="380" w:type="dxa"/>
            <w:vAlign w:val="bottom"/>
            <w:shd w:val="clear" w:color="auto" w:fill="CFF0FC"/>
          </w:tcPr>
          <w:p>
            <w:pPr>
              <w:spacing w:after="0"/>
              <w:rPr>
                <w:sz w:val="21"/>
                <w:szCs w:val="21"/>
                <w:color w:val="auto"/>
              </w:rPr>
            </w:pPr>
          </w:p>
        </w:tc>
        <w:tc>
          <w:tcPr>
            <w:tcW w:w="1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(259,549 )</w:t>
            </w:r>
          </w:p>
        </w:tc>
        <w:tc>
          <w:tcPr>
            <w:tcW w:w="0" w:type="dxa"/>
            <w:vAlign w:val="bottom"/>
          </w:tcPr>
          <w:p>
            <w:pPr>
              <w:spacing w:after="0"/>
              <w:rPr>
                <w:sz w:val="1"/>
                <w:szCs w:val="1"/>
                <w:color w:val="auto"/>
              </w:rPr>
            </w:pPr>
          </w:p>
        </w:tc>
      </w:tr>
      <w:tr>
        <w:trPr>
          <w:trHeight w:val="237"/>
        </w:trPr>
        <w:tc>
          <w:tcPr>
            <w:tcW w:w="648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9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300" w:type="dxa"/>
            <w:vAlign w:val="bottom"/>
            <w:tcBorders>
              <w:top w:val="single" w:sz="8" w:color="CFF0FC"/>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at-the-market offerings, net of issuance costs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41,723</w:t>
            </w: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issuance</w:t>
            </w:r>
          </w:p>
        </w:tc>
        <w:tc>
          <w:tcPr>
            <w:tcW w:w="9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costs</w:t>
            </w:r>
          </w:p>
        </w:tc>
        <w:tc>
          <w:tcPr>
            <w:tcW w:w="96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79,839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 and</w:t>
            </w:r>
          </w:p>
        </w:tc>
        <w:tc>
          <w:tcPr>
            <w:tcW w:w="96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4,972</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shares under ESPP</w:t>
            </w:r>
          </w:p>
        </w:tc>
        <w:tc>
          <w:tcPr>
            <w:tcW w:w="9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6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cash equivalents and restricted cash</w:t>
            </w:r>
          </w:p>
        </w:tc>
        <w:tc>
          <w:tcPr>
            <w:tcW w:w="9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(14,093 )</w:t>
            </w:r>
          </w:p>
        </w:tc>
        <w:tc>
          <w:tcPr>
            <w:tcW w:w="38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(2,002 )</w:t>
            </w:r>
          </w:p>
        </w:tc>
        <w:tc>
          <w:tcPr>
            <w:tcW w:w="0" w:type="dxa"/>
            <w:vAlign w:val="bottom"/>
          </w:tcPr>
          <w:p>
            <w:pPr>
              <w:spacing w:after="0"/>
              <w:rPr>
                <w:sz w:val="1"/>
                <w:szCs w:val="1"/>
                <w:color w:val="auto"/>
              </w:rPr>
            </w:pPr>
          </w:p>
        </w:tc>
      </w:tr>
      <w:tr>
        <w:trPr>
          <w:trHeight w:val="243"/>
        </w:trPr>
        <w:tc>
          <w:tcPr>
            <w:tcW w:w="64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96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69,808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63,958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960" w:type="dxa"/>
            <w:vAlign w:val="bottom"/>
            <w:tcBorders>
              <w:bottom w:val="single" w:sz="8" w:color="auto"/>
            </w:tcBorders>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55,715</w:t>
            </w:r>
          </w:p>
        </w:tc>
        <w:tc>
          <w:tcPr>
            <w:tcW w:w="300" w:type="dxa"/>
            <w:vAlign w:val="bottom"/>
          </w:tcPr>
          <w:p>
            <w:pPr>
              <w:spacing w:after="0"/>
              <w:rPr>
                <w:sz w:val="20"/>
                <w:szCs w:val="20"/>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6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leases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activity:</w:t>
            </w:r>
          </w:p>
        </w:tc>
        <w:tc>
          <w:tcPr>
            <w:tcW w:w="9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Revaluation of right-of-use asset and lease liability upon lease remeasurement</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(228 )</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Financing offering costs included in accounts payable and accrued expenses</w:t>
            </w:r>
          </w:p>
        </w:tc>
        <w:tc>
          <w:tcPr>
            <w:tcW w:w="96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 included in accounts payable and accrued expenses</w:t>
            </w:r>
          </w:p>
        </w:tc>
        <w:tc>
          <w:tcPr>
            <w:tcW w:w="960" w:type="dxa"/>
            <w:vAlign w:val="bottom"/>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4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from obtaining right-of-use assets</w:t>
            </w:r>
          </w:p>
        </w:tc>
        <w:tc>
          <w:tcPr>
            <w:tcW w:w="960" w:type="dxa"/>
            <w:vAlign w:val="bottom"/>
            <w:shd w:val="clear" w:color="auto" w:fill="CFF0FC"/>
          </w:tcPr>
          <w:p>
            <w:pPr>
              <w:jc w:val="right"/>
              <w:ind w:right="754"/>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-2767965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-2767965</wp:posOffset>
            </wp:positionV>
            <wp:extent cx="6032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-1250950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-1250950</wp:posOffset>
            </wp:positionV>
            <wp:extent cx="603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00"/>
          </w:cols>
          <w:pgMar w:left="900" w:top="981" w:right="8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TANGO THERAPEUTICS,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the Business and Basis of Presentation</w:t>
      </w:r>
    </w:p>
    <w:p>
      <w:pPr>
        <w:spacing w:after="0" w:line="229"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Tango Therapeutics, Inc. is a precision oncology company committed to the discovery and development of novel drugs in defined patient populations with high unmet medical need.</w:t>
      </w:r>
    </w:p>
    <w:p>
      <w:pPr>
        <w:spacing w:after="0" w:line="16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right="80" w:firstLine="509"/>
        <w:spacing w:after="0" w:line="281" w:lineRule="auto"/>
        <w:rPr>
          <w:sz w:val="20"/>
          <w:szCs w:val="20"/>
          <w:color w:val="auto"/>
        </w:rPr>
      </w:pPr>
      <w:r>
        <w:rPr>
          <w:rFonts w:ascii="Times New Roman" w:cs="Times New Roman" w:eastAsia="Times New Roman" w:hAnsi="Times New Roman"/>
          <w:sz w:val="17"/>
          <w:szCs w:val="17"/>
          <w:color w:val="auto"/>
        </w:rPr>
        <w:t>In September 2022, the Company entered into a sales agreement (the Sales Agreement) with Jefferies LLC (Jefferies), which permitted the Company to sell from time to time, at its option, up to an aggregate of $100.0 million of shares of its common stock through Jefferies, as sales agent. Sales of the common stock, if any, will be made by methods deemed to be "at-the-market" stock offerings. The Sales Agreement will terminate upon the earliest of: (a) the sale of $100.0 million of shares of the Company's common stock or (b) the termination of the Sales Agreement by the Company or Jefferies.</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January 2024, the Company sold 4,001,200 shares of common stock under this program for gross proceeds of $43.0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the opinion of management, all adjustments necessary for a fair statement of the financial information, which are of a normal and recurring nature, have been made for the interim periods reported. Results of operations for the three and nine months ended September 30, 2024 and 2023 are not necessarily indicative of the results for the year ending December 31, 2024, any other interim periods, or any future year or period. The unaudited condensed consolidated financial statements for the three and nine months ended September 30, 2024 and 2023 have been prepared on the same basis as and should be read in conjunction with the audited consolidated financial statements and notes included in the Company’s Annual Report on Form 10-K for the year ended December 31, 2023 as filed with the SEC on March 18, 2024.</w:t>
      </w:r>
    </w:p>
    <w:p>
      <w:pPr>
        <w:spacing w:after="0" w:line="183"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significant changes from the significant accounting policies disclosed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of the audited consolidated financial statements and notes included in the Company’s Annual Report on Form 10-K for the year ended December 31, 2023, except as described below.</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requires that the Company make estimates, judgments and assumptions that may affect the reported amounts of assets, liabilities, equity, revenues and expenses and related disclosures.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right="380" w:firstLine="509"/>
        <w:spacing w:after="0" w:line="266"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18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180" w:type="dxa"/>
            <w:vAlign w:val="bottom"/>
          </w:tcPr>
          <w:p>
            <w:pPr>
              <w:spacing w:after="0"/>
              <w:rPr>
                <w:sz w:val="16"/>
                <w:szCs w:val="16"/>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3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180" w:type="dxa"/>
            <w:vAlign w:val="bottom"/>
            <w:shd w:val="clear" w:color="auto" w:fill="CFF0FC"/>
          </w:tcPr>
          <w:p>
            <w:pPr>
              <w:spacing w:after="0"/>
              <w:rPr>
                <w:sz w:val="20"/>
                <w:szCs w:val="20"/>
                <w:color w:val="auto"/>
              </w:rPr>
            </w:pPr>
          </w:p>
        </w:tc>
        <w:tc>
          <w:tcPr>
            <w:tcW w:w="5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8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years</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80" w:type="dxa"/>
            <w:vAlign w:val="bottom"/>
            <w:shd w:val="clear" w:color="auto" w:fill="CFF0FC"/>
          </w:tcPr>
          <w:p>
            <w:pPr>
              <w:spacing w:after="0"/>
              <w:rPr>
                <w:sz w:val="21"/>
                <w:szCs w:val="21"/>
                <w:color w:val="auto"/>
              </w:rPr>
            </w:pPr>
          </w:p>
        </w:tc>
        <w:tc>
          <w:tcPr>
            <w:tcW w:w="5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39"/>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18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 years</w:t>
            </w:r>
          </w:p>
        </w:tc>
      </w:tr>
      <w:tr>
        <w:trPr>
          <w:trHeight w:val="247"/>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FF0FC"/>
          </w:tcPr>
          <w:p>
            <w:pPr>
              <w:spacing w:after="0"/>
              <w:rPr>
                <w:sz w:val="21"/>
                <w:szCs w:val="21"/>
                <w:color w:val="auto"/>
              </w:rPr>
            </w:pPr>
          </w:p>
        </w:tc>
        <w:tc>
          <w:tcPr>
            <w:tcW w:w="5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Shorter of remaining lease term or 10 years</w:t>
            </w:r>
          </w:p>
        </w:tc>
      </w:tr>
    </w:tbl>
    <w:p>
      <w:pPr>
        <w:spacing w:after="0" w:line="198"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83"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74"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standard is intended to improve financial reporting by requiring disclosure of incremental segment information on an annual and interim basis for all public entities to enable investors to develop more decision-useful financial analyses. The standard is effective for fiscal years beginning after December 15, 2023, and interim periods within fiscal years beginning after December 15, 2024. Upon adoption, the standard should be applied retrospectively to all prior periods presented in the financial statements. The Company is evaluating the potential impact of this adoption on the consolidated financial statements and related disclosures.</w:t>
      </w:r>
    </w:p>
    <w:p>
      <w:pPr>
        <w:spacing w:after="0" w:line="18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standard is intended to enhance the existing income tax disclosures to provide information to better assess how an entity’s operations and related tax risks and tax planning and operational opportunities affect its tax rate and prospects for future cash flows. The standard is effective for annual periods beginning after December 15, 2024. Upon adoption, the standard should be applied on a prospective basis, although retrospective application is permitted. Early adoption is permitted. The Company is evaluating the potential impact of this adoption on the consolidated financial statements and related disclosures.</w:t>
      </w:r>
    </w:p>
    <w:p>
      <w:pPr>
        <w:spacing w:after="0" w:line="18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standard is intended to require more detailed disclosures about specified categories of expenses (including employee compensation, depreciation, and amortization) included in certain expense captions presented on the face of the income statement. This ASU is effective for fiscal years beginning after December 15, 2026, and for interim periods within fiscal years beginning after December 15, 2027. Early adoption is permitted. The amendments may be applied either (1) prospectively to financial statements issued for reporting periods after the effective date of this ASU or (2) retrospectively to all prior periods presented in the financial statements. The Company is evaluating the potential impact of this adoption on the consolidated financial statements and related disclosures.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 w:name="page14"/>
    <w:bookmarkEnd w:id="13"/>
    <w:p>
      <w:pPr>
        <w:ind w:left="520" w:hanging="512"/>
        <w:spacing w:after="0"/>
        <w:tabs>
          <w:tab w:leader="none" w:pos="5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 Agreements</w:t>
      </w:r>
    </w:p>
    <w:p>
      <w:pPr>
        <w:spacing w:after="0" w:line="22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October 2018, the Company entered into a Research Collaboration and License Agreement (the 2018 Gilead Agreement) with Gilead Sciences, Inc. (Gilead). Pursuant to the terms of the 2018 Gilead Agreement, the Company received an initial upfront payment of $50.0 million. Gilead had the option to obtain exclusive, worldwide licenses to develop and commercialize up to five validated programs (Gilead Program License).</w:t>
      </w:r>
    </w:p>
    <w:p>
      <w:pPr>
        <w:spacing w:after="0" w:line="176"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August 2020, the Company and Gilead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68" w:lineRule="exact"/>
        <w:rPr>
          <w:sz w:val="20"/>
          <w:szCs w:val="20"/>
          <w:color w:val="auto"/>
        </w:rPr>
      </w:pPr>
    </w:p>
    <w:p>
      <w:pPr>
        <w:ind w:left="1020" w:right="3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received upfront, non-refundable consideration of $125.0 million from Gilead upon execution of the Gilead Agreement in 2020;</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2018 Gilead Agreement ended on the date the Gilead Agreement was executed. The Gilead Agreement has a research term of seven years;</w:t>
      </w:r>
    </w:p>
    <w:p>
      <w:pPr>
        <w:spacing w:after="0" w:line="53" w:lineRule="exact"/>
        <w:rPr>
          <w:rFonts w:ascii="Times New Roman" w:cs="Times New Roman" w:eastAsia="Times New Roman" w:hAnsi="Times New Roman"/>
          <w:sz w:val="18"/>
          <w:szCs w:val="18"/>
          <w:color w:val="auto"/>
        </w:rPr>
      </w:pPr>
    </w:p>
    <w:p>
      <w:pPr>
        <w:ind w:left="1020" w:right="78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expanded its option to license up to 15 programs for which Gilead may obtain exclusive, worldwide licenses to develop and commercialize therapies, subject to applicable license fees;</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exercising its option to license a program, Gilead may “extend” such program, in which case Gilead will pay research option-extension fees and the Company will continue to collaborate with Gilead to discover and develop programs, potentially through early clinical development;</w:t>
      </w:r>
    </w:p>
    <w:p>
      <w:pPr>
        <w:spacing w:after="0" w:line="67"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is eligible to receive up to $410.0 million per program in license, research option-extension, and clinical, regulatory, and commercial milestones and royalties on future sales of commercialized products, if any.</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In August 2020, Gilead also made an equity investment of $20.0 million into the Company as a participant in the Company’s Series B-1 preferred stock offering. At the time of the original investment, including as of the September 30, 2024 balance sheet date, and based on current ownership of common stock, Gilead is not considered to be a related party to the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the Gilead Collaboration</w:t>
      </w:r>
    </w:p>
    <w:p>
      <w:pPr>
        <w:spacing w:after="0" w:line="229"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Gilead Agreement is accounted for under ASC 606. The Company identified a single combined performance obligation under the Gilead Agreement consisting of the research services and continued participation on the joint steering committee during the research term. For research option-extension fees,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 The research option-extension consideration are added to the transaction price under the Gilead Agreement. License fees are recognized as revenue immediately as the Company has no continued involvement in the advancement of the program, Gilead can benefit from the license on its own, and the license is separately identifiable from the research services.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Gilead Revenue Recognized</w:t>
      </w:r>
    </w:p>
    <w:p>
      <w:pPr>
        <w:spacing w:after="0" w:line="22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total transaction price allocated to the combined performance obligation under the Gilead Agreement was $199.0 million at September 30, 2024. The total transaction price was comprised of the $50.0 million upfront payment pursuant to the 2018 Gilead Agreement, the $125.0 million upfront payment pursuant to the Gilead Agreement, and $24.0 million in payment pursuant to research option-extension fees in December 2020 and in September 2021. During the three months ended September 30, 2024 and 2023, the Company recognized $11.6 million and $10.7 million, respectively, and during the nine months ended September 30, 2024 and 2023, the Company recognized $25.9 million and $26.1 million, respectively, of collaboration revenue associated with the Gilead agreements based on performance completed during each period.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4" w:name="page15"/>
    <w:bookmarkEnd w:id="14"/>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September 30, 2024 and December 31, 2023, the Company had short-term deferred revenue of $15.6 million and $25.7 million, respectively, and long-term deferred revenue of $50.9 million and $66.7 million, respectively, related to the Gilead collaboration. The remaining long-term deferred revenue is expected to be recognized proportionally to the completed obligations over an expected remaining contractual term of approximately 2.9 years.</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June 2024, Gilead licensed a drug discovery program for a $12.0 million license fee. The $12.0 million license fee was recognized as revenue in the second quarter of 2024 as the Company has no continued involvement in the advancement of the program, Gilead can benefit from the license on its own, and the license is separately identifiable from the research services.</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Amounts due to the Company that have not yet been received are recorded as accounts receivable and amounts received that have not yet been recognized as revenue are recorded as deferred revenue on the Company’s condensed consolidated balance sheets.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Costs incurred pursuant to the Gilead Agreement and the 2018 Gilead Agreement are recorded as research and development expense.</w:t>
      </w:r>
    </w:p>
    <w:p>
      <w:pPr>
        <w:spacing w:after="0" w:line="221" w:lineRule="exact"/>
        <w:rPr>
          <w:sz w:val="20"/>
          <w:szCs w:val="20"/>
          <w:color w:val="auto"/>
        </w:rPr>
      </w:pPr>
    </w:p>
    <w:p>
      <w:pPr>
        <w:ind w:left="520" w:hanging="512"/>
        <w:spacing w:after="0"/>
        <w:tabs>
          <w:tab w:leader="none" w:pos="5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information about the Company’s financial assets measured at fair value on a recurring basis:</w:t>
      </w:r>
    </w:p>
    <w:p>
      <w:pPr>
        <w:spacing w:after="0" w:line="24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230,562</w:t>
            </w:r>
          </w:p>
        </w:tc>
        <w:tc>
          <w:tcPr>
            <w:tcW w:w="100" w:type="dxa"/>
            <w:vAlign w:val="bottom"/>
          </w:tcPr>
          <w:p>
            <w:pPr>
              <w:spacing w:after="0"/>
              <w:rPr>
                <w:sz w:val="20"/>
                <w:szCs w:val="20"/>
                <w:color w:val="auto"/>
              </w:rPr>
            </w:pPr>
          </w:p>
        </w:tc>
      </w:tr>
      <w:tr>
        <w:trPr>
          <w:trHeight w:val="243"/>
        </w:trPr>
        <w:tc>
          <w:tcPr>
            <w:tcW w:w="52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240,130</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251,275</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5"/>
        </w:trPr>
        <w:tc>
          <w:tcPr>
            <w:tcW w:w="5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Market Value Measurements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4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4,710</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100" w:type="dxa"/>
            <w:vAlign w:val="bottom"/>
            <w:shd w:val="clear" w:color="auto" w:fill="CFF0FC"/>
          </w:tcPr>
          <w:p>
            <w:pPr>
              <w:spacing w:after="0"/>
              <w:rPr>
                <w:sz w:val="21"/>
                <w:szCs w:val="21"/>
                <w:color w:val="auto"/>
              </w:rPr>
            </w:pPr>
          </w:p>
        </w:tc>
      </w:tr>
      <w:tr>
        <w:trPr>
          <w:trHeight w:val="23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100" w:type="dxa"/>
            <w:vAlign w:val="bottom"/>
          </w:tcPr>
          <w:p>
            <w:pPr>
              <w:spacing w:after="0"/>
              <w:rPr>
                <w:sz w:val="20"/>
                <w:szCs w:val="20"/>
                <w:color w:val="auto"/>
              </w:rPr>
            </w:pPr>
          </w:p>
        </w:tc>
      </w:tr>
      <w:tr>
        <w:trPr>
          <w:trHeight w:val="276"/>
        </w:trPr>
        <w:tc>
          <w:tcPr>
            <w:tcW w:w="5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14,361</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275,210</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289,571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-1902460</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-1902460</wp:posOffset>
            </wp:positionV>
            <wp:extent cx="6032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-1902460</wp:posOffset>
            </wp:positionV>
            <wp:extent cx="6032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-1902460</wp:posOffset>
            </wp:positionV>
            <wp:extent cx="6032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-24765</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-7620</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fair value levels during the nine months ended September 30, 2024.</w:t>
      </w:r>
    </w:p>
    <w:p>
      <w:pPr>
        <w:spacing w:after="0" w:line="221"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5" w:name="page16"/>
    <w:bookmarkEnd w:id="15"/>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marketable debt securities, classified as available-for-sale:</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7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of September 30, 2024</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229,836</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230,562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239,380</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240,130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102"/>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2"/>
          </w:tcPr>
          <w:p>
            <w:pPr>
              <w:jc w:val="center"/>
              <w:ind w:right="4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Pr>
          <w:p>
            <w:pPr>
              <w:spacing w:after="0"/>
              <w:rPr>
                <w:sz w:val="12"/>
                <w:szCs w:val="12"/>
                <w:color w:val="auto"/>
              </w:rPr>
            </w:pPr>
          </w:p>
        </w:tc>
        <w:tc>
          <w:tcPr>
            <w:tcW w:w="1020" w:type="dxa"/>
            <w:vAlign w:val="bottom"/>
            <w:vMerge w:val="restart"/>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4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Cost</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gridSpan w:val="3"/>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w w:val="76"/>
              </w:rPr>
              <w:t>thousands)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debt securities: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194,461</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194,763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75,853</w:t>
            </w:r>
          </w:p>
        </w:tc>
        <w:tc>
          <w:tcPr>
            <w:tcW w:w="2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(139 )</w:t>
            </w:r>
          </w:p>
        </w:tc>
        <w:tc>
          <w:tcPr>
            <w:tcW w:w="18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270,314</w:t>
            </w:r>
          </w:p>
        </w:tc>
        <w:tc>
          <w:tcPr>
            <w:tcW w:w="2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-1748155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-1748155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-1748155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-1748155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3948430</wp:posOffset>
            </wp:positionH>
            <wp:positionV relativeFrom="paragraph">
              <wp:posOffset>-187960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-187960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-187960</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Company holds marketable debt securities with an aggregate fair value of $29.6 million as of September 30, 2024 with contractual maturity dates greater than one year.</w:t>
      </w:r>
    </w:p>
    <w:p>
      <w:pPr>
        <w:spacing w:after="0" w:line="162"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gross unrealized losses aggregated by category and the length of time that individual securities have been in an unrealized loss position:</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2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1"/>
                <w:szCs w:val="11"/>
                <w:color w:val="auto"/>
              </w:rPr>
            </w:pPr>
          </w:p>
        </w:tc>
        <w:tc>
          <w:tcPr>
            <w:tcW w:w="112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5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133"/>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260" w:type="dxa"/>
            <w:vAlign w:val="bottom"/>
            <w:tcBorders>
              <w:left w:val="single" w:sz="8" w:color="CFF0FC"/>
            </w:tcBorders>
            <w:gridSpan w:val="3"/>
            <w:shd w:val="clear" w:color="auto" w:fill="CFF0FC"/>
          </w:tcPr>
          <w:p>
            <w:pPr>
              <w:spacing w:after="0"/>
              <w:rPr>
                <w:sz w:val="20"/>
                <w:szCs w:val="20"/>
                <w:color w:val="auto"/>
              </w:rPr>
            </w:pPr>
          </w:p>
        </w:tc>
        <w:tc>
          <w:tcPr>
            <w:tcW w:w="72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gridSpan w:val="2"/>
            <w:shd w:val="clear" w:color="auto" w:fill="CFF0FC"/>
          </w:tcPr>
          <w:p>
            <w:pPr>
              <w:jc w:val="center"/>
              <w:ind w:left="661"/>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49,908</w:t>
            </w:r>
          </w:p>
        </w:tc>
        <w:tc>
          <w:tcPr>
            <w:tcW w:w="42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258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49,908</w:t>
            </w:r>
          </w:p>
        </w:tc>
        <w:tc>
          <w:tcPr>
            <w:tcW w:w="260" w:type="dxa"/>
            <w:vAlign w:val="bottom"/>
            <w:tcBorders>
              <w:left w:val="single" w:sz="8" w:color="CFF0FC"/>
            </w:tcBorders>
            <w:gridSpan w:val="3"/>
            <w:shd w:val="clear" w:color="auto" w:fill="CFF0FC"/>
          </w:tcPr>
          <w:p>
            <w:pPr>
              <w:spacing w:after="0"/>
              <w:rPr>
                <w:sz w:val="22"/>
                <w:szCs w:val="22"/>
                <w:color w:val="auto"/>
              </w:rPr>
            </w:pPr>
          </w:p>
        </w:tc>
        <w:tc>
          <w:tcPr>
            <w:tcW w:w="720" w:type="dxa"/>
            <w:vAlign w:val="bottom"/>
            <w:gridSpan w:val="2"/>
            <w:shd w:val="clear" w:color="auto" w:fill="CFF0FC"/>
          </w:tcPr>
          <w:p>
            <w:pPr>
              <w:jc w:val="right"/>
              <w:ind w:right="542"/>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right w:val="single" w:sz="8" w:color="CFF0FC"/>
            </w:tcBorders>
            <w:gridSpan w:val="2"/>
            <w:shd w:val="clear" w:color="auto" w:fill="CFF0FC"/>
          </w:tcPr>
          <w:p>
            <w:pPr>
              <w:jc w:val="center"/>
              <w:ind w:left="661"/>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right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49,908</w:t>
            </w:r>
          </w:p>
        </w:tc>
        <w:tc>
          <w:tcPr>
            <w:tcW w:w="420" w:type="dxa"/>
            <w:vAlign w:val="bottom"/>
            <w:gridSpan w:val="3"/>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auto"/>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2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6"/>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Less than twelve months</w:t>
            </w:r>
          </w:p>
        </w:tc>
        <w:tc>
          <w:tcPr>
            <w:tcW w:w="3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Greater than twelve months</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5"/>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gridSpan w:val="2"/>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5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U.S. Treasury bills</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18,662</w:t>
            </w:r>
          </w:p>
        </w:tc>
        <w:tc>
          <w:tcPr>
            <w:tcW w:w="980" w:type="dxa"/>
            <w:vAlign w:val="bottom"/>
            <w:tcBorders>
              <w:left w:val="single" w:sz="8" w:color="CFF0FC"/>
            </w:tcBorders>
            <w:gridSpan w:val="5"/>
            <w:shd w:val="clear" w:color="auto" w:fill="CFF0FC"/>
          </w:tcPr>
          <w:p>
            <w:pPr>
              <w:jc w:val="right"/>
              <w:ind w:right="482"/>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6"/>
              </w:rPr>
              <w:t>14,948</w:t>
            </w:r>
          </w:p>
        </w:tc>
        <w:tc>
          <w:tcPr>
            <w:tcW w:w="160" w:type="dxa"/>
            <w:vAlign w:val="bottom"/>
            <w:tcBorders>
              <w:right w:val="single" w:sz="8" w:color="CFF0FC"/>
            </w:tcBorders>
            <w:shd w:val="clear" w:color="auto" w:fill="CFF0FC"/>
          </w:tcPr>
          <w:p>
            <w:pPr>
              <w:spacing w:after="0"/>
              <w:rPr>
                <w:sz w:val="20"/>
                <w:szCs w:val="20"/>
                <w:color w:val="auto"/>
              </w:rPr>
            </w:pPr>
          </w:p>
        </w:tc>
        <w:tc>
          <w:tcPr>
            <w:tcW w:w="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(44 )</w:t>
            </w:r>
          </w:p>
        </w:tc>
        <w:tc>
          <w:tcPr>
            <w:tcW w:w="34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33,610</w:t>
            </w:r>
          </w:p>
        </w:tc>
        <w:tc>
          <w:tcPr>
            <w:tcW w:w="160" w:type="dxa"/>
            <w:vAlign w:val="bottom"/>
            <w:tcBorders>
              <w:right w:val="single" w:sz="8" w:color="CFF0FC"/>
            </w:tcBorders>
            <w:shd w:val="clear" w:color="auto" w:fill="CFF0FC"/>
          </w:tcPr>
          <w:p>
            <w:pPr>
              <w:spacing w:after="0"/>
              <w:rPr>
                <w:sz w:val="20"/>
                <w:szCs w:val="20"/>
                <w:color w:val="auto"/>
              </w:rPr>
            </w:pPr>
          </w:p>
        </w:tc>
        <w:tc>
          <w:tcPr>
            <w:tcW w:w="4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(56 )</w:t>
            </w:r>
          </w:p>
        </w:tc>
        <w:tc>
          <w:tcPr>
            <w:tcW w:w="0" w:type="dxa"/>
            <w:vAlign w:val="bottom"/>
          </w:tcPr>
          <w:p>
            <w:pPr>
              <w:spacing w:after="0"/>
              <w:rPr>
                <w:sz w:val="1"/>
                <w:szCs w:val="1"/>
                <w:color w:val="auto"/>
              </w:rPr>
            </w:pPr>
          </w:p>
        </w:tc>
      </w:tr>
      <w:tr>
        <w:trPr>
          <w:trHeight w:val="239"/>
        </w:trPr>
        <w:tc>
          <w:tcPr>
            <w:tcW w:w="2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41,195</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6"/>
              </w:rPr>
              <w:t>17,216</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(117 )</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5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59,857</w:t>
            </w:r>
          </w:p>
        </w:tc>
        <w:tc>
          <w:tcPr>
            <w:tcW w:w="320" w:type="dxa"/>
            <w:vAlign w:val="bottom"/>
            <w:tcBorders>
              <w:left w:val="single" w:sz="8" w:color="CFF0FC"/>
            </w:tcBorders>
            <w:gridSpan w:val="4"/>
            <w:shd w:val="clear" w:color="auto" w:fill="CFF0FC"/>
          </w:tcPr>
          <w:p>
            <w:pPr>
              <w:spacing w:after="0"/>
              <w:rPr>
                <w:sz w:val="22"/>
                <w:szCs w:val="22"/>
                <w:color w:val="auto"/>
              </w:rPr>
            </w:pPr>
          </w:p>
        </w:tc>
        <w:tc>
          <w:tcPr>
            <w:tcW w:w="66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right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(34 )</w:t>
            </w:r>
          </w:p>
        </w:tc>
        <w:tc>
          <w:tcPr>
            <w:tcW w:w="100" w:type="dxa"/>
            <w:vAlign w:val="bottom"/>
            <w:shd w:val="clear" w:color="auto" w:fill="CFF0FC"/>
          </w:tcPr>
          <w:p>
            <w:pPr>
              <w:spacing w:after="0"/>
              <w:rPr>
                <w:sz w:val="22"/>
                <w:szCs w:val="22"/>
                <w:color w:val="auto"/>
              </w:rPr>
            </w:pP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6"/>
              </w:rPr>
              <w:t>32,164</w:t>
            </w:r>
          </w:p>
        </w:tc>
        <w:tc>
          <w:tcPr>
            <w:tcW w:w="160" w:type="dxa"/>
            <w:vAlign w:val="bottom"/>
            <w:tcBorders>
              <w:right w:val="single" w:sz="8" w:color="CFF0FC"/>
            </w:tcBorders>
            <w:shd w:val="clear" w:color="auto" w:fill="CFF0FC"/>
          </w:tcPr>
          <w:p>
            <w:pPr>
              <w:spacing w:after="0"/>
              <w:rPr>
                <w:sz w:val="22"/>
                <w:szCs w:val="22"/>
                <w:color w:val="auto"/>
              </w:rPr>
            </w:pPr>
          </w:p>
        </w:tc>
        <w:tc>
          <w:tcPr>
            <w:tcW w:w="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(161 )</w:t>
            </w:r>
          </w:p>
        </w:tc>
        <w:tc>
          <w:tcPr>
            <w:tcW w:w="340" w:type="dxa"/>
            <w:vAlign w:val="bottom"/>
            <w:gridSpan w:val="3"/>
            <w:shd w:val="clear" w:color="auto" w:fill="CFF0FC"/>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92,021</w:t>
            </w:r>
          </w:p>
        </w:tc>
        <w:tc>
          <w:tcPr>
            <w:tcW w:w="160" w:type="dxa"/>
            <w:vAlign w:val="bottom"/>
            <w:tcBorders>
              <w:right w:val="single" w:sz="8" w:color="CFF0FC"/>
            </w:tcBorders>
            <w:shd w:val="clear" w:color="auto" w:fill="CFF0FC"/>
          </w:tcPr>
          <w:p>
            <w:pPr>
              <w:spacing w:after="0"/>
              <w:rPr>
                <w:sz w:val="22"/>
                <w:szCs w:val="22"/>
                <w:color w:val="auto"/>
              </w:rPr>
            </w:pPr>
          </w:p>
        </w:tc>
        <w:tc>
          <w:tcPr>
            <w:tcW w:w="42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(195 )</w:t>
            </w: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-1645285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-1645285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-1645285</wp:posOffset>
            </wp:positionV>
            <wp:extent cx="603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-1645285</wp:posOffset>
            </wp:positionV>
            <wp:extent cx="603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-1645285</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-1645285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-1482090</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2696845</wp:posOffset>
            </wp:positionH>
            <wp:positionV relativeFrom="paragraph">
              <wp:posOffset>-1464945</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-1482090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-1464945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-1482090</wp:posOffset>
            </wp:positionV>
            <wp:extent cx="603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-1464945</wp:posOffset>
            </wp:positionV>
            <wp:extent cx="603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-1482090</wp:posOffset>
            </wp:positionV>
            <wp:extent cx="603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-1464945</wp:posOffset>
            </wp:positionV>
            <wp:extent cx="603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-1482090</wp:posOffset>
            </wp:positionV>
            <wp:extent cx="6032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-1464945</wp:posOffset>
            </wp:positionV>
            <wp:extent cx="6032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-1482090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-1464945</wp:posOffset>
            </wp:positionV>
            <wp:extent cx="603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-24765</wp:posOffset>
            </wp:positionV>
            <wp:extent cx="6032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-7620</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holds investment grade marketable securities considered to be in an unrealized loss position. Although these marketable securities are held at an unrealized loss position at September 30, 2024,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$1.2 million and $1.8 million in accrued interest at September 30, 2024 and December 31, 2023, respectively.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520" w:right="7560" w:hanging="512"/>
        <w:spacing w:after="0" w:line="503" w:lineRule="auto"/>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Supplemental Balance Sheet Information </w:t>
      </w:r>
      <w:r>
        <w:rPr>
          <w:rFonts w:ascii="Times New Roman" w:cs="Times New Roman" w:eastAsia="Times New Roman" w:hAnsi="Times New Roman"/>
          <w:sz w:val="18"/>
          <w:szCs w:val="18"/>
          <w:b w:val="1"/>
          <w:bCs w:val="1"/>
          <w:i w:val="1"/>
          <w:iCs w:val="1"/>
          <w:color w:val="auto"/>
        </w:rPr>
        <w:t>Property and Equipment</w:t>
      </w: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consists of the following:</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40" w:type="dxa"/>
            <w:vAlign w:val="bottom"/>
            <w:gridSpan w:val="2"/>
          </w:tcPr>
          <w:p>
            <w:pPr>
              <w:jc w:val="right"/>
              <w:ind w:right="10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3"/>
                <w:szCs w:val="13"/>
                <w:color w:val="auto"/>
              </w:rPr>
            </w:pPr>
          </w:p>
        </w:tc>
        <w:tc>
          <w:tcPr>
            <w:tcW w:w="19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8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9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9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w:t>
            </w:r>
          </w:p>
        </w:tc>
        <w:tc>
          <w:tcPr>
            <w:tcW w:w="88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Laboratory equipment</w:t>
            </w:r>
          </w:p>
        </w:tc>
        <w:tc>
          <w:tcPr>
            <w:tcW w:w="44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8,905</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8,788</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Computer equipment</w:t>
            </w:r>
          </w:p>
        </w:tc>
        <w:tc>
          <w:tcPr>
            <w:tcW w:w="4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4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4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3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00" w:type="dxa"/>
            <w:vAlign w:val="bottom"/>
          </w:tcPr>
          <w:p>
            <w:pPr>
              <w:spacing w:after="0"/>
              <w:rPr>
                <w:sz w:val="20"/>
                <w:szCs w:val="20"/>
                <w:color w:val="auto"/>
              </w:rPr>
            </w:pPr>
          </w:p>
        </w:tc>
      </w:tr>
      <w:tr>
        <w:trPr>
          <w:trHeight w:val="247"/>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40" w:type="dxa"/>
            <w:vAlign w:val="bottom"/>
            <w:shd w:val="clear" w:color="auto" w:fill="CFF0FC"/>
          </w:tcPr>
          <w:p>
            <w:pPr>
              <w:spacing w:after="0"/>
              <w:rPr>
                <w:sz w:val="21"/>
                <w:szCs w:val="21"/>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36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00" w:type="dxa"/>
            <w:vAlign w:val="bottom"/>
            <w:shd w:val="clear" w:color="auto" w:fill="CFF0FC"/>
          </w:tcPr>
          <w:p>
            <w:pPr>
              <w:spacing w:after="0"/>
              <w:rPr>
                <w:sz w:val="21"/>
                <w:szCs w:val="21"/>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4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41"/>
        </w:trPr>
        <w:tc>
          <w:tcPr>
            <w:tcW w:w="48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16,333</w:t>
            </w:r>
          </w:p>
        </w:tc>
        <w:tc>
          <w:tcPr>
            <w:tcW w:w="3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100" w:type="dxa"/>
            <w:vAlign w:val="bottom"/>
            <w:shd w:val="clear" w:color="auto" w:fill="CFF0FC"/>
          </w:tcPr>
          <w:p>
            <w:pPr>
              <w:spacing w:after="0"/>
              <w:rPr>
                <w:sz w:val="20"/>
                <w:szCs w:val="20"/>
                <w:color w:val="auto"/>
              </w:rPr>
            </w:pPr>
          </w:p>
        </w:tc>
      </w:tr>
      <w:tr>
        <w:trPr>
          <w:trHeight w:val="239"/>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40" w:type="dxa"/>
            <w:vAlign w:val="bottom"/>
          </w:tcPr>
          <w:p>
            <w:pPr>
              <w:spacing w:after="0"/>
              <w:rPr>
                <w:sz w:val="20"/>
                <w:szCs w:val="20"/>
                <w:color w:val="auto"/>
              </w:rPr>
            </w:pPr>
          </w:p>
        </w:tc>
        <w:tc>
          <w:tcPr>
            <w:tcW w:w="23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(7,743 )</w:t>
            </w:r>
          </w:p>
        </w:tc>
        <w:tc>
          <w:tcPr>
            <w:tcW w:w="520" w:type="dxa"/>
            <w:vAlign w:val="bottom"/>
          </w:tcPr>
          <w:p>
            <w:pPr>
              <w:spacing w:after="0"/>
              <w:rPr>
                <w:sz w:val="20"/>
                <w:szCs w:val="20"/>
                <w:color w:val="auto"/>
              </w:rPr>
            </w:pPr>
          </w:p>
        </w:tc>
        <w:tc>
          <w:tcPr>
            <w:tcW w:w="1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(5,989 )</w:t>
            </w:r>
          </w:p>
        </w:tc>
      </w:tr>
      <w:tr>
        <w:trPr>
          <w:trHeight w:val="277"/>
        </w:trPr>
        <w:tc>
          <w:tcPr>
            <w:tcW w:w="48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4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8,590</w:t>
            </w:r>
          </w:p>
        </w:tc>
        <w:tc>
          <w:tcPr>
            <w:tcW w:w="36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-24765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-7620</wp:posOffset>
            </wp:positionV>
            <wp:extent cx="603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was $1.9 million and $1.8 million for the nine months ended September 30, 2024 and 2023, respectively.</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Accrued expenses and other current liabilities include the following:</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940" w:type="dxa"/>
            <w:vAlign w:val="bottom"/>
          </w:tcPr>
          <w:p>
            <w:pPr>
              <w:spacing w:after="0"/>
              <w:rPr>
                <w:sz w:val="16"/>
                <w:szCs w:val="16"/>
                <w:color w:val="auto"/>
              </w:rPr>
            </w:pPr>
          </w:p>
        </w:tc>
        <w:tc>
          <w:tcPr>
            <w:tcW w:w="1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6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Payroll and employee-related costs</w:t>
            </w:r>
          </w:p>
        </w:tc>
        <w:tc>
          <w:tcPr>
            <w:tcW w:w="1740" w:type="dxa"/>
            <w:vAlign w:val="bottom"/>
            <w:shd w:val="clear" w:color="auto" w:fill="CFF0FC"/>
          </w:tcPr>
          <w:p>
            <w:pPr>
              <w:jc w:val="right"/>
              <w:ind w:right="15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84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shd w:val="clear" w:color="auto" w:fill="CFF0FC"/>
          </w:tcPr>
          <w:p>
            <w:pPr>
              <w:spacing w:after="0"/>
              <w:rPr>
                <w:sz w:val="21"/>
                <w:szCs w:val="2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7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5,754</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6,204</w:t>
            </w:r>
          </w:p>
        </w:tc>
        <w:tc>
          <w:tcPr>
            <w:tcW w:w="100" w:type="dxa"/>
            <w:vAlign w:val="bottom"/>
          </w:tcPr>
          <w:p>
            <w:pPr>
              <w:spacing w:after="0"/>
              <w:rPr>
                <w:sz w:val="20"/>
                <w:szCs w:val="20"/>
                <w:color w:val="auto"/>
              </w:rPr>
            </w:pPr>
          </w:p>
        </w:tc>
      </w:tr>
      <w:tr>
        <w:trPr>
          <w:trHeight w:val="243"/>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7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3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740" w:type="dxa"/>
            <w:vAlign w:val="bottom"/>
          </w:tcPr>
          <w:p>
            <w:pPr>
              <w:jc w:val="right"/>
              <w:ind w:right="15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15,006</w:t>
            </w:r>
          </w:p>
        </w:tc>
        <w:tc>
          <w:tcPr>
            <w:tcW w:w="8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15,401</w:t>
            </w:r>
          </w:p>
        </w:tc>
        <w:tc>
          <w:tcPr>
            <w:tcW w:w="10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and 2023, the Company maintained a restricted cash balance of $2.6 million and $3.4 million, respectively, all of which was related to a security deposit associated with the Company’s facility lease. The cash will remain restricted in accordance with the lease agreement absent the event of a lease termination or modification. The reconciliation of cash and cash equivalents and restricted cash to amounts presented in the condensed consolidated statements of cash flows are as follows: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940" w:type="dxa"/>
            <w:vAlign w:val="bottom"/>
          </w:tcPr>
          <w:p>
            <w:pPr>
              <w:spacing w:after="0"/>
              <w:rPr>
                <w:sz w:val="13"/>
                <w:szCs w:val="13"/>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9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87"/>
        </w:trPr>
        <w:tc>
          <w:tcPr>
            <w:tcW w:w="4940" w:type="dxa"/>
            <w:vAlign w:val="bottom"/>
          </w:tcPr>
          <w:p>
            <w:pPr>
              <w:spacing w:after="0"/>
              <w:rPr>
                <w:sz w:val="16"/>
                <w:szCs w:val="16"/>
                <w:color w:val="auto"/>
              </w:rPr>
            </w:pPr>
          </w:p>
        </w:tc>
        <w:tc>
          <w:tcPr>
            <w:tcW w:w="17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9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83"/>
        </w:trPr>
        <w:tc>
          <w:tcPr>
            <w:tcW w:w="4940" w:type="dxa"/>
            <w:vAlign w:val="bottom"/>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760" w:type="dxa"/>
            <w:vAlign w:val="bottom"/>
            <w:shd w:val="clear" w:color="auto" w:fill="CFF0FC"/>
          </w:tcPr>
          <w:p>
            <w:pPr>
              <w:jc w:val="right"/>
              <w:ind w:right="15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53,148</w:t>
            </w:r>
          </w:p>
        </w:tc>
        <w:tc>
          <w:tcPr>
            <w:tcW w:w="820" w:type="dxa"/>
            <w:vAlign w:val="bottom"/>
            <w:gridSpan w:val="2"/>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58,533</w:t>
            </w:r>
          </w:p>
        </w:tc>
        <w:tc>
          <w:tcPr>
            <w:tcW w:w="100" w:type="dxa"/>
            <w:vAlign w:val="bottom"/>
            <w:shd w:val="clear" w:color="auto" w:fill="CFF0FC"/>
          </w:tcPr>
          <w:p>
            <w:pPr>
              <w:spacing w:after="0"/>
              <w:rPr>
                <w:sz w:val="20"/>
                <w:szCs w:val="20"/>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7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w:t>
            </w:r>
          </w:p>
        </w:tc>
        <w:tc>
          <w:tcPr>
            <w:tcW w:w="100" w:type="dxa"/>
            <w:vAlign w:val="bottom"/>
          </w:tcPr>
          <w:p>
            <w:pPr>
              <w:spacing w:after="0"/>
              <w:rPr>
                <w:sz w:val="20"/>
                <w:szCs w:val="20"/>
                <w:color w:val="auto"/>
              </w:rPr>
            </w:pPr>
          </w:p>
        </w:tc>
      </w:tr>
      <w:tr>
        <w:trPr>
          <w:trHeight w:val="27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760" w:type="dxa"/>
            <w:vAlign w:val="bottom"/>
            <w:tcBorders>
              <w:bottom w:val="single" w:sz="8" w:color="auto"/>
            </w:tcBorders>
            <w:shd w:val="clear" w:color="auto" w:fill="CFF0FC"/>
          </w:tcPr>
          <w:p>
            <w:pPr>
              <w:jc w:val="right"/>
              <w:ind w:right="155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55,715</w:t>
            </w:r>
          </w:p>
        </w:tc>
        <w:tc>
          <w:tcPr>
            <w:tcW w:w="32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90" w:lineRule="exact"/>
        <w:rPr>
          <w:sz w:val="20"/>
          <w:szCs w:val="20"/>
          <w:color w:val="auto"/>
        </w:rPr>
      </w:pPr>
    </w:p>
    <w:p>
      <w:pPr>
        <w:ind w:left="520" w:right="8180" w:hanging="512"/>
        <w:spacing w:after="0" w:line="532" w:lineRule="auto"/>
        <w:tabs>
          <w:tab w:leader="none" w:pos="52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License Agreement</w:t>
      </w:r>
    </w:p>
    <w:p>
      <w:pPr>
        <w:spacing w:after="0" w:line="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June 2024, the Company and Sesame Therapeutics, Inc. (Sesame) entered into a license agreement pursuant to which the Company granted Sesame a non-exclusive license to certain know-how associated with preclinical research (the Sesame Agreement). Pursuant to the Sesame Agreement, the Company received a $0.1 million upfront, non-refundable payment in June 2024.</w:t>
      </w:r>
    </w:p>
    <w:p>
      <w:pPr>
        <w:spacing w:after="0" w:line="176"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Under the terms of the Sesame Agreement, the Company is eligible to receive up to $25.9 million in potential future clinical, regulatory, and commercial milestone event payments. The Company is also eligible to receive low single-digit tiered royalties on net sales of any product covered by a licensed patent.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7" w:name="page18"/>
    <w:bookmarkEnd w:id="17"/>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evaluated the Sesame Agreement under ASC 606. The Company identified the following promises under the agreement: (1) the non-exclusive license and (2) the initial know-how transfer, and determined that the promises were immaterial as the upfront license payment at contract inception was an inconsequential payment amount. The initial upfront license payment was recorded as license revenue on the consolidated statements of operations and comprehensive loss during the period ended June 30, 2024.</w:t>
      </w:r>
    </w:p>
    <w:p>
      <w:pPr>
        <w:spacing w:after="0" w:line="180" w:lineRule="exact"/>
        <w:rPr>
          <w:sz w:val="20"/>
          <w:szCs w:val="20"/>
          <w:color w:val="auto"/>
        </w:rPr>
      </w:pPr>
    </w:p>
    <w:p>
      <w:pPr>
        <w:ind w:firstLine="509"/>
        <w:spacing w:after="0" w:line="277" w:lineRule="auto"/>
        <w:rPr>
          <w:sz w:val="20"/>
          <w:szCs w:val="20"/>
          <w:color w:val="auto"/>
        </w:rPr>
      </w:pPr>
      <w:r>
        <w:rPr>
          <w:rFonts w:ascii="Times New Roman" w:cs="Times New Roman" w:eastAsia="Times New Roman" w:hAnsi="Times New Roman"/>
          <w:sz w:val="17"/>
          <w:szCs w:val="17"/>
          <w:color w:val="auto"/>
        </w:rPr>
        <w:t>All potential future milestone payments are considered to be variable consideration and have been excluded from the transaction price. Revenue for all potential clinical and regulatory milestone achievements will be recognized when the related milestones are achieved or when it becomes probable that a significant reversal in the amount of revenue recognized relating to the milestone event will not occur. Milestone payments that are not within the control of the Company or the licensee, such as regulatory approvals, are not considered probable of being achieved until those approvals are received. Additionally, revenue related to potential sales milestones and royalties from the sales of the licensed products will be recognized when the related sales occur.</w:t>
      </w:r>
    </w:p>
    <w:p>
      <w:pPr>
        <w:spacing w:after="0" w:line="16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Due to common relationships amongst members of management and the boards of directors, the transaction above with Sesame is a related party transaction.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 Collaboration and Supply Agreement</w:t>
      </w:r>
    </w:p>
    <w:p>
      <w:pPr>
        <w:spacing w:after="0" w:line="229" w:lineRule="exact"/>
        <w:rPr>
          <w:sz w:val="20"/>
          <w:szCs w:val="20"/>
          <w:color w:val="auto"/>
        </w:rPr>
      </w:pPr>
    </w:p>
    <w:p>
      <w:pPr>
        <w:jc w:val="both"/>
        <w:ind w:right="40"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Company and Revolution Medicines, Inc. (RevMed) entered into a Clinical Trial Collaboration and Supply Agreement. The agreement provides that RevMed will supply two of its RAS inhibitors at no cost to the Company for use in trials that will include these combinations. The Company will be the sponsor of any combination trials and bear associated costs. Each company will retain commercial rights to its respective compounds, and the agreement is mutually non-exclusive. Due to common relationships amongst members of management and the boards of directors, this transaction is a related party transaction.</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Funding Commitments</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As of September 30, 2024, the Company had ongoing preclinical and clinical studies. The Company enters into contracts in the normal course of business with contract research organizations in connection with the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22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from time to time, may be party to litigation arising in the ordinary course of business. The Company was not subject to any material legal proceedings as of September 30, 2024,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184" w:lineRule="exact"/>
        <w:rPr>
          <w:sz w:val="20"/>
          <w:szCs w:val="20"/>
          <w:color w:val="auto"/>
        </w:rPr>
      </w:pPr>
    </w:p>
    <w:p>
      <w:pPr>
        <w:ind w:left="520" w:right="7560" w:hanging="512"/>
        <w:spacing w:after="0" w:line="503" w:lineRule="auto"/>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Redeemable Convertible Preferred Stock </w:t>
      </w:r>
      <w:r>
        <w:rPr>
          <w:rFonts w:ascii="Times New Roman" w:cs="Times New Roman" w:eastAsia="Times New Roman" w:hAnsi="Times New Roman"/>
          <w:sz w:val="18"/>
          <w:szCs w:val="18"/>
          <w:b w:val="1"/>
          <w:bCs w:val="1"/>
          <w:i w:val="1"/>
          <w:iCs w:val="1"/>
          <w:color w:val="auto"/>
        </w:rPr>
        <w:t>Undesignated Preferred Stock</w:t>
      </w: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as amended and restated, authorizes the Company to issue shares of preferred stock with a par value of $0.001 per share. The number of shares of preferred stock authorized to be issued is 10,000,000 shares as of September 30, 2024. The shares of preferred stock are currently undesignated and no shares are issued or outstanding.</w:t>
      </w:r>
    </w:p>
    <w:p>
      <w:pPr>
        <w:spacing w:after="0" w:line="172" w:lineRule="exact"/>
        <w:rPr>
          <w:sz w:val="20"/>
          <w:szCs w:val="20"/>
          <w:color w:val="auto"/>
        </w:rPr>
      </w:pPr>
    </w:p>
    <w:p>
      <w:pPr>
        <w:ind w:left="520" w:right="8620" w:hanging="512"/>
        <w:spacing w:after="0" w:line="532" w:lineRule="auto"/>
        <w:tabs>
          <w:tab w:leader="none" w:pos="52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Stock Incentive Plan</w:t>
      </w:r>
    </w:p>
    <w:p>
      <w:pPr>
        <w:spacing w:after="0" w:line="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March 2017, the Company’s stockholders approved the 2017 Stock Option and Grant Plan (the 2017 Plan), under which stock options and restricted stock awards were granted to eligible employees, officers, directors, consultants, or other key persons who provide services to the Company. Such issuances under the 2017 Plan were subject to vesting, forfeiture and other restrictions as deemed appropriate by the board of directors at the time of issuance.</w:t>
      </w:r>
    </w:p>
    <w:p>
      <w:pPr>
        <w:spacing w:after="0" w:line="180"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In August 2021, the Company's stockholders approved the 2021 Stock Option and Incentive Plan (the 2021 Plan), under which stock options, restricted stock units (RSUs) and other equity-based awards or any combination of these may be granted to eligible employees, officers, directors, consultants, or other key persons who provide services to the Company. Such issuances are subject to vesting, forfeiture and other restrictions as deemed appropriate by the board of directors at the time of issuance. As of September 30, 2024, the Company had 6,941,800 shares available for future issuance under the 2021 Plan.</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2023 Inducement Plan (the Inducement Plan) became effective upon approval of the Company's board of directors in February 2023. The Inducement Plan allows the Company to make equity and equity-based incentive awards to individuals who were not previously employees or directors of the Company. As of September 30, 2024, the Company had 2,093,099 shares available for future issuance under the Inducement Plan.</w:t>
      </w:r>
    </w:p>
    <w:p>
      <w:pPr>
        <w:spacing w:after="0" w:line="176"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in the following expense categories in its accompanying condensed consolidated statements of operations: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88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83"/>
        </w:trPr>
        <w:tc>
          <w:tcPr>
            <w:tcW w:w="388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96"/>
        </w:trPr>
        <w:tc>
          <w:tcPr>
            <w:tcW w:w="3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70"/>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w:t>
            </w:r>
          </w:p>
        </w:tc>
        <w:tc>
          <w:tcPr>
            <w:tcW w:w="6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FF0FC"/>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11,695</w:t>
            </w:r>
          </w:p>
        </w:tc>
        <w:tc>
          <w:tcPr>
            <w:tcW w:w="66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7,516</w:t>
            </w:r>
          </w:p>
        </w:tc>
        <w:tc>
          <w:tcPr>
            <w:tcW w:w="100" w:type="dxa"/>
            <w:vAlign w:val="bottom"/>
            <w:shd w:val="clear" w:color="auto" w:fill="CFF0FC"/>
          </w:tcPr>
          <w:p>
            <w:pPr>
              <w:spacing w:after="0"/>
              <w:rPr>
                <w:sz w:val="23"/>
                <w:szCs w:val="23"/>
                <w:color w:val="auto"/>
              </w:rPr>
            </w:pPr>
          </w:p>
        </w:tc>
      </w:tr>
      <w:tr>
        <w:trPr>
          <w:trHeight w:val="250"/>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26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9,740</w:t>
            </w:r>
          </w:p>
        </w:tc>
        <w:tc>
          <w:tcPr>
            <w:tcW w:w="24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w:t>
            </w:r>
          </w:p>
        </w:tc>
        <w:tc>
          <w:tcPr>
            <w:tcW w:w="100" w:type="dxa"/>
            <w:vAlign w:val="bottom"/>
          </w:tcPr>
          <w:p>
            <w:pPr>
              <w:spacing w:after="0"/>
              <w:rPr>
                <w:sz w:val="21"/>
                <w:szCs w:val="21"/>
                <w:color w:val="auto"/>
              </w:rPr>
            </w:pPr>
          </w:p>
        </w:tc>
      </w:tr>
      <w:tr>
        <w:trPr>
          <w:trHeight w:val="250"/>
        </w:trPr>
        <w:tc>
          <w:tcPr>
            <w:tcW w:w="3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FF0FC"/>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7,178</w:t>
            </w: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21,435</w:t>
            </w:r>
          </w:p>
        </w:tc>
        <w:tc>
          <w:tcPr>
            <w:tcW w:w="2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14,200</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-7620</wp:posOffset>
            </wp:positionV>
            <wp:extent cx="603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nine months ended September 30, 2024:</w:t>
      </w:r>
    </w:p>
    <w:p>
      <w:pPr>
        <w:spacing w:after="0" w:line="22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0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7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60" w:type="dxa"/>
            <w:vAlign w:val="bottom"/>
          </w:tcPr>
          <w:p>
            <w:pPr>
              <w:jc w:val="center"/>
              <w:ind w:left="3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960" w:type="dxa"/>
            <w:vAlign w:val="bottom"/>
          </w:tcPr>
          <w:p>
            <w:pPr>
              <w:jc w:val="center"/>
              <w:ind w:left="31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87"/>
        </w:trPr>
        <w:tc>
          <w:tcPr>
            <w:tcW w:w="4440" w:type="dxa"/>
            <w:vAlign w:val="bottom"/>
          </w:tcPr>
          <w:p>
            <w:pPr>
              <w:spacing w:after="0"/>
              <w:rPr>
                <w:sz w:val="16"/>
                <w:szCs w:val="16"/>
                <w:color w:val="auto"/>
              </w:rPr>
            </w:pPr>
          </w:p>
        </w:tc>
        <w:tc>
          <w:tcPr>
            <w:tcW w:w="17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Pr>
          <w:p>
            <w:pPr>
              <w:jc w:val="center"/>
              <w:ind w:left="3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Term</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4440" w:type="dxa"/>
            <w:vAlign w:val="bottom"/>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Borders>
              <w:top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December 31, 2023</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16,734,960</w:t>
            </w: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8"/>
              </w:rPr>
              <w:t>62,640,906</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5,158,949</w:t>
            </w:r>
          </w:p>
        </w:tc>
        <w:tc>
          <w:tcPr>
            <w:tcW w:w="260" w:type="dxa"/>
            <w:vAlign w:val="bottom"/>
          </w:tcPr>
          <w:p>
            <w:pPr>
              <w:spacing w:after="0"/>
              <w:rPr>
                <w:sz w:val="20"/>
                <w:szCs w:val="20"/>
                <w:color w:val="auto"/>
              </w:rPr>
            </w:pP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11.48</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(850,874 )</w:t>
            </w:r>
          </w:p>
        </w:tc>
        <w:tc>
          <w:tcPr>
            <w:tcW w:w="960" w:type="dxa"/>
            <w:vAlign w:val="bottom"/>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Cancelled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(1,220,662 )</w:t>
            </w: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as of September 30, 2024</w:t>
            </w: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19,822,373</w:t>
            </w:r>
          </w:p>
        </w:tc>
        <w:tc>
          <w:tcPr>
            <w:tcW w:w="26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8"/>
              </w:rPr>
              <w:t>32,777,406</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exercisable as of September 30, 2024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10,608,871</w:t>
            </w:r>
          </w:p>
        </w:tc>
        <w:tc>
          <w:tcPr>
            <w:tcW w:w="260" w:type="dxa"/>
            <w:vAlign w:val="bottom"/>
          </w:tcPr>
          <w:p>
            <w:pPr>
              <w:spacing w:after="0"/>
              <w:rPr>
                <w:sz w:val="20"/>
                <w:szCs w:val="20"/>
                <w:color w:val="auto"/>
              </w:rPr>
            </w:pPr>
          </w:p>
        </w:tc>
        <w:tc>
          <w:tcPr>
            <w:tcW w:w="960" w:type="dxa"/>
            <w:vAlign w:val="bottom"/>
          </w:tcPr>
          <w:p>
            <w:pPr>
              <w:jc w:val="right"/>
              <w:ind w:right="777"/>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8"/>
              </w:rPr>
              <w:t>24,992,010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expense related to stock options was $49.8 million, which the Company expects to recognize over a remaining weighted-average period of 2.4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RSU activity for the nine months ended September 30, 2024:</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180" w:type="dxa"/>
            <w:vAlign w:val="bottom"/>
            <w:gridSpan w:val="2"/>
            <w:vMerge w:val="restart"/>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 Value Per</w:t>
            </w:r>
          </w:p>
        </w:tc>
        <w:tc>
          <w:tcPr>
            <w:tcW w:w="0" w:type="dxa"/>
            <w:vAlign w:val="bottom"/>
          </w:tcPr>
          <w:p>
            <w:pPr>
              <w:spacing w:after="0"/>
              <w:rPr>
                <w:sz w:val="1"/>
                <w:szCs w:val="1"/>
                <w:color w:val="auto"/>
              </w:rPr>
            </w:pPr>
          </w:p>
        </w:tc>
      </w:tr>
      <w:tr>
        <w:trPr>
          <w:trHeight w:val="187"/>
        </w:trPr>
        <w:tc>
          <w:tcPr>
            <w:tcW w:w="6020" w:type="dxa"/>
            <w:vAlign w:val="bottom"/>
          </w:tcPr>
          <w:p>
            <w:pPr>
              <w:spacing w:after="0"/>
              <w:rPr>
                <w:sz w:val="16"/>
                <w:szCs w:val="16"/>
                <w:color w:val="auto"/>
              </w:rPr>
            </w:pPr>
          </w:p>
        </w:tc>
        <w:tc>
          <w:tcPr>
            <w:tcW w:w="21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19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37"/>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December 31, 2023</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757,514</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841,409</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2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(253,116 )</w:t>
            </w:r>
          </w:p>
        </w:tc>
        <w:tc>
          <w:tcPr>
            <w:tcW w:w="12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2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(146,555 )</w:t>
            </w:r>
          </w:p>
        </w:tc>
        <w:tc>
          <w:tcPr>
            <w:tcW w:w="12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Unvested and outstanding as of September 30, 2024</w:t>
            </w:r>
          </w:p>
        </w:tc>
        <w:tc>
          <w:tcPr>
            <w:tcW w:w="1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1,199,252</w:t>
            </w:r>
          </w:p>
        </w:tc>
        <w:tc>
          <w:tcPr>
            <w:tcW w:w="28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total unrecognized compensation expense related to RSUs was $8.5 million, which the Company expects to recognize over a remaining weighted-average period of 2.0 years.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200" w:lineRule="exact"/>
        <w:rPr>
          <w:sz w:val="20"/>
          <w:szCs w:val="20"/>
          <w:color w:val="auto"/>
        </w:rPr>
      </w:pPr>
    </w:p>
    <w:p>
      <w:pPr>
        <w:spacing w:after="0" w:line="24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2021 Employee Stock Purchase Plan (the 2021 ESPP) was adopted and approved by the Company’s board of directors and by the Company’s stockholders and became effective upon the closing of the Business Combination. During the nine months ended September 30, 2024, the Company issued 106,687 shares of common stock under the 2021 ESPP.</w:t>
      </w:r>
    </w:p>
    <w:p>
      <w:pPr>
        <w:spacing w:after="0" w:line="172"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and diluted net loss per share attributable to common stockholders was calculated as follows:</w:t>
      </w:r>
    </w:p>
    <w:p>
      <w:pPr>
        <w:spacing w:after="0" w:line="313" w:lineRule="exact"/>
        <w:rPr>
          <w:sz w:val="20"/>
          <w:szCs w:val="20"/>
          <w:color w:val="auto"/>
        </w:rPr>
      </w:pPr>
    </w:p>
    <w:tbl>
      <w:tblPr>
        <w:tblLayout w:type="fixed"/>
        <w:tblInd w:w="180" w:type="dxa"/>
        <w:tblCellMar>
          <w:top w:w="0" w:type="dxa"/>
          <w:left w:w="0" w:type="dxa"/>
          <w:bottom w:w="0" w:type="dxa"/>
          <w:right w:w="0" w:type="dxa"/>
        </w:tblCellMar>
      </w:tblPr>
      <w:tr>
        <w:trPr>
          <w:trHeight w:val="187"/>
        </w:trPr>
        <w:tc>
          <w:tcPr>
            <w:tcW w:w="5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80" w:type="dxa"/>
            <w:vAlign w:val="bottom"/>
            <w:gridSpan w:val="5"/>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31"/>
        </w:trPr>
        <w:tc>
          <w:tcPr>
            <w:tcW w:w="5200" w:type="dxa"/>
            <w:vAlign w:val="bottom"/>
          </w:tcPr>
          <w:p>
            <w:pPr>
              <w:spacing w:after="0"/>
              <w:rPr>
                <w:sz w:val="11"/>
                <w:szCs w:val="11"/>
                <w:color w:val="auto"/>
              </w:rPr>
            </w:pPr>
          </w:p>
        </w:tc>
        <w:tc>
          <w:tcPr>
            <w:tcW w:w="2720" w:type="dxa"/>
            <w:vAlign w:val="bottom"/>
            <w:tcBorders>
              <w:top w:val="single" w:sz="8" w:color="auto"/>
            </w:tcBorders>
            <w:gridSpan w:val="5"/>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40" w:type="dxa"/>
            <w:vAlign w:val="bottom"/>
            <w:tcBorders>
              <w:top w:val="single" w:sz="8" w:color="auto"/>
            </w:tcBorders>
            <w:gridSpan w:val="5"/>
          </w:tcPr>
          <w:p>
            <w:pPr>
              <w:ind w:left="40"/>
              <w:spacing w:after="0" w:line="131" w:lineRule="exact"/>
              <w:rPr>
                <w:sz w:val="20"/>
                <w:szCs w:val="20"/>
                <w:color w:val="auto"/>
              </w:rPr>
            </w:pPr>
            <w:r>
              <w:rPr>
                <w:rFonts w:ascii="Times New Roman" w:cs="Times New Roman" w:eastAsia="Times New Roman" w:hAnsi="Times New Roman"/>
                <w:sz w:val="14"/>
                <w:szCs w:val="14"/>
                <w:b w:val="1"/>
                <w:bCs w:val="1"/>
                <w:color w:val="auto"/>
              </w:rPr>
              <w:t>(in thousands, except share and per share</w:t>
            </w:r>
          </w:p>
        </w:tc>
        <w:tc>
          <w:tcPr>
            <w:tcW w:w="120" w:type="dxa"/>
            <w:vAlign w:val="bottom"/>
          </w:tcPr>
          <w:p>
            <w:pPr>
              <w:spacing w:after="0"/>
              <w:rPr>
                <w:sz w:val="11"/>
                <w:szCs w:val="11"/>
                <w:color w:val="auto"/>
              </w:rPr>
            </w:pPr>
          </w:p>
        </w:tc>
      </w:tr>
      <w:tr>
        <w:trPr>
          <w:trHeight w:val="187"/>
        </w:trPr>
        <w:tc>
          <w:tcPr>
            <w:tcW w:w="5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left="719"/>
              <w:spacing w:after="0"/>
              <w:rPr>
                <w:sz w:val="20"/>
                <w:szCs w:val="20"/>
                <w:color w:val="auto"/>
              </w:rPr>
            </w:pPr>
            <w:r>
              <w:rPr>
                <w:rFonts w:ascii="Times New Roman" w:cs="Times New Roman" w:eastAsia="Times New Roman" w:hAnsi="Times New Roman"/>
                <w:sz w:val="14"/>
                <w:szCs w:val="14"/>
                <w:b w:val="1"/>
                <w:bCs w:val="1"/>
                <w:color w:val="auto"/>
              </w:rPr>
              <w:t>data)</w:t>
            </w: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data)</w:t>
            </w: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50"/>
        </w:trPr>
        <w:tc>
          <w:tcPr>
            <w:tcW w:w="5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21"/>
                <w:szCs w:val="21"/>
                <w:color w:val="auto"/>
              </w:rPr>
            </w:pPr>
          </w:p>
        </w:tc>
      </w:tr>
      <w:tr>
        <w:trPr>
          <w:trHeight w:val="244"/>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r>
      <w:tr>
        <w:trPr>
          <w:trHeight w:val="250"/>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(29,167 )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(22,263 )</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(92,632 )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(70,981 )</w:t>
            </w:r>
          </w:p>
        </w:tc>
      </w:tr>
      <w:tr>
        <w:trPr>
          <w:trHeight w:val="250"/>
        </w:trPr>
        <w:tc>
          <w:tcPr>
            <w:tcW w:w="5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180" w:type="dxa"/>
            <w:vAlign w:val="bottom"/>
            <w:tcBorders>
              <w:top w:val="single" w:sz="8" w:color="auto"/>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bottom w:val="single" w:sz="8" w:color="CFF0FC"/>
            </w:tcBorders>
            <w:shd w:val="clear" w:color="auto" w:fill="CFF0FC"/>
          </w:tcPr>
          <w:p>
            <w:pPr>
              <w:spacing w:after="0"/>
              <w:rPr>
                <w:sz w:val="21"/>
                <w:szCs w:val="21"/>
                <w:color w:val="auto"/>
              </w:rPr>
            </w:pPr>
          </w:p>
        </w:tc>
        <w:tc>
          <w:tcPr>
            <w:tcW w:w="1060" w:type="dxa"/>
            <w:vAlign w:val="bottom"/>
            <w:tcBorders>
              <w:top w:val="single" w:sz="8" w:color="auto"/>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r>
      <w:tr>
        <w:trPr>
          <w:trHeight w:val="250"/>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Weighted-average common stock outstanding – basic and diluted</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108,507,390</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97,033,273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108,990,011</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91,268,133</w:t>
            </w:r>
          </w:p>
        </w:tc>
        <w:tc>
          <w:tcPr>
            <w:tcW w:w="120" w:type="dxa"/>
            <w:vAlign w:val="bottom"/>
          </w:tcPr>
          <w:p>
            <w:pPr>
              <w:spacing w:after="0"/>
              <w:rPr>
                <w:sz w:val="21"/>
                <w:szCs w:val="21"/>
                <w:color w:val="auto"/>
              </w:rPr>
            </w:pPr>
          </w:p>
        </w:tc>
      </w:tr>
      <w:tr>
        <w:trPr>
          <w:trHeight w:val="250"/>
        </w:trPr>
        <w:tc>
          <w:tcPr>
            <w:tcW w:w="5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per common share – basic and 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(0.23 )</w:t>
            </w:r>
          </w:p>
        </w:tc>
        <w:tc>
          <w:tcPr>
            <w:tcW w:w="100" w:type="dxa"/>
            <w:vAlign w:val="bottom"/>
          </w:tcPr>
          <w:p>
            <w:pPr>
              <w:spacing w:after="0"/>
              <w:rPr>
                <w:sz w:val="21"/>
                <w:szCs w:val="21"/>
                <w:color w:val="auto"/>
              </w:rPr>
            </w:pPr>
          </w:p>
        </w:tc>
        <w:tc>
          <w:tcPr>
            <w:tcW w:w="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(0.85 )</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(0.78 )</w:t>
            </w:r>
          </w:p>
        </w:tc>
      </w:tr>
      <w:tr>
        <w:trPr>
          <w:trHeight w:val="20"/>
        </w:trPr>
        <w:tc>
          <w:tcPr>
            <w:tcW w:w="5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August 2023, the Company completed a private placement, in which 13,196,671 shares of common stock were sold together with pre-funded warrants to purchase 2,340,579 shares of common stock with an exercise price of $0.0001 per share. The pre-funded warrants were classified as a component of permanent equity in the Company's condensed consolidated balance sheet as they are freestanding financial instruments that are immediately exercisable, do not embody an obligation for the Company to repurchase its own shares and permit the holders to receive a fixed number of shares of common stock upon exercise. All of the shares underlying the pre-funded warrants have been included in the weighted-average number of shares of common stock used to calculate basic and diluted net loss per common share because the shares may be issued for little or no consideration, are fully vested and are exercisable after the original issuance date of the pre-funded warrants.</w:t>
      </w:r>
    </w:p>
    <w:p>
      <w:pPr>
        <w:spacing w:after="0" w:line="189"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which include common stock options and unvested restricted common stock units,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44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69"/>
        </w:trPr>
        <w:tc>
          <w:tcPr>
            <w:tcW w:w="76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80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6"/>
        </w:trPr>
        <w:tc>
          <w:tcPr>
            <w:tcW w:w="760" w:type="dxa"/>
            <w:vAlign w:val="bottom"/>
          </w:tcPr>
          <w:p>
            <w:pPr>
              <w:spacing w:after="0"/>
              <w:rPr>
                <w:sz w:val="20"/>
                <w:szCs w:val="20"/>
                <w:color w:val="auto"/>
              </w:rPr>
            </w:pPr>
          </w:p>
        </w:tc>
        <w:tc>
          <w:tcPr>
            <w:tcW w:w="3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19,822,373</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17,095,005</w:t>
            </w:r>
          </w:p>
        </w:tc>
        <w:tc>
          <w:tcPr>
            <w:tcW w:w="100" w:type="dxa"/>
            <w:vAlign w:val="bottom"/>
            <w:shd w:val="clear" w:color="auto" w:fill="CFF0FC"/>
          </w:tcPr>
          <w:p>
            <w:pPr>
              <w:spacing w:after="0"/>
              <w:rPr>
                <w:sz w:val="20"/>
                <w:szCs w:val="20"/>
                <w:color w:val="auto"/>
              </w:rPr>
            </w:pPr>
          </w:p>
        </w:tc>
        <w:tc>
          <w:tcPr>
            <w:tcW w:w="720" w:type="dxa"/>
            <w:vAlign w:val="bottom"/>
          </w:tcPr>
          <w:p>
            <w:pPr>
              <w:spacing w:after="0"/>
              <w:rPr>
                <w:sz w:val="20"/>
                <w:szCs w:val="20"/>
                <w:color w:val="auto"/>
              </w:rPr>
            </w:pPr>
          </w:p>
        </w:tc>
      </w:tr>
      <w:tr>
        <w:trPr>
          <w:trHeight w:val="239"/>
        </w:trPr>
        <w:tc>
          <w:tcPr>
            <w:tcW w:w="76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units</w:t>
            </w:r>
          </w:p>
        </w:tc>
        <w:tc>
          <w:tcPr>
            <w:tcW w:w="2200" w:type="dxa"/>
            <w:vAlign w:val="bottom"/>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1,199,252</w:t>
            </w:r>
          </w:p>
        </w:tc>
        <w:tc>
          <w:tcPr>
            <w:tcW w:w="2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757,647</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36"/>
        </w:trPr>
        <w:tc>
          <w:tcPr>
            <w:tcW w:w="760" w:type="dxa"/>
            <w:vAlign w:val="bottom"/>
          </w:tcPr>
          <w:p>
            <w:pPr>
              <w:spacing w:after="0"/>
              <w:rPr>
                <w:sz w:val="20"/>
                <w:szCs w:val="20"/>
                <w:color w:val="auto"/>
              </w:rPr>
            </w:pPr>
          </w:p>
        </w:tc>
        <w:tc>
          <w:tcPr>
            <w:tcW w:w="38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4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21,021,625</w:t>
            </w:r>
          </w:p>
        </w:tc>
        <w:tc>
          <w:tcPr>
            <w:tcW w:w="20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17,852,652</w:t>
            </w:r>
          </w:p>
        </w:tc>
        <w:tc>
          <w:tcPr>
            <w:tcW w:w="100" w:type="dxa"/>
            <w:vAlign w:val="bottom"/>
            <w:shd w:val="clear" w:color="auto" w:fill="CFF0FC"/>
          </w:tcPr>
          <w:p>
            <w:pPr>
              <w:spacing w:after="0"/>
              <w:rPr>
                <w:sz w:val="20"/>
                <w:szCs w:val="20"/>
                <w:color w:val="auto"/>
              </w:rPr>
            </w:pPr>
          </w:p>
        </w:tc>
        <w:tc>
          <w:tcPr>
            <w:tcW w:w="720" w:type="dxa"/>
            <w:vAlign w:val="bottom"/>
          </w:tcPr>
          <w:p>
            <w:pPr>
              <w:spacing w:after="0"/>
              <w:rPr>
                <w:sz w:val="20"/>
                <w:szCs w:val="20"/>
                <w:color w:val="auto"/>
              </w:rPr>
            </w:pPr>
          </w:p>
        </w:tc>
      </w:tr>
      <w:tr>
        <w:trPr>
          <w:trHeight w:val="646"/>
        </w:trPr>
        <w:tc>
          <w:tcPr>
            <w:tcW w:w="760" w:type="dxa"/>
            <w:vAlign w:val="bottom"/>
          </w:tcPr>
          <w:p>
            <w:pPr>
              <w:spacing w:after="0"/>
              <w:rPr>
                <w:sz w:val="24"/>
                <w:szCs w:val="24"/>
                <w:color w:val="auto"/>
              </w:rPr>
            </w:pPr>
          </w:p>
        </w:tc>
        <w:tc>
          <w:tcPr>
            <w:tcW w:w="3860" w:type="dxa"/>
            <w:vAlign w:val="bottom"/>
            <w:tcBorders>
              <w:top w:val="single" w:sz="8" w:color="CFF0FC"/>
            </w:tcBorders>
          </w:tcPr>
          <w:p>
            <w:pPr>
              <w:spacing w:after="0"/>
              <w:rPr>
                <w:sz w:val="24"/>
                <w:szCs w:val="24"/>
                <w:color w:val="auto"/>
              </w:rPr>
            </w:pPr>
          </w:p>
        </w:tc>
        <w:tc>
          <w:tcPr>
            <w:tcW w:w="2200" w:type="dxa"/>
            <w:vAlign w:val="bottom"/>
            <w:tcBorders>
              <w:top w:val="single" w:sz="8" w:color="CFF0FC"/>
            </w:tcBorders>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18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20" w:type="dxa"/>
            <w:vAlign w:val="bottom"/>
          </w:tcPr>
          <w:p>
            <w:pPr>
              <w:spacing w:after="0"/>
              <w:rPr>
                <w:sz w:val="24"/>
                <w:szCs w:val="24"/>
                <w:color w:val="auto"/>
              </w:rPr>
            </w:pPr>
          </w:p>
        </w:tc>
      </w:tr>
      <w:tr>
        <w:trPr>
          <w:trHeight w:val="763"/>
        </w:trPr>
        <w:tc>
          <w:tcPr>
            <w:tcW w:w="76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-916305</wp:posOffset>
            </wp:positionV>
            <wp:extent cx="6032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-916305</wp:posOffset>
            </wp:positionV>
            <wp:extent cx="5969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left="520" w:hanging="512"/>
        <w:spacing w:after="0"/>
        <w:tabs>
          <w:tab w:leader="none" w:pos="5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was -0.2% and -0.1% for the three months ended September 30, 2024 and 2023, respectively, and -0.2% and -0.1% for the nine months ended September 30, 2024 and 2023, respectively. The income tax provision was $0.1 million and $0.1 million for the three months ended September 30, 2024 and 2023, respectively, and the income tax provision was $0.2 million and $0.1 million for the nine months ended September 30, 2024 and 2023, respectively. Consistent with the prior year, for 2024 the Company assessed the requirement to capitalize and amortize research and experimentation expenditures for US tax purposes, which remains effective as of September 30, 2024. The Company is forecasting a taxable loss position in 2024 for which no tax benefit is recorded due to the valuation allowance maintained against the Company’s deferred tax assets.</w:t>
      </w:r>
    </w:p>
    <w:p>
      <w:pPr>
        <w:spacing w:after="0" w:line="187"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effective income tax rate for the three and nine months ended September 30, 2024 and 2023 differed from the 21.0% federal statutory rate primarily due to the valuation allowance maintained against the Company’s deferred tax assets.</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95"/>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2023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2023, our actual results could differ materially from the results described in, or implied by, the forward-looking statements contained in the following discussion and analysis.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developing multiple MTA-cooperative PRMT5 inhibitors that are designed to work selectively in cancer cells with an MTAP deletion.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MTAP-deletion occurs in approximately 10% to 15% of all human tumors, including NSCLC and pancreatic cancer.</w:t>
      </w:r>
    </w:p>
    <w:p>
      <w:pPr>
        <w:spacing w:after="0" w:line="20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November 2024, we announced that, based on data from our ongoing Phase 1/2 clinical trial, we plan to move TNG462, a MTA-cooperative PRMT5 inhibitor, into the next stage of development. The investigational new drug (IND) application for TNG462 was cleared by the U.S. Food and Drug Administration (FDA) in the first quarter of 2023 and we announced the first patient in the Phase 1/2 clinical trial was dosed in July 2023. In the ongoing Phase 1/2 clinical trial, TNG462 has demonstrated durable clinical activity across multiple tumor types, including NSCLC and pancreatic cancer, and has a good tolerability and safety profile. We continue to evaluate TNG462 efficacy and tolerability at 200 mg, 250 mg and 300 mg daily, predominantly in NSCLC and pancreatic cancer. We plan to provide further clinical updates on TNG462 in 2025. Additionally, we plan to enroll patients in multiple combination clinical trials with TNG462 in the first half of 2025, including targeted combinations with (i) two RAS(ON) inhibitors, (RAS(ON) multi-selective inhibitor, RMC-6236, and RAS(ON) G12D-selective inhibitor RMC-9805, both from Revolution Medicines, Inc.), (ii) osimertinib (AstraZeneca), and (iii) pembrolizumab (Merck &amp; Co., Inc.). Combinations of TNG462 and standard of care chemotherapy for NSCLC and pancreatic cancer also are being planned as potential paths to approval in the first line setting. We are initiating conversations with the FDA in preparation for multiple registrational studies.</w:t>
      </w:r>
    </w:p>
    <w:p>
      <w:pPr>
        <w:spacing w:after="0" w:line="19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November 2024, we announced that we are stopping enrollment of TNG908, a brain-penetrant MTA-cooperative inhibitor of PRMT5, to resource to our other programs, TNG462 and TNG456. Data from our Phase 1/2 clinical trial demonstrated that TNG908 is clinically active and well-tolerated in non-central nervous system solid tumors (including NSCLC and pancreatic cancer). No partial responses by RANO criteria were observed in the 23 evaluable GBM patients who were treated at active doses.</w:t>
      </w:r>
    </w:p>
    <w:p>
      <w:pPr>
        <w:spacing w:after="0" w:line="180"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plan to enroll patients in a Phase 1/2 clinical trial for TNG456, a next-generation brain-penetrant MTA-cooperative PRMT5 inhibitor, in the first half of 2025. We plan to evaluate TNG456 as a monotherapy and in combination with the brain-penetrant CDK4/6 inhibitor, abemaciclib (Lilly), in GBM, NSCLC and selected other solid tumors. Preclinical studies suggest that TNG456 has increased selectivity and potency compared to TNG908.</w:t>
      </w:r>
    </w:p>
    <w:p>
      <w:pPr>
        <w:spacing w:after="0" w:line="176"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Discovered as part of our immune evasion target discovery platform, TNG260 is a first-in-class CoREST inhibitor, which reverses the immune evasion effect of STK11 loss-of-function mutations. STK11 loss-of-function mutations are present in approximately 15% of NSCLC, 15% of cervical cancers, 10% of carcinoma of unknown primary, 5% of breast cancers and 3% of pancreatic cancers. In syngeneic models with an STK11 mutation and an intact immune system, the combination of TNG260 with an anti-PD-1 antibody resulted in sustained complete tumor regressions and the induction of immune memory against re-implantation of tumors. These preclinical data demonstrate that TNG260 in combination with an anti-PD-1 antibody is active in cancers with STK11 mutation, a setting where an anti-PD-1 antibody alone is inactive. In the first quarter of 2023, the FDA cleared the TNG260 IND and we announced the first patient in the Phase 1/2 clinical trial was dosed in July 2023. The TNG260 Phase 1/2 clinical trial is ongoing,</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ind w:right="20"/>
        <w:spacing w:after="0" w:line="261" w:lineRule="auto"/>
        <w:rPr>
          <w:sz w:val="20"/>
          <w:szCs w:val="20"/>
          <w:color w:val="auto"/>
        </w:rPr>
      </w:pPr>
      <w:r>
        <w:rPr>
          <w:rFonts w:ascii="Times New Roman" w:cs="Times New Roman" w:eastAsia="Times New Roman" w:hAnsi="Times New Roman"/>
          <w:sz w:val="18"/>
          <w:szCs w:val="18"/>
          <w:color w:val="auto"/>
        </w:rPr>
        <w:t>evaluating the safety, pharmacokinetics, PD and efficacy of TNG260 in combination with pembrolizumab, with a one cycle single agent run-in phase to evaluate the safety and PK of TNG260, in patients with locally advanced or metastatic solid tumors with an STK11 loss-of-function mutation. To date, the safety, tolerability and pharmacokinetics profiles are favorable. Clinical data from the ongoing trial are expected in 2025. We believe that TNG260 could be among the first oncology molecules to leverage the benefits of genetically-based patient selection (STK11-mutation) with checkpoint inhibitor therapy.</w:t>
      </w:r>
    </w:p>
    <w:p>
      <w:pPr>
        <w:spacing w:after="0" w:line="180"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In May 2024, we announced the discontinuation of TNG348, a USP1 inhibitor, due to toxicity observed in the dose escalation portion of our phase 1/2 clinical trial. The phase 1/2 clinical trial was evaluating TNG348 in BRCA1/2-mutant and other HRD+ cancers for safety, pharmacokinetics, pharmacodynamics and efficacy.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$237.1 million through our collaboration with Gilead and $123.0 million of gross proceeds through (i) $80.0 million from the private placement of common shares and pre-funded warrants to purchase common shares in August 2023 and (ii) $43.0 million from our "at-the-market" stock offering program.</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September 30, 2024 of $293.3 million will enable us to fund our operating expenses and capital expenditure requirements at least into the third quarter of 2026. Since inception, we have incurred significant operating losses. For the nine months ended September 30, 2024 and 2023, our net losses were $92.6 million and $71.0 million, respectively. We had an accumulated deficit of $463.9 million as of September 30, 2024.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9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8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At-the-Market Stock Offering</w:t>
      </w:r>
    </w:p>
    <w:p>
      <w:pPr>
        <w:spacing w:after="0" w:line="229"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In September 2022, we entered into a sales agreement (the Sales Agreement) with Jefferies LLC (Jefferies), which permits us to sell from time to time, at our option, up to an aggregate of $100.0 million of shares of common stock through Jefferies, as sales agent. Sales of the common stock, if any, will be made by methods deemed to be "at-the-market" stock offerings. The Sales Agreement will terminate upon the earliest of: (a) the sale of $100.0 million of shares of our common stock or (b) the termination of the Sales Agreement by us or Jefferies.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520"/>
        <w:spacing w:after="0"/>
        <w:rPr>
          <w:sz w:val="20"/>
          <w:szCs w:val="20"/>
          <w:color w:val="auto"/>
        </w:rPr>
      </w:pPr>
      <w:r>
        <w:rPr>
          <w:rFonts w:ascii="Times New Roman" w:cs="Times New Roman" w:eastAsia="Times New Roman" w:hAnsi="Times New Roman"/>
          <w:sz w:val="18"/>
          <w:szCs w:val="18"/>
          <w:color w:val="auto"/>
        </w:rPr>
        <w:t>In January 2024, the Company sold 4,001,200 shares of common stock under this program for gross proceeds of $43.0 million.</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Agreements with Gilead Sciences</w:t>
      </w:r>
    </w:p>
    <w:p>
      <w:pPr>
        <w:spacing w:after="0" w:line="22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October 2018, we entered into a collaboration agreement (the 2018 Gilead Agreement) with Gilead Sciences, Inc. (Gilead).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 In August 2020, the 2018 Gilead Agreement was expanded into a broader collaboration via an amended and restated research collaboration and license agreement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 In June 2024, Gilead licensed a program for a $12.0 million fee, which was recognized as license revenue in the second quarter of 2024.</w:t>
      </w:r>
    </w:p>
    <w:p>
      <w:pPr>
        <w:spacing w:after="0" w:line="188"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2024, $132.5 million has been recognized as collaboration revenue related to the upfront and research option-extension payments from the Gilead Agreement and the 2018 Gilead Agreement (the Gilead Agreements).</w:t>
      </w:r>
    </w:p>
    <w:p>
      <w:pPr>
        <w:spacing w:after="0" w:line="162"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and 2023, we recognized $11.6 million and $10.7 million, respectively, and during the nine months ended September 30, 2024 and 2023, we recognized $25.9 million and $26.1 million, respectively, of collaboration revenue associated with the Gilead Agreements based on performance completed during each period.</w:t>
      </w:r>
    </w:p>
    <w:p>
      <w:pPr>
        <w:spacing w:after="0" w:line="176"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Refer to Note 2 and Note 3 to our unaudited condensed consolidated financial statements and related notes appearing elsewhere in this Quarterly Report on Form 10-Q and our audited consolidated financial statements and related notes for the year ended December 31, 2023 included in our Annual Report on Form 10-K for additional information regarding our revenue recognition accounting policy and our collaboration agreement with Gilead.</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drug discovery efforts and the development of our product candidates. We expense research and development costs as incurred, which include:</w:t>
      </w:r>
    </w:p>
    <w:p>
      <w:pPr>
        <w:spacing w:after="0" w:line="54" w:lineRule="exact"/>
        <w:rPr>
          <w:sz w:val="20"/>
          <w:szCs w:val="20"/>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stock-based compensation, other related costs for those employees involved in research and development efforts;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manufacturing material for our preclinical and 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 supplies and research materials;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fulfill our obligations under the collaboration with Gilead;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utilities and insurance.</w:t>
      </w:r>
    </w:p>
    <w:p>
      <w:pPr>
        <w:spacing w:after="0" w:line="225"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ind w:right="120" w:firstLine="509"/>
        <w:spacing w:after="0" w:line="289" w:lineRule="auto"/>
        <w:rPr>
          <w:sz w:val="20"/>
          <w:szCs w:val="20"/>
          <w:color w:val="auto"/>
        </w:rPr>
      </w:pPr>
      <w:r>
        <w:rPr>
          <w:rFonts w:ascii="Times New Roman" w:cs="Times New Roman" w:eastAsia="Times New Roman" w:hAnsi="Times New Roman"/>
          <w:sz w:val="17"/>
          <w:szCs w:val="17"/>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58"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research and development expenses: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236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3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6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0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5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(in</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thousands)</w:t>
            </w: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(in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79"/>
              </w:rPr>
              <w:t>thousands)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TNG908 direct program expenses</w:t>
            </w:r>
          </w:p>
        </w:tc>
        <w:tc>
          <w:tcPr>
            <w:tcW w:w="24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3,259</w:t>
            </w:r>
          </w:p>
        </w:tc>
        <w:tc>
          <w:tcPr>
            <w:tcW w:w="60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3,165</w:t>
            </w:r>
          </w:p>
        </w:tc>
        <w:tc>
          <w:tcPr>
            <w:tcW w:w="4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10,776</w:t>
            </w: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7,353</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TNG462 direct program expenses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12,162</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6,969</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TNG260 direct program expenses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1,947</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7,946</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TNG348 direct program expenses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5,531</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w:t>
            </w: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Discovery direct program expenses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5,206</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19,923</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17,804</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Personnel-related expenses</w:t>
            </w: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28,347</w:t>
            </w:r>
          </w:p>
        </w:tc>
        <w:tc>
          <w:tcPr>
            <w:tcW w:w="100" w:type="dxa"/>
            <w:vAlign w:val="bottom"/>
            <w:shd w:val="clear" w:color="auto" w:fill="CFF0FC"/>
          </w:tcPr>
          <w:p>
            <w:pPr>
              <w:spacing w:after="0"/>
              <w:rPr>
                <w:sz w:val="21"/>
                <w:szCs w:val="21"/>
                <w:color w:val="auto"/>
              </w:rPr>
            </w:pPr>
          </w:p>
        </w:tc>
      </w:tr>
      <w:tr>
        <w:trPr>
          <w:trHeight w:val="239"/>
        </w:trPr>
        <w:tc>
          <w:tcPr>
            <w:tcW w:w="5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Facilities and other related expenses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15,334</w:t>
            </w: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13,201</w:t>
            </w:r>
          </w:p>
        </w:tc>
        <w:tc>
          <w:tcPr>
            <w:tcW w:w="100" w:type="dxa"/>
            <w:vAlign w:val="bottom"/>
          </w:tcPr>
          <w:p>
            <w:pPr>
              <w:spacing w:after="0"/>
              <w:rPr>
                <w:sz w:val="20"/>
                <w:szCs w:val="20"/>
                <w:color w:val="auto"/>
              </w:rPr>
            </w:pPr>
          </w:p>
        </w:tc>
      </w:tr>
      <w:tr>
        <w:trPr>
          <w:trHeight w:val="277"/>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109,981</w:t>
            </w:r>
          </w:p>
        </w:tc>
        <w:tc>
          <w:tcPr>
            <w:tcW w:w="20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-25400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03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-25400</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6863080</wp:posOffset>
            </wp:positionH>
            <wp:positionV relativeFrom="paragraph">
              <wp:posOffset>-7620</wp:posOffset>
            </wp:positionV>
            <wp:extent cx="596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increase significantly with the commencement and continuation of our clinical trials. We anticipate that our expenses will increase substantially, particularly due to the numerous risks and uncertainties associated with developing product candidates, including the uncertainty of:</w:t>
      </w:r>
    </w:p>
    <w:p>
      <w:pPr>
        <w:spacing w:after="0" w:line="86" w:lineRule="exact"/>
        <w:rPr>
          <w:sz w:val="20"/>
          <w:szCs w:val="20"/>
          <w:color w:val="auto"/>
        </w:rPr>
      </w:pPr>
    </w:p>
    <w:p>
      <w:pPr>
        <w:ind w:left="1140" w:right="580" w:hanging="383"/>
        <w:spacing w:after="0" w:line="282"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expenses of our ongoing research activities as well as any preclinical studies, clinical trials and other research and development activities;</w:t>
      </w:r>
    </w:p>
    <w:p>
      <w:pPr>
        <w:spacing w:after="0" w:line="5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with IND-enabling studies;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product candidates show safety and efficacy in our clinical trials;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our collaboration with Gilead;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commercializing product candidates,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acceptable safety profile of products following any regulatory approval.</w:t>
      </w:r>
    </w:p>
    <w:p>
      <w:pPr>
        <w:spacing w:after="0" w:line="225"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Any changes in the outcome of any of these variables with respect to the development of our product candidates in preclinical and clinical development could mean a significant change in the costs and timing associated with the development of these product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right="100"/>
        <w:spacing w:after="0" w:line="282" w:lineRule="auto"/>
        <w:rPr>
          <w:sz w:val="20"/>
          <w:szCs w:val="20"/>
          <w:color w:val="auto"/>
        </w:rPr>
      </w:pPr>
      <w:r>
        <w:rPr>
          <w:rFonts w:ascii="Times New Roman" w:cs="Times New Roman" w:eastAsia="Times New Roman" w:hAnsi="Times New Roman"/>
          <w:sz w:val="18"/>
          <w:szCs w:val="18"/>
          <w:color w:val="auto"/>
        </w:rPr>
        <w:t>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Interest income consists of income earned and losses incurred in connection with our investments in money market funds, U.S. Treasury bills and U.S. government agency bonds.</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income, net consists of miscellaneous income and expense unrelated to our core operations.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three and nine months ended September 30, 2024 and 2023.</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September 30, 2024 and 2023:</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920" w:type="dxa"/>
            <w:vAlign w:val="bottom"/>
          </w:tcPr>
          <w:p>
            <w:pPr>
              <w:spacing w:after="0"/>
              <w:rPr>
                <w:sz w:val="16"/>
                <w:szCs w:val="16"/>
                <w:color w:val="auto"/>
              </w:rPr>
            </w:pPr>
          </w:p>
        </w:tc>
        <w:tc>
          <w:tcPr>
            <w:tcW w:w="358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11,222</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44,485</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36,358</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4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(32,878 )</w:t>
            </w:r>
          </w:p>
        </w:tc>
        <w:tc>
          <w:tcPr>
            <w:tcW w:w="18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(25,626 )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(7,252 )</w:t>
            </w:r>
          </w:p>
        </w:tc>
        <w:tc>
          <w:tcPr>
            <w:tcW w:w="0" w:type="dxa"/>
            <w:vAlign w:val="bottom"/>
          </w:tcPr>
          <w:p>
            <w:pPr>
              <w:spacing w:after="0"/>
              <w:rPr>
                <w:sz w:val="1"/>
                <w:szCs w:val="1"/>
                <w:color w:val="auto"/>
              </w:rPr>
            </w:pPr>
          </w:p>
        </w:tc>
      </w:tr>
      <w:tr>
        <w:trPr>
          <w:trHeight w:val="23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9"/>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94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94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(29,113 )</w:t>
            </w:r>
          </w:p>
        </w:tc>
        <w:tc>
          <w:tcPr>
            <w:tcW w:w="18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(22,240 )</w:t>
            </w:r>
          </w:p>
        </w:tc>
        <w:tc>
          <w:tcPr>
            <w:tcW w:w="3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(6,873 )</w:t>
            </w:r>
          </w:p>
        </w:tc>
        <w:tc>
          <w:tcPr>
            <w:tcW w:w="0" w:type="dxa"/>
            <w:vAlign w:val="bottom"/>
          </w:tcPr>
          <w:p>
            <w:pPr>
              <w:spacing w:after="0"/>
              <w:rPr>
                <w:sz w:val="1"/>
                <w:szCs w:val="1"/>
                <w:color w:val="auto"/>
              </w:rPr>
            </w:pPr>
          </w:p>
        </w:tc>
      </w:tr>
      <w:tr>
        <w:trPr>
          <w:trHeight w:val="243"/>
        </w:trPr>
        <w:tc>
          <w:tcPr>
            <w:tcW w:w="49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(23 )</w:t>
            </w:r>
          </w:p>
        </w:tc>
        <w:tc>
          <w:tcPr>
            <w:tcW w:w="30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0"/>
        </w:trPr>
        <w:tc>
          <w:tcPr>
            <w:tcW w:w="49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(29,167 )</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(22,263 )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(6,904 )</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-2073910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-2073910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-2073910</wp:posOffset>
            </wp:positionV>
            <wp:extent cx="6032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-1439545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-1439545</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-1439545</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-488315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-488315</wp:posOffset>
            </wp:positionV>
            <wp:extent cx="6032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-488315</wp:posOffset>
            </wp:positionV>
            <wp:extent cx="6032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-170815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Collaboration revenue of $11.6 million and $10.7 million for the three months ended September 30, 2024 and 2023, respectively, was derived from the Gilead collaboration. Collaboration revenue increased due to changes to estimated costs expected to be incurred under the collaboration.</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$33.3 million for the three months ended September 30, 2024 compared to $27.1 million for the three months ended September 30, 2023. The increase of $6.1 million was primarily due to a $3.0 million increase relating to the advancement of TNG462 and our preclinical programs. Additionally, the increase was also due to $2.8 million in personnel-related costs, including share-based compensation expense and additional headcount to support our research and development activities.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$11.2 million for the three months ended September 30, 2024 compared to $9.2 million for the three months ended September 30, 2023. The increase of $2.0 million was primarily due to $1.5 million in personnel-related costs, including share-based compensation expense and additional headcount.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$1.8 million for the three months ended September 30, 2024 compared to $1.9 million for the three months ended September 30, 2023, with the decrease attributed to a decrease in marketable securities balance in 2024 as compared to 2023.</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$2.0 million for the three months ended September 30, 2024 compared to other income, net of $1.5 million for the three months ended September 30, 2023, with the increase attributed to accretion on investments purchased at a discount.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7" w:right="459" w:bottom="1440" w:gutter="0" w:footer="0" w:header="0"/>
        </w:sectPr>
      </w:pPr>
    </w:p>
    <w:bookmarkStart w:id="27" w:name="page28"/>
    <w:bookmarkEnd w:id="27"/>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was $0.1 million for the three months ended September 30, 2024 and $0.1 million for the three months ended September 30, 2023. The income tax provision amount for the period ended September 30, 2024 is primarily attributable to state taxes on interest income earned on marketable securities.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nine months ended September 30, 2024 and 2023:</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4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2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13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4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26,096</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39"/>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License revenue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37,952</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31,096</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9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109,981</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83,859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32,656</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26,397</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142,637</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110,256</w:t>
            </w:r>
          </w:p>
        </w:tc>
        <w:tc>
          <w:tcPr>
            <w:tcW w:w="2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(104,685 )</w:t>
            </w:r>
          </w:p>
        </w:tc>
        <w:tc>
          <w:tcPr>
            <w:tcW w:w="200" w:type="dxa"/>
            <w:vAlign w:val="bottom"/>
          </w:tcPr>
          <w:p>
            <w:pPr>
              <w:spacing w:after="0"/>
              <w:rPr>
                <w:sz w:val="20"/>
                <w:szCs w:val="20"/>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(79,160 )</w:t>
            </w:r>
          </w:p>
        </w:tc>
        <w:tc>
          <w:tcPr>
            <w:tcW w:w="3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(25,525 )</w:t>
            </w:r>
          </w:p>
        </w:tc>
        <w:tc>
          <w:tcPr>
            <w:tcW w:w="0" w:type="dxa"/>
            <w:vAlign w:val="bottom"/>
          </w:tcPr>
          <w:p>
            <w:pPr>
              <w:spacing w:after="0"/>
              <w:rPr>
                <w:sz w:val="1"/>
                <w:szCs w:val="1"/>
                <w:color w:val="auto"/>
              </w:rPr>
            </w:pPr>
          </w:p>
        </w:tc>
      </w:tr>
      <w:tr>
        <w:trPr>
          <w:trHeight w:val="24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3,883</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other income, net</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8,266</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3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(92,473 )</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(70,894 )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(21,579 )</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(159 )</w:t>
            </w:r>
          </w:p>
        </w:tc>
        <w:tc>
          <w:tcPr>
            <w:tcW w:w="20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(87 )</w:t>
            </w:r>
          </w:p>
        </w:tc>
        <w:tc>
          <w:tcPr>
            <w:tcW w:w="30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(92,632 )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(70,981 )</w:t>
            </w:r>
          </w:p>
        </w:tc>
        <w:tc>
          <w:tcPr>
            <w:tcW w:w="30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(21,651 )</w:t>
            </w:r>
          </w:p>
        </w:tc>
        <w:tc>
          <w:tcPr>
            <w:tcW w:w="0" w:type="dxa"/>
            <w:vAlign w:val="bottom"/>
          </w:tcPr>
          <w:p>
            <w:pPr>
              <w:spacing w:after="0"/>
              <w:rPr>
                <w:sz w:val="1"/>
                <w:szCs w:val="1"/>
                <w:color w:val="auto"/>
              </w:rPr>
            </w:pPr>
          </w:p>
        </w:tc>
      </w:tr>
      <w:tr>
        <w:trPr>
          <w:trHeight w:val="20"/>
        </w:trPr>
        <w:tc>
          <w:tcPr>
            <w:tcW w:w="49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-1927860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-1927860</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-1927860</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-1294130</wp:posOffset>
            </wp:positionV>
            <wp:extent cx="603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-1294130</wp:posOffset>
            </wp:positionV>
            <wp:extent cx="603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-1294130</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-668020</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-668020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-668020</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-342265</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-342265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-342265</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-8255</wp:posOffset>
            </wp:positionV>
            <wp:extent cx="6032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03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27"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Collaboration revenue of $25.9 million and $26.1 million for the nine months ended September 30, 2024 and 2023, respectively, was derived from the Gilead collaboration. Research costs incurred under the collaboration were lower during the nine months ended September 30, 2024 which resulted in lower collaboration revenue amounts recognized.</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22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License revenue was $12.1 million for the nine months ended September 30, 2024, compared to $5.0 million for the nine months ended September 30, 2023. The increase is primarily due to licensing a program to Gilead for $12.0 million during the second quarter of 2024 as compared to Gilead licensing a program for $5.0 million during the second quarter of 2023.</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$110.0 million for the nine months ended September 30, 2024 compared to $83.9 million for the nine months ended September 30, 2023. The increase of $26.1 million was primarily due to a $14.0 million increase relating to the advancement of our clinical and preclinical programs. Additionally, the increase was also due to $10.0 million in personnel-related costs, including share-based compensation expense and additional headcount to support our research and development activities.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right="500"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$32.7 million for the nine months ended September 30, 2024 compared to $26.4 million for the nine months ended September 30, 2023. The increase of $6.3 million was primarily due to $5.5 million in personnel-related costs, including share-based compensation expense and additional headcount.</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28" w:name="page29"/>
    <w:bookmarkEnd w:id="28"/>
    <w:p>
      <w:pPr>
        <w:ind w:left="5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2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Interest income was $6.1 million for the nine months ended September 30, 2024 compared to $4.4 million for the nine months ended September 30, 2023, with the increase attributed to an increase in interest rates in 2024 as compared to 2023.</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Other income, net was $6.1 million for the nine months ended September 30, 2024 compared to other income, net of $3.9 million for the nine months ended September 30, 2023, with the increase attributed to accretion on investments purchased at a discount.</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27"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was $0.2 million for the nine months ended September 30, 2024 and $0.1 million for the nine months ended September 30, 2023. The income tax provision amount for the period ended September 30, 2024 is primarily attributable to state taxes on interest income earned on marketable securities.</w:t>
      </w:r>
    </w:p>
    <w:p>
      <w:pPr>
        <w:spacing w:after="0" w:line="172"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Since our inception, we have generated recurring net losses. We have not yet commercialized any product and we do not expect to generate revenue from sales of any products for several years, if at all.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from the Business Combination and simultaneous financing transactions, $123.0 million of gross proceeds through (i) the $80.0 million private placement of common shares and pre-funded warrants to purchase common shares in August 2023 and (ii) the $43.0 million from our "at-the-market" stock offering program, and another $237.1 million through our collaboration with Gilead. As of September 30, 2024, we had cash and cash equivalents and marketable securities of $293.3 million.</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expect that our existing cash, cash equivalents and marketable securities on hand as of September 30, 2024 of $293.3 million will enable us to fund our operating expenses and capital expenditure requirements at least into the third quarter of 2026. We have based this estimate on assumptions that may prove to be wrong, and we could expend our capital resources sooner than we expect.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each of the nine month periods presented:</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5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4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60" w:type="dxa"/>
            <w:vAlign w:val="bottom"/>
          </w:tcPr>
          <w:p>
            <w:pPr>
              <w:spacing w:after="0"/>
              <w:rPr>
                <w:sz w:val="16"/>
                <w:szCs w:val="16"/>
                <w:color w:val="auto"/>
              </w:rPr>
            </w:pPr>
          </w:p>
        </w:tc>
        <w:tc>
          <w:tcPr>
            <w:tcW w:w="102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2"/>
              </w:rPr>
              <w:t>thousands)</w:t>
            </w: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(94,854 )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(90,515 )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(4,339 )</w:t>
            </w:r>
          </w:p>
        </w:tc>
        <w:tc>
          <w:tcPr>
            <w:tcW w:w="0" w:type="dxa"/>
            <w:vAlign w:val="bottom"/>
          </w:tcPr>
          <w:p>
            <w:pPr>
              <w:spacing w:after="0"/>
              <w:rPr>
                <w:sz w:val="1"/>
                <w:szCs w:val="1"/>
                <w:color w:val="auto"/>
              </w:rPr>
            </w:pPr>
          </w:p>
        </w:tc>
      </w:tr>
      <w:tr>
        <w:trPr>
          <w:trHeight w:val="239"/>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34,066</w:t>
            </w: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46,695</w:t>
            </w:r>
          </w:p>
        </w:tc>
        <w:tc>
          <w:tcPr>
            <w:tcW w:w="2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80,939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(34,244 )</w:t>
            </w:r>
          </w:p>
        </w:tc>
        <w:tc>
          <w:tcPr>
            <w:tcW w:w="0" w:type="dxa"/>
            <w:vAlign w:val="bottom"/>
          </w:tcPr>
          <w:p>
            <w:pPr>
              <w:spacing w:after="0"/>
              <w:rPr>
                <w:sz w:val="1"/>
                <w:szCs w:val="1"/>
                <w:color w:val="auto"/>
              </w:rPr>
            </w:pPr>
          </w:p>
        </w:tc>
      </w:tr>
      <w:tr>
        <w:trPr>
          <w:trHeight w:val="20"/>
        </w:trPr>
        <w:tc>
          <w:tcPr>
            <w:tcW w:w="56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(14,093 )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(2,002 )</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(12,091 )</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-187960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-187960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$94.9 million for the nine months ended September 30, 2024 compared to net cash used in operating activities of $90.5 million for the nine months ended September 30, 2023. The increase in net cash used in operating activities for the nine months ended September 30, 2024 was primarily due to an increase to the net loss as a result of higher operating expenses related to the advancement of our programs and personnel-related costs. The increase was partially offset by changes in operating assets and liabilities and higher non-cash expenses, including stock compensation.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Net cash provided by investing activities was $34.1 million for the nine months ended September 30, 2024 compared to net cash provided by investing activities of $7.6 million for the nine months ended September 30, 2023. The change was primarily due to a decrease in purchases of marketable securities as compared to the nine months ended September 30, 2023, which was partially offset by a decrease in sales and maturities of marketable securities as compared to the nine months ended September 30, 2023.</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was $46.7 million for the nine months ended September 30, 2024 compared to net cash provided by financing activities of $80.9 million for the nine months ended September 30, 2023. The cash provided by financing activities for the nine months ended September 30, 2024 consisted of the $41.7 million in net proceeds received from our "at-the-market" stock offering program in January 2024, as well as the cash provided from the exercises of stock options and ESPP purchases. The cash provided by financing activities for the nine months ended September 30, 2023 consisted of the net proceeds received from our private placement financing transaction in August 2023 of $79.8 million, as well as the cash provided from the exercises of stock options and ESPP purchases.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at September 30, 2024 and the effects that such obligations are expected to have on our liquidity and cash flows in future periods: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right"/>
              <w:ind w:right="179"/>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1 – 3 Years</w:t>
            </w:r>
          </w:p>
        </w:tc>
        <w:tc>
          <w:tcPr>
            <w:tcW w:w="160" w:type="dxa"/>
            <w:vAlign w:val="bottom"/>
          </w:tcPr>
          <w:p>
            <w:pPr>
              <w:spacing w:after="0"/>
              <w:rPr>
                <w:sz w:val="11"/>
                <w:szCs w:val="11"/>
                <w:color w:val="auto"/>
              </w:rPr>
            </w:pPr>
          </w:p>
        </w:tc>
        <w:tc>
          <w:tcPr>
            <w:tcW w:w="92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3 – 5 Years</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Borders>
              <w:top w:val="single" w:sz="8" w:color="auto"/>
            </w:tcBorders>
            <w:gridSpan w:val="2"/>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51,973</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2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51,973</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5,732</w:t>
            </w:r>
          </w:p>
        </w:tc>
        <w:tc>
          <w:tcPr>
            <w:tcW w:w="26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2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12,349</w:t>
            </w:r>
          </w:p>
        </w:tc>
        <w:tc>
          <w:tcPr>
            <w:tcW w:w="2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-170815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4171315</wp:posOffset>
            </wp:positionH>
            <wp:positionV relativeFrom="paragraph">
              <wp:posOffset>-170815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-170815</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September 30, 2024. Refer to Note 7 to our audited consolidated financial statements and related notes included in our Annual Report on Form 10-K for the year ended December 31, 2023 for additional discussion of the lease.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Purchase Obligations</w:t>
      </w:r>
    </w:p>
    <w:p>
      <w:pPr>
        <w:spacing w:after="0" w:line="22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September 30, 2024.</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License Agreement Obligations</w:t>
      </w:r>
    </w:p>
    <w:p>
      <w:pPr>
        <w:spacing w:after="0" w:line="22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September 30, 2024 and December 31, 2023, we were unable to estimate the timing or likelihood of achieving these milestones or generating future product sales. Refer to Note 8 to our audited consolidated financial statements and related notes included in our Annual Report on Form 10-K for the year ended December 31, 2023 for a description of our license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0" w:name="page31"/>
    <w:bookmarkEnd w:id="30"/>
    <w:p>
      <w:pPr>
        <w:jc w:val="both"/>
        <w:ind w:right="540"/>
        <w:spacing w:after="0" w:line="289" w:lineRule="auto"/>
        <w:rPr>
          <w:sz w:val="20"/>
          <w:szCs w:val="20"/>
          <w:color w:val="auto"/>
        </w:rPr>
      </w:pPr>
      <w:r>
        <w:rPr>
          <w:rFonts w:ascii="Times New Roman" w:cs="Times New Roman" w:eastAsia="Times New Roman" w:hAnsi="Times New Roman"/>
          <w:sz w:val="17"/>
          <w:szCs w:val="17"/>
          <w:color w:val="auto"/>
        </w:rPr>
        <w:t>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58"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audited consolidated financial statements and related notes included in our Annual Report on Form 10-K for the year ended December 31, 2023, we believe that the following accounting policies are those most critical to the judgments and estimates used in the preparation of our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60" w:lineRule="exact"/>
        <w:rPr>
          <w:sz w:val="20"/>
          <w:szCs w:val="20"/>
          <w:color w:val="auto"/>
        </w:rPr>
      </w:pPr>
    </w:p>
    <w:p>
      <w:pPr>
        <w:ind w:right="120" w:firstLine="509"/>
        <w:spacing w:after="0" w:line="252" w:lineRule="auto"/>
        <w:rPr>
          <w:sz w:val="20"/>
          <w:szCs w:val="20"/>
          <w:color w:val="auto"/>
        </w:rPr>
      </w:pPr>
      <w:r>
        <w:rPr>
          <w:rFonts w:ascii="Times New Roman" w:cs="Times New Roman" w:eastAsia="Times New Roman" w:hAnsi="Times New Roman"/>
          <w:sz w:val="18"/>
          <w:szCs w:val="18"/>
          <w:color w:val="auto"/>
        </w:rPr>
        <w:t xml:space="preserve">We recognize revenue under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98"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p>
    <w:p>
      <w:pPr>
        <w:spacing w:after="0" w:line="192"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1" w:name="page32"/>
    <w:bookmarkEnd w:id="31"/>
    <w:p>
      <w:pPr>
        <w:ind w:right="140"/>
        <w:spacing w:after="0" w:line="282" w:lineRule="auto"/>
        <w:rPr>
          <w:sz w:val="20"/>
          <w:szCs w:val="20"/>
          <w:color w:val="auto"/>
        </w:rPr>
      </w:pPr>
      <w:r>
        <w:rPr>
          <w:rFonts w:ascii="Times New Roman" w:cs="Times New Roman" w:eastAsia="Times New Roman" w:hAnsi="Times New Roman"/>
          <w:sz w:val="18"/>
          <w:szCs w:val="18"/>
          <w:color w:val="auto"/>
        </w:rPr>
        <w:t>to determine the standalone selling price may include forecasted revenues, development timelines, reimbursement rates for personnel costs, discount rates and probabilities of technical and regulatory success.</w:t>
      </w:r>
    </w:p>
    <w:p>
      <w:pPr>
        <w:spacing w:after="0" w:line="16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0" w:lineRule="exact"/>
        <w:rPr>
          <w:sz w:val="20"/>
          <w:szCs w:val="20"/>
          <w:color w:val="auto"/>
        </w:rPr>
      </w:pPr>
    </w:p>
    <w:p>
      <w:pPr>
        <w:jc w:val="both"/>
        <w:ind w:right="120" w:firstLine="509"/>
        <w:spacing w:after="0" w:line="261" w:lineRule="auto"/>
        <w:rPr>
          <w:sz w:val="20"/>
          <w:szCs w:val="20"/>
          <w:color w:val="auto"/>
        </w:rPr>
      </w:pPr>
      <w:r>
        <w:rPr>
          <w:rFonts w:ascii="Times New Roman" w:cs="Times New Roman" w:eastAsia="Times New Roman" w:hAnsi="Times New Roman"/>
          <w:sz w:val="18"/>
          <w:szCs w:val="18"/>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p>
    <w:p>
      <w:pPr>
        <w:spacing w:after="0" w:line="176" w:lineRule="exact"/>
        <w:rPr>
          <w:sz w:val="20"/>
          <w:szCs w:val="20"/>
          <w:color w:val="auto"/>
        </w:rPr>
      </w:pPr>
    </w:p>
    <w:p>
      <w:pPr>
        <w:ind w:right="180" w:firstLine="509"/>
        <w:spacing w:after="0" w:line="255" w:lineRule="auto"/>
        <w:rPr>
          <w:sz w:val="20"/>
          <w:szCs w:val="20"/>
          <w:color w:val="auto"/>
        </w:rPr>
      </w:pPr>
      <w:r>
        <w:rPr>
          <w:rFonts w:ascii="Times New Roman" w:cs="Times New Roman" w:eastAsia="Times New Roman" w:hAnsi="Times New Roman"/>
          <w:sz w:val="18"/>
          <w:szCs w:val="18"/>
          <w:color w:val="auto"/>
        </w:rPr>
        <w:t>Under ASC 606, we will recognize revenue when we fulfill our performance obligations under the agreements with customers.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22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2023.</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79" w:lineRule="exact"/>
        <w:rPr>
          <w:sz w:val="20"/>
          <w:szCs w:val="20"/>
          <w:color w:val="auto"/>
        </w:rPr>
      </w:pPr>
    </w:p>
    <w:p>
      <w:pPr>
        <w:ind w:left="1020" w:right="220" w:hanging="503"/>
        <w:spacing w:after="0" w:line="266"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present only two years of audited financial statements and only two years of related Management’s Discussion and Analysis of Financial Condition and Results of Operations in our periodic reports and registration statements, including this Quarterly Report on Form 10-Q;</w:t>
      </w:r>
    </w:p>
    <w:p>
      <w:pPr>
        <w:spacing w:after="0" w:line="67"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provide reduced disclosure about our executive compensation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require nonbinding advisory votes on executive compensation or stockholder approval of any golden parachute payments.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December 31, 2025, (ii) the last day of the fiscal year in which we have total annual gross revenues of $1.235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2" w:lineRule="exact"/>
        <w:rPr>
          <w:sz w:val="20"/>
          <w:szCs w:val="20"/>
          <w:color w:val="auto"/>
        </w:rPr>
      </w:pPr>
    </w:p>
    <w:p>
      <w:pPr>
        <w:ind w:right="40" w:firstLine="540"/>
        <w:spacing w:after="0" w:line="256" w:lineRule="auto"/>
        <w:rPr>
          <w:sz w:val="20"/>
          <w:szCs w:val="20"/>
          <w:color w:val="auto"/>
        </w:rPr>
      </w:pPr>
      <w:r>
        <w:rPr>
          <w:rFonts w:ascii="Times New Roman" w:cs="Times New Roman" w:eastAsia="Times New Roman" w:hAnsi="Times New Roman"/>
          <w:sz w:val="18"/>
          <w:szCs w:val="18"/>
          <w:color w:val="auto"/>
        </w:rPr>
        <w:t>On the last business day of our second quarter in 2024, the aggregate market value of our shares of common stock held by non-affiliates exceeded $700 million. As a result, as of December 31, 2024, we will be considered a “large accelerated filer” as defined in Rule 12b-2 under the Exchange Act, and we will cease to be an “emerging growth company” as defined in the JOBS Act. We will no longer be exempt from the auditor attestation requirements of Section 404(b) of the Sarbanes-Oxley Act, and our independent registered public accounting firm will evaluate and report on the effectiveness of internal control over financial reporting. The Company will also no longer be permitted to take advantage of reduced reporting requirements for smaller reporting companies.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our market risks from those described in Part II Item 7A. Quantitative and qualitative disclosures about market risk in our Annual Report on Form 10-K for the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33" w:name="page34"/>
    <w:bookmarkEnd w:id="33"/>
    <w:p>
      <w:pPr>
        <w:ind w:right="180"/>
        <w:spacing w:after="0" w:line="272" w:lineRule="auto"/>
        <w:rPr>
          <w:sz w:val="20"/>
          <w:szCs w:val="20"/>
          <w:color w:val="auto"/>
        </w:rPr>
      </w:pPr>
      <w:r>
        <w:rPr>
          <w:rFonts w:ascii="Times New Roman" w:cs="Times New Roman" w:eastAsia="Times New Roman" w:hAnsi="Times New Roman"/>
          <w:sz w:val="17"/>
          <w:szCs w:val="17"/>
          <w:color w:val="auto"/>
        </w:rPr>
        <w:t>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September 30,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There were no changes in the Company’s internal control over financial reporting identified in connection with the evaluation required by paragraph</w:t>
      </w:r>
    </w:p>
    <w:p>
      <w:pPr>
        <w:spacing w:after="0" w:line="39" w:lineRule="exact"/>
        <w:rPr>
          <w:sz w:val="20"/>
          <w:szCs w:val="20"/>
          <w:color w:val="auto"/>
        </w:rPr>
      </w:pPr>
    </w:p>
    <w:p>
      <w:pPr>
        <w:ind w:right="60" w:firstLine="8"/>
        <w:spacing w:after="0" w:line="260"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Exchange Act Rules 13a-15 or 15d-15 that occurred during the quarter ended September 30, 2024 that materially affected, or were reasonably likely to materially affect, the Company’s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34" w:name="page35"/>
    <w:bookmarkEnd w:id="34"/>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not currently a party to any litigation or legal proceedings that, in the opinion of our management, are probable to have a material adverse effect on our business.</w:t>
      </w:r>
    </w:p>
    <w:p>
      <w:pPr>
        <w:spacing w:after="0" w:line="16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81" w:right="5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2023,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Adoption or Termination of Trading Arrangements</w:t>
      </w:r>
    </w:p>
    <w:p>
      <w:pPr>
        <w:spacing w:after="0" w:line="227"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officers informed us of the adoption, modification or termination of a “Rule 10b5-1 trading arrangement” or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560" w:type="dxa"/>
            <w:vAlign w:val="bottom"/>
            <w:gridSpan w:val="10"/>
            <w:vMerge w:val="restart"/>
          </w:tcPr>
          <w:p>
            <w:pPr>
              <w:ind w:left="3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8560" w:type="dxa"/>
            <w:vAlign w:val="bottom"/>
            <w:tcBorders>
              <w:bottom w:val="single" w:sz="8" w:color="auto"/>
            </w:tcBorders>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1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60" w:type="dxa"/>
            <w:vAlign w:val="bottom"/>
            <w:gridSpan w:val="11"/>
          </w:tcPr>
          <w:p>
            <w:pPr>
              <w:spacing w:after="0" w:line="169"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 xml:space="preserve">Second Amended and Restated Certificate of Incorporation of Tango Therapeutics, Inc., as amended.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by reference to</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 3.1 to the Registrant's Quarterly Report on Form 10-Q filed with the SEC on August 7, 2024).</w:t>
            </w:r>
          </w:p>
        </w:tc>
        <w:tc>
          <w:tcPr>
            <w:tcW w:w="0" w:type="dxa"/>
            <w:vAlign w:val="bottom"/>
          </w:tcPr>
          <w:p>
            <w:pPr>
              <w:spacing w:after="0"/>
              <w:rPr>
                <w:sz w:val="1"/>
                <w:szCs w:val="1"/>
                <w:color w:val="auto"/>
              </w:rPr>
            </w:pPr>
          </w:p>
        </w:tc>
      </w:tr>
      <w:tr>
        <w:trPr>
          <w:trHeight w:val="194"/>
        </w:trPr>
        <w:tc>
          <w:tcPr>
            <w:tcW w:w="11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520" w:type="dxa"/>
            <w:vAlign w:val="bottom"/>
            <w:tcBorders>
              <w:bottom w:val="single" w:sz="8" w:color="0000FF"/>
            </w:tcBorders>
            <w:gridSpan w:val="6"/>
          </w:tcPr>
          <w:p>
            <w:pPr>
              <w:spacing w:after="0" w:line="194" w:lineRule="exact"/>
              <w:rPr>
                <w:rFonts w:ascii="Times New Roman" w:cs="Times New Roman" w:eastAsia="Times New Roman" w:hAnsi="Times New Roman"/>
                <w:sz w:val="18"/>
                <w:szCs w:val="18"/>
                <w:color w:val="0000FF"/>
                <w:w w:val="99"/>
              </w:rPr>
            </w:pPr>
            <w:hyperlink r:id="rId265">
              <w:r>
                <w:rPr>
                  <w:rFonts w:ascii="Times New Roman" w:cs="Times New Roman" w:eastAsia="Times New Roman" w:hAnsi="Times New Roman"/>
                  <w:sz w:val="18"/>
                  <w:szCs w:val="18"/>
                  <w:color w:val="0000FF"/>
                  <w:w w:val="99"/>
                </w:rPr>
                <w:t>Amended and Restated Bylaws of Tango Therapeutics, Inc. (incorporated by reference to Exhibit 4.2 to the Registrant’s registration</w:t>
              </w:r>
            </w:hyperlink>
          </w:p>
        </w:tc>
        <w:tc>
          <w:tcPr>
            <w:tcW w:w="44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1"/>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statement on Form S-8 filed with the SEC on October 14, 2021).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26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3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20" w:type="dxa"/>
            <w:vAlign w:val="bottom"/>
            <w:tcBorders>
              <w:bottom w:val="single" w:sz="8" w:color="0000EE"/>
            </w:tcBorders>
          </w:tcPr>
          <w:p>
            <w:pPr>
              <w:spacing w:after="0"/>
              <w:rPr>
                <w:sz w:val="17"/>
                <w:szCs w:val="17"/>
                <w:color w:val="auto"/>
              </w:rPr>
            </w:pPr>
          </w:p>
        </w:tc>
        <w:tc>
          <w:tcPr>
            <w:tcW w:w="496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3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6"/>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40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56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9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16"/>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as Inline XBRL with applicable taxonomy extension information contained in Exhibits</w:t>
            </w: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3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12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32" w:lineRule="exact"/>
        <w:rPr>
          <w:sz w:val="20"/>
          <w:szCs w:val="20"/>
          <w:color w:val="auto"/>
        </w:rPr>
      </w:pPr>
    </w:p>
    <w:p>
      <w:pPr>
        <w:ind w:left="420" w:hanging="412"/>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63" w:lineRule="exact"/>
        <w:rPr>
          <w:sz w:val="20"/>
          <w:szCs w:val="20"/>
          <w:color w:val="auto"/>
        </w:rPr>
      </w:pPr>
    </w:p>
    <w:p>
      <w:pPr>
        <w:ind w:left="520" w:right="80" w:hanging="512"/>
        <w:spacing w:after="0" w:line="266" w:lineRule="auto"/>
        <w:tabs>
          <w:tab w:leader="none" w:pos="41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7" w:name="page38"/>
    <w:bookmarkEnd w:id="37"/>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52" w:lineRule="exact"/>
        <w:rPr>
          <w:sz w:val="20"/>
          <w:szCs w:val="20"/>
          <w:color w:val="auto"/>
        </w:rPr>
      </w:pPr>
    </w:p>
    <w:p>
      <w:pPr>
        <w:ind w:left="20"/>
        <w:spacing w:after="0"/>
        <w:tabs>
          <w:tab w:leader="none" w:pos="5660" w:val="left"/>
          <w:tab w:leader="none" w:pos="6100" w:val="left"/>
        </w:tabs>
        <w:rPr>
          <w:sz w:val="20"/>
          <w:szCs w:val="20"/>
          <w:color w:val="auto"/>
        </w:rPr>
      </w:pPr>
      <w:r>
        <w:rPr>
          <w:rFonts w:ascii="Times New Roman" w:cs="Times New Roman" w:eastAsia="Times New Roman" w:hAnsi="Times New Roman"/>
          <w:sz w:val="18"/>
          <w:szCs w:val="18"/>
          <w:color w:val="auto"/>
        </w:rPr>
        <w:t>Dated: November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Barbara Weber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26035</wp:posOffset>
            </wp:positionV>
            <wp:extent cx="32658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Barbara Weber, MD</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5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Tango Therapeutics, Inc.</w:t>
      </w:r>
    </w:p>
    <w:p>
      <w:pPr>
        <w:spacing w:after="0" w:line="252" w:lineRule="exact"/>
        <w:rPr>
          <w:sz w:val="20"/>
          <w:szCs w:val="20"/>
          <w:color w:val="auto"/>
        </w:rPr>
      </w:pPr>
    </w:p>
    <w:p>
      <w:pPr>
        <w:ind w:left="5680"/>
        <w:spacing w:after="0"/>
        <w:tabs>
          <w:tab w:leader="none" w:pos="61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Daniella Beckman</w:t>
      </w:r>
    </w:p>
    <w:p>
      <w:pPr>
        <w:spacing w:after="0" w:line="32"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Daniella Beckman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-125095</wp:posOffset>
            </wp:positionV>
            <wp:extent cx="32658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11"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0"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981" w:right="779" w:bottom="1440" w:gutter="0" w:footer="0" w:header="0"/>
        </w:sectPr>
      </w:pPr>
    </w:p>
    <w:bookmarkStart w:id="38" w:name="page39"/>
    <w:bookmarkEnd w:id="38"/>
    <w:p>
      <w:pPr>
        <w:ind w:left="10260"/>
        <w:spacing w:after="0"/>
        <w:rPr>
          <w:sz w:val="20"/>
          <w:szCs w:val="20"/>
          <w:color w:val="auto"/>
        </w:rPr>
      </w:pPr>
      <w:r>
        <w:rPr>
          <w:rFonts w:ascii="Times New Roman" w:cs="Times New Roman" w:eastAsia="Times New Roman" w:hAnsi="Times New Roman"/>
          <w:sz w:val="19"/>
          <w:szCs w:val="19"/>
          <w:color w:val="auto"/>
        </w:rPr>
        <w:t>Exhibit 31.1</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Barbara Weber, M.D., certify that:</w:t>
      </w:r>
    </w:p>
    <w:p>
      <w:pPr>
        <w:spacing w:after="0" w:line="229" w:lineRule="exact"/>
        <w:rPr>
          <w:sz w:val="20"/>
          <w:szCs w:val="20"/>
          <w:color w:val="auto"/>
        </w:rPr>
      </w:pPr>
    </w:p>
    <w:p>
      <w:pPr>
        <w:ind w:left="380" w:hanging="372"/>
        <w:spacing w:after="0"/>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34"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9" w:name="page40"/>
    <w:bookmarkEnd w:id="39"/>
    <w:p>
      <w:pPr>
        <w:jc w:val="both"/>
        <w:ind w:left="380" w:hanging="372"/>
        <w:spacing w:after="0" w:line="254" w:lineRule="auto"/>
        <w:tabs>
          <w:tab w:leader="none" w:pos="38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160" w:val="left"/>
        </w:tabs>
        <w:rPr>
          <w:sz w:val="20"/>
          <w:szCs w:val="20"/>
          <w:color w:val="auto"/>
        </w:rPr>
      </w:pPr>
      <w:r>
        <w:rPr>
          <w:rFonts w:ascii="Times New Roman" w:cs="Times New Roman" w:eastAsia="Times New Roman" w:hAnsi="Times New Roman"/>
          <w:sz w:val="20"/>
          <w:szCs w:val="20"/>
          <w:color w:val="auto"/>
        </w:rPr>
        <w:t>Dated: November 6, 2024</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3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20"/>
          <w:szCs w:val="20"/>
          <w:color w:val="auto"/>
        </w:rPr>
        <w:t>Chief Executive Officer</w:t>
      </w:r>
    </w:p>
    <w:p>
      <w:pPr>
        <w:ind w:left="18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1110615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left="10260"/>
        <w:spacing w:after="0"/>
        <w:rPr>
          <w:sz w:val="20"/>
          <w:szCs w:val="20"/>
          <w:color w:val="auto"/>
        </w:rPr>
      </w:pPr>
      <w:r>
        <w:rPr>
          <w:rFonts w:ascii="Times New Roman" w:cs="Times New Roman" w:eastAsia="Times New Roman" w:hAnsi="Times New Roman"/>
          <w:sz w:val="19"/>
          <w:szCs w:val="19"/>
          <w:color w:val="auto"/>
        </w:rPr>
        <w:t>Exhibit 31.2</w:t>
      </w:r>
    </w:p>
    <w:p>
      <w:pPr>
        <w:spacing w:after="0" w:line="237"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RULE 13a-14(a) / RULE 15d-14(a) OF THE SECURITIES EXCHANGE ACT OF 1934, AS AMENDED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Daniella Beckman, certify that:</w:t>
      </w:r>
    </w:p>
    <w:p>
      <w:pPr>
        <w:spacing w:after="0" w:line="229" w:lineRule="exact"/>
        <w:rPr>
          <w:sz w:val="20"/>
          <w:szCs w:val="20"/>
          <w:color w:val="auto"/>
        </w:rPr>
      </w:pPr>
    </w:p>
    <w:p>
      <w:pPr>
        <w:ind w:left="380" w:hanging="372"/>
        <w:spacing w:after="0"/>
        <w:tabs>
          <w:tab w:leader="none" w:pos="3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Tango Therapeutics, Inc.;</w:t>
      </w:r>
    </w:p>
    <w:p>
      <w:pPr>
        <w:spacing w:after="0" w:line="242" w:lineRule="exact"/>
        <w:rPr>
          <w:rFonts w:ascii="Times New Roman" w:cs="Times New Roman" w:eastAsia="Times New Roman" w:hAnsi="Times New Roman"/>
          <w:sz w:val="20"/>
          <w:szCs w:val="20"/>
          <w:color w:val="auto"/>
        </w:rPr>
      </w:pPr>
    </w:p>
    <w:p>
      <w:pPr>
        <w:jc w:val="both"/>
        <w:ind w:left="380" w:hanging="372"/>
        <w:spacing w:after="0" w:line="254" w:lineRule="auto"/>
        <w:tabs>
          <w:tab w:leader="none" w:pos="3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Times New Roman" w:cs="Times New Roman" w:eastAsia="Times New Roman" w:hAnsi="Times New Roman"/>
          <w:sz w:val="20"/>
          <w:szCs w:val="20"/>
          <w:color w:val="auto"/>
        </w:rPr>
      </w:pPr>
    </w:p>
    <w:p>
      <w:pPr>
        <w:ind w:left="380" w:hanging="372"/>
        <w:spacing w:after="0" w:line="269" w:lineRule="auto"/>
        <w:tabs>
          <w:tab w:leader="none" w:pos="38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6" w:lineRule="exact"/>
        <w:rPr>
          <w:rFonts w:ascii="Times New Roman" w:cs="Times New Roman" w:eastAsia="Times New Roman" w:hAnsi="Times New Roman"/>
          <w:sz w:val="20"/>
          <w:szCs w:val="20"/>
          <w:color w:val="auto"/>
        </w:rPr>
      </w:pPr>
    </w:p>
    <w:p>
      <w:pPr>
        <w:jc w:val="both"/>
        <w:ind w:left="380" w:hanging="372"/>
        <w:spacing w:after="0" w:line="264" w:lineRule="auto"/>
        <w:tabs>
          <w:tab w:leader="none" w:pos="380"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38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13a-15(f) and 15d-15(f)) for the registrant and have:</w:t>
      </w:r>
    </w:p>
    <w:p>
      <w:pPr>
        <w:spacing w:after="0" w:line="207" w:lineRule="exact"/>
        <w:rPr>
          <w:rFonts w:ascii="Times New Roman" w:cs="Times New Roman" w:eastAsia="Times New Roman" w:hAnsi="Times New Roman"/>
          <w:sz w:val="19"/>
          <w:szCs w:val="19"/>
          <w:color w:val="auto"/>
        </w:rPr>
      </w:pPr>
    </w:p>
    <w:p>
      <w:pPr>
        <w:jc w:val="both"/>
        <w:ind w:left="1020" w:hanging="368"/>
        <w:spacing w:after="0" w:line="254" w:lineRule="auto"/>
        <w:tabs>
          <w:tab w:leader="none" w:pos="10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1003935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1" w:name="page42"/>
    <w:bookmarkEnd w:id="41"/>
    <w:p>
      <w:pPr>
        <w:jc w:val="both"/>
        <w:ind w:left="380" w:hanging="372"/>
        <w:spacing w:after="0" w:line="254" w:lineRule="auto"/>
        <w:tabs>
          <w:tab w:leader="none" w:pos="38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Times New Roman" w:cs="Times New Roman" w:eastAsia="Times New Roman" w:hAnsi="Times New Roman"/>
          <w:sz w:val="20"/>
          <w:szCs w:val="20"/>
          <w:color w:val="auto"/>
        </w:rPr>
      </w:pPr>
    </w:p>
    <w:p>
      <w:pPr>
        <w:jc w:val="both"/>
        <w:ind w:left="1020" w:hanging="368"/>
        <w:spacing w:after="0" w:line="254" w:lineRule="auto"/>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1" w:lineRule="exact"/>
        <w:rPr>
          <w:rFonts w:ascii="Times New Roman" w:cs="Times New Roman" w:eastAsia="Times New Roman" w:hAnsi="Times New Roman"/>
          <w:sz w:val="20"/>
          <w:szCs w:val="20"/>
          <w:color w:val="auto"/>
        </w:rPr>
      </w:pPr>
    </w:p>
    <w:p>
      <w:pPr>
        <w:ind w:left="1020" w:right="20" w:hanging="368"/>
        <w:spacing w:after="0" w:line="269" w:lineRule="auto"/>
        <w:tabs>
          <w:tab w:leader="none" w:pos="10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spacing w:after="0"/>
        <w:tabs>
          <w:tab w:leader="none" w:pos="3540" w:val="left"/>
        </w:tabs>
        <w:rPr>
          <w:sz w:val="20"/>
          <w:szCs w:val="20"/>
          <w:color w:val="auto"/>
        </w:rPr>
      </w:pPr>
      <w:r>
        <w:rPr>
          <w:rFonts w:ascii="Times New Roman" w:cs="Times New Roman" w:eastAsia="Times New Roman" w:hAnsi="Times New Roman"/>
          <w:sz w:val="20"/>
          <w:szCs w:val="20"/>
          <w:color w:val="auto"/>
        </w:rPr>
        <w:t>Dated: November 6, 2024</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3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Chief Financial Officer</w:t>
      </w:r>
    </w:p>
    <w:p>
      <w:pPr>
        <w:ind w:left="29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878840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color w:val="auto"/>
        </w:rPr>
        <w:t>Exhibit 32.1</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140" w:firstLine="749"/>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on Form 10-Q of Tango Therapeutics, Inc. (the “Company”) for the fiscal quarter ended September 30, 2024 as filed with the Securities and Exchange Commission (the “Report”), I, Barbara Weber, M.D., Chief Executive Officer of the Company, certify, pursuant to 18 U.S.C. § 1350, as adopted pursuant to § 906 of the Sarbanes-Oxley Act of 2002, to my knowledge, that:</w:t>
      </w:r>
    </w:p>
    <w:p>
      <w:pPr>
        <w:spacing w:after="0" w:line="193"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20"/>
          <w:szCs w:val="20"/>
          <w:color w:val="auto"/>
        </w:rPr>
        <w:t>Dated:  November 6, 2024</w:t>
      </w:r>
      <w:r>
        <w:rPr>
          <w:sz w:val="20"/>
          <w:szCs w:val="20"/>
          <w:color w:val="auto"/>
        </w:rPr>
        <w:tab/>
      </w:r>
      <w:r>
        <w:rPr>
          <w:rFonts w:ascii="Times New Roman" w:cs="Times New Roman" w:eastAsia="Times New Roman" w:hAnsi="Times New Roman"/>
          <w:sz w:val="19"/>
          <w:szCs w:val="19"/>
          <w:u w:val="single" w:color="auto"/>
          <w:color w:val="auto"/>
        </w:rPr>
        <w:t>/s/ Barbara Weber, M.D.</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Barbara Weber, M.D.</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Executive Officer</w:t>
      </w:r>
    </w:p>
    <w:p>
      <w:pPr>
        <w:ind w:left="150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0"/>
          <w:szCs w:val="20"/>
          <w:color w:val="auto"/>
        </w:rPr>
        <w:t>Exhibit 32.2</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PURSUANT TO 18 U.S.C. SECTION 1350,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ind w:right="60" w:firstLine="749"/>
        <w:spacing w:after="0" w:line="274" w:lineRule="auto"/>
        <w:rPr>
          <w:sz w:val="20"/>
          <w:szCs w:val="20"/>
          <w:color w:val="auto"/>
        </w:rPr>
      </w:pPr>
      <w:r>
        <w:rPr>
          <w:rFonts w:ascii="Times New Roman" w:cs="Times New Roman" w:eastAsia="Times New Roman" w:hAnsi="Times New Roman"/>
          <w:sz w:val="19"/>
          <w:szCs w:val="19"/>
          <w:color w:val="auto"/>
        </w:rPr>
        <w:t>In connection with the Quarterly Report on Form 10-Q of Tango Therapeutics, Inc. (the “Company”) for the fiscal quarter ended September 30, 2024 as filed with the Securities and Exchange Commission (the “Report”), I, Daniella Beckman, Chief Financial Officer of the Company, certify, pursuant to 18 U.S.C. § 1350, as adopted pursuant to § 906 of the Sarbanes-Oxley Act of 2002, to my knowledge, that:</w:t>
      </w:r>
    </w:p>
    <w:p>
      <w:pPr>
        <w:spacing w:after="0" w:line="170"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242" w:lineRule="exact"/>
        <w:rPr>
          <w:rFonts w:ascii="Times New Roman" w:cs="Times New Roman" w:eastAsia="Times New Roman" w:hAnsi="Times New Roman"/>
          <w:sz w:val="20"/>
          <w:szCs w:val="20"/>
          <w:color w:val="auto"/>
        </w:rPr>
      </w:pPr>
    </w:p>
    <w:p>
      <w:pPr>
        <w:ind w:left="760" w:right="220" w:hanging="378"/>
        <w:spacing w:after="0" w:line="269" w:lineRule="auto"/>
        <w:tabs>
          <w:tab w:leader="none" w:pos="76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p>
      <w:pPr>
        <w:spacing w:after="0"/>
        <w:tabs>
          <w:tab w:leader="none" w:pos="3400" w:val="left"/>
        </w:tabs>
        <w:rPr>
          <w:sz w:val="20"/>
          <w:szCs w:val="20"/>
          <w:color w:val="auto"/>
        </w:rPr>
      </w:pPr>
      <w:r>
        <w:rPr>
          <w:rFonts w:ascii="Times New Roman" w:cs="Times New Roman" w:eastAsia="Times New Roman" w:hAnsi="Times New Roman"/>
          <w:sz w:val="20"/>
          <w:szCs w:val="20"/>
          <w:color w:val="auto"/>
        </w:rPr>
        <w:t>Dated:  November 6, 2024</w:t>
      </w:r>
      <w:r>
        <w:rPr>
          <w:sz w:val="20"/>
          <w:szCs w:val="20"/>
          <w:color w:val="auto"/>
        </w:rPr>
        <w:tab/>
      </w:r>
      <w:r>
        <w:rPr>
          <w:rFonts w:ascii="Times New Roman" w:cs="Times New Roman" w:eastAsia="Times New Roman" w:hAnsi="Times New Roman"/>
          <w:sz w:val="19"/>
          <w:szCs w:val="19"/>
          <w:u w:val="single" w:color="auto"/>
          <w:color w:val="auto"/>
        </w:rPr>
        <w:t>/s/ Daniella Beckman</w:t>
      </w:r>
    </w:p>
    <w:p>
      <w:pPr>
        <w:spacing w:after="0" w:line="10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Daniella Beckman</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Chief Financial Officer</w:t>
      </w:r>
    </w:p>
    <w:p>
      <w:pPr>
        <w:ind w:left="1500"/>
        <w:spacing w:after="0"/>
        <w:rPr>
          <w:sz w:val="20"/>
          <w:szCs w:val="20"/>
          <w:color w:val="auto"/>
        </w:rPr>
      </w:pPr>
      <w:r>
        <w:rPr>
          <w:rFonts w:ascii="Times New Roman" w:cs="Times New Roman" w:eastAsia="Times New Roman" w:hAnsi="Times New Roman"/>
          <w:sz w:val="20"/>
          <w:szCs w:val="20"/>
          <w:color w:val="auto"/>
        </w:rPr>
        <w:t>(Principal Financial Officer)</w:t>
      </w:r>
    </w:p>
    <w:p>
      <w:pPr>
        <w:spacing w:after="0" w:line="200" w:lineRule="exact"/>
        <w:rPr>
          <w:sz w:val="20"/>
          <w:szCs w:val="20"/>
          <w:color w:val="auto"/>
        </w:rPr>
      </w:pPr>
    </w:p>
    <w:p>
      <w:pPr>
        <w:spacing w:after="0" w:line="237" w:lineRule="exact"/>
        <w:rPr>
          <w:sz w:val="20"/>
          <w:szCs w:val="20"/>
          <w:color w:val="auto"/>
        </w:rPr>
      </w:pPr>
    </w:p>
    <w:p>
      <w:pPr>
        <w:ind w:right="180"/>
        <w:spacing w:after="0" w:line="269" w:lineRule="auto"/>
        <w:rPr>
          <w:sz w:val="20"/>
          <w:szCs w:val="20"/>
          <w:color w:val="auto"/>
        </w:rPr>
      </w:pPr>
      <w:r>
        <w:rPr>
          <w:rFonts w:ascii="Times New Roman" w:cs="Times New Roman" w:eastAsia="Times New Roman" w:hAnsi="Times New Roman"/>
          <w:sz w:val="20"/>
          <w:szCs w:val="20"/>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1089025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4" w:name="page45"/>
    <w:bookmarkEnd w:id="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lvl w:ilvl="1">
      <w:lvlJc w:val="left"/>
      <w:lvlText w:val="•"/>
      <w:numFmt w:val="bullet"/>
      <w:start w:val="1"/>
    </w:lvl>
  </w:abstractNum>
  <w:abstractNum w:abstractNumId="3">
    <w:nsid w:val="431BD7B7"/>
    <w:multiLevelType w:val="hybridMultilevel"/>
    <w:lvl w:ilvl="0">
      <w:lvlJc w:val="left"/>
      <w:lvlText w:val="•"/>
      <w:numFmt w:val="bullet"/>
      <w:start w:val="1"/>
    </w:lvl>
    <w:lvl w:ilvl="1">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1."/>
      <w:numFmt w:val="lowerRoman"/>
      <w:start w:val="1"/>
    </w:lvl>
  </w:abstractNum>
  <w:abstractNum w:abstractNumId="8">
    <w:nsid w:val="436C6125"/>
    <w:multiLevelType w:val="hybridMultilevel"/>
    <w:lvl w:ilvl="0">
      <w:lvlJc w:val="left"/>
      <w:lvlText w:val="%1."/>
      <w:numFmt w:val="decimal"/>
      <w:start w:val="1"/>
    </w:lvl>
  </w:abstractNum>
  <w:abstractNum w:abstractNumId="9">
    <w:nsid w:val="628C895D"/>
    <w:multiLevelType w:val="hybridMultilevel"/>
    <w:lvl w:ilvl="0">
      <w:lvlJc w:val="left"/>
      <w:lvlText w:val="%1."/>
      <w:numFmt w:val="decimal"/>
      <w:start w:val="2"/>
    </w:lvl>
  </w:abstractNum>
  <w:abstractNum w:abstractNumId="10">
    <w:nsid w:val="333AB105"/>
    <w:multiLevelType w:val="hybridMultilevel"/>
    <w:lvl w:ilvl="0">
      <w:lvlJc w:val="left"/>
      <w:lvlText w:val="%1."/>
      <w:numFmt w:val="decimal"/>
      <w:start w:val="3"/>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1."/>
      <w:numFmt w:val="decimal"/>
      <w:start w:val="4"/>
    </w:lvl>
  </w:abstractNum>
  <w:abstractNum w:abstractNumId="13">
    <w:nsid w:val="2D1D5AE9"/>
    <w:multiLevelType w:val="hybridMultilevel"/>
    <w:lvl w:ilvl="0">
      <w:lvlJc w:val="left"/>
      <w:lvlText w:val="%1."/>
      <w:numFmt w:val="decimal"/>
      <w:start w:val="5"/>
    </w:lvl>
  </w:abstractNum>
  <w:abstractNum w:abstractNumId="14">
    <w:nsid w:val="6763845E"/>
    <w:multiLevelType w:val="hybridMultilevel"/>
    <w:lvl w:ilvl="0">
      <w:lvlJc w:val="left"/>
      <w:lvlText w:val="%1."/>
      <w:numFmt w:val="decimal"/>
      <w:start w:val="6"/>
    </w:lvl>
  </w:abstractNum>
  <w:abstractNum w:abstractNumId="15">
    <w:nsid w:val="75A2A8D4"/>
    <w:multiLevelType w:val="hybridMultilevel"/>
    <w:lvl w:ilvl="0">
      <w:lvlJc w:val="left"/>
      <w:lvlText w:val="%1."/>
      <w:numFmt w:val="decimal"/>
      <w:start w:val="7"/>
    </w:lvl>
  </w:abstractNum>
  <w:abstractNum w:abstractNumId="16">
    <w:nsid w:val="8EDBDAB"/>
    <w:multiLevelType w:val="hybridMultilevel"/>
    <w:lvl w:ilvl="0">
      <w:lvlJc w:val="left"/>
      <w:lvlText w:val="%1."/>
      <w:numFmt w:val="decimal"/>
      <w:start w:val="8"/>
    </w:lvl>
  </w:abstractNum>
  <w:abstractNum w:abstractNumId="17">
    <w:nsid w:val="79838CB2"/>
    <w:multiLevelType w:val="hybridMultilevel"/>
    <w:lvl w:ilvl="0">
      <w:lvlJc w:val="left"/>
      <w:lvlText w:val="%1."/>
      <w:numFmt w:val="decimal"/>
      <w:start w:val="9"/>
    </w:lvl>
  </w:abstractNum>
  <w:abstractNum w:abstractNumId="18">
    <w:nsid w:val="4353D0CD"/>
    <w:multiLevelType w:val="hybridMultilevel"/>
    <w:lvl w:ilvl="0">
      <w:lvlJc w:val="left"/>
      <w:lvlText w:val="%1."/>
      <w:numFmt w:val="decimal"/>
      <w:start w:val="10"/>
    </w:lvl>
  </w:abstractNum>
  <w:abstractNum w:abstractNumId="19">
    <w:nsid w:val="B03E0C6"/>
    <w:multiLevelType w:val="hybridMultilevel"/>
    <w:lvl w:ilvl="0">
      <w:lvlJc w:val="left"/>
      <w:lvlText w:val="%1."/>
      <w:numFmt w:val="decimal"/>
      <w:start w:val="1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1)"/>
      <w:numFmt w:val="lowerLetter"/>
      <w:start w:val="4"/>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1"/>
    </w:lvl>
    <w:lvl w:ilvl="1">
      <w:lvlJc w:val="left"/>
      <w:lvlText w:val="(%2)"/>
      <w:numFmt w:val="lowerLetter"/>
      <w:start w:val="1"/>
    </w:lvl>
  </w:abstractNum>
  <w:abstractNum w:abstractNumId="27">
    <w:nsid w:val="8138641"/>
    <w:multiLevelType w:val="hybridMultilevel"/>
    <w:lvl w:ilvl="0">
      <w:lvlJc w:val="left"/>
      <w:lvlText w:val="%1."/>
      <w:numFmt w:val="decimal"/>
      <w:start w:val="5"/>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5"/>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64" Type="http://schemas.openxmlformats.org/officeDocument/2006/relationships/hyperlink" Target="https://www.sec.gov/Archives/edgar/data/1819133/000095017024092274/tngx-ex3_1.htm" TargetMode="External"/><Relationship Id="rId265" Type="http://schemas.openxmlformats.org/officeDocument/2006/relationships/hyperlink" Target="https://www.sec.gov/Archives/edgar/data/1819133/000119312521298942/d211731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2024-11-06T06:52:45Z</dcterms:created>
  <dcterms:modified xsi:type="dcterms:W3CDTF">2024-11-06T06:52:45Z</dcterms:modified>
</cp:coreProperties>
</file>