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00" w:space="720"/>
            <w:col w:w="402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300"/>
        <w:spacing w:after="0" w:line="196"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May 13, 2026, Tango Therapeutics, Inc. (“Tango” or the “Company”) issued a press release relating to its results of operations and financial condition for the quarter ended March 31, 2026.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Resignation of Alexis Borisy</w:t>
      </w:r>
    </w:p>
    <w:p>
      <w:pPr>
        <w:spacing w:after="0" w:line="22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0"/>
          <w:szCs w:val="20"/>
          <w:color w:val="auto"/>
        </w:rPr>
        <w:t>On May 12, 2026, Alexis Borisy resigned from the Company’s Board of Directors (the “Board”), as Lead Independent Director of the Board, and as the Chairperson of the Compensation Committee of the Board (the “Compensation Committee”) and as a member thereof, in each case effective as of May 13, 2026. Mr. Borisy’s resignation was not a result of any disagreement with the Company on any matter relating to the Company’s operations, practices or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Resignation of Kanishka Pothula</w:t>
      </w:r>
    </w:p>
    <w:p>
      <w:pPr>
        <w:spacing w:after="0" w:line="22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Also on May 12, 2026, Kanishka Pothula resigned from the Board and as a member of the Nominating and Corporate Governance Committee of the Board (the “NCG Committee”), in each case effective as of May 13, 2026. Mr. Pothula’s resignation was not a result of any disagreement with the Company on any matter relating to the Company’s operations, practices or policies.</w:t>
      </w:r>
    </w:p>
    <w:p>
      <w:pPr>
        <w:spacing w:after="0" w:line="17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In connection with Mr. Borisy’s and Mr. Pothula’s resignations from the Board, the Board appointed Sung Lee as Lead Independent Director of the Board and the Chairperson of the Compensation Committee and as a member thereof, each effective as of May 13, 2026. The Compensation Committee now consists of Sung Lee, John Ketchum and Mace Rothenberg, M.D. The Board also approved the appointment of Sung Lee as a member of the NCG Committee, effective as of May 13, 2026. The NCG Committee now consists of Mace Rothenberg, Sung Lee and Lesley Ann Calhoun.</w:t>
      </w:r>
    </w:p>
    <w:p>
      <w:pPr>
        <w:spacing w:after="0" w:line="18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6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2"/>
                <w:szCs w:val="22"/>
                <w:color w:val="auto"/>
              </w:rPr>
            </w:pPr>
          </w:p>
        </w:tc>
        <w:tc>
          <w:tcPr>
            <w:tcW w:w="9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May 13, 2026 relating to its results of operations and financial condition</w:t>
            </w:r>
          </w:p>
        </w:tc>
        <w:tc>
          <w:tcPr>
            <w:tcW w:w="180" w:type="dxa"/>
            <w:vAlign w:val="bottom"/>
          </w:tcPr>
          <w:p>
            <w:pPr>
              <w:spacing w:after="0"/>
              <w:rPr>
                <w:sz w:val="22"/>
                <w:szCs w:val="22"/>
                <w:color w:val="auto"/>
              </w:rPr>
            </w:pPr>
          </w:p>
        </w:tc>
      </w:tr>
      <w:tr>
        <w:trPr>
          <w:trHeight w:val="210"/>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8"/>
              </w:rPr>
              <w:t>for the quarter ended March 31, 2026.</w:t>
            </w:r>
          </w:p>
        </w:tc>
        <w:tc>
          <w:tcPr>
            <w:tcW w:w="20" w:type="dxa"/>
            <w:vAlign w:val="bottom"/>
            <w:tcBorders>
              <w:bottom w:val="single" w:sz="8" w:color="0000EE"/>
            </w:tcBorders>
          </w:tcPr>
          <w:p>
            <w:pPr>
              <w:spacing w:after="0"/>
              <w:rPr>
                <w:sz w:val="18"/>
                <w:szCs w:val="18"/>
                <w:color w:val="auto"/>
              </w:rPr>
            </w:pPr>
          </w:p>
        </w:tc>
        <w:tc>
          <w:tcPr>
            <w:tcW w:w="7120" w:type="dxa"/>
            <w:vAlign w:val="bottom"/>
            <w:gridSpan w:val="2"/>
          </w:tcPr>
          <w:p>
            <w:pPr>
              <w:spacing w:after="0"/>
              <w:rPr>
                <w:sz w:val="18"/>
                <w:szCs w:val="18"/>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520" w:type="dxa"/>
            <w:vAlign w:val="bottom"/>
          </w:tcPr>
          <w:p>
            <w:pPr>
              <w:spacing w:after="0"/>
              <w:rPr>
                <w:sz w:val="22"/>
                <w:szCs w:val="22"/>
                <w:color w:val="auto"/>
              </w:rPr>
            </w:pPr>
          </w:p>
        </w:tc>
        <w:tc>
          <w:tcPr>
            <w:tcW w:w="872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TANGO THERAPEUTICS, INC.</w:t>
            </w:r>
          </w:p>
        </w:tc>
      </w:tr>
      <w:tr>
        <w:trPr>
          <w:trHeight w:val="413"/>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Dated: May 13, 2026</w:t>
            </w:r>
          </w:p>
        </w:tc>
        <w:tc>
          <w:tcPr>
            <w:tcW w:w="872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By: /s/ Matthew Gall</w:t>
            </w:r>
          </w:p>
        </w:tc>
      </w:tr>
      <w:tr>
        <w:trPr>
          <w:trHeight w:val="20"/>
        </w:trPr>
        <w:tc>
          <w:tcPr>
            <w:tcW w:w="2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27"/>
        </w:trPr>
        <w:tc>
          <w:tcPr>
            <w:tcW w:w="2520" w:type="dxa"/>
            <w:vAlign w:val="bottom"/>
          </w:tcPr>
          <w:p>
            <w:pPr>
              <w:spacing w:after="0"/>
              <w:rPr>
                <w:sz w:val="19"/>
                <w:szCs w:val="19"/>
                <w:color w:val="auto"/>
              </w:rPr>
            </w:pPr>
          </w:p>
        </w:tc>
        <w:tc>
          <w:tcPr>
            <w:tcW w:w="8720" w:type="dxa"/>
            <w:vAlign w:val="bottom"/>
            <w:gridSpan w:val="3"/>
          </w:tcPr>
          <w:p>
            <w:pPr>
              <w:ind w:left="760"/>
              <w:spacing w:after="0" w:line="228" w:lineRule="exact"/>
              <w:rPr>
                <w:sz w:val="20"/>
                <w:szCs w:val="20"/>
                <w:color w:val="auto"/>
              </w:rPr>
            </w:pPr>
            <w:r>
              <w:rPr>
                <w:rFonts w:ascii="Times New Roman" w:cs="Times New Roman" w:eastAsia="Times New Roman" w:hAnsi="Times New Roman"/>
                <w:sz w:val="20"/>
                <w:szCs w:val="20"/>
                <w:color w:val="auto"/>
              </w:rPr>
              <w:t>Name: Matthew Gall</w:t>
            </w:r>
          </w:p>
        </w:tc>
      </w:tr>
      <w:tr>
        <w:trPr>
          <w:trHeight w:val="258"/>
        </w:trPr>
        <w:tc>
          <w:tcPr>
            <w:tcW w:w="2520" w:type="dxa"/>
            <w:vAlign w:val="bottom"/>
          </w:tcPr>
          <w:p>
            <w:pPr>
              <w:spacing w:after="0"/>
              <w:rPr>
                <w:sz w:val="22"/>
                <w:szCs w:val="22"/>
                <w:color w:val="auto"/>
              </w:rPr>
            </w:pPr>
          </w:p>
        </w:tc>
        <w:tc>
          <w:tcPr>
            <w:tcW w:w="872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973"/>
        </w:trPr>
        <w:tc>
          <w:tcPr>
            <w:tcW w:w="2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2"/>
          <w:szCs w:val="22"/>
          <w:b w:val="1"/>
          <w:bCs w:val="1"/>
          <w:color w:val="auto"/>
        </w:rPr>
        <w:t>Tango Therapeutics Reports First Quarter 2026 Financial Results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Provides Business Highlights</w:t>
      </w:r>
    </w:p>
    <w:p>
      <w:pPr>
        <w:spacing w:after="0" w:line="200" w:lineRule="exact"/>
        <w:rPr>
          <w:sz w:val="20"/>
          <w:szCs w:val="20"/>
          <w:color w:val="auto"/>
        </w:rPr>
      </w:pPr>
    </w:p>
    <w:p>
      <w:pPr>
        <w:spacing w:after="0" w:line="256" w:lineRule="exact"/>
        <w:rPr>
          <w:sz w:val="20"/>
          <w:szCs w:val="20"/>
          <w:color w:val="auto"/>
        </w:rPr>
      </w:pPr>
    </w:p>
    <w:p>
      <w:pPr>
        <w:ind w:left="1720"/>
        <w:spacing w:after="0"/>
        <w:rPr>
          <w:sz w:val="20"/>
          <w:szCs w:val="20"/>
          <w:color w:val="auto"/>
        </w:rPr>
      </w:pPr>
      <w:r>
        <w:rPr>
          <w:rFonts w:ascii="Arial" w:cs="Arial" w:eastAsia="Arial" w:hAnsi="Arial"/>
          <w:sz w:val="22"/>
          <w:szCs w:val="22"/>
          <w:i w:val="1"/>
          <w:iCs w:val="1"/>
          <w:color w:val="auto"/>
        </w:rPr>
        <w:t>First clinical data from PRMT5/RAS(ON) combination trial to be presented in 2026</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Cash position of $380 million as of March 31, 2026, with runway into 2028 beyond anticipated key data inflection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points</w:t>
      </w:r>
    </w:p>
    <w:p>
      <w:pPr>
        <w:spacing w:after="0" w:line="200" w:lineRule="exact"/>
        <w:rPr>
          <w:sz w:val="20"/>
          <w:szCs w:val="20"/>
          <w:color w:val="auto"/>
        </w:rPr>
      </w:pPr>
    </w:p>
    <w:p>
      <w:pPr>
        <w:spacing w:after="0" w:line="256" w:lineRule="exact"/>
        <w:rPr>
          <w:sz w:val="20"/>
          <w:szCs w:val="20"/>
          <w:color w:val="auto"/>
        </w:rPr>
      </w:pPr>
    </w:p>
    <w:p>
      <w:pPr>
        <w:ind w:right="220"/>
        <w:spacing w:after="0" w:line="262" w:lineRule="auto"/>
        <w:rPr>
          <w:sz w:val="20"/>
          <w:szCs w:val="20"/>
          <w:color w:val="auto"/>
        </w:rPr>
      </w:pPr>
      <w:r>
        <w:rPr>
          <w:rFonts w:ascii="Arial" w:cs="Arial" w:eastAsia="Arial" w:hAnsi="Arial"/>
          <w:sz w:val="21"/>
          <w:szCs w:val="21"/>
          <w:color w:val="auto"/>
        </w:rPr>
        <w:t>BOSTON, May 13, 2026 (GLOBE NEWSWIRE) -- Tango Therapeutics, Inc. (NASDAQ: TNGX), a clinical-stage biotechnology company committed to discovering and delivering the next generation of precision cancer medicines, today reported financial results for the first quarter ended March 31, 2026, and provided business highlights.</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“We continue to work diligently to advance vopimetostat towards pivotal development in pancreatic cancer and remain highly encouraged by the potential of the ongoing study of vopimetostat in combination with RAS(ON) inhibitors,” said Malte Peters, M.D., Chief Executive Officer. “With a recently strengthened leadership team intended to support the late-stage advancement of vopimetostat, we are focused on the clinical and regulatory work required to initiate a pivotal study in MTAP-deleted pancreatic cancer. We remain committed to evaluating the potential of our broader pipeline, with key inflection points remaining this year, including monotherapy vopimetostat data in lung cancer and initial TNG456 data in glioblastoma.”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Clinical Pipeline Updates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Vopimetostat – MTAP Selective Once-Daily PRMT5 Inhibitor</w:t>
      </w:r>
    </w:p>
    <w:p>
      <w:pPr>
        <w:spacing w:after="0" w:line="125" w:lineRule="exact"/>
        <w:rPr>
          <w:sz w:val="20"/>
          <w:szCs w:val="20"/>
          <w:color w:val="auto"/>
        </w:rPr>
      </w:pPr>
    </w:p>
    <w:p>
      <w:pPr>
        <w:ind w:left="1020" w:right="220" w:hanging="503"/>
        <w:spacing w:after="0" w:line="238"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Phase 1/2 RAS(ON) Inhibitors Combination Study. </w:t>
      </w:r>
      <w:r>
        <w:rPr>
          <w:rFonts w:ascii="Arial" w:cs="Arial" w:eastAsia="Arial" w:hAnsi="Arial"/>
          <w:sz w:val="22"/>
          <w:szCs w:val="22"/>
          <w:color w:val="auto"/>
        </w:rPr>
        <w:t>Robust enrollment in the vopimetostat + RAS(ON)</w:t>
      </w:r>
      <w:r>
        <w:rPr>
          <w:rFonts w:ascii="Arial" w:cs="Arial" w:eastAsia="Arial" w:hAnsi="Arial"/>
          <w:sz w:val="22"/>
          <w:szCs w:val="22"/>
          <w:b w:val="1"/>
          <w:bCs w:val="1"/>
          <w:color w:val="auto"/>
        </w:rPr>
        <w:t xml:space="preserve"> </w:t>
      </w:r>
      <w:r>
        <w:rPr>
          <w:rFonts w:ascii="Arial" w:cs="Arial" w:eastAsia="Arial" w:hAnsi="Arial"/>
          <w:sz w:val="22"/>
          <w:szCs w:val="22"/>
          <w:color w:val="auto"/>
        </w:rPr>
        <w:t>inhibitors combination study in patients with 2L+ MTAP-del, RAS-mut pancreatic and lung cancer is ongoing. Vopimetostat combinations with either daraxonrasib or zoldonrasib have been generally well-tolerated to date with encouraging early efficacy data. Initial phase 1/2 data are anticipated in 2026 and may inform a path to a pivotal trial in 1L pancreatic cancer.</w:t>
      </w:r>
    </w:p>
    <w:p>
      <w:pPr>
        <w:spacing w:after="0" w:line="108" w:lineRule="exact"/>
        <w:rPr>
          <w:rFonts w:ascii="Times New Roman" w:cs="Times New Roman" w:eastAsia="Times New Roman" w:hAnsi="Times New Roman"/>
          <w:sz w:val="22"/>
          <w:szCs w:val="22"/>
          <w:color w:val="auto"/>
        </w:rPr>
      </w:pPr>
    </w:p>
    <w:p>
      <w:pPr>
        <w:ind w:left="1020" w:right="180" w:hanging="503"/>
        <w:spacing w:after="0" w:line="26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Registrational path. </w:t>
      </w:r>
      <w:r>
        <w:rPr>
          <w:rFonts w:ascii="Arial" w:cs="Arial" w:eastAsia="Arial" w:hAnsi="Arial"/>
          <w:sz w:val="22"/>
          <w:szCs w:val="22"/>
          <w:color w:val="auto"/>
        </w:rPr>
        <w:t>The Company is currently reviewing the registrational strategy for vopimetostat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intends to provide details when combination data are shared in 2026.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98" w:lineRule="exact"/>
        <w:rPr>
          <w:sz w:val="20"/>
          <w:szCs w:val="20"/>
          <w:color w:val="auto"/>
        </w:rPr>
      </w:pPr>
    </w:p>
    <w:p>
      <w:pPr>
        <w:ind w:left="1020" w:right="120" w:hanging="503"/>
        <w:spacing w:after="0" w:line="245"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Board of Directors. </w:t>
      </w:r>
      <w:r>
        <w:rPr>
          <w:rFonts w:ascii="Arial" w:cs="Arial" w:eastAsia="Arial" w:hAnsi="Arial"/>
          <w:sz w:val="22"/>
          <w:szCs w:val="22"/>
          <w:color w:val="auto"/>
        </w:rPr>
        <w:t>As the company is moving forward rapidly into late stage clinical development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possible combination strategies, Alexis Borisy and Kanishka Pothula have resigned from Tango’s board of directors, effective today. The Company extends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left="1020"/>
        <w:spacing w:after="0"/>
        <w:rPr>
          <w:sz w:val="20"/>
          <w:szCs w:val="20"/>
          <w:color w:val="auto"/>
        </w:rPr>
      </w:pPr>
      <w:r>
        <w:rPr>
          <w:rFonts w:ascii="Arial" w:cs="Arial" w:eastAsia="Arial" w:hAnsi="Arial"/>
          <w:sz w:val="21"/>
          <w:szCs w:val="21"/>
          <w:color w:val="auto"/>
        </w:rPr>
        <w:t>gratitude to Alexis and Kanishka for their service and their important contributions to the success of Tango.</w:t>
      </w:r>
    </w:p>
    <w:p>
      <w:pPr>
        <w:spacing w:after="0" w:line="148" w:lineRule="exact"/>
        <w:rPr>
          <w:sz w:val="20"/>
          <w:szCs w:val="20"/>
          <w:color w:val="auto"/>
        </w:rPr>
      </w:pPr>
    </w:p>
    <w:p>
      <w:pPr>
        <w:ind w:left="1020" w:right="20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Key Leadership Appointments</w:t>
      </w:r>
      <w:r>
        <w:rPr>
          <w:rFonts w:ascii="Arial" w:cs="Arial" w:eastAsia="Arial" w:hAnsi="Arial"/>
          <w:sz w:val="22"/>
          <w:szCs w:val="22"/>
          <w:color w:val="auto"/>
        </w:rPr>
        <w:t>. On April 15, the Company announced the addition of three seasoned</w:t>
      </w:r>
      <w:r>
        <w:rPr>
          <w:rFonts w:ascii="Arial" w:cs="Arial" w:eastAsia="Arial" w:hAnsi="Arial"/>
          <w:sz w:val="22"/>
          <w:szCs w:val="22"/>
          <w:b w:val="1"/>
          <w:bCs w:val="1"/>
          <w:color w:val="auto"/>
        </w:rPr>
        <w:t xml:space="preserve"> </w:t>
      </w:r>
      <w:r>
        <w:rPr>
          <w:rFonts w:ascii="Arial" w:cs="Arial" w:eastAsia="Arial" w:hAnsi="Arial"/>
          <w:sz w:val="22"/>
          <w:szCs w:val="22"/>
          <w:color w:val="auto"/>
        </w:rPr>
        <w:t>industry executives to support the rapid advancement of vopimetostat. Matthew Gall has been appointed Chief Financial Officer, Yen-Ching Chua as Chief Development Operations Officer, and Janice Kapty, Ph.D. as SVP, Corporate Strategy and Project Leadership.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Expected Milestones</w:t>
      </w:r>
    </w:p>
    <w:p>
      <w:pPr>
        <w:spacing w:after="0" w:line="127" w:lineRule="exact"/>
        <w:rPr>
          <w:sz w:val="20"/>
          <w:szCs w:val="20"/>
          <w:color w:val="auto"/>
        </w:rPr>
      </w:pPr>
    </w:p>
    <w:p>
      <w:pPr>
        <w:ind w:left="1020" w:right="500" w:hanging="503"/>
        <w:spacing w:after="0" w:line="258"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Initial phase 1/2 safety and efficacy data from combination trial with vopimetostat + daraxonrasib, and vopimetostat + zoldonrasib (Revolution Medicines) in 2026</w:t>
      </w:r>
    </w:p>
    <w:p>
      <w:pPr>
        <w:spacing w:after="0" w:line="4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Vopimetostat monotherapy phase 1/2 clinical data lung cancer update in 2026</w:t>
      </w:r>
    </w:p>
    <w:p>
      <w:pPr>
        <w:spacing w:after="0" w:line="9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TNG456 monotherapy phase 1/2 trial initial safety and efficacy data in 2026</w:t>
      </w:r>
    </w:p>
    <w:p>
      <w:pPr>
        <w:spacing w:after="0" w:line="9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Initiate phase 1/2 vopimetostat + ERAS-0015 (Erasca) combination study 2H 2026</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color w:val="auto"/>
        </w:rPr>
        <w:t>As of March 31, 2026, the Company held $379.8 million in cash, cash equivalents and marketable securities, which the Company expects to fund operations into 2028.</w:t>
      </w:r>
    </w:p>
    <w:p>
      <w:pPr>
        <w:spacing w:after="0" w:line="18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Collaboration revenue was $0 for the three months ended March 31, 2026, compared to $5.4 million for the same period in 2025. All remaining deferred revenue from the upfront and research option-extension payments under the Gilead collaboration was recognized as collaboration revenue during the year ended December 31, 2025 as a result of the truncation of the collaboration agreement which concluded all research activities.</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Research and development expenses were $33.5 million for the three months ended March 31, 2026, compared to $36.4 million for the same period in 2025. The change was primarily due to decreased spend resulting from the discontinuation of the TNG908 clinical program, decreased development costs for TNG961, and lower discovery program, personnel-related and facilities-related costs. This decrease was partially offset by increased spend related to the advancement of the vopimetostat and TNG456 clinical programs.</w:t>
      </w:r>
    </w:p>
    <w:p>
      <w:pPr>
        <w:spacing w:after="0" w:line="204" w:lineRule="exact"/>
        <w:rPr>
          <w:sz w:val="20"/>
          <w:szCs w:val="20"/>
          <w:color w:val="auto"/>
        </w:rPr>
      </w:pPr>
    </w:p>
    <w:p>
      <w:pPr>
        <w:jc w:val="both"/>
        <w:ind w:right="260"/>
        <w:spacing w:after="0" w:line="245" w:lineRule="auto"/>
        <w:rPr>
          <w:sz w:val="20"/>
          <w:szCs w:val="20"/>
          <w:color w:val="auto"/>
        </w:rPr>
      </w:pPr>
      <w:r>
        <w:rPr>
          <w:rFonts w:ascii="Arial" w:cs="Arial" w:eastAsia="Arial" w:hAnsi="Arial"/>
          <w:sz w:val="22"/>
          <w:szCs w:val="22"/>
          <w:color w:val="auto"/>
        </w:rPr>
        <w:t>General and administrative expenses were $15.2 million for the three months ended March 31, 2026, compared to $11.5 million for the same period in 2025. The increase was primarily due to increased spend on personnel-related costs, including share-based compensation expense.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Net loss for the three months ended March 31, 2026 was $45.5 million, or $0.32 per share, compared to a net loss of $39.9 million, or $0.36 per share, in the same period in 2025.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5" w:name="page6"/>
    <w:bookmarkEnd w:id="5"/>
    <w:p>
      <w:pPr>
        <w:ind w:right="140"/>
        <w:spacing w:after="0"/>
        <w:rPr>
          <w:sz w:val="20"/>
          <w:szCs w:val="20"/>
          <w:color w:val="auto"/>
        </w:rPr>
      </w:pPr>
      <w:r>
        <w:rPr>
          <w:rFonts w:ascii="Arial" w:cs="Arial" w:eastAsia="Arial" w:hAnsi="Arial"/>
          <w:sz w:val="22"/>
          <w:szCs w:val="22"/>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Certain statements in this press release may be considered forward-looking statements. All statements other than statements of historical fact are statements that could be deemed forward-looking statements, including all statements regarding the intent, belief, or current expectation of Tango and members of the Tango senior management team. Forward-looking statements are not purely historical and may be accompanied by words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 statements in this press release and statements regarding: (i) the potential of the Company’s PRMT5 molecules, as both standalone treatments and in combination with RAS(ON)-inhibitors; (ii) our plans to provide details for the registrational strategy for vopimetostat in 2026 and our belief that clinical data from our ongoing phase 1/2 clinical trial of vopimetostat with RAS(ON) inhibitors may inform a path to a pivotal trial in 1L pancreatic cancer; (iii) the anticipated impact of recent management changes; (iv) our expectations around regulatory communications and decisions; (v) our beliefs regarding the timing of upcoming clinical milestones and data disclosures, including our plans to (a) disclose initial phase 1/2 safety and efficacy data from the vopimetostat combination trial in 2026, (b) disclose clinical data in lung cancer from vopimetostat monotherapy in 2026, (c) disclose initial phase 1/2 safety and efficacy data from the TNG456 clinical trial in 2026; and (d) initiate a Phase 1/2 combination clinical trial of vopimetostat and ERAS-0015 (Erasca) in the second half of 2026; and (vi) expectations regarding the anticipated benefits of our molecules.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2"/>
          <w:szCs w:val="22"/>
          <w:color w:val="auto"/>
        </w:rPr>
        <w:t>proof-of-mechanism and proof-of-concept) in the anticipated timeframe (or at all); future clinical trial data releases may differ materially from initial or interim data from our current and future clinical trials; Tango’s pipeline products may not be safe and/or effective in humans;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the Company’s product candidates may cause adverse or other undesirable side effects (or may not show requisite efficacy) that could, among other things, delay or prevent regulatory approval; our dependence on one or a limited number of third parties for conducting clinical trials and supplying and producing drug substance and drug product (including drug substance, which is currently sole sourced); government regulation may negatively impact the Company’s business;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Additional information concerning risks, uncertainties and assumptions can be found in Tango’s filings with the Securities and Exchange Commission (SEC), including the risk factors referenced in Tango’s Annual Report on Form 10-K for the fiscal year ended December 31, 2025.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Elizabeth Hickin</w:t>
      </w:r>
    </w:p>
    <w:p>
      <w:pPr>
        <w:spacing w:after="0"/>
        <w:rPr>
          <w:sz w:val="20"/>
          <w:szCs w:val="20"/>
          <w:color w:val="auto"/>
        </w:rPr>
      </w:pPr>
      <w:r>
        <w:rPr>
          <w:rFonts w:ascii="Arial" w:cs="Arial" w:eastAsia="Arial" w:hAnsi="Arial"/>
          <w:sz w:val="22"/>
          <w:szCs w:val="22"/>
          <w:color w:val="0000FF"/>
        </w:rPr>
        <w:t>ehickin@tangotx.com</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1AB</w:t>
      </w:r>
    </w:p>
    <w:p>
      <w:pPr>
        <w:spacing w:after="0" w:line="230" w:lineRule="auto"/>
        <w:rPr>
          <w:sz w:val="20"/>
          <w:szCs w:val="20"/>
          <w:color w:val="auto"/>
        </w:rPr>
      </w:pPr>
      <w:r>
        <w:rPr>
          <w:rFonts w:ascii="Arial" w:cs="Arial" w:eastAsia="Arial" w:hAnsi="Arial"/>
          <w:sz w:val="22"/>
          <w:szCs w:val="22"/>
          <w:color w:val="auto"/>
        </w:rPr>
        <w:t>Amanda Lazaro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amanda@1abmedia.com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8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48,769</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(48,769)</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(42,530)</w:t>
            </w:r>
          </w:p>
        </w:tc>
        <w:tc>
          <w:tcPr>
            <w:tcW w:w="0" w:type="dxa"/>
            <w:vAlign w:val="bottom"/>
          </w:tcPr>
          <w:p>
            <w:pPr>
              <w:spacing w:after="0"/>
              <w:rPr>
                <w:sz w:val="1"/>
                <w:szCs w:val="1"/>
                <w:color w:val="auto"/>
              </w:rPr>
            </w:pPr>
          </w:p>
        </w:tc>
      </w:tr>
      <w:tr>
        <w:trPr>
          <w:trHeight w:val="209"/>
        </w:trPr>
        <w:tc>
          <w:tcPr>
            <w:tcW w:w="73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(45,513)</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(39,842)</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(45,514)</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(39,876)</w:t>
            </w: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143,576,292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110,301,256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65"/>
        </w:trPr>
        <w:tc>
          <w:tcPr>
            <w:tcW w:w="7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-2228215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-1936750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-1362075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10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222,011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392,327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80" w:type="dxa"/>
            <w:vAlign w:val="bottom"/>
            <w:shd w:val="clear" w:color="auto" w:fill="CFF0FC"/>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435,792</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80" w:type="dxa"/>
            <w:vAlign w:val="bottom"/>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29,956</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391,506</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80" w:type="dxa"/>
            <w:vAlign w:val="bottom"/>
            <w:shd w:val="clear" w:color="auto" w:fill="CFF0FC"/>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435,792</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03"/>
        </w:trPr>
        <w:tc>
          <w:tcPr>
            <w:tcW w:w="7100" w:type="dxa"/>
            <w:vAlign w:val="bottom"/>
            <w:tcBorders>
              <w:top w:val="single" w:sz="8" w:color="CFF0FC"/>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-2922270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-2134235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-814070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-796290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2026-05-13T15:28:55Z</dcterms:created>
  <dcterms:modified xsi:type="dcterms:W3CDTF">2026-05-13T15:28:55Z</dcterms:modified>
</cp:coreProperties>
</file>