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27,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85-1195036</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02215</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Tango Therapeutics, Inc. 2021 Stock Option and Incentive Plan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Tango Therapeutics, Inc. 2021 Employee Stock Purchase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Barbara Weber, M.D.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 Brookline Ave., Suite 901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02215</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(857) 320-4900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tbl>
      <w:tblPr>
        <w:tblLayout w:type="fixed"/>
        <w:tblInd w:w="188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51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5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Mitchell S. Bloom, Esq.</w:t>
            </w:r>
          </w:p>
        </w:tc>
        <w:tc>
          <w:tcPr>
            <w:tcW w:w="518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Douglas Barry, Esq.</w:t>
            </w:r>
          </w:p>
        </w:tc>
      </w:tr>
      <w:tr>
        <w:trPr>
          <w:trHeight w:val="216"/>
        </w:trPr>
        <w:tc>
          <w:tcPr>
            <w:tcW w:w="252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Marishka DeToy, Esq.</w:t>
            </w:r>
          </w:p>
        </w:tc>
        <w:tc>
          <w:tcPr>
            <w:tcW w:w="51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Chief Legal Officer</w:t>
            </w:r>
          </w:p>
        </w:tc>
      </w:tr>
      <w:tr>
        <w:trPr>
          <w:trHeight w:val="216"/>
        </w:trPr>
        <w:tc>
          <w:tcPr>
            <w:tcW w:w="25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51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Tango Therapeutics, Inc.</w:t>
            </w:r>
          </w:p>
        </w:tc>
      </w:tr>
      <w:tr>
        <w:trPr>
          <w:trHeight w:val="216"/>
        </w:trPr>
        <w:tc>
          <w:tcPr>
            <w:tcW w:w="25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51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201 Brookline Avenue, Suite 901</w:t>
            </w:r>
          </w:p>
        </w:tc>
      </w:tr>
      <w:tr>
        <w:trPr>
          <w:trHeight w:val="216"/>
        </w:trPr>
        <w:tc>
          <w:tcPr>
            <w:tcW w:w="252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51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8"/>
              </w:rPr>
              <w:t>Boston, MA 02215</w:t>
            </w:r>
          </w:p>
        </w:tc>
      </w:tr>
      <w:tr>
        <w:trPr>
          <w:trHeight w:val="238"/>
        </w:trPr>
        <w:tc>
          <w:tcPr>
            <w:tcW w:w="25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51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(857) 320-4900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154305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6"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 AND STATEMENT OF INCORPORATION BY REFERENCE</w:t>
      </w:r>
    </w:p>
    <w:p>
      <w:pPr>
        <w:spacing w:after="0" w:line="229" w:lineRule="exact"/>
        <w:rPr>
          <w:sz w:val="20"/>
          <w:szCs w:val="20"/>
          <w:color w:val="auto"/>
        </w:rPr>
      </w:pPr>
    </w:p>
    <w:p>
      <w:pPr>
        <w:ind w:firstLine="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on Form S-8 (the “Registration Statement”) is being filed for the purpose of (i) registering the offer and sale of an additional 5,386,467 shares of the Registrant’s common stock, par value $0.001 per share (the “Common Stock”), to be issued under the Registrant’s 2021 Stock Option and Incentive Plan and (ii) registering the offer and sale of an additional 949,873 shares of the Registrant’s Common Stock, to be issued under the Registrant’s 2021 Employee Stock Purchase Plan. This Registration Statement incorporates by reference the contents of the registration statements on Form S-8, filed by the Registrant on </w:t>
      </w:r>
      <w:hyperlink r:id="rId18">
        <w:r>
          <w:rPr>
            <w:rFonts w:ascii="Times New Roman" w:cs="Times New Roman" w:eastAsia="Times New Roman" w:hAnsi="Times New Roman"/>
            <w:sz w:val="18"/>
            <w:szCs w:val="18"/>
            <w:u w:val="single" w:color="auto"/>
            <w:color w:val="0000EE"/>
          </w:rPr>
          <w:t>October 14,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333-260258), </w:t>
      </w:r>
      <w:hyperlink r:id="rId19">
        <w:r>
          <w:rPr>
            <w:rFonts w:ascii="Times New Roman" w:cs="Times New Roman" w:eastAsia="Times New Roman" w:hAnsi="Times New Roman"/>
            <w:sz w:val="18"/>
            <w:szCs w:val="18"/>
            <w:u w:val="single" w:color="auto"/>
            <w:color w:val="0000EE"/>
          </w:rPr>
          <w:t>March 28,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333-263893), </w:t>
      </w:r>
      <w:hyperlink r:id="rId20">
        <w:r>
          <w:rPr>
            <w:rFonts w:ascii="Times New Roman" w:cs="Times New Roman" w:eastAsia="Times New Roman" w:hAnsi="Times New Roman"/>
            <w:sz w:val="18"/>
            <w:szCs w:val="18"/>
            <w:u w:val="single" w:color="auto"/>
            <w:color w:val="0000EE"/>
          </w:rPr>
          <w:t>February 7, 2023</w:t>
        </w:r>
      </w:hyperlink>
      <w:r>
        <w:rPr>
          <w:rFonts w:ascii="Times New Roman" w:cs="Times New Roman" w:eastAsia="Times New Roman" w:hAnsi="Times New Roman"/>
          <w:sz w:val="18"/>
          <w:szCs w:val="18"/>
          <w:color w:val="auto"/>
        </w:rPr>
        <w:t xml:space="preserve"> (File No. 333-269620) and </w:t>
      </w:r>
      <w:hyperlink r:id="rId21">
        <w:r>
          <w:rPr>
            <w:rFonts w:ascii="Times New Roman" w:cs="Times New Roman" w:eastAsia="Times New Roman" w:hAnsi="Times New Roman"/>
            <w:sz w:val="18"/>
            <w:szCs w:val="18"/>
            <w:u w:val="single" w:color="auto"/>
            <w:color w:val="0000EE"/>
          </w:rPr>
          <w:t>March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333-278016), relating to the Registrant’s 2021 Stock Option and Incentive Plan and 2021 Employee Stock Purchase Plan pursuant to General Instruction E.</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Exhibit Index for a list of exhibits filed as part of this Registration Statement, which Exhibit Index is incorporated herein by reference.</w:t>
      </w:r>
    </w:p>
    <w:p>
      <w:pPr>
        <w:sectPr>
          <w:pgSz w:w="11900" w:h="16838" w:orient="portrait"/>
          <w:cols w:equalWidth="0" w:num="1">
            <w:col w:w="10960"/>
          </w:cols>
          <w:pgMar w:left="440" w:top="266" w:right="49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60" w:type="dxa"/>
            <w:vAlign w:val="bottom"/>
            <w:gridSpan w:val="10"/>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99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Second Amended and Restated Certificate of Incorporation of Tango Therapeutics, Inc., as amended (incorporated by reference to Exhibit</w:t>
              </w:r>
            </w:hyperlink>
          </w:p>
        </w:tc>
        <w:tc>
          <w:tcPr>
            <w:tcW w:w="20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Quarterly Report on Form 10-Q filed by the Registrant on August 7, 2024).</w:t>
              </w:r>
            </w:hyperlink>
          </w:p>
        </w:tc>
        <w:tc>
          <w:tcPr>
            <w:tcW w:w="40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40" w:type="dxa"/>
            <w:vAlign w:val="bottom"/>
            <w:gridSpan w:val="19"/>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Amended and Restated Bylaws of the Registrant (incorporated by reference to Exhibit 4.2 to the Registrant’s registration statement on Form</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S-8 filed with the Commission on October 14, 2021).</w:t>
              </w:r>
            </w:hyperlink>
          </w:p>
        </w:tc>
        <w:tc>
          <w:tcPr>
            <w:tcW w:w="6240" w:type="dxa"/>
            <w:vAlign w:val="bottom"/>
            <w:tcBorders>
              <w:top w:val="single" w:sz="8" w:color="0000EE"/>
            </w:tcBorders>
            <w:gridSpan w:val="11"/>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0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Specimen common stock certificate (incorporated by reference to Exhibit 4.5 to the Registrant’s registration statement on Form S-4/A, filed</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with the Commission on July 16,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Description of Securities (incorporated by reference to Exhibit 4.2 to the Registrant’s Annual Report on Form 10-K for the year ended</w:t>
              </w:r>
            </w:hyperlink>
          </w:p>
        </w:tc>
        <w:tc>
          <w:tcPr>
            <w:tcW w:w="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December 31, 2021, filed with the Commission on March 28, 2022).</w:t>
              </w:r>
            </w:hyperlink>
          </w:p>
        </w:tc>
        <w:tc>
          <w:tcPr>
            <w:tcW w:w="5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42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c>
          <w:tcPr>
            <w:tcW w:w="58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140" w:type="dxa"/>
            <w:vAlign w:val="bottom"/>
            <w:gridSpan w:val="19"/>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Tango Therapeutics, Inc. 2021 Stock Option and Incentive Plan (incorporated by reference to Exhibit 10.4 to the Registrant’s Current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on Form 8-K filed with the SEC on August 13, 2021).</w:t>
              </w:r>
            </w:hyperlink>
          </w:p>
        </w:tc>
        <w:tc>
          <w:tcPr>
            <w:tcW w:w="622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10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Forms of Award Agreements under the Tango Therapeutics, Inc. 2021 Stock Option and Incentive Plan (incorporated by reference to Exhibit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Registrant’s Current Report on Form 8-K filed with the SEC on August 13,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420" w:type="dxa"/>
            <w:vAlign w:val="bottom"/>
          </w:tcPr>
          <w:p>
            <w:pPr>
              <w:spacing w:after="0"/>
              <w:rPr>
                <w:sz w:val="24"/>
                <w:szCs w:val="24"/>
                <w:color w:val="auto"/>
              </w:rPr>
            </w:pPr>
          </w:p>
        </w:tc>
        <w:tc>
          <w:tcPr>
            <w:tcW w:w="10140" w:type="dxa"/>
            <w:vAlign w:val="bottom"/>
            <w:gridSpan w:val="19"/>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Tango Therapeutics, Inc. 2021 Employee Stock Purchase Plan (incorporated by reference to Exhibit 10.6 to the Registrant’s Current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on Form 8-K filed with the SEC on August 13, 2021).</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2700" w:type="dxa"/>
            <w:vAlign w:val="bottom"/>
            <w:tcBorders>
              <w:top w:val="single" w:sz="8" w:color="0000EE"/>
            </w:tcBorders>
            <w:gridSpan w:val="6"/>
          </w:tcPr>
          <w:p>
            <w:pPr>
              <w:spacing w:after="0"/>
              <w:rPr>
                <w:sz w:val="24"/>
                <w:szCs w:val="24"/>
                <w:color w:val="auto"/>
              </w:rPr>
            </w:pPr>
          </w:p>
        </w:tc>
        <w:tc>
          <w:tcPr>
            <w:tcW w:w="62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the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Weber</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Barbara Weber, M.D.</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Barbara Weber and Daniella Beckman,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4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Weber</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Barbara Weber, M.D.</w:t>
            </w:r>
          </w:p>
        </w:tc>
        <w:tc>
          <w:tcPr>
            <w:tcW w:w="1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Daniella Beckman</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05"/>
        </w:trPr>
        <w:tc>
          <w:tcPr>
            <w:tcW w:w="4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Daniella Beckman</w:t>
            </w:r>
          </w:p>
        </w:tc>
        <w:tc>
          <w:tcPr>
            <w:tcW w:w="120" w:type="dxa"/>
            <w:vAlign w:val="bottom"/>
          </w:tcPr>
          <w:p>
            <w:pPr>
              <w:spacing w:after="0"/>
              <w:rPr>
                <w:sz w:val="17"/>
                <w:szCs w:val="17"/>
                <w:color w:val="auto"/>
              </w:rPr>
            </w:pPr>
          </w:p>
        </w:tc>
        <w:tc>
          <w:tcPr>
            <w:tcW w:w="45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176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1760" w:type="dxa"/>
            <w:vAlign w:val="bottom"/>
          </w:tcPr>
          <w:p>
            <w:pPr>
              <w:spacing w:after="0"/>
              <w:rPr>
                <w:sz w:val="20"/>
                <w:szCs w:val="20"/>
                <w:color w:val="auto"/>
              </w:rPr>
            </w:pPr>
          </w:p>
        </w:tc>
      </w:tr>
      <w:tr>
        <w:trPr>
          <w:trHeight w:val="432"/>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Alexis Borisy</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Lesley Calhoun</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Lesley Calhoun</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Ketchum</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John Ketchum</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Kanishka Pothula</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Kanishka Pothula</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Malte Peters</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Malte Peters, M.D.</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Mace Rothenberg</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Mace Rothenberg, M.D.</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7"/>
          <w:szCs w:val="17"/>
          <w:color w:val="auto"/>
        </w:rPr>
        <w:t>100 Northern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71450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1"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234" w:lineRule="exact"/>
        <w:rPr>
          <w:sz w:val="20"/>
          <w:szCs w:val="20"/>
          <w:color w:val="auto"/>
        </w:rPr>
      </w:pPr>
    </w:p>
    <w:p>
      <w:pPr>
        <w:ind w:left="9480"/>
        <w:spacing w:after="0"/>
        <w:tabs>
          <w:tab w:leader="none" w:pos="10860" w:val="left"/>
        </w:tabs>
        <w:rPr>
          <w:sz w:val="20"/>
          <w:szCs w:val="20"/>
          <w:color w:val="auto"/>
        </w:rPr>
      </w:pPr>
      <w:r>
        <w:rPr>
          <w:rFonts w:ascii="Times New Roman" w:cs="Times New Roman" w:eastAsia="Times New Roman" w:hAnsi="Times New Roman"/>
          <w:sz w:val="18"/>
          <w:szCs w:val="18"/>
          <w:color w:val="auto"/>
        </w:rPr>
        <w:t>goodwinlaw.com </w:t>
        <w:tab/>
        <w:t xml:space="preserve">   </w:t>
      </w:r>
    </w:p>
    <w:p>
      <w:pPr>
        <w:spacing w:after="0" w:line="27" w:lineRule="exact"/>
        <w:rPr>
          <w:sz w:val="20"/>
          <w:szCs w:val="20"/>
          <w:color w:val="auto"/>
        </w:rPr>
      </w:pPr>
    </w:p>
    <w:p>
      <w:pPr>
        <w:ind w:left="9420"/>
        <w:spacing w:after="0"/>
        <w:tabs>
          <w:tab w:leader="none" w:pos="10820" w:val="left"/>
        </w:tabs>
        <w:rPr>
          <w:sz w:val="20"/>
          <w:szCs w:val="20"/>
          <w:color w:val="auto"/>
        </w:rPr>
      </w:pPr>
      <w:r>
        <w:rPr>
          <w:rFonts w:ascii="Times New Roman" w:cs="Times New Roman" w:eastAsia="Times New Roman" w:hAnsi="Times New Roman"/>
          <w:sz w:val="18"/>
          <w:szCs w:val="18"/>
          <w:color w:val="auto"/>
        </w:rPr>
        <w:t>+1 617 570 1000 </w:t>
        <w:tab/>
        <w:t xml:space="preserve">   </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Brookline Ave., Suite 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02215</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117" w:lineRule="exact"/>
        <w:rPr>
          <w:sz w:val="20"/>
          <w:szCs w:val="20"/>
          <w:color w:val="auto"/>
        </w:rPr>
      </w:pPr>
    </w:p>
    <w:p>
      <w:pPr>
        <w:jc w:val="both"/>
        <w:ind w:right="320"/>
        <w:spacing w:after="0" w:line="281" w:lineRule="auto"/>
        <w:rPr>
          <w:sz w:val="20"/>
          <w:szCs w:val="20"/>
          <w:color w:val="auto"/>
        </w:rPr>
      </w:pPr>
      <w:r>
        <w:rPr>
          <w:rFonts w:ascii="Times New Roman" w:cs="Times New Roman" w:eastAsia="Times New Roman" w:hAnsi="Times New Roman"/>
          <w:sz w:val="17"/>
          <w:szCs w:val="17"/>
          <w:color w:val="auto"/>
        </w:rPr>
        <w:t>We have acted as your counsel in connection with your filing of a Registration Statement on Form S-8 (the “Registration Statement”) pursuant to the Securities Act of 1933, as amended (the “Securities Act”), on or about the date hereof relating to an aggregate of 6,336,340 shares (the “Shares”) of Common Stock, par value $0.001 per share (“Common Stock”), of Tango Therapeutics, Inc., a Delaware corporation (the “Company”), that may be issued pursuant to the Company’s 2021 Stock Option and Incentive Plan and 2021 Employee Stock Purchase Plan (collectively, the “Plans”).</w:t>
      </w:r>
    </w:p>
    <w:p>
      <w:pPr>
        <w:spacing w:after="0" w:line="16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against payment therefor in accordance with the terms of the Plans,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Tango Therapeutics, Inc. of our report dated February 27, 2025, relating to the financial statements and the effectiveness of internal control over financial reporting, which appears in Tango Therapeutics, Inc.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614" w:type="dxa"/>
        <w:tblCellMar>
          <w:top w:w="0" w:type="dxa"/>
          <w:left w:w="0" w:type="dxa"/>
          <w:bottom w:w="0" w:type="dxa"/>
          <w:right w:w="0" w:type="dxa"/>
        </w:tblCellMar>
      </w:tblPr>
      <w:tr>
        <w:trPr>
          <w:trHeight w:val="144"/>
        </w:trPr>
        <w:tc>
          <w:tcPr>
            <w:tcW w:w="28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2540" w:type="dxa"/>
            <w:vAlign w:val="bottom"/>
            <w:tcBorders>
              <w:top w:val="single" w:sz="8" w:color="auto"/>
              <w:right w:val="single" w:sz="8" w:color="auto"/>
            </w:tcBorders>
          </w:tcPr>
          <w:p>
            <w:pPr>
              <w:spacing w:after="0"/>
              <w:rPr>
                <w:sz w:val="12"/>
                <w:szCs w:val="12"/>
                <w:color w:val="auto"/>
              </w:rPr>
            </w:pPr>
          </w:p>
        </w:tc>
        <w:tc>
          <w:tcPr>
            <w:tcW w:w="166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04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r>
      <w:tr>
        <w:trPr>
          <w:trHeight w:val="135"/>
        </w:trPr>
        <w:tc>
          <w:tcPr>
            <w:tcW w:w="2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r>
      <w:tr>
        <w:trPr>
          <w:trHeight w:val="135"/>
        </w:trPr>
        <w:tc>
          <w:tcPr>
            <w:tcW w:w="2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3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8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40"/>
        </w:trPr>
        <w:tc>
          <w:tcPr>
            <w:tcW w:w="28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25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2"/>
              </w:rPr>
              <w:t>Class</w:t>
            </w:r>
          </w:p>
        </w:tc>
        <w:tc>
          <w:tcPr>
            <w:tcW w:w="16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Calculation</w:t>
            </w:r>
          </w:p>
        </w:tc>
        <w:tc>
          <w:tcPr>
            <w:tcW w:w="13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Amount</w:t>
            </w: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2"/>
              </w:rPr>
              <w:t>Price Per</w:t>
            </w:r>
          </w:p>
        </w:tc>
        <w:tc>
          <w:tcPr>
            <w:tcW w:w="10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Aggregate</w:t>
            </w:r>
          </w:p>
        </w:tc>
        <w:tc>
          <w:tcPr>
            <w:tcW w:w="8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Fee</w:t>
            </w:r>
          </w:p>
        </w:tc>
        <w:tc>
          <w:tcPr>
            <w:tcW w:w="8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4"/>
        </w:trPr>
        <w:tc>
          <w:tcPr>
            <w:tcW w:w="28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Rule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6"/>
        </w:trPr>
        <w:tc>
          <w:tcPr>
            <w:tcW w:w="280" w:type="dxa"/>
            <w:vAlign w:val="bottom"/>
            <w:tcBorders>
              <w:left w:val="single" w:sz="8" w:color="auto"/>
              <w:right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2021 Stock Option</w:t>
            </w:r>
          </w:p>
        </w:tc>
        <w:tc>
          <w:tcPr>
            <w:tcW w:w="16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16"/>
        </w:trPr>
        <w:tc>
          <w:tcPr>
            <w:tcW w:w="2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Incentive Plan</w:t>
            </w:r>
          </w:p>
        </w:tc>
        <w:tc>
          <w:tcPr>
            <w:tcW w:w="1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55"/>
        </w:trPr>
        <w:tc>
          <w:tcPr>
            <w:tcW w:w="280" w:type="dxa"/>
            <w:vAlign w:val="bottom"/>
            <w:tcBorders>
              <w:left w:val="single" w:sz="8" w:color="auto"/>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Equity </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 par value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457(c) and 457(h)(1) </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5,386,467 shares </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$12,388,874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$.0001531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$1,896.74</w:t>
            </w:r>
          </w:p>
        </w:tc>
      </w:tr>
      <w:tr>
        <w:trPr>
          <w:trHeight w:val="211"/>
        </w:trPr>
        <w:tc>
          <w:tcPr>
            <w:tcW w:w="2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2021 Employee Stock Purchase</w:t>
            </w:r>
          </w:p>
        </w:tc>
        <w:tc>
          <w:tcPr>
            <w:tcW w:w="1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2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55"/>
        </w:trPr>
        <w:tc>
          <w:tcPr>
            <w:tcW w:w="280" w:type="dxa"/>
            <w:vAlign w:val="bottom"/>
            <w:tcBorders>
              <w:left w:val="single" w:sz="8" w:color="auto"/>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Equity </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457(c) and 457(h)(1)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949,873 shares</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$1.96</w:t>
            </w:r>
          </w:p>
        </w:tc>
        <w:tc>
          <w:tcPr>
            <w:tcW w:w="104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$1,861,751</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$.0001531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$285.03</w:t>
            </w:r>
          </w:p>
        </w:tc>
      </w:tr>
      <w:tr>
        <w:trPr>
          <w:trHeight w:val="239"/>
        </w:trPr>
        <w:tc>
          <w:tcPr>
            <w:tcW w:w="2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2"/>
          </w:tcPr>
          <w:p>
            <w:pPr>
              <w:jc w:val="center"/>
              <w:ind w:left="656"/>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3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$14,250,625</w:t>
            </w:r>
          </w:p>
        </w:tc>
        <w:tc>
          <w:tcPr>
            <w:tcW w:w="8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$2,181.77</w:t>
            </w:r>
          </w:p>
        </w:tc>
      </w:tr>
      <w:tr>
        <w:trPr>
          <w:trHeight w:val="237"/>
        </w:trPr>
        <w:tc>
          <w:tcPr>
            <w:tcW w:w="2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2"/>
          </w:tcPr>
          <w:p>
            <w:pPr>
              <w:jc w:val="center"/>
              <w:ind w:left="636"/>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3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7"/>
        </w:trPr>
        <w:tc>
          <w:tcPr>
            <w:tcW w:w="2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2"/>
          </w:tcPr>
          <w:p>
            <w:pPr>
              <w:jc w:val="center"/>
              <w:ind w:left="656"/>
              <w:spacing w:after="0"/>
              <w:rPr>
                <w:sz w:val="20"/>
                <w:szCs w:val="20"/>
                <w:color w:val="auto"/>
              </w:rPr>
            </w:pPr>
            <w:r>
              <w:rPr>
                <w:rFonts w:ascii="Times New Roman" w:cs="Times New Roman" w:eastAsia="Times New Roman" w:hAnsi="Times New Roman"/>
                <w:sz w:val="18"/>
                <w:szCs w:val="18"/>
                <w:color w:val="auto"/>
                <w:w w:val="98"/>
              </w:rPr>
              <w:t>Net Fee Due</w:t>
            </w:r>
          </w:p>
        </w:tc>
        <w:tc>
          <w:tcPr>
            <w:tcW w:w="13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$2,181.77</w:t>
            </w:r>
          </w:p>
        </w:tc>
      </w:tr>
    </w:tbl>
    <w:p>
      <w:pPr>
        <w:spacing w:after="0" w:line="225" w:lineRule="exact"/>
        <w:rPr>
          <w:sz w:val="20"/>
          <w:szCs w:val="20"/>
          <w:color w:val="auto"/>
        </w:rPr>
      </w:pPr>
    </w:p>
    <w:p>
      <w:pPr>
        <w:ind w:left="424" w:right="140" w:hanging="424"/>
        <w:spacing w:after="0" w:line="246" w:lineRule="auto"/>
        <w:tabs>
          <w:tab w:leader="none" w:pos="424"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any additional shares of common stock, $0.001 par value per share (“Common Stock”) which become issuable under the Tango Therapeutics, Inc. 2021 Stock Option and Incentive Plan (the “2021 Plan”) or the Tango Therapeutics, Inc. 2021 Employee Stock Purchase Plan (the “2021 ESPP”) by reason of any stock dividend, stock split, recapitalization or any other similar transaction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87" w:lineRule="exact"/>
        <w:rPr>
          <w:rFonts w:ascii="Times New Roman" w:cs="Times New Roman" w:eastAsia="Times New Roman" w:hAnsi="Times New Roman"/>
          <w:sz w:val="22"/>
          <w:szCs w:val="22"/>
          <w:color w:val="auto"/>
          <w:vertAlign w:val="superscript"/>
        </w:rPr>
      </w:pPr>
    </w:p>
    <w:p>
      <w:pPr>
        <w:ind w:left="444" w:right="40"/>
        <w:spacing w:after="0" w:line="257"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an automatic increase of 5,386,467 shares of common stock to the number of shares available for issuance under the 2021 Plan effective as of January 1, 2025. Shares available for issuance under the 2021 Plan were previously registered on Form S-8 filed with the Securities and Exchange Commission on October 14, 2021 (File No. 333-260258), March 28, 2022 (File No. 333-263893), February 7, 2023 (File</w:t>
      </w:r>
    </w:p>
    <w:p>
      <w:pPr>
        <w:spacing w:after="0" w:line="1" w:lineRule="exact"/>
        <w:rPr>
          <w:rFonts w:ascii="Times New Roman" w:cs="Times New Roman" w:eastAsia="Times New Roman" w:hAnsi="Times New Roman"/>
          <w:sz w:val="22"/>
          <w:szCs w:val="22"/>
          <w:color w:val="auto"/>
          <w:vertAlign w:val="superscript"/>
        </w:rPr>
      </w:pPr>
    </w:p>
    <w:p>
      <w:pPr>
        <w:ind w:left="444"/>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No. 333-269620) and March 18, 2024 (File No. 333-278016).</w:t>
      </w:r>
    </w:p>
    <w:p>
      <w:pPr>
        <w:spacing w:after="0" w:line="98" w:lineRule="exact"/>
        <w:rPr>
          <w:rFonts w:ascii="Times New Roman" w:cs="Times New Roman" w:eastAsia="Times New Roman" w:hAnsi="Times New Roman"/>
          <w:sz w:val="22"/>
          <w:szCs w:val="22"/>
          <w:color w:val="auto"/>
          <w:vertAlign w:val="superscript"/>
        </w:rPr>
      </w:pPr>
    </w:p>
    <w:p>
      <w:pPr>
        <w:ind w:left="444" w:right="280"/>
        <w:spacing w:after="0" w:line="312"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Estimated solely for the purpose of calculating the registration fee pursuant to Rule 457(c) and (h)(1) of the Securities Act, and based on $2.30, the average of the high and low sale prices of the Registrant’s common stock as reported on the Nasdaq Global Market on February 25, 2025.</w:t>
      </w:r>
    </w:p>
    <w:p>
      <w:pPr>
        <w:spacing w:after="0" w:line="45" w:lineRule="exact"/>
        <w:rPr>
          <w:sz w:val="20"/>
          <w:szCs w:val="20"/>
          <w:color w:val="auto"/>
        </w:rPr>
      </w:pPr>
    </w:p>
    <w:p>
      <w:pPr>
        <w:ind w:left="424" w:right="60" w:hanging="424"/>
        <w:spacing w:after="0" w:line="244" w:lineRule="auto"/>
        <w:tabs>
          <w:tab w:leader="none" w:pos="424"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Pursuant to Rule 416 under the Securities Act, this registration statement shall also cover any additional shares of Common Stock which become issuable under the 2021 Plan or the 2021 ESPP by reason of any stock dividend, stock split, recapitalization or any other similar transaction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89" w:lineRule="exact"/>
        <w:rPr>
          <w:rFonts w:ascii="Times New Roman" w:cs="Times New Roman" w:eastAsia="Times New Roman" w:hAnsi="Times New Roman"/>
          <w:sz w:val="22"/>
          <w:szCs w:val="22"/>
          <w:color w:val="auto"/>
          <w:vertAlign w:val="superscript"/>
        </w:rPr>
      </w:pPr>
    </w:p>
    <w:p>
      <w:pPr>
        <w:ind w:left="444" w:right="60"/>
        <w:spacing w:after="0" w:line="261"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an automatic increase of 949,873 shares of common stock to the number of shares available for issuance under the 2021 ESPP effective as of January 1, 2025. Shares available for issuance under the 2021 ESPP were previously registered on Form S-8 filed with the Securities and Exchange Commission on October 14, 2021 (File No. 333-260258), March 28, 2022 (File No. 333-263893), February 7, 2023 (File No. 333-269620) and March 18, 2024 (File No. 333-278016).</w:t>
      </w:r>
    </w:p>
    <w:p>
      <w:pPr>
        <w:spacing w:after="0" w:line="71" w:lineRule="exact"/>
        <w:rPr>
          <w:rFonts w:ascii="Times New Roman" w:cs="Times New Roman" w:eastAsia="Times New Roman" w:hAnsi="Times New Roman"/>
          <w:sz w:val="22"/>
          <w:szCs w:val="22"/>
          <w:color w:val="auto"/>
          <w:vertAlign w:val="superscript"/>
        </w:rPr>
      </w:pPr>
    </w:p>
    <w:p>
      <w:pPr>
        <w:ind w:left="444" w:right="40"/>
        <w:spacing w:after="0" w:line="258"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Estimated solely for the purpose of calculating the registration fee pursuant to Rule 457(c) and (h)(1) of the Securities Act, and based on 85% of $1.96, the average of the high and low sale prices of the Registrant’s common stock as reported on the Nasdaq Global Market on February 25, 2025. Pursuant to the 2021 ESPP, the purchase price of the shares of common stock reserved for issuance thereunder will be at a maximum discount of 15% of the fair market value of a share of common stock on the first trading day of the applicable offering period or on the last trading day of the applicable offering period, whichever is less.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jpeg"/><Relationship Id="rId18" Type="http://schemas.openxmlformats.org/officeDocument/2006/relationships/hyperlink" Target="http://www.sec.gov/Archives/edgar/data/1819133/000119312521298942/d211731ds8.htm" TargetMode="External"/><Relationship Id="rId19" Type="http://schemas.openxmlformats.org/officeDocument/2006/relationships/hyperlink" Target="http://www.sec.gov/Archives/edgar/data/1819133/000119312522086625/d330479ds8.htm" TargetMode="External"/><Relationship Id="rId20" Type="http://schemas.openxmlformats.org/officeDocument/2006/relationships/hyperlink" Target="http://www.sec.gov/Archives/edgar/data/1819133/000119312523026914/d644136ds8.htm" TargetMode="External"/><Relationship Id="rId21" Type="http://schemas.openxmlformats.org/officeDocument/2006/relationships/hyperlink" Target="http://www.sec.gov/Archives/edgar/data/1819133/000119312524069689/d754544ds8.htm" TargetMode="External"/><Relationship Id="rId22" Type="http://schemas.openxmlformats.org/officeDocument/2006/relationships/hyperlink" Target="http://www.sec.gov/Archives/edgar/data/1819133/000095017024092274/tngx-ex3_1.htm" TargetMode="External"/><Relationship Id="rId23" Type="http://schemas.openxmlformats.org/officeDocument/2006/relationships/hyperlink" Target="http://www.sec.gov/Archives/edgar/data/1819133/000119312521298942/d211731dex42.htm" TargetMode="External"/><Relationship Id="rId24" Type="http://schemas.openxmlformats.org/officeDocument/2006/relationships/hyperlink" Target="http://www.sec.gov/Archives/edgar/data/1819133/000121390021037131/ea144230ex4-5_bctgacq.htm" TargetMode="External"/><Relationship Id="rId25" Type="http://schemas.openxmlformats.org/officeDocument/2006/relationships/hyperlink" Target="http://www.sec.gov/Archives/edgar/data/1819133/000095017022004721/tngx-ex4_2.htm" TargetMode="External"/><Relationship Id="rId26" Type="http://schemas.openxmlformats.org/officeDocument/2006/relationships/hyperlink" Target="http://www.sec.gov/Archives/edgar/data/1819133/000119312521246234/d203347dex104.htm" TargetMode="External"/><Relationship Id="rId27" Type="http://schemas.openxmlformats.org/officeDocument/2006/relationships/hyperlink" Target="http://www.sec.gov/Archives/edgar/data/1819133/000119312521246234/d203347dex105.htm" TargetMode="External"/><Relationship Id="rId28" Type="http://schemas.openxmlformats.org/officeDocument/2006/relationships/hyperlink" Target="http://www.sec.gov/Archives/edgar/data/1819133/000119312521246234/d20334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2025-02-27T06:35:08Z</dcterms:created>
  <dcterms:modified xsi:type="dcterms:W3CDTF">2025-02-27T06:35:08Z</dcterms:modified>
</cp:coreProperties>
</file>