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1344600.00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107144465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08/16/2024   NASD</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03/17/2017 Pre-IPO</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Purchased from</w:t>
            </w: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135000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03/17/2017 Wire</w:t>
            </w: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TRV III</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right="400"/>
        <w:spacing w:after="0" w:line="244" w:lineRule="auto"/>
        <w:rPr>
          <w:sz w:val="20"/>
          <w:szCs w:val="20"/>
          <w:color w:val="auto"/>
        </w:rPr>
      </w:pPr>
      <w:r>
        <w:rPr>
          <w:rFonts w:ascii="Times New Roman" w:cs="Times New Roman" w:eastAsia="Times New Roman" w:hAnsi="Times New Roman"/>
          <w:sz w:val="22"/>
          <w:szCs w:val="22"/>
          <w:color w:val="auto"/>
        </w:rPr>
        <w:t>Third Rock Ventures IV, L.P. 201 Brookline Ave, Suite 1401 Boston MA 02215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07/17/2024 550171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5386339.14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07/18/2024 191490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1878478.60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07/22/2024 262740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2570096.41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07/23/2024 125000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1223350.00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07/24/2024 200000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1963160.00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07/25/2024 100599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992771.29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07/26/2024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491950.00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07/30/2024 95000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931114.00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07/31/2024 100000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993380.00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08/01/2024 40000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392000.00</w:t>
            </w:r>
          </w:p>
        </w:tc>
        <w:tc>
          <w:tcPr>
            <w:tcW w:w="0" w:type="dxa"/>
            <w:vAlign w:val="bottom"/>
          </w:tcPr>
          <w:p>
            <w:pPr>
              <w:spacing w:after="0"/>
              <w:rPr>
                <w:sz w:val="1"/>
                <w:szCs w:val="1"/>
                <w:color w:val="auto"/>
              </w:rPr>
            </w:pPr>
          </w:p>
        </w:tc>
      </w:tr>
    </w:tbl>
    <w:p>
      <w:pPr>
        <w:spacing w:after="0" w:line="446"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08/16/2024</w:t>
            </w: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2024-08-16T16:36:45Z</dcterms:created>
  <dcterms:modified xsi:type="dcterms:W3CDTF">2024-08-16T16:36:45Z</dcterms:modified>
</cp:coreProperties>
</file>